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9" w:right="1146" w:bottom="990" w:left="3754" w:header="0" w:footer="3" w:gutter="0"/>
          <w:cols w:space="720"/>
          <w:noEndnote/>
          <w:rtlGutter w:val="0"/>
          <w:docGrid w:linePitch="360"/>
        </w:sectPr>
      </w:pPr>
    </w:p>
    <w:p>
      <w:pPr>
        <w:pStyle w:val="Style2"/>
        <w:keepNext w:val="0"/>
        <w:keepLines w:val="0"/>
        <w:framePr w:w="2928" w:h="1282" w:wrap="none" w:vAnchor="text" w:hAnchor="page" w:x="4483" w:y="3082"/>
        <w:widowControl w:val="0"/>
        <w:shd w:val="clear" w:color="auto" w:fill="auto"/>
        <w:bidi w:val="0"/>
        <w:spacing w:before="0" w:after="400" w:line="240" w:lineRule="auto"/>
        <w:ind w:left="0" w:right="0" w:firstLine="0"/>
        <w:jc w:val="center"/>
      </w:pPr>
      <w:r>
        <w:rPr>
          <w:color w:val="000000"/>
          <w:spacing w:val="0"/>
          <w:w w:val="100"/>
          <w:position w:val="0"/>
        </w:rPr>
        <w:t>润建股份有限公司</w:t>
      </w:r>
    </w:p>
    <w:p>
      <w:pPr>
        <w:pStyle w:val="Style4"/>
        <w:keepNext w:val="0"/>
        <w:keepLines w:val="0"/>
        <w:framePr w:w="2928" w:h="1282" w:wrap="none" w:vAnchor="text" w:hAnchor="page" w:x="4483" w:y="308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framePr w:w="1885" w:h="464" w:wrap="none" w:vAnchor="text" w:hAnchor="page" w:x="5004" w:y="10315"/>
        <w:widowControl w:val="0"/>
        <w:shd w:val="clear" w:color="auto" w:fill="auto"/>
        <w:bidi w:val="0"/>
        <w:spacing w:before="0" w:after="0" w:line="240" w:lineRule="auto"/>
        <w:ind w:left="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0" behindDoc="1" locked="0" layoutInCell="1" allowOverlap="1">
            <wp:simplePos x="0" y="0"/>
            <wp:positionH relativeFrom="page">
              <wp:posOffset>2383790</wp:posOffset>
            </wp:positionH>
            <wp:positionV relativeFrom="paragraph">
              <wp:posOffset>12700</wp:posOffset>
            </wp:positionV>
            <wp:extent cx="2785745" cy="104838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785745" cy="10483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7" w:line="1" w:lineRule="exact"/>
      </w:pPr>
    </w:p>
    <w:p>
      <w:pPr>
        <w:widowControl w:val="0"/>
        <w:spacing w:line="1" w:lineRule="exact"/>
        <w:sectPr>
          <w:footnotePr>
            <w:pos w:val="pageBottom"/>
            <w:numFmt w:val="decimal"/>
            <w:numRestart w:val="continuous"/>
          </w:footnotePr>
          <w:type w:val="continuous"/>
          <w:pgSz w:w="11900" w:h="16840"/>
          <w:pgMar w:top="1019" w:right="1146" w:bottom="990" w:left="3754" w:header="0" w:footer="3" w:gutter="0"/>
          <w:cols w:space="720"/>
          <w:noEndnote/>
          <w:rtlGutter w:val="0"/>
          <w:docGrid w:linePitch="360"/>
        </w:sectPr>
      </w:pP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公司负责人许文杰、主管会计工作负责人黄宇及会计机构负责人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王念梅声明：保证本年度报告中财务报告的真实、准确、完整。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1" w:lineRule="exact"/>
        <w:ind w:left="0" w:right="0"/>
        <w:jc w:val="both"/>
      </w:pPr>
      <w:r>
        <w:rPr>
          <w:color w:val="000000"/>
          <w:spacing w:val="0"/>
          <w:w w:val="100"/>
          <w:position w:val="0"/>
        </w:rPr>
        <w:t>公司主要存在市场竞争的风险、对大客户依赖的风险、公司快速发展带来 的管理风险、技术和产品更新的风险、商誉减值风险及新型冠状病毒疫情造成 的风险等，敬请广大投资者注意投资风险。详细内容见本报告</w:t>
      </w:r>
      <w:r>
        <w:rPr>
          <w:rFonts w:ascii="Times New Roman" w:eastAsia="Times New Roman" w:hAnsi="Times New Roman" w:cs="Times New Roman"/>
          <w:color w:val="000000"/>
          <w:spacing w:val="0"/>
          <w:w w:val="100"/>
          <w:position w:val="0"/>
        </w:rPr>
        <w:t>“</w:t>
      </w:r>
      <w:r>
        <w:rPr>
          <w:color w:val="000000"/>
          <w:spacing w:val="0"/>
          <w:w w:val="100"/>
          <w:position w:val="0"/>
        </w:rPr>
        <w:t>第三节</w:t>
      </w:r>
      <w:r>
        <w:rPr>
          <w:rFonts w:ascii="Times New Roman" w:eastAsia="Times New Roman" w:hAnsi="Times New Roman" w:cs="Times New Roman"/>
          <w:color w:val="000000"/>
          <w:spacing w:val="0"/>
          <w:w w:val="100"/>
          <w:position w:val="0"/>
        </w:rPr>
        <w:t>-</w:t>
      </w:r>
      <w:r>
        <w:rPr>
          <w:color w:val="000000"/>
          <w:spacing w:val="0"/>
          <w:w w:val="100"/>
          <w:position w:val="0"/>
        </w:rPr>
        <w:t>十一</w:t>
      </w:r>
      <w:r>
        <w:rPr>
          <w:rFonts w:ascii="Times New Roman" w:eastAsia="Times New Roman" w:hAnsi="Times New Roman" w:cs="Times New Roman"/>
          <w:color w:val="000000"/>
          <w:spacing w:val="0"/>
          <w:w w:val="100"/>
          <w:position w:val="0"/>
        </w:rPr>
        <w:t>-2</w:t>
      </w:r>
      <w:r>
        <w:rPr>
          <w:color w:val="000000"/>
          <w:spacing w:val="0"/>
          <w:w w:val="100"/>
          <w:position w:val="0"/>
        </w:rPr>
        <w:t>、 公司面临的风险和应对措施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975" w:bottom="1969" w:left="1104" w:header="0" w:footer="3" w:gutter="0"/>
          <w:cols w:space="720"/>
          <w:noEndnote/>
          <w:rtlGutter w:val="0"/>
          <w:docGrid w:linePitch="360"/>
        </w:sectPr>
      </w:pPr>
      <w:r>
        <w:rPr>
          <w:color w:val="000000"/>
          <w:spacing w:val="0"/>
          <w:w w:val="100"/>
          <w:position w:val="0"/>
        </w:rPr>
        <w:t>公司经本次董事会审议通过的利润分配预案为：以截至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公司总股本</w:t>
      </w:r>
      <w:r>
        <w:rPr>
          <w:rFonts w:ascii="Times New Roman" w:eastAsia="Times New Roman" w:hAnsi="Times New Roman" w:cs="Times New Roman"/>
          <w:color w:val="000000"/>
          <w:spacing w:val="0"/>
          <w:w w:val="100"/>
          <w:position w:val="0"/>
        </w:rPr>
        <w:t>228,748,462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 税），合计派发现金股利人民币</w:t>
      </w:r>
      <w:r>
        <w:rPr>
          <w:rFonts w:ascii="Times New Roman" w:eastAsia="Times New Roman" w:hAnsi="Times New Roman" w:cs="Times New Roman"/>
          <w:color w:val="000000"/>
          <w:spacing w:val="0"/>
          <w:w w:val="100"/>
          <w:position w:val="0"/>
        </w:rPr>
        <w:t>45,749,692.40</w:t>
      </w:r>
      <w:r>
        <w:rPr>
          <w:color w:val="000000"/>
          <w:spacing w:val="0"/>
          <w:w w:val="100"/>
          <w:position w:val="0"/>
        </w:rPr>
        <w:t>元（含税），不送红股，不以公积 金转增股本。在本利润分配预案经公司股东大会审议通过之日至公司权益分派 实施日期间，如公司总股本发生变化，公司将按照“分配比例不变”的原则， 对分红总金额进行调整。</w:t>
      </w:r>
    </w:p>
    <w:p>
      <w:pPr>
        <w:pStyle w:val="Style2"/>
        <w:keepNext w:val="0"/>
        <w:keepLines w:val="0"/>
        <w:widowControl w:val="0"/>
        <w:shd w:val="clear" w:color="auto" w:fill="auto"/>
        <w:bidi w:val="0"/>
        <w:spacing w:before="0" w:after="148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55"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237"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400"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42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56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637"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pPr>
      <w:hyperlink w:anchor="bookmark641"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697"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r>
        <w:fldChar w:fldCharType="end"/>
      </w:r>
    </w:p>
    <w:p>
      <w:pPr>
        <w:pStyle w:val="Style4"/>
        <w:keepNext w:val="0"/>
        <w:keepLines w:val="0"/>
        <w:widowControl w:val="0"/>
        <w:shd w:val="clear" w:color="auto" w:fill="auto"/>
        <w:bidi w:val="0"/>
        <w:spacing w:before="92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627" w:val="left"/>
        </w:tabs>
        <w:bidi w:val="0"/>
        <w:spacing w:before="0" w:after="0" w:line="317" w:lineRule="exact"/>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载有公司负责人许文杰、主管会计工作负责人黄宇、会计机构负责人（会计主管人员）王念梅签名并盖章的财务报告 文本原件。</w:t>
      </w:r>
    </w:p>
    <w:p>
      <w:pPr>
        <w:pStyle w:val="Style18"/>
        <w:keepNext w:val="0"/>
        <w:keepLines w:val="0"/>
        <w:widowControl w:val="0"/>
        <w:shd w:val="clear" w:color="auto" w:fill="auto"/>
        <w:tabs>
          <w:tab w:pos="531" w:val="left"/>
        </w:tabs>
        <w:bidi w:val="0"/>
        <w:spacing w:before="0" w:after="0" w:line="317" w:lineRule="exact"/>
        <w:ind w:left="0" w:right="0" w:firstLine="0"/>
        <w:jc w:val="left"/>
      </w:pPr>
      <w:bookmarkStart w:id="5" w:name="bookmark5"/>
      <w:r>
        <w:rPr>
          <w:color w:val="000000"/>
          <w:spacing w:val="0"/>
          <w:w w:val="100"/>
          <w:position w:val="0"/>
        </w:rPr>
        <w:t>（</w:t>
      </w:r>
      <w:bookmarkEnd w:id="5"/>
      <w:r>
        <w:rPr>
          <w:color w:val="000000"/>
          <w:spacing w:val="0"/>
          <w:w w:val="100"/>
          <w:position w:val="0"/>
        </w:rPr>
        <w:t>二）</w:t>
        <w:tab/>
        <w:t>载有容诚会计师事务所（特殊普通合伙）盖章、注册会计师签名并盖章的审计报告原件。</w:t>
      </w:r>
    </w:p>
    <w:p>
      <w:pPr>
        <w:pStyle w:val="Style18"/>
        <w:keepNext w:val="0"/>
        <w:keepLines w:val="0"/>
        <w:widowControl w:val="0"/>
        <w:shd w:val="clear" w:color="auto" w:fill="auto"/>
        <w:tabs>
          <w:tab w:pos="531" w:val="left"/>
        </w:tabs>
        <w:bidi w:val="0"/>
        <w:spacing w:before="0" w:after="380" w:line="317" w:lineRule="exact"/>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报告期内在中国证监会指定网站上公开披露过的所有公司文件的正本及公告的原稿。</w:t>
      </w:r>
      <w:r>
        <w:br w:type="page"/>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125"/>
        <w:gridCol w:w="619"/>
        <w:gridCol w:w="591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公司、本公司、润建通信、润建股份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润建股份有限公司（原名称：润建通信股份有限公司）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公司全资子公司润建智慧能源有限责任公司（原广州纵诺电力工程技术有 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信安锐达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公司全资子公司广西信安锐达科技有限公司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公司控股子公司五象云谷有限公司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鑫广源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公司控股子公司广州鑫广源电力设计有限公司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泺立能源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公司控股子公司广州市泺立能源科技有限公司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南粤云视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公司控股子公司广东南粤云视科技有限公司</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旋几工业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公司控股子公司山东旋几工业自动化有限公司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博深咨询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公司控股子公司广东博深咨询有限公司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公司控股子公司广东润建电力科技有限公司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公司控股子公司润和世联数据科技有限公司（原广东禹尧数据科技股份有 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智海信息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公司控股子公司广州智海信息科技有限公司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赛皓达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广州市泺立能源科技有限公司全资子公司广州市赛皓达智能科技有限公司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数智教育</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公司控股子公司润建数智教育科技有限公司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麦融高科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公司参股公司长沙麦融高科股份有限公司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旗鱼软件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公司控股子公司广州市旗鱼软件科技有限公司</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公司股东张家界威克企业管理中心（有限合伙）（原广西威克德力投资管理 中心（有限合伙））</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弘泽天元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公司股东珠海弘泽天元企业管理合伙企业（有限合伙）（原珠海弘泽熙元投 资管理中心（有限合伙））</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盛欧投资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公司股东平潭盛欧投资中心（有限合伙）（原广西盛欧投资管理中心（有限 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中国铁塔股份有限公司</w:t>
            </w:r>
          </w:p>
        </w:tc>
      </w:tr>
    </w:tbl>
    <w:p>
      <w:pPr>
        <w:spacing w:lineRule="exact" w:line="1"/>
        <w:rPr>
          <w:sz w:val="2"/>
          <w:szCs w:val="2"/>
        </w:rPr>
      </w:pPr>
      <w:r>
        <w:br w:type="page"/>
      </w:r>
    </w:p>
    <w:tbl>
      <w:tblPr>
        <w:tblOverlap w:val="never"/>
        <w:jc w:val="center"/>
        <w:tblLayout w:type="fixed"/>
      </w:tblPr>
      <w:tblGrid>
        <w:gridCol w:w="3125"/>
        <w:gridCol w:w="619"/>
        <w:gridCol w:w="5914"/>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中国广播电视网络有限公司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中国南方电网有限责任公司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国家电网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国家电网有限公司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润建股份有限公司章程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现代通信网络是由专业机构以通信设备（硬件）和相关工作程序（软件） 有机建立的通信系统，为个人、企事业单位和社会提供各类通信服务的总 和核心网</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起到核心交换或者呼叫路由功能的网元，它的功能主要是提供用户连接、 对用户的管理以及对业务完成承载，作为承载网络提供到外部网络的接口</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采用无线通信技术实现的网络，既包括允许用户建立远距离无线连接的全 球语音和数据网络，也包括为近距离无线连接进行优化的红外线技术及射 频技术，目前主流应用的无线网络分为通过公众移动通信网实现的无线网 络（如</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4G</w:t>
            </w:r>
            <w:r>
              <w:rPr>
                <w:color w:val="000000"/>
                <w:spacing w:val="0"/>
                <w:w w:val="100"/>
                <w:position w:val="0"/>
              </w:rPr>
              <w:t>，</w:t>
            </w:r>
            <w:r>
              <w:rPr>
                <w:rFonts w:ascii="Times New Roman" w:eastAsia="Times New Roman" w:hAnsi="Times New Roman" w:cs="Times New Roman"/>
                <w:color w:val="000000"/>
                <w:spacing w:val="0"/>
                <w:w w:val="100"/>
                <w:position w:val="0"/>
              </w:rPr>
              <w:t>3G</w:t>
            </w:r>
            <w:r>
              <w:rPr>
                <w:color w:val="000000"/>
                <w:spacing w:val="0"/>
                <w:w w:val="100"/>
                <w:position w:val="0"/>
              </w:rPr>
              <w:t>等）和无线局域网（</w:t>
            </w:r>
            <w:r>
              <w:rPr>
                <w:rFonts w:ascii="Times New Roman" w:eastAsia="Times New Roman" w:hAnsi="Times New Roman" w:cs="Times New Roman"/>
                <w:color w:val="000000"/>
                <w:spacing w:val="0"/>
                <w:w w:val="100"/>
                <w:position w:val="0"/>
              </w:rPr>
              <w:t>WiFi</w:t>
            </w:r>
            <w:r>
              <w:rPr>
                <w:color w:val="000000"/>
                <w:spacing w:val="0"/>
                <w:w w:val="100"/>
                <w:position w:val="0"/>
              </w:rPr>
              <w:t>）</w:t>
            </w:r>
            <w:r>
              <w:rPr>
                <w:color w:val="000000"/>
                <w:spacing w:val="0"/>
                <w:w w:val="100"/>
                <w:position w:val="0"/>
              </w:rPr>
              <w:t>两种方式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传输网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将复接、线传输及交换功能集为一体的，并由统一管理系统操作的综合信 息传送网络，可实现诸如网络的有效管理、性能监视、动态网络维护、不 同供应厂商设备的互通等多项功能</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是指在一定的无线电覆盖区中，通过移动通信交换中心，与移动电话终端 之间进行信息传递的无线电收发信电台</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4G</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第四代移动通信技术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第五代移动通信技术</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通过射频识别</w:t>
            </w:r>
            <w:r>
              <w:rPr>
                <w:color w:val="000000"/>
                <w:spacing w:val="0"/>
                <w:w w:val="100"/>
                <w:position w:val="0"/>
              </w:rPr>
              <w:t>（</w:t>
            </w:r>
            <w:r>
              <w:rPr>
                <w:rFonts w:ascii="Times New Roman" w:eastAsia="Times New Roman" w:hAnsi="Times New Roman" w:cs="Times New Roman"/>
                <w:color w:val="000000"/>
                <w:spacing w:val="0"/>
                <w:w w:val="100"/>
                <w:position w:val="0"/>
              </w:rPr>
              <w:t>RFID</w:t>
            </w:r>
            <w:r>
              <w:rPr>
                <w:color w:val="000000"/>
                <w:spacing w:val="0"/>
                <w:w w:val="100"/>
                <w:position w:val="0"/>
              </w:rPr>
              <w:t>）、</w:t>
            </w:r>
            <w:r>
              <w:rPr>
                <w:color w:val="000000"/>
                <w:spacing w:val="0"/>
                <w:w w:val="100"/>
                <w:position w:val="0"/>
              </w:rPr>
              <w:t>红外感应器、全球定位系统、激光扫描器、气体感 应器等信息传感设备，按约定的协议，把任何物体与互联网相连接，进行 信息交换和通信，以实现智能化识别、定位、跟踪、监控和管理的一种网 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IDC</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互联网数据中心（</w:t>
            </w:r>
            <w:r>
              <w:rPr>
                <w:rFonts w:ascii="Times New Roman" w:eastAsia="Times New Roman" w:hAnsi="Times New Roman" w:cs="Times New Roman"/>
                <w:color w:val="000000"/>
                <w:spacing w:val="0"/>
                <w:w w:val="100"/>
                <w:position w:val="0"/>
              </w:rPr>
              <w:t>Internet Data Center</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软件服务化 </w:t>
            </w:r>
            <w:r>
              <w:rPr>
                <w:rFonts w:ascii="Times New Roman" w:eastAsia="Times New Roman" w:hAnsi="Times New Roman" w:cs="Times New Roman"/>
                <w:color w:val="000000"/>
                <w:spacing w:val="0"/>
                <w:w w:val="100"/>
                <w:position w:val="0"/>
              </w:rPr>
              <w:t>Software as a Service</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PUE</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电能利用效率</w:t>
            </w:r>
            <w:r>
              <w:rPr>
                <w:rFonts w:ascii="Times New Roman" w:eastAsia="Times New Roman" w:hAnsi="Times New Roman" w:cs="Times New Roman"/>
                <w:color w:val="000000"/>
                <w:spacing w:val="0"/>
                <w:w w:val="100"/>
                <w:position w:val="0"/>
              </w:rPr>
              <w:t>(Power Usage Effectiveness,PUE)</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XR</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扩展现实（</w:t>
            </w:r>
            <w:r>
              <w:rPr>
                <w:rFonts w:ascii="Times New Roman" w:eastAsia="Times New Roman" w:hAnsi="Times New Roman" w:cs="Times New Roman"/>
                <w:color w:val="000000"/>
                <w:spacing w:val="0"/>
                <w:w w:val="100"/>
                <w:position w:val="0"/>
              </w:rPr>
              <w:t>Extended Reality</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人工智能</w:t>
            </w:r>
            <w:r>
              <w:rPr>
                <w:color w:val="000000"/>
                <w:spacing w:val="0"/>
                <w:w w:val="100"/>
                <w:position w:val="0"/>
              </w:rPr>
              <w:t>(</w:t>
            </w:r>
            <w:r>
              <w:rPr>
                <w:rFonts w:ascii="Times New Roman" w:eastAsia="Times New Roman" w:hAnsi="Times New Roman" w:cs="Times New Roman"/>
                <w:color w:val="000000"/>
                <w:spacing w:val="0"/>
                <w:w w:val="100"/>
                <w:position w:val="0"/>
              </w:rPr>
              <w:t>Artificial Intelligence</w:t>
            </w:r>
            <w:r>
              <w:rPr>
                <w:color w:val="000000"/>
                <w:spacing w:val="0"/>
                <w:w w:val="100"/>
                <w:position w:val="0"/>
              </w:rPr>
              <w:t>)</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3"/>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sz w:val="24"/>
          <w:szCs w:val="24"/>
        </w:rPr>
        <w:t>、公司信息</w:t>
      </w:r>
      <w:bookmarkEnd w:id="11"/>
      <w:bookmarkEnd w:id="12"/>
      <w:bookmarkEnd w:id="13"/>
      <w:bookmarkEnd w:id="10"/>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894" w:val="left"/>
                <w:tab w:pos="5050" w:val="left"/>
              </w:tabs>
              <w:bidi w:val="0"/>
              <w:spacing w:before="0" w:after="0" w:line="240" w:lineRule="auto"/>
              <w:ind w:left="0" w:right="0" w:firstLine="0"/>
              <w:jc w:val="left"/>
            </w:pPr>
            <w:r>
              <w:rPr>
                <w:color w:val="000000"/>
                <w:spacing w:val="0"/>
                <w:w w:val="100"/>
                <w:position w:val="0"/>
              </w:rPr>
              <w:t>润建股份</w:t>
              <w:tab/>
              <w:t>股票代码</w:t>
              <w:tab/>
            </w:r>
            <w:r>
              <w:rPr>
                <w:rFonts w:ascii="Times New Roman" w:eastAsia="Times New Roman" w:hAnsi="Times New Roman" w:cs="Times New Roman"/>
                <w:color w:val="000000"/>
                <w:spacing w:val="0"/>
                <w:w w:val="100"/>
                <w:position w:val="0"/>
              </w:rPr>
              <w:t>002929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润建股份</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RUNJIAN CO., 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广西壮族自治区南宁市西乡塘区总部路</w:t>
            </w:r>
            <w:r>
              <w:rPr>
                <w:rFonts w:ascii="Times New Roman" w:eastAsia="Times New Roman" w:hAnsi="Times New Roman" w:cs="Times New Roman"/>
                <w:color w:val="000000"/>
                <w:spacing w:val="0"/>
                <w:w w:val="100"/>
                <w:position w:val="0"/>
              </w:rPr>
              <w:t>1</w:t>
            </w:r>
            <w:r>
              <w:rPr>
                <w:color w:val="000000"/>
                <w:spacing w:val="0"/>
                <w:w w:val="100"/>
                <w:position w:val="0"/>
              </w:rPr>
              <w:t>号中国东盟科技企业孵化基地一期</w:t>
            </w:r>
            <w:r>
              <w:rPr>
                <w:rFonts w:ascii="Times New Roman" w:eastAsia="Times New Roman" w:hAnsi="Times New Roman" w:cs="Times New Roman"/>
                <w:color w:val="000000"/>
                <w:spacing w:val="0"/>
                <w:w w:val="100"/>
                <w:position w:val="0"/>
              </w:rPr>
              <w:t>D7</w:t>
            </w:r>
            <w:r>
              <w:rPr>
                <w:color w:val="000000"/>
                <w:spacing w:val="0"/>
                <w:w w:val="100"/>
                <w:position w:val="0"/>
              </w:rPr>
              <w:t>栋</w:t>
            </w:r>
            <w:r>
              <w:rPr>
                <w:rFonts w:ascii="Times New Roman" w:eastAsia="Times New Roman" w:hAnsi="Times New Roman" w:cs="Times New Roman"/>
                <w:color w:val="000000"/>
                <w:spacing w:val="0"/>
                <w:w w:val="100"/>
                <w:position w:val="0"/>
              </w:rPr>
              <w:t>501</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广东省广州市珠江新城华夏路</w:t>
            </w:r>
            <w:r>
              <w:rPr>
                <w:rFonts w:ascii="Times New Roman" w:eastAsia="Times New Roman" w:hAnsi="Times New Roman" w:cs="Times New Roman"/>
                <w:color w:val="000000"/>
                <w:spacing w:val="0"/>
                <w:w w:val="100"/>
                <w:position w:val="0"/>
              </w:rPr>
              <w:t>16</w:t>
            </w:r>
            <w:r>
              <w:rPr>
                <w:color w:val="000000"/>
                <w:spacing w:val="0"/>
                <w:w w:val="100"/>
                <w:position w:val="0"/>
              </w:rPr>
              <w:t>号富力盈凯广场</w:t>
            </w:r>
            <w:r>
              <w:rPr>
                <w:rFonts w:ascii="Times New Roman" w:eastAsia="Times New Roman" w:hAnsi="Times New Roman" w:cs="Times New Roman"/>
                <w:color w:val="000000"/>
                <w:spacing w:val="0"/>
                <w:w w:val="100"/>
                <w:position w:val="0"/>
              </w:rPr>
              <w:t>4501/</w:t>
            </w:r>
            <w:r>
              <w:rPr>
                <w:color w:val="000000"/>
                <w:spacing w:val="0"/>
                <w:w w:val="100"/>
                <w:position w:val="0"/>
              </w:rPr>
              <w:t>广西南宁市青秀区民族大道</w:t>
            </w:r>
            <w:r>
              <w:rPr>
                <w:rFonts w:ascii="Times New Roman" w:eastAsia="Times New Roman" w:hAnsi="Times New Roman" w:cs="Times New Roman"/>
                <w:color w:val="000000"/>
                <w:spacing w:val="0"/>
                <w:w w:val="100"/>
                <w:position w:val="0"/>
              </w:rPr>
              <w:t xml:space="preserve">136-5 </w:t>
            </w:r>
            <w:r>
              <w:rPr>
                <w:color w:val="000000"/>
                <w:spacing w:val="0"/>
                <w:w w:val="100"/>
                <w:position w:val="0"/>
              </w:rPr>
              <w:t>号华润大厦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32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510623/530000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//www.runjian.com/</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"mailto:ijtxdsh@163.com" </w:instrText>
            </w:r>
            <w:r>
              <w:fldChar w:fldCharType="separate"/>
            </w:r>
            <w:r>
              <w:rPr>
                <w:rFonts w:ascii="Times New Roman" w:eastAsia="Times New Roman" w:hAnsi="Times New Roman" w:cs="Times New Roman"/>
                <w:color w:val="000000"/>
                <w:spacing w:val="0"/>
                <w:w w:val="100"/>
                <w:position w:val="0"/>
              </w:rPr>
              <w:t>ijtxdsh@163.com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王沛佳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广州市珠江新城华夏路</w:t>
            </w:r>
            <w:r>
              <w:rPr>
                <w:rFonts w:ascii="Times New Roman" w:eastAsia="Times New Roman" w:hAnsi="Times New Roman" w:cs="Times New Roman"/>
                <w:color w:val="000000"/>
                <w:spacing w:val="0"/>
                <w:w w:val="100"/>
                <w:position w:val="0"/>
              </w:rPr>
              <w:t>16</w:t>
            </w:r>
            <w:r>
              <w:rPr>
                <w:color w:val="000000"/>
                <w:spacing w:val="0"/>
                <w:w w:val="100"/>
                <w:position w:val="0"/>
              </w:rPr>
              <w:t xml:space="preserve">号富力盈凯广 场 </w:t>
            </w:r>
            <w:r>
              <w:rPr>
                <w:rFonts w:ascii="Times New Roman" w:eastAsia="Times New Roman" w:hAnsi="Times New Roman" w:cs="Times New Roman"/>
                <w:color w:val="000000"/>
                <w:spacing w:val="0"/>
                <w:w w:val="100"/>
                <w:position w:val="0"/>
              </w:rPr>
              <w:t>4501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广西南宁市青秀区民族大道</w:t>
            </w:r>
            <w:r>
              <w:rPr>
                <w:rFonts w:ascii="Times New Roman" w:eastAsia="Times New Roman" w:hAnsi="Times New Roman" w:cs="Times New Roman"/>
                <w:color w:val="000000"/>
                <w:spacing w:val="0"/>
                <w:w w:val="100"/>
                <w:position w:val="0"/>
              </w:rPr>
              <w:t>136-5</w:t>
            </w:r>
            <w:r>
              <w:rPr>
                <w:color w:val="000000"/>
                <w:spacing w:val="0"/>
                <w:w w:val="100"/>
                <w:position w:val="0"/>
              </w:rPr>
              <w:t>号华 润大厦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32</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020-87596583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0771-2869133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0771-5560518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0771-5560518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"mailto:rjtxdsh@163.com" </w:instrText>
            </w:r>
            <w:r>
              <w:fldChar w:fldCharType="separate"/>
            </w:r>
            <w:r>
              <w:rPr>
                <w:rFonts w:ascii="Times New Roman" w:eastAsia="Times New Roman" w:hAnsi="Times New Roman" w:cs="Times New Roman"/>
                <w:color w:val="000000"/>
                <w:spacing w:val="0"/>
                <w:w w:val="100"/>
                <w:position w:val="0"/>
              </w:rPr>
              <w:t>rjtxdsh@163.com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"mailto:rjtxdsh@163.com" </w:instrText>
            </w:r>
            <w:r>
              <w:fldChar w:fldCharType="separate"/>
            </w:r>
            <w:r>
              <w:rPr>
                <w:rFonts w:ascii="Times New Roman" w:eastAsia="Times New Roman" w:hAnsi="Times New Roman" w:cs="Times New Roman"/>
                <w:color w:val="000000"/>
                <w:spacing w:val="0"/>
                <w:w w:val="100"/>
                <w:position w:val="0"/>
              </w:rPr>
              <w:t>rjtxdsh@163.com</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《证券时报》、《中国证券报》、《上海证券报》和《证券日报》</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 xml:space="preserve">http: //www. cninfo. </w:t>
            </w:r>
            <w:r>
              <w:rPr>
                <w:rFonts w:ascii="Times New Roman" w:eastAsia="Times New Roman" w:hAnsi="Times New Roman" w:cs="Times New Roman"/>
                <w:color w:val="000000"/>
                <w:spacing w:val="0"/>
                <w:w w:val="100"/>
                <w:position w:val="0"/>
              </w:rPr>
              <w:t>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98"/>
        <w:gridCol w:w="558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、注册变更情况</w:t>
      </w:r>
      <w:bookmarkEnd w:id="22"/>
      <w:bookmarkEnd w:id="23"/>
      <w:bookmarkEnd w:id="25"/>
    </w:p>
    <w:tbl>
      <w:tblPr>
        <w:tblOverlap w:val="never"/>
        <w:jc w:val="center"/>
        <w:tblLayout w:type="fixed"/>
      </w:tblPr>
      <w:tblGrid>
        <w:gridCol w:w="3197"/>
        <w:gridCol w:w="638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79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日对外披露了完成工商变更登记手续，并取得了广西 壮族自治区市场监督管理局换发的《营业执照》，变更后经营范围为：许可项目： 基础电信业务；消防技术服务；建筑智能化系统设计；特种设备安装改造修理； 雷电防护装置检测；输电、供电、受电电力设施的安装、维修和试验；建设工程 施工；建设工程设计；建筑劳务分包；测绘服务；通用航空服务；出版物批发； 出版物零售（依法须经批准的项目，经相关部门批准后方可开展经营活动，具体 经营项目以相关部门批准文件或许可证件为准）。</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一般项目：信息系统集服务；软件开发；互联网数据服务；数据处理和存储支持 服务；人工智能公共服务平台技术咨询服务；物联网技术服务；信息系统运行维 护服务；网络技术服务；</w:t>
            </w:r>
            <w:r>
              <w:rPr>
                <w:rFonts w:ascii="Times New Roman" w:eastAsia="Times New Roman" w:hAnsi="Times New Roman" w:cs="Times New Roman"/>
                <w:color w:val="000000"/>
                <w:spacing w:val="0"/>
                <w:w w:val="100"/>
                <w:position w:val="0"/>
              </w:rPr>
              <w:t>5G</w:t>
            </w:r>
            <w:r>
              <w:rPr>
                <w:color w:val="000000"/>
                <w:spacing w:val="0"/>
                <w:w w:val="100"/>
                <w:position w:val="0"/>
              </w:rPr>
              <w:t>通信技术服务；普通货物仓储服务（不含危险化学品 等需许可审批的项目）；自有资金投资的资产管理服务；安全技术防范系统设计施 工服务；人力资源服务（不含职业中介活动、劳务派遣服务）；技术服务、技术开 发、技术咨询、技术交流、技术转让、技术推广；信息技术咨询服务；工程管理 服务；教育咨询服务（不含涉许可审批的教育培训活动）；规划设计管理；广告设 计、代理；计算机软硬件及外围设备制造；移动终端设备制造；信息安全设备销 售；计算机软硬件及辅助设备零售；教学专用仪器销售；充电桩销售；电力设施 器材销售；机械设备销售；通讯设备修理；通讯设备销售；电池制造；电池销售； 五金产品批发；电子产品销售；网络设备销售；光通信设备销售；仪器仪表修理； 仪器仪表销售；通用设备修理；数字视频监控系统销售；机械电气设备销售；集 成电路销售；软件销售；智能基础制造装备销售；安防设备销售；金属结构销售； 智能输配电及控制设备销售；销售代理；制冷、空调设备销售；制冷、空调设备 制造；变压器、整流器和电感器制造；技术进出口；货物进出口；机械设备租赁； 以自有资金从事投资活动；工程和技术研究和试验发展；智能无人飞行器制造； 智能无人飞行器销售；光通信设备制造；广播电视传输设备销售；移动通信设备 销售（除依法须经批准的项目外，凭营业执照依法自主开展经营活动）</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、其他有关资料</w:t>
      </w:r>
      <w:bookmarkEnd w:id="26"/>
      <w:bookmarkEnd w:id="27"/>
      <w:bookmarkEnd w:id="2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纪玉红、崔勇趁、魏鹏飞</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bl>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北京市朝阳区安立路</w:t>
            </w:r>
            <w:r>
              <w:rPr>
                <w:rFonts w:ascii="Times New Roman" w:eastAsia="Times New Roman" w:hAnsi="Times New Roman" w:cs="Times New Roman"/>
                <w:color w:val="000000"/>
                <w:spacing w:val="0"/>
                <w:w w:val="100"/>
                <w:position w:val="0"/>
              </w:rPr>
              <w:t>66</w:t>
            </w:r>
            <w:r>
              <w:rPr>
                <w:color w:val="000000"/>
                <w:spacing w:val="0"/>
                <w:w w:val="100"/>
                <w:position w:val="0"/>
              </w:rPr>
              <w:t>号</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张世举、韩新科、陈菁菁、李 一睿</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2018.3.1-2021.12.31</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、主要会计数据和财务指标</w:t>
      </w:r>
      <w:bookmarkEnd w:id="30"/>
      <w:bookmarkEnd w:id="31"/>
      <w:bookmarkEnd w:id="33"/>
    </w:p>
    <w:p>
      <w:pPr>
        <w:pStyle w:val="Style18"/>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6,602,328,309.95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4,192,633,827.73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3,717,024,985.94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352,983,779.43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238,703,087.67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230,046,221.21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332,101,992.89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224,338,336.82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197,384,519.59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385,000,098.35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331,657,337.95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469,716,382.10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2.33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10,175,660,698.82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6,938,337,297.51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4,937,168,337.10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3,828,130,482.78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3,231,369,495.63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2,846,581,521.81</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34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、境内外会计准则下会计数据差异</w:t>
      </w:r>
      <w:bookmarkEnd w:id="34"/>
      <w:bookmarkEnd w:id="35"/>
      <w:bookmarkEnd w:id="37"/>
    </w:p>
    <w:p>
      <w:pPr>
        <w:pStyle w:val="Style29"/>
        <w:keepNext/>
        <w:keepLines/>
        <w:widowControl w:val="0"/>
        <w:shd w:val="clear" w:color="auto" w:fill="auto"/>
        <w:tabs>
          <w:tab w:pos="368" w:val="left"/>
        </w:tabs>
        <w:bidi w:val="0"/>
        <w:spacing w:before="0" w:after="34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78" w:val="left"/>
        </w:tabs>
        <w:bidi w:val="0"/>
        <w:spacing w:before="0" w:line="240" w:lineRule="auto"/>
        <w:ind w:left="0" w:right="0" w:firstLine="0"/>
        <w:jc w:val="left"/>
        <w:rPr>
          <w:sz w:val="18"/>
          <w:szCs w:val="18"/>
        </w:rPr>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sz w:val="20"/>
          <w:szCs w:val="20"/>
        </w:rPr>
        <w:t>2</w:t>
      </w:r>
      <w:bookmarkEnd w:id="44"/>
      <w:r>
        <w:rPr>
          <w:color w:val="000000"/>
          <w:spacing w:val="0"/>
          <w:w w:val="100"/>
          <w:position w:val="0"/>
          <w:sz w:val="20"/>
          <w:szCs w:val="20"/>
        </w:rPr>
        <w:t>、</w:t>
        <w:tab/>
        <w:t>同时按照境外会计准则与按照中国会计准则披露的财务报告中净利润和净资产差异情况</w:t>
      </w:r>
      <w:bookmarkEnd w:id="42"/>
      <w:bookmarkEnd w:id="43"/>
      <w:bookmarkEnd w:id="45"/>
      <w:r>
        <w:rPr>
          <w:color w:val="000000"/>
          <w:spacing w:val="0"/>
          <w:w w:val="100"/>
          <w:position w:val="0"/>
          <w:sz w:val="20"/>
          <w:szCs w:val="20"/>
        </w:rPr>
        <w:br w:type="page"/>
      </w:r>
      <w:r>
        <w:rPr>
          <w:rStyle w:val="CharStyle19"/>
          <w:b w:val="0"/>
          <w:bCs w:val="0"/>
        </w:rPr>
        <w:t>公司报告期不存在按照境外会计准则与按照中国会计准则披露的财务报告中净利润和净资产差异情况。</w:t>
      </w:r>
    </w:p>
    <w:p>
      <w:pPr>
        <w:pStyle w:val="Style23"/>
        <w:keepNext/>
        <w:keepLines/>
        <w:widowControl w:val="0"/>
        <w:shd w:val="clear" w:color="auto" w:fill="auto"/>
        <w:bidi w:val="0"/>
        <w:spacing w:before="0" w:after="36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、分季度主要财务指标</w:t>
      </w:r>
      <w:bookmarkEnd w:id="46"/>
      <w:bookmarkEnd w:id="47"/>
      <w:bookmarkEnd w:id="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1,188,644,350.51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1,744,473,075.98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1,647,669,726.28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2,021,541,157.18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69,129,547.37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96,310,400.19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90,853,182.33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96,690,649.54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68,516,773.55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94,189,883.16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83,551,709.12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85,843,627.06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-408,342,463.62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165,387,729.19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-373,629,211.38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1,001,584,044.16</w:t>
            </w:r>
          </w:p>
        </w:tc>
      </w:tr>
    </w:tbl>
    <w:p>
      <w:pPr>
        <w:pStyle w:val="Style1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bidi w:val="0"/>
        <w:spacing w:before="0" w:after="36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九</w:t>
      </w:r>
      <w:bookmarkEnd w:id="52"/>
      <w:r>
        <w:rPr>
          <w:color w:val="000000"/>
          <w:spacing w:val="0"/>
          <w:w w:val="100"/>
          <w:position w:val="0"/>
          <w:sz w:val="24"/>
          <w:szCs w:val="24"/>
        </w:rPr>
        <w:t>、非经常性损益项目及金额</w:t>
      </w:r>
      <w:bookmarkEnd w:id="50"/>
      <w:bookmarkEnd w:id="51"/>
      <w:bookmarkEnd w:id="53"/>
    </w:p>
    <w:p>
      <w:pPr>
        <w:pStyle w:val="Style1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-104,025.58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24,918,400.92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21,330,946.04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12,403,787.80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主要系南宁市科技项 目经费后补助等政府 补助款</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9,028,794.73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企业重组费用，如安置职工的支出、整合 费用等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2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3,873,306.19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5,920,319.82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18,451,627.09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主要系银行结构性存</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款等理财收益</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-3,337,272.90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-8,751,643.14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-2,657,691.32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主要系捐赠支出及固 定资产报废损失</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1,112,580.71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373,248.79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主要系进项税加计抵 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4,220,803.69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3,098,329.06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4,447,790.48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1,447,470.03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1,314,966.29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52,620.40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20,881,786.54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14,364,750.85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32,661,701.62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10"/>
        <w:keepNext/>
        <w:keepLines/>
        <w:widowControl w:val="0"/>
        <w:shd w:val="clear" w:color="auto" w:fill="auto"/>
        <w:bidi w:val="0"/>
        <w:spacing w:before="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3"/>
        <w:keepNext/>
        <w:keepLines/>
        <w:widowControl w:val="0"/>
        <w:shd w:val="clear" w:color="auto" w:fill="auto"/>
        <w:bidi w:val="0"/>
        <w:spacing w:before="0" w:after="26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、报告期内公司所处的行业情况</w:t>
      </w:r>
      <w:bookmarkEnd w:id="58"/>
      <w:bookmarkEnd w:id="59"/>
      <w:bookmarkEnd w:id="61"/>
      <w:bookmarkEnd w:id="57"/>
    </w:p>
    <w:p>
      <w:pPr>
        <w:pStyle w:val="Style18"/>
        <w:keepNext w:val="0"/>
        <w:keepLines w:val="0"/>
        <w:widowControl w:val="0"/>
        <w:shd w:val="clear" w:color="auto" w:fill="auto"/>
        <w:bidi w:val="0"/>
        <w:spacing w:before="0" w:after="8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80" w:line="313" w:lineRule="exact"/>
        <w:ind w:left="0" w:right="0"/>
        <w:jc w:val="both"/>
      </w:pPr>
      <w:r>
        <w:rPr>
          <w:color w:val="000000"/>
          <w:spacing w:val="0"/>
          <w:w w:val="100"/>
          <w:position w:val="0"/>
        </w:rPr>
        <w:t>润建股份有限公司定位为通信信息网络和能源网络的管理和运维者，是领先的数字化智能运维（</w:t>
      </w:r>
      <w:r>
        <w:rPr>
          <w:rFonts w:ascii="Times New Roman" w:eastAsia="Times New Roman" w:hAnsi="Times New Roman" w:cs="Times New Roman"/>
          <w:color w:val="000000"/>
          <w:spacing w:val="0"/>
          <w:w w:val="100"/>
          <w:position w:val="0"/>
        </w:rPr>
        <w:t>AIops</w:t>
      </w:r>
      <w:r>
        <w:rPr>
          <w:color w:val="000000"/>
          <w:spacing w:val="0"/>
          <w:w w:val="100"/>
          <w:position w:val="0"/>
        </w:rPr>
        <w:t>）</w:t>
      </w:r>
      <w:r>
        <w:rPr>
          <w:color w:val="000000"/>
          <w:spacing w:val="0"/>
          <w:w w:val="100"/>
          <w:position w:val="0"/>
        </w:rPr>
        <w:t>服务商，公司 通过自主研发的数字化服务平台，为客户提供数字化智能运维、数字化解决方案、智慧节能解决方案、产品集成等管维服务， 目前公司管维业务已涵盖通信网络、信息网络和能源网络，在</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时代，公司是通信信息网络和能源网络的智能物业。</w:t>
      </w:r>
    </w:p>
    <w:p>
      <w:pPr>
        <w:pStyle w:val="Style18"/>
        <w:keepNext w:val="0"/>
        <w:keepLines w:val="0"/>
        <w:widowControl w:val="0"/>
        <w:shd w:val="clear" w:color="auto" w:fill="auto"/>
        <w:tabs>
          <w:tab w:pos="698" w:val="left"/>
        </w:tabs>
        <w:bidi w:val="0"/>
        <w:spacing w:before="0" w:after="0"/>
        <w:ind w:left="0" w:right="0"/>
        <w:jc w:val="both"/>
      </w:pPr>
      <w:bookmarkStart w:id="62" w:name="bookmark62"/>
      <w:r>
        <w:rPr>
          <w:rFonts w:ascii="Times New Roman" w:eastAsia="Times New Roman" w:hAnsi="Times New Roman" w:cs="Times New Roman"/>
          <w:b/>
          <w:bCs/>
          <w:color w:val="000000"/>
          <w:spacing w:val="0"/>
          <w:w w:val="100"/>
          <w:position w:val="0"/>
        </w:rPr>
        <w:t>1</w:t>
      </w:r>
      <w:bookmarkEnd w:id="62"/>
      <w:r>
        <w:rPr>
          <w:b/>
          <w:bCs/>
          <w:color w:val="000000"/>
          <w:spacing w:val="0"/>
          <w:w w:val="100"/>
          <w:position w:val="0"/>
        </w:rPr>
        <w:t>、</w:t>
        <w:tab/>
        <w:t>通信网络</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公司通信网络管维业务主要与</w:t>
      </w:r>
      <w:r>
        <w:rPr>
          <w:rFonts w:ascii="Times New Roman" w:eastAsia="Times New Roman" w:hAnsi="Times New Roman" w:cs="Times New Roman"/>
          <w:color w:val="000000"/>
          <w:spacing w:val="0"/>
          <w:w w:val="100"/>
          <w:position w:val="0"/>
        </w:rPr>
        <w:t>5G</w:t>
      </w:r>
      <w:r>
        <w:rPr>
          <w:color w:val="000000"/>
          <w:spacing w:val="0"/>
          <w:w w:val="100"/>
          <w:position w:val="0"/>
        </w:rPr>
        <w:t>基站、数据通信、核心网、传输网、接入网等通信基础设施存量，以及三大运营商和 中国铁塔的运营支出（</w:t>
      </w:r>
      <w:r>
        <w:rPr>
          <w:rFonts w:ascii="Times New Roman" w:eastAsia="Times New Roman" w:hAnsi="Times New Roman" w:cs="Times New Roman"/>
          <w:color w:val="000000"/>
          <w:spacing w:val="0"/>
          <w:w w:val="100"/>
          <w:position w:val="0"/>
        </w:rPr>
        <w:t>OpEx</w:t>
      </w:r>
      <w:r>
        <w:rPr>
          <w:color w:val="000000"/>
          <w:spacing w:val="0"/>
          <w:w w:val="100"/>
          <w:position w:val="0"/>
        </w:rPr>
        <w:t>）关联性较高。</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据工信部发布的数据，</w:t>
      </w:r>
      <w:r>
        <w:rPr>
          <w:rFonts w:ascii="Times New Roman" w:eastAsia="Times New Roman" w:hAnsi="Times New Roman" w:cs="Times New Roman"/>
          <w:color w:val="000000"/>
          <w:spacing w:val="0"/>
          <w:w w:val="100"/>
          <w:position w:val="0"/>
        </w:rPr>
        <w:t>2021</w:t>
      </w:r>
      <w:r>
        <w:rPr>
          <w:color w:val="000000"/>
          <w:spacing w:val="0"/>
          <w:w w:val="100"/>
          <w:position w:val="0"/>
        </w:rPr>
        <w:t>年，全国光缆线路总长度达</w:t>
      </w:r>
      <w:r>
        <w:rPr>
          <w:rFonts w:ascii="Times New Roman" w:eastAsia="Times New Roman" w:hAnsi="Times New Roman" w:cs="Times New Roman"/>
          <w:color w:val="000000"/>
          <w:spacing w:val="0"/>
          <w:w w:val="100"/>
          <w:position w:val="0"/>
        </w:rPr>
        <w:t>5488</w:t>
      </w:r>
      <w:r>
        <w:rPr>
          <w:color w:val="000000"/>
          <w:spacing w:val="0"/>
          <w:w w:val="100"/>
          <w:position w:val="0"/>
        </w:rPr>
        <w:t>万公里，全年新建光缆线路长度</w:t>
      </w:r>
      <w:r>
        <w:rPr>
          <w:rFonts w:ascii="Times New Roman" w:eastAsia="Times New Roman" w:hAnsi="Times New Roman" w:cs="Times New Roman"/>
          <w:color w:val="000000"/>
          <w:spacing w:val="0"/>
          <w:w w:val="100"/>
          <w:position w:val="0"/>
        </w:rPr>
        <w:t>319</w:t>
      </w:r>
      <w:r>
        <w:rPr>
          <w:color w:val="000000"/>
          <w:spacing w:val="0"/>
          <w:w w:val="100"/>
          <w:position w:val="0"/>
        </w:rPr>
        <w:t>万公里；全国移动通信 基站总数达</w:t>
      </w:r>
      <w:r>
        <w:rPr>
          <w:rFonts w:ascii="Times New Roman" w:eastAsia="Times New Roman" w:hAnsi="Times New Roman" w:cs="Times New Roman"/>
          <w:color w:val="000000"/>
          <w:spacing w:val="0"/>
          <w:w w:val="100"/>
          <w:position w:val="0"/>
        </w:rPr>
        <w:t>996</w:t>
      </w:r>
      <w:r>
        <w:rPr>
          <w:color w:val="000000"/>
          <w:spacing w:val="0"/>
          <w:w w:val="100"/>
          <w:position w:val="0"/>
        </w:rPr>
        <w:t>万个，全年净增</w:t>
      </w:r>
      <w:r>
        <w:rPr>
          <w:rFonts w:ascii="Times New Roman" w:eastAsia="Times New Roman" w:hAnsi="Times New Roman" w:cs="Times New Roman"/>
          <w:color w:val="000000"/>
          <w:spacing w:val="0"/>
          <w:w w:val="100"/>
          <w:position w:val="0"/>
        </w:rPr>
        <w:t>65</w:t>
      </w:r>
      <w:r>
        <w:rPr>
          <w:color w:val="000000"/>
          <w:spacing w:val="0"/>
          <w:w w:val="100"/>
          <w:position w:val="0"/>
        </w:rPr>
        <w:t>万个。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日，国务院新闻办公室举行新闻发布会，展望</w:t>
      </w:r>
      <w:r>
        <w:rPr>
          <w:rFonts w:ascii="Times New Roman" w:eastAsia="Times New Roman" w:hAnsi="Times New Roman" w:cs="Times New Roman"/>
          <w:color w:val="000000"/>
          <w:spacing w:val="0"/>
          <w:w w:val="100"/>
          <w:position w:val="0"/>
        </w:rPr>
        <w:t>2022</w:t>
      </w:r>
      <w:r>
        <w:rPr>
          <w:color w:val="000000"/>
          <w:spacing w:val="0"/>
          <w:w w:val="100"/>
          <w:position w:val="0"/>
        </w:rPr>
        <w:t>年，我国将加快基础 设施建设，引导扩大有效投资，预计全年推动完成</w:t>
      </w:r>
      <w:r>
        <w:rPr>
          <w:rFonts w:ascii="Times New Roman" w:eastAsia="Times New Roman" w:hAnsi="Times New Roman" w:cs="Times New Roman"/>
          <w:color w:val="000000"/>
          <w:spacing w:val="0"/>
          <w:w w:val="100"/>
          <w:position w:val="0"/>
        </w:rPr>
        <w:t>60</w:t>
      </w:r>
      <w:r>
        <w:rPr>
          <w:color w:val="000000"/>
          <w:spacing w:val="0"/>
          <w:w w:val="100"/>
          <w:position w:val="0"/>
        </w:rPr>
        <w:t>万个</w:t>
      </w:r>
      <w:r>
        <w:rPr>
          <w:rFonts w:ascii="Times New Roman" w:eastAsia="Times New Roman" w:hAnsi="Times New Roman" w:cs="Times New Roman"/>
          <w:color w:val="000000"/>
          <w:spacing w:val="0"/>
          <w:w w:val="100"/>
          <w:position w:val="0"/>
        </w:rPr>
        <w:t>5G</w:t>
      </w:r>
      <w:r>
        <w:rPr>
          <w:color w:val="000000"/>
          <w:spacing w:val="0"/>
          <w:w w:val="100"/>
          <w:position w:val="0"/>
        </w:rPr>
        <w:t>基站建设。</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三大运营商和中国铁塔</w:t>
      </w:r>
      <w:r>
        <w:rPr>
          <w:rFonts w:ascii="Times New Roman" w:eastAsia="Times New Roman" w:hAnsi="Times New Roman" w:cs="Times New Roman"/>
          <w:color w:val="000000"/>
          <w:spacing w:val="0"/>
          <w:w w:val="100"/>
          <w:position w:val="0"/>
        </w:rPr>
        <w:t>2021</w:t>
      </w:r>
      <w:r>
        <w:rPr>
          <w:color w:val="000000"/>
          <w:spacing w:val="0"/>
          <w:w w:val="100"/>
          <w:position w:val="0"/>
        </w:rPr>
        <w:t>年用于网络运营及维护的支出约</w:t>
      </w:r>
      <w:r>
        <w:rPr>
          <w:rFonts w:ascii="Times New Roman" w:eastAsia="Times New Roman" w:hAnsi="Times New Roman" w:cs="Times New Roman"/>
          <w:color w:val="000000"/>
          <w:spacing w:val="0"/>
          <w:w w:val="100"/>
          <w:position w:val="0"/>
        </w:rPr>
        <w:t>3542</w:t>
      </w:r>
      <w:r>
        <w:rPr>
          <w:color w:val="000000"/>
          <w:spacing w:val="0"/>
          <w:w w:val="100"/>
          <w:position w:val="0"/>
        </w:rPr>
        <w:t>亿元，同比增加</w:t>
      </w:r>
      <w:r>
        <w:rPr>
          <w:rFonts w:ascii="Times New Roman" w:eastAsia="Times New Roman" w:hAnsi="Times New Roman" w:cs="Times New Roman"/>
          <w:color w:val="000000"/>
          <w:spacing w:val="0"/>
          <w:w w:val="100"/>
          <w:position w:val="0"/>
        </w:rPr>
        <w:t>10.77%</w:t>
      </w:r>
      <w:r>
        <w:rPr>
          <w:color w:val="000000"/>
          <w:spacing w:val="0"/>
          <w:w w:val="100"/>
          <w:position w:val="0"/>
        </w:rPr>
        <w:t>，随着对网络质量要求的提升， 预计未来行业仍然保持稳定增长态势。</w:t>
      </w:r>
    </w:p>
    <w:p>
      <w:pPr>
        <w:pStyle w:val="Style18"/>
        <w:keepNext w:val="0"/>
        <w:keepLines w:val="0"/>
        <w:widowControl w:val="0"/>
        <w:shd w:val="clear" w:color="auto" w:fill="auto"/>
        <w:bidi w:val="0"/>
        <w:spacing w:before="0" w:after="80" w:line="313" w:lineRule="exact"/>
        <w:ind w:left="0" w:right="0"/>
        <w:jc w:val="both"/>
      </w:pPr>
      <w:r>
        <w:rPr>
          <w:color w:val="000000"/>
          <w:spacing w:val="0"/>
          <w:w w:val="100"/>
          <w:position w:val="0"/>
        </w:rPr>
        <w:t>通信网络基础设施建设完成后，需要持续的管维服务，因此公司管维业务具有较强的稳定性与持续性。截止至</w:t>
      </w:r>
      <w:r>
        <w:rPr>
          <w:rFonts w:ascii="Times New Roman" w:eastAsia="Times New Roman" w:hAnsi="Times New Roman" w:cs="Times New Roman"/>
          <w:color w:val="000000"/>
          <w:spacing w:val="0"/>
          <w:w w:val="100"/>
          <w:position w:val="0"/>
        </w:rPr>
        <w:t>2021</w:t>
      </w:r>
      <w:r>
        <w:rPr>
          <w:color w:val="000000"/>
          <w:spacing w:val="0"/>
          <w:w w:val="100"/>
          <w:position w:val="0"/>
        </w:rPr>
        <w:t>年底， 公司维护基站约</w:t>
      </w:r>
      <w:r>
        <w:rPr>
          <w:rFonts w:ascii="Times New Roman" w:eastAsia="Times New Roman" w:hAnsi="Times New Roman" w:cs="Times New Roman"/>
          <w:color w:val="000000"/>
          <w:spacing w:val="0"/>
          <w:w w:val="100"/>
          <w:position w:val="0"/>
        </w:rPr>
        <w:t>26.43</w:t>
      </w:r>
      <w:r>
        <w:rPr>
          <w:color w:val="000000"/>
          <w:spacing w:val="0"/>
          <w:w w:val="100"/>
          <w:position w:val="0"/>
        </w:rPr>
        <w:t>万个物理站址；维护光缆线路总长</w:t>
      </w:r>
      <w:r>
        <w:rPr>
          <w:rFonts w:ascii="Times New Roman" w:eastAsia="Times New Roman" w:hAnsi="Times New Roman" w:cs="Times New Roman"/>
          <w:color w:val="000000"/>
          <w:spacing w:val="0"/>
          <w:w w:val="100"/>
          <w:position w:val="0"/>
        </w:rPr>
        <w:t>69.74</w:t>
      </w:r>
      <w:r>
        <w:rPr>
          <w:color w:val="000000"/>
          <w:spacing w:val="0"/>
          <w:w w:val="100"/>
          <w:position w:val="0"/>
        </w:rPr>
        <w:t>万余皮长公里，维护集团客户专线约</w:t>
      </w:r>
      <w:r>
        <w:rPr>
          <w:rFonts w:ascii="Times New Roman" w:eastAsia="Times New Roman" w:hAnsi="Times New Roman" w:cs="Times New Roman"/>
          <w:color w:val="000000"/>
          <w:spacing w:val="0"/>
          <w:w w:val="100"/>
          <w:position w:val="0"/>
        </w:rPr>
        <w:t>7.83</w:t>
      </w:r>
      <w:r>
        <w:rPr>
          <w:color w:val="000000"/>
          <w:spacing w:val="0"/>
          <w:w w:val="100"/>
          <w:position w:val="0"/>
        </w:rPr>
        <w:t>万条，维护家庭宽带 约</w:t>
      </w:r>
      <w:r>
        <w:rPr>
          <w:rFonts w:ascii="Times New Roman" w:eastAsia="Times New Roman" w:hAnsi="Times New Roman" w:cs="Times New Roman"/>
          <w:color w:val="000000"/>
          <w:spacing w:val="0"/>
          <w:w w:val="100"/>
          <w:position w:val="0"/>
        </w:rPr>
        <w:t>73.59</w:t>
      </w:r>
      <w:r>
        <w:rPr>
          <w:color w:val="000000"/>
          <w:spacing w:val="0"/>
          <w:w w:val="100"/>
          <w:position w:val="0"/>
        </w:rPr>
        <w:t>万户，整体市场占比约</w:t>
      </w:r>
      <w:r>
        <w:rPr>
          <w:rFonts w:ascii="Times New Roman" w:eastAsia="Times New Roman" w:hAnsi="Times New Roman" w:cs="Times New Roman"/>
          <w:color w:val="000000"/>
          <w:spacing w:val="0"/>
          <w:w w:val="100"/>
          <w:position w:val="0"/>
        </w:rPr>
        <w:t>3%</w:t>
      </w:r>
      <w:r>
        <w:rPr>
          <w:color w:val="000000"/>
          <w:spacing w:val="0"/>
          <w:w w:val="100"/>
          <w:position w:val="0"/>
        </w:rPr>
        <w:t>，是通信网络管维领域规模最大的民营企业，未来有望持续提升市场份额，发展空间广阔。</w:t>
      </w:r>
    </w:p>
    <w:p>
      <w:pPr>
        <w:pStyle w:val="Style18"/>
        <w:keepNext w:val="0"/>
        <w:keepLines w:val="0"/>
        <w:widowControl w:val="0"/>
        <w:shd w:val="clear" w:color="auto" w:fill="auto"/>
        <w:tabs>
          <w:tab w:pos="712" w:val="left"/>
        </w:tabs>
        <w:bidi w:val="0"/>
        <w:spacing w:before="0" w:after="0"/>
        <w:ind w:left="0" w:right="0"/>
        <w:jc w:val="both"/>
      </w:pPr>
      <w:bookmarkStart w:id="63" w:name="bookmark63"/>
      <w:r>
        <w:rPr>
          <w:rFonts w:ascii="Times New Roman" w:eastAsia="Times New Roman" w:hAnsi="Times New Roman" w:cs="Times New Roman"/>
          <w:b/>
          <w:bCs/>
          <w:color w:val="000000"/>
          <w:spacing w:val="0"/>
          <w:w w:val="100"/>
          <w:position w:val="0"/>
        </w:rPr>
        <w:t>2</w:t>
      </w:r>
      <w:bookmarkEnd w:id="63"/>
      <w:r>
        <w:rPr>
          <w:b/>
          <w:bCs/>
          <w:color w:val="000000"/>
          <w:spacing w:val="0"/>
          <w:w w:val="100"/>
          <w:position w:val="0"/>
        </w:rPr>
        <w:t>、</w:t>
        <w:tab/>
        <w:t>信息网络</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公司信息网络管维业务包括了数字化和</w:t>
      </w:r>
      <w:r>
        <w:rPr>
          <w:rFonts w:ascii="Times New Roman" w:eastAsia="Times New Roman" w:hAnsi="Times New Roman" w:cs="Times New Roman"/>
          <w:color w:val="000000"/>
          <w:spacing w:val="0"/>
          <w:w w:val="100"/>
          <w:position w:val="0"/>
        </w:rPr>
        <w:t>IDC</w:t>
      </w:r>
      <w:r>
        <w:rPr>
          <w:color w:val="000000"/>
          <w:spacing w:val="0"/>
          <w:w w:val="100"/>
          <w:position w:val="0"/>
        </w:rPr>
        <w:t>服务业务</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在数字化业务上，《中华人民共和国国民经济和社会发展第十四个五年规划和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年远景目标纲要》（以下简称</w:t>
      </w:r>
      <w:r>
        <w:rPr>
          <w:rFonts w:ascii="Times New Roman" w:eastAsia="Times New Roman" w:hAnsi="Times New Roman" w:cs="Times New Roman"/>
          <w:color w:val="000000"/>
          <w:spacing w:val="0"/>
          <w:w w:val="100"/>
          <w:position w:val="0"/>
        </w:rPr>
        <w:t>“</w:t>
      </w:r>
      <w:r>
        <w:rPr>
          <w:color w:val="000000"/>
          <w:spacing w:val="0"/>
          <w:w w:val="100"/>
          <w:position w:val="0"/>
        </w:rPr>
        <w:t>《规 划》</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加快数字化发展建设数字中国</w:t>
      </w:r>
      <w:r>
        <w:rPr>
          <w:rFonts w:ascii="Times New Roman" w:eastAsia="Times New Roman" w:hAnsi="Times New Roman" w:cs="Times New Roman"/>
          <w:color w:val="000000"/>
          <w:spacing w:val="0"/>
          <w:w w:val="100"/>
          <w:position w:val="0"/>
        </w:rPr>
        <w:t>”</w:t>
      </w:r>
      <w:r>
        <w:rPr>
          <w:color w:val="000000"/>
          <w:spacing w:val="0"/>
          <w:w w:val="100"/>
          <w:position w:val="0"/>
        </w:rPr>
        <w:t>篇，提出了加快建设数字经济、数字社会、数字政府，以数字化转型整体驱动生 产方式、生活方式和治理方式变革。《规划》明确，到</w:t>
      </w:r>
      <w:r>
        <w:rPr>
          <w:rFonts w:ascii="Times New Roman" w:eastAsia="Times New Roman" w:hAnsi="Times New Roman" w:cs="Times New Roman"/>
          <w:color w:val="000000"/>
          <w:spacing w:val="0"/>
          <w:w w:val="100"/>
          <w:position w:val="0"/>
        </w:rPr>
        <w:t>2025</w:t>
      </w:r>
      <w:r>
        <w:rPr>
          <w:color w:val="000000"/>
          <w:spacing w:val="0"/>
          <w:w w:val="100"/>
          <w:position w:val="0"/>
        </w:rPr>
        <w:t>年，数字经济迈向全面扩展期，数字经济核心产业增加值占</w:t>
      </w:r>
      <w:r>
        <w:rPr>
          <w:rFonts w:ascii="Times New Roman" w:eastAsia="Times New Roman" w:hAnsi="Times New Roman" w:cs="Times New Roman"/>
          <w:color w:val="000000"/>
          <w:spacing w:val="0"/>
          <w:w w:val="100"/>
          <w:position w:val="0"/>
        </w:rPr>
        <w:t xml:space="preserve">GDP </w:t>
      </w:r>
      <w:r>
        <w:rPr>
          <w:color w:val="000000"/>
          <w:spacing w:val="0"/>
          <w:w w:val="100"/>
          <w:position w:val="0"/>
        </w:rPr>
        <w:t>比重达到</w:t>
      </w:r>
      <w:r>
        <w:rPr>
          <w:rFonts w:ascii="Times New Roman" w:eastAsia="Times New Roman" w:hAnsi="Times New Roman" w:cs="Times New Roman"/>
          <w:color w:val="000000"/>
          <w:spacing w:val="0"/>
          <w:w w:val="100"/>
          <w:position w:val="0"/>
        </w:rPr>
        <w:t>10%</w:t>
      </w:r>
      <w:r>
        <w:rPr>
          <w:color w:val="000000"/>
          <w:spacing w:val="0"/>
          <w:w w:val="100"/>
          <w:position w:val="0"/>
        </w:rPr>
        <w:t>，产业数字化和数字产业化将是未来经济发展的重要推动力，数字化业务前景广阔。</w:t>
      </w:r>
    </w:p>
    <w:p>
      <w:pPr>
        <w:pStyle w:val="Style18"/>
        <w:keepNext w:val="0"/>
        <w:keepLines w:val="0"/>
        <w:widowControl w:val="0"/>
        <w:shd w:val="clear" w:color="auto" w:fill="auto"/>
        <w:bidi w:val="0"/>
        <w:spacing w:before="0" w:after="80" w:line="313"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IDC</w:t>
      </w:r>
      <w:r>
        <w:rPr>
          <w:color w:val="000000"/>
          <w:spacing w:val="0"/>
          <w:w w:val="100"/>
          <w:position w:val="0"/>
        </w:rPr>
        <w:t>服务业务上，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月，国家发展改革委员会、中央网信办、国家能源局等部门联合印发通知，启动国家</w:t>
      </w:r>
      <w:r>
        <w:rPr>
          <w:rFonts w:ascii="Times New Roman" w:eastAsia="Times New Roman" w:hAnsi="Times New Roman" w:cs="Times New Roman"/>
          <w:color w:val="000000"/>
          <w:spacing w:val="0"/>
          <w:w w:val="100"/>
          <w:position w:val="0"/>
        </w:rPr>
        <w:t>“</w:t>
      </w:r>
      <w:r>
        <w:rPr>
          <w:color w:val="000000"/>
          <w:spacing w:val="0"/>
          <w:w w:val="100"/>
          <w:position w:val="0"/>
        </w:rPr>
        <w:t>东数 西算</w:t>
      </w:r>
      <w:r>
        <w:rPr>
          <w:rFonts w:ascii="Times New Roman" w:eastAsia="Times New Roman" w:hAnsi="Times New Roman" w:cs="Times New Roman"/>
          <w:color w:val="000000"/>
          <w:spacing w:val="0"/>
          <w:w w:val="100"/>
          <w:position w:val="0"/>
        </w:rPr>
        <w:t>”</w:t>
      </w:r>
      <w:r>
        <w:rPr>
          <w:color w:val="000000"/>
          <w:spacing w:val="0"/>
          <w:w w:val="100"/>
          <w:position w:val="0"/>
        </w:rPr>
        <w:t>战略，对于推动数据中心合理布局、优化供需、绿色集约和互联互通等意义重大。根据</w:t>
      </w:r>
      <w:r>
        <w:rPr>
          <w:rFonts w:ascii="Times New Roman" w:eastAsia="Times New Roman" w:hAnsi="Times New Roman" w:cs="Times New Roman"/>
          <w:color w:val="000000"/>
          <w:spacing w:val="0"/>
          <w:w w:val="100"/>
          <w:position w:val="0"/>
        </w:rPr>
        <w:t xml:space="preserve">CDCC </w:t>
      </w:r>
      <w:r>
        <w:rPr>
          <w:color w:val="000000"/>
          <w:spacing w:val="0"/>
          <w:w w:val="100"/>
          <w:position w:val="0"/>
        </w:rPr>
        <w:t>（中国数据中心工作组） 《</w:t>
      </w:r>
      <w:r>
        <w:rPr>
          <w:rFonts w:ascii="Times New Roman" w:eastAsia="Times New Roman" w:hAnsi="Times New Roman" w:cs="Times New Roman"/>
          <w:color w:val="000000"/>
          <w:spacing w:val="0"/>
          <w:w w:val="100"/>
          <w:position w:val="0"/>
        </w:rPr>
        <w:t>2021</w:t>
      </w:r>
      <w:r>
        <w:rPr>
          <w:color w:val="000000"/>
          <w:spacing w:val="0"/>
          <w:w w:val="100"/>
          <w:position w:val="0"/>
        </w:rPr>
        <w:t>年中国数据中心市场报告》统计数据，</w:t>
      </w:r>
      <w:r>
        <w:rPr>
          <w:rFonts w:ascii="Times New Roman" w:eastAsia="Times New Roman" w:hAnsi="Times New Roman" w:cs="Times New Roman"/>
          <w:color w:val="000000"/>
          <w:spacing w:val="0"/>
          <w:w w:val="100"/>
          <w:position w:val="0"/>
        </w:rPr>
        <w:t>2021</w:t>
      </w:r>
      <w:r>
        <w:rPr>
          <w:color w:val="000000"/>
          <w:spacing w:val="0"/>
          <w:w w:val="100"/>
          <w:position w:val="0"/>
        </w:rPr>
        <w:t>年（截止到</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日）全国数据中心机柜数量达到</w:t>
      </w:r>
      <w:r>
        <w:rPr>
          <w:rFonts w:ascii="Times New Roman" w:eastAsia="Times New Roman" w:hAnsi="Times New Roman" w:cs="Times New Roman"/>
          <w:color w:val="000000"/>
          <w:spacing w:val="0"/>
          <w:w w:val="100"/>
          <w:position w:val="0"/>
        </w:rPr>
        <w:t>415.06</w:t>
      </w:r>
      <w:r>
        <w:rPr>
          <w:color w:val="000000"/>
          <w:spacing w:val="0"/>
          <w:w w:val="100"/>
          <w:position w:val="0"/>
        </w:rPr>
        <w:t>万架，年度增长 率约</w:t>
      </w:r>
      <w:r>
        <w:rPr>
          <w:rFonts w:ascii="Times New Roman" w:eastAsia="Times New Roman" w:hAnsi="Times New Roman" w:cs="Times New Roman"/>
          <w:color w:val="000000"/>
          <w:spacing w:val="0"/>
          <w:w w:val="100"/>
          <w:position w:val="0"/>
        </w:rPr>
        <w:t>30%</w:t>
      </w:r>
      <w:r>
        <w:rPr>
          <w:color w:val="000000"/>
          <w:spacing w:val="0"/>
          <w:w w:val="100"/>
          <w:position w:val="0"/>
        </w:rPr>
        <w:t>，三大运营商占据超过</w:t>
      </w:r>
      <w:r>
        <w:rPr>
          <w:rFonts w:ascii="Times New Roman" w:eastAsia="Times New Roman" w:hAnsi="Times New Roman" w:cs="Times New Roman"/>
          <w:color w:val="000000"/>
          <w:spacing w:val="0"/>
          <w:w w:val="100"/>
          <w:position w:val="0"/>
        </w:rPr>
        <w:t>60%</w:t>
      </w:r>
      <w:r>
        <w:rPr>
          <w:color w:val="000000"/>
          <w:spacing w:val="0"/>
          <w:w w:val="100"/>
          <w:position w:val="0"/>
        </w:rPr>
        <w:t>的市场份额。随着</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战略的启动，有望形成八大国家算力枢纽节点</w:t>
      </w:r>
      <w:r>
        <w:rPr>
          <w:rFonts w:ascii="Times New Roman" w:eastAsia="Times New Roman" w:hAnsi="Times New Roman" w:cs="Times New Roman"/>
          <w:color w:val="000000"/>
          <w:spacing w:val="0"/>
          <w:w w:val="100"/>
          <w:position w:val="0"/>
        </w:rPr>
        <w:t>+</w:t>
      </w:r>
      <w:r>
        <w:rPr>
          <w:color w:val="000000"/>
          <w:spacing w:val="0"/>
          <w:w w:val="100"/>
          <w:position w:val="0"/>
        </w:rPr>
        <w:t>十个国家 数据中心集群</w:t>
      </w:r>
      <w:r>
        <w:rPr>
          <w:rFonts w:ascii="Times New Roman" w:eastAsia="Times New Roman" w:hAnsi="Times New Roman" w:cs="Times New Roman"/>
          <w:color w:val="000000"/>
          <w:spacing w:val="0"/>
          <w:w w:val="100"/>
          <w:position w:val="0"/>
        </w:rPr>
        <w:t>+</w:t>
      </w:r>
      <w:r>
        <w:rPr>
          <w:color w:val="000000"/>
          <w:spacing w:val="0"/>
          <w:w w:val="100"/>
          <w:position w:val="0"/>
        </w:rPr>
        <w:t>边缘数据中心（数据机房、机楼）的算力网络，其中三大运营商将承担重要使命，数据中心的设计、建设、 网络运维、节能改造等存在较大的商业机会，同时也有望带动通信传输线路的建设和运维需求。</w:t>
      </w:r>
    </w:p>
    <w:p>
      <w:pPr>
        <w:pStyle w:val="Style18"/>
        <w:keepNext w:val="0"/>
        <w:keepLines w:val="0"/>
        <w:widowControl w:val="0"/>
        <w:shd w:val="clear" w:color="auto" w:fill="auto"/>
        <w:tabs>
          <w:tab w:pos="712" w:val="left"/>
        </w:tabs>
        <w:bidi w:val="0"/>
        <w:spacing w:before="0" w:after="0"/>
        <w:ind w:left="0" w:right="0"/>
        <w:jc w:val="both"/>
      </w:pPr>
      <w:bookmarkStart w:id="64" w:name="bookmark64"/>
      <w:r>
        <w:rPr>
          <w:rFonts w:ascii="Times New Roman" w:eastAsia="Times New Roman" w:hAnsi="Times New Roman" w:cs="Times New Roman"/>
          <w:b/>
          <w:bCs/>
          <w:color w:val="000000"/>
          <w:spacing w:val="0"/>
          <w:w w:val="100"/>
          <w:position w:val="0"/>
        </w:rPr>
        <w:t>3</w:t>
      </w:r>
      <w:bookmarkEnd w:id="64"/>
      <w:r>
        <w:rPr>
          <w:b/>
          <w:bCs/>
          <w:color w:val="000000"/>
          <w:spacing w:val="0"/>
          <w:w w:val="100"/>
          <w:position w:val="0"/>
        </w:rPr>
        <w:t>、</w:t>
        <w:tab/>
        <w:t>能源网络</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月，中共中央、国务院出台《关于完整准确全面贯彻新发展理念做好碳达峰碳中和工作的实施意见》以及《</w:t>
      </w:r>
      <w:r>
        <w:rPr>
          <w:rFonts w:ascii="Times New Roman" w:eastAsia="Times New Roman" w:hAnsi="Times New Roman" w:cs="Times New Roman"/>
          <w:color w:val="000000"/>
          <w:spacing w:val="0"/>
          <w:w w:val="100"/>
          <w:position w:val="0"/>
        </w:rPr>
        <w:t xml:space="preserve">2030 </w:t>
      </w:r>
      <w:r>
        <w:rPr>
          <w:color w:val="000000"/>
          <w:spacing w:val="0"/>
          <w:w w:val="100"/>
          <w:position w:val="0"/>
        </w:rPr>
        <w:t>年前碳达峰行动方案》，构建了中国碳达峰、碳中和</w:t>
      </w:r>
      <w:r>
        <w:rPr>
          <w:rFonts w:ascii="Times New Roman" w:eastAsia="Times New Roman" w:hAnsi="Times New Roman" w:cs="Times New Roman"/>
          <w:color w:val="000000"/>
          <w:spacing w:val="0"/>
          <w:w w:val="100"/>
          <w:position w:val="0"/>
        </w:rPr>
        <w:t>“1+N”</w:t>
      </w:r>
      <w:r>
        <w:rPr>
          <w:color w:val="000000"/>
          <w:spacing w:val="0"/>
          <w:w w:val="100"/>
          <w:position w:val="0"/>
        </w:rPr>
        <w:t>政策体系的顶层设计，目前能源绿色低碳转型行动、节能降碳增 效行动等行动方案已经全面推行。</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在新能源发展上，《</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年前碳达峰行动方案》明确提出要大力发展新能源，计划到</w:t>
      </w:r>
      <w:r>
        <w:rPr>
          <w:rFonts w:ascii="Times New Roman" w:eastAsia="Times New Roman" w:hAnsi="Times New Roman" w:cs="Times New Roman"/>
          <w:color w:val="000000"/>
          <w:spacing w:val="0"/>
          <w:w w:val="100"/>
          <w:position w:val="0"/>
        </w:rPr>
        <w:t>2030</w:t>
      </w:r>
      <w:r>
        <w:rPr>
          <w:color w:val="000000"/>
          <w:spacing w:val="0"/>
          <w:w w:val="100"/>
          <w:position w:val="0"/>
        </w:rPr>
        <w:t>年，风电、太阳能发电总装机 容量达到</w:t>
      </w:r>
      <w:r>
        <w:rPr>
          <w:rFonts w:ascii="Times New Roman" w:eastAsia="Times New Roman" w:hAnsi="Times New Roman" w:cs="Times New Roman"/>
          <w:color w:val="000000"/>
          <w:spacing w:val="0"/>
          <w:w w:val="100"/>
          <w:position w:val="0"/>
        </w:rPr>
        <w:t>12</w:t>
      </w:r>
      <w:r>
        <w:rPr>
          <w:color w:val="000000"/>
          <w:spacing w:val="0"/>
          <w:w w:val="100"/>
          <w:position w:val="0"/>
        </w:rPr>
        <w:t>亿千瓦以上。根据国家能源局公布的数据，截止至</w:t>
      </w:r>
      <w:r>
        <w:rPr>
          <w:rFonts w:ascii="Times New Roman" w:eastAsia="Times New Roman" w:hAnsi="Times New Roman" w:cs="Times New Roman"/>
          <w:color w:val="000000"/>
          <w:spacing w:val="0"/>
          <w:w w:val="100"/>
          <w:position w:val="0"/>
        </w:rPr>
        <w:t>2021</w:t>
      </w:r>
      <w:r>
        <w:rPr>
          <w:color w:val="000000"/>
          <w:spacing w:val="0"/>
          <w:w w:val="100"/>
          <w:position w:val="0"/>
        </w:rPr>
        <w:t>年底，我国风电装机</w:t>
      </w:r>
      <w:r>
        <w:rPr>
          <w:rFonts w:ascii="Times New Roman" w:eastAsia="Times New Roman" w:hAnsi="Times New Roman" w:cs="Times New Roman"/>
          <w:color w:val="000000"/>
          <w:spacing w:val="0"/>
          <w:w w:val="100"/>
          <w:position w:val="0"/>
        </w:rPr>
        <w:t>3.28</w:t>
      </w:r>
      <w:r>
        <w:rPr>
          <w:color w:val="000000"/>
          <w:spacing w:val="0"/>
          <w:w w:val="100"/>
          <w:position w:val="0"/>
        </w:rPr>
        <w:t>亿千瓦、光伏发电装机</w:t>
      </w:r>
      <w:r>
        <w:rPr>
          <w:rFonts w:ascii="Times New Roman" w:eastAsia="Times New Roman" w:hAnsi="Times New Roman" w:cs="Times New Roman"/>
          <w:color w:val="000000"/>
          <w:spacing w:val="0"/>
          <w:w w:val="100"/>
          <w:position w:val="0"/>
        </w:rPr>
        <w:t>3.06</w:t>
      </w:r>
      <w:r>
        <w:rPr>
          <w:color w:val="000000"/>
          <w:spacing w:val="0"/>
          <w:w w:val="100"/>
          <w:position w:val="0"/>
        </w:rPr>
        <w:t>亿千 瓦，未来新能源电站开发、建设和运维需求处于快速增长期，市场空间广阔。</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在节能降碳上，《</w:t>
      </w:r>
      <w:r>
        <w:rPr>
          <w:rFonts w:ascii="Times New Roman" w:eastAsia="Times New Roman" w:hAnsi="Times New Roman" w:cs="Times New Roman"/>
          <w:color w:val="000000"/>
          <w:spacing w:val="0"/>
          <w:w w:val="100"/>
          <w:position w:val="0"/>
        </w:rPr>
        <w:t>2030</w:t>
      </w:r>
      <w:r>
        <w:rPr>
          <w:color w:val="000000"/>
          <w:spacing w:val="0"/>
          <w:w w:val="100"/>
          <w:position w:val="0"/>
        </w:rPr>
        <w:t>年前碳达峰行动方案》提出了提高</w:t>
      </w:r>
      <w:r>
        <w:rPr>
          <w:rFonts w:ascii="Times New Roman" w:eastAsia="Times New Roman" w:hAnsi="Times New Roman" w:cs="Times New Roman"/>
          <w:color w:val="000000"/>
          <w:spacing w:val="0"/>
          <w:w w:val="100"/>
          <w:position w:val="0"/>
        </w:rPr>
        <w:t>“</w:t>
      </w:r>
      <w:r>
        <w:rPr>
          <w:color w:val="000000"/>
          <w:spacing w:val="0"/>
          <w:w w:val="100"/>
          <w:position w:val="0"/>
        </w:rPr>
        <w:t>节能管理信息化水平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加强新型基础设施节能降碳</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加 快完善通信、运算、存储、传输等设备能效标准，提升准入门槛，淘汰落后设备和技术</w:t>
      </w:r>
      <w:r>
        <w:rPr>
          <w:rFonts w:ascii="Times New Roman" w:eastAsia="Times New Roman" w:hAnsi="Times New Roman" w:cs="Times New Roman"/>
          <w:color w:val="000000"/>
          <w:spacing w:val="0"/>
          <w:w w:val="100"/>
          <w:position w:val="0"/>
        </w:rPr>
        <w:t>”</w:t>
      </w:r>
      <w:r>
        <w:rPr>
          <w:color w:val="000000"/>
          <w:spacing w:val="0"/>
          <w:w w:val="100"/>
          <w:position w:val="0"/>
        </w:rPr>
        <w:t>等要求，产业园区、楼宇建筑、充 电桩、</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通信机房基站等的节能降碳市场需求旺盛。</w:t>
      </w:r>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当前</w:t>
      </w:r>
      <w:r>
        <w:rPr>
          <w:rFonts w:ascii="Times New Roman" w:eastAsia="Times New Roman" w:hAnsi="Times New Roman" w:cs="Times New Roman"/>
          <w:color w:val="000000"/>
          <w:spacing w:val="0"/>
          <w:w w:val="100"/>
          <w:position w:val="0"/>
        </w:rPr>
        <w:t>5G</w:t>
      </w:r>
      <w:r>
        <w:rPr>
          <w:color w:val="000000"/>
          <w:spacing w:val="0"/>
          <w:w w:val="100"/>
          <w:position w:val="0"/>
        </w:rPr>
        <w:t>基础设施建设持续推进，从基站端来讲，</w:t>
      </w:r>
      <w:r>
        <w:rPr>
          <w:rFonts w:ascii="Times New Roman" w:eastAsia="Times New Roman" w:hAnsi="Times New Roman" w:cs="Times New Roman"/>
          <w:color w:val="000000"/>
          <w:spacing w:val="0"/>
          <w:w w:val="100"/>
          <w:position w:val="0"/>
        </w:rPr>
        <w:t>5G</w:t>
      </w:r>
      <w:r>
        <w:rPr>
          <w:color w:val="000000"/>
          <w:spacing w:val="0"/>
          <w:w w:val="100"/>
          <w:position w:val="0"/>
        </w:rPr>
        <w:t xml:space="preserve">基站传输频率更高，因此在功耗以及散热等各个方面均提出更高的 </w:t>
      </w:r>
      <w:r>
        <w:rPr>
          <w:color w:val="000000"/>
          <w:spacing w:val="0"/>
          <w:w w:val="100"/>
          <w:position w:val="0"/>
        </w:rPr>
        <w:t>要求；其次从数据中心角度来看，</w:t>
      </w:r>
      <w:r>
        <w:rPr>
          <w:rFonts w:ascii="Times New Roman" w:eastAsia="Times New Roman" w:hAnsi="Times New Roman" w:cs="Times New Roman"/>
          <w:color w:val="000000"/>
          <w:spacing w:val="0"/>
          <w:w w:val="100"/>
          <w:position w:val="0"/>
        </w:rPr>
        <w:t>5G</w:t>
      </w:r>
      <w:r>
        <w:rPr>
          <w:color w:val="000000"/>
          <w:spacing w:val="0"/>
          <w:w w:val="100"/>
          <w:position w:val="0"/>
        </w:rPr>
        <w:t>万物互联以及数字化转型带来数据的爆发式增长，要求?证更低、可靠性更强，因此 对于运营商来说，低成本、高能效是重要目标。中国移动在</w:t>
      </w:r>
      <w:r>
        <w:rPr>
          <w:rFonts w:ascii="Times New Roman" w:eastAsia="Times New Roman" w:hAnsi="Times New Roman" w:cs="Times New Roman"/>
          <w:color w:val="000000"/>
          <w:spacing w:val="0"/>
          <w:w w:val="100"/>
          <w:position w:val="0"/>
        </w:rPr>
        <w:t>2021</w:t>
      </w:r>
      <w:r>
        <w:rPr>
          <w:color w:val="000000"/>
          <w:spacing w:val="0"/>
          <w:w w:val="100"/>
          <w:position w:val="0"/>
        </w:rPr>
        <w:t>年可持续发展报告中指出力争在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期末节能降耗强度 下降率不低于</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3"/>
        <w:keepNext/>
        <w:keepLines/>
        <w:widowControl w:val="0"/>
        <w:shd w:val="clear" w:color="auto" w:fill="auto"/>
        <w:bidi w:val="0"/>
        <w:spacing w:before="0" w:after="28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、报告期内公司从事的主要业务</w:t>
      </w:r>
      <w:bookmarkEnd w:id="65"/>
      <w:bookmarkEnd w:id="66"/>
      <w:bookmarkEnd w:id="68"/>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润建股份有限公司定位为通信信息网络和能源网络管理和运维者，是领先的数字化智能运维（</w:t>
      </w:r>
      <w:r>
        <w:rPr>
          <w:rFonts w:ascii="Times New Roman" w:eastAsia="Times New Roman" w:hAnsi="Times New Roman" w:cs="Times New Roman"/>
          <w:color w:val="000000"/>
          <w:spacing w:val="0"/>
          <w:w w:val="100"/>
          <w:position w:val="0"/>
        </w:rPr>
        <w:t>AIops</w:t>
      </w:r>
      <w:r>
        <w:rPr>
          <w:color w:val="000000"/>
          <w:spacing w:val="0"/>
          <w:w w:val="100"/>
          <w:position w:val="0"/>
        </w:rPr>
        <w:t>）服务商，公司通 过自主研发的数字化服务平台，为客户提供数字化智能运维、数字化解决方案、智慧节能解决方案、产品集成等管维服务， 目前公司管维业务已涵盖通信网络、信息网络和能源网络，在</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时代，公司是通信信息网络和能源网络的智能物业。</w:t>
      </w:r>
    </w:p>
    <w:p>
      <w:pPr>
        <w:pStyle w:val="Style18"/>
        <w:keepNext w:val="0"/>
        <w:keepLines w:val="0"/>
        <w:widowControl w:val="0"/>
        <w:shd w:val="clear" w:color="auto" w:fill="auto"/>
        <w:bidi w:val="0"/>
        <w:spacing w:before="0" w:after="60" w:line="310" w:lineRule="exact"/>
        <w:ind w:left="0" w:right="0"/>
        <w:jc w:val="both"/>
      </w:pPr>
      <w:r>
        <w:rPr>
          <w:color w:val="000000"/>
          <w:spacing w:val="0"/>
          <w:w w:val="100"/>
          <w:position w:val="0"/>
        </w:rPr>
        <w:t>公司通过</w:t>
      </w: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线下技术服务</w:t>
      </w:r>
      <w:r>
        <w:rPr>
          <w:rFonts w:ascii="Times New Roman" w:eastAsia="Times New Roman" w:hAnsi="Times New Roman" w:cs="Times New Roman"/>
          <w:color w:val="000000"/>
          <w:spacing w:val="0"/>
          <w:w w:val="100"/>
          <w:position w:val="0"/>
        </w:rPr>
        <w:t>”</w:t>
      </w:r>
      <w:r>
        <w:rPr>
          <w:color w:val="000000"/>
          <w:spacing w:val="0"/>
          <w:w w:val="100"/>
          <w:position w:val="0"/>
        </w:rPr>
        <w:t>业务模式为客户提供管维服务，包括咨询设计、产品集成、智能运维、创新 改造等业务类型。</w:t>
      </w:r>
    </w:p>
    <w:p>
      <w:pPr>
        <w:framePr w:w="5621" w:h="3014" w:hSpace="1742" w:vSpace="19" w:wrap="notBeside" w:vAnchor="text" w:hAnchor="text" w:x="2143" w:y="1"/>
        <w:widowControl w:val="0"/>
        <w:rPr>
          <w:sz w:val="2"/>
          <w:szCs w:val="2"/>
        </w:rPr>
      </w:pPr>
      <w:r>
        <w:drawing>
          <wp:inline>
            <wp:extent cx="3572510" cy="191389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3572510" cy="1913890"/>
                    </a:xfrm>
                    <a:prstGeom prst="rect"/>
                  </pic:spPr>
                </pic:pic>
              </a:graphicData>
            </a:graphic>
          </wp:inline>
        </w:drawing>
      </w:r>
    </w:p>
    <w:p>
      <w:pPr>
        <w:widowControl w:val="0"/>
        <w:spacing w:line="1" w:lineRule="exact"/>
      </w:pPr>
      <w:r>
        <mc:AlternateContent>
          <mc:Choice Requires="wps">
            <w:drawing>
              <wp:anchor distT="0" distB="0" distL="223520" distR="5537200" simplePos="0" relativeHeight="125829378" behindDoc="0" locked="0" layoutInCell="1" allowOverlap="1">
                <wp:simplePos x="0" y="0"/>
                <wp:positionH relativeFrom="column">
                  <wp:posOffset>1277620</wp:posOffset>
                </wp:positionH>
                <wp:positionV relativeFrom="paragraph">
                  <wp:posOffset>393065</wp:posOffset>
                </wp:positionV>
                <wp:extent cx="499745" cy="250190"/>
                <wp:wrapTopAndBottom/>
                <wp:docPr id="4" name="Shape 4"/>
                <a:graphic xmlns:a="http://schemas.openxmlformats.org/drawingml/2006/main">
                  <a:graphicData uri="http://schemas.microsoft.com/office/word/2010/wordprocessingShape">
                    <wps:wsp>
                      <wps:cNvSpPr txBox="1"/>
                      <wps:spPr>
                        <a:xfrm>
                          <a:ext cx="499745" cy="250190"/>
                        </a:xfrm>
                        <a:prstGeom prst="rect"/>
                        <a:noFill/>
                      </wps:spPr>
                      <wps:txbx>
                        <w:txbxContent>
                          <w:p>
                            <w:pPr>
                              <w:pStyle w:val="Style34"/>
                              <w:keepNext w:val="0"/>
                              <w:keepLines w:val="0"/>
                              <w:widowControl w:val="0"/>
                              <w:shd w:val="clear" w:color="auto" w:fill="auto"/>
                              <w:bidi w:val="0"/>
                              <w:spacing w:before="0" w:after="0" w:line="187" w:lineRule="exact"/>
                              <w:ind w:left="0" w:right="0" w:firstLine="0"/>
                              <w:jc w:val="center"/>
                            </w:pPr>
                            <w:r>
                              <w:rPr>
                                <w:spacing w:val="0"/>
                                <w:w w:val="100"/>
                                <w:position w:val="0"/>
                              </w:rPr>
                              <w:t>润建股份 业务逻辑图</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00.60000000000001pt;margin-top:30.949999999999999pt;width:39.350000000000001pt;height:19.699999999999999pt;z-index:-125829375;mso-wrap-distance-left:17.600000000000001pt;mso-wrap-distance-right:436.pt" filled="f" stroked="f">
                <v:textbox inset="0,0,0,0">
                  <w:txbxContent>
                    <w:p>
                      <w:pPr>
                        <w:pStyle w:val="Style34"/>
                        <w:keepNext w:val="0"/>
                        <w:keepLines w:val="0"/>
                        <w:widowControl w:val="0"/>
                        <w:shd w:val="clear" w:color="auto" w:fill="auto"/>
                        <w:bidi w:val="0"/>
                        <w:spacing w:before="0" w:after="0" w:line="187" w:lineRule="exact"/>
                        <w:ind w:left="0" w:right="0" w:firstLine="0"/>
                        <w:jc w:val="center"/>
                      </w:pPr>
                      <w:r>
                        <w:rPr>
                          <w:spacing w:val="0"/>
                          <w:w w:val="100"/>
                          <w:position w:val="0"/>
                        </w:rPr>
                        <w:t>润建股份 业务逻辑图</w:t>
                      </w:r>
                    </w:p>
                  </w:txbxContent>
                </v:textbox>
                <w10:wrap type="topAndBottom"/>
              </v:shape>
            </w:pict>
          </mc:Fallback>
        </mc:AlternateContent>
      </w:r>
      <w:r>
        <mc:AlternateContent>
          <mc:Choice Requires="wps">
            <w:drawing>
              <wp:anchor distT="0" distB="0" distL="223520" distR="4988560" simplePos="0" relativeHeight="125829380" behindDoc="0" locked="0" layoutInCell="1" allowOverlap="1">
                <wp:simplePos x="0" y="0"/>
                <wp:positionH relativeFrom="column">
                  <wp:posOffset>4060825</wp:posOffset>
                </wp:positionH>
                <wp:positionV relativeFrom="paragraph">
                  <wp:posOffset>109855</wp:posOffset>
                </wp:positionV>
                <wp:extent cx="1048385" cy="298450"/>
                <wp:wrapTopAndBottom/>
                <wp:docPr id="6" name="Shape 6"/>
                <a:graphic xmlns:a="http://schemas.openxmlformats.org/drawingml/2006/main">
                  <a:graphicData uri="http://schemas.microsoft.com/office/word/2010/wordprocessingShape">
                    <wps:wsp>
                      <wps:cNvSpPr txBox="1"/>
                      <wps:spPr>
                        <a:xfrm>
                          <a:ext cx="1048385" cy="298450"/>
                        </a:xfrm>
                        <a:prstGeom prst="rect"/>
                        <a:noFill/>
                      </wps:spPr>
                      <wps:txbx>
                        <w:txbxContent>
                          <w:p>
                            <w:pPr>
                              <w:pStyle w:val="Style34"/>
                              <w:keepNext w:val="0"/>
                              <w:keepLines w:val="0"/>
                              <w:widowControl w:val="0"/>
                              <w:shd w:val="clear" w:color="auto" w:fill="auto"/>
                              <w:bidi w:val="0"/>
                              <w:spacing w:before="0" w:after="120" w:line="240" w:lineRule="auto"/>
                              <w:ind w:left="0" w:right="0" w:firstLine="0"/>
                              <w:jc w:val="left"/>
                            </w:pPr>
                            <w:r>
                              <w:rPr>
                                <w:spacing w:val="0"/>
                                <w:w w:val="100"/>
                                <w:position w:val="0"/>
                              </w:rPr>
                              <w:t>信息网络业务</w:t>
                            </w:r>
                          </w:p>
                          <w:p>
                            <w:pPr>
                              <w:pStyle w:val="Style34"/>
                              <w:keepNext w:val="0"/>
                              <w:keepLines w:val="0"/>
                              <w:widowControl w:val="0"/>
                              <w:shd w:val="clear" w:color="auto" w:fill="auto"/>
                              <w:bidi w:val="0"/>
                              <w:spacing w:before="0" w:after="0" w:line="240" w:lineRule="auto"/>
                              <w:ind w:left="0" w:right="0" w:firstLine="0"/>
                              <w:jc w:val="left"/>
                            </w:pPr>
                            <w:r>
                              <w:rPr>
                                <w:color w:val="5F5D5E"/>
                                <w:spacing w:val="0"/>
                                <w:w w:val="100"/>
                                <w:position w:val="0"/>
                              </w:rPr>
                              <w:t>数字产业化+产业</w:t>
                            </w:r>
                            <w:r>
                              <w:rPr>
                                <w:spacing w:val="0"/>
                                <w:w w:val="100"/>
                                <w:position w:val="0"/>
                              </w:rPr>
                              <w:t>数字化</w:t>
                            </w:r>
                          </w:p>
                        </w:txbxContent>
                      </wps:txbx>
                      <wps:bodyPr lIns="0" tIns="0" rIns="0" bIns="0">
                        <a:noAutoFit/>
                      </wps:bodyPr>
                    </wps:wsp>
                  </a:graphicData>
                </a:graphic>
              </wp:anchor>
            </w:drawing>
          </mc:Choice>
          <mc:Fallback>
            <w:pict>
              <v:shape id="_x0000_s1032" type="#_x0000_t202" style="position:absolute;margin-left:319.75pt;margin-top:8.6500000000000004pt;width:82.549999999999997pt;height:23.5pt;z-index:-125829373;mso-wrap-distance-left:17.600000000000001pt;mso-wrap-distance-right:392.80000000000001pt" filled="f" stroked="f">
                <v:textbox inset="0,0,0,0">
                  <w:txbxContent>
                    <w:p>
                      <w:pPr>
                        <w:pStyle w:val="Style34"/>
                        <w:keepNext w:val="0"/>
                        <w:keepLines w:val="0"/>
                        <w:widowControl w:val="0"/>
                        <w:shd w:val="clear" w:color="auto" w:fill="auto"/>
                        <w:bidi w:val="0"/>
                        <w:spacing w:before="0" w:after="120" w:line="240" w:lineRule="auto"/>
                        <w:ind w:left="0" w:right="0" w:firstLine="0"/>
                        <w:jc w:val="left"/>
                      </w:pPr>
                      <w:r>
                        <w:rPr>
                          <w:spacing w:val="0"/>
                          <w:w w:val="100"/>
                          <w:position w:val="0"/>
                        </w:rPr>
                        <w:t>信息网络业务</w:t>
                      </w:r>
                    </w:p>
                    <w:p>
                      <w:pPr>
                        <w:pStyle w:val="Style34"/>
                        <w:keepNext w:val="0"/>
                        <w:keepLines w:val="0"/>
                        <w:widowControl w:val="0"/>
                        <w:shd w:val="clear" w:color="auto" w:fill="auto"/>
                        <w:bidi w:val="0"/>
                        <w:spacing w:before="0" w:after="0" w:line="240" w:lineRule="auto"/>
                        <w:ind w:left="0" w:right="0" w:firstLine="0"/>
                        <w:jc w:val="left"/>
                      </w:pPr>
                      <w:r>
                        <w:rPr>
                          <w:color w:val="5F5D5E"/>
                          <w:spacing w:val="0"/>
                          <w:w w:val="100"/>
                          <w:position w:val="0"/>
                        </w:rPr>
                        <w:t>数字产业化+产业</w:t>
                      </w:r>
                      <w:r>
                        <w:rPr>
                          <w:spacing w:val="0"/>
                          <w:w w:val="100"/>
                          <w:position w:val="0"/>
                        </w:rPr>
                        <w:t>数字化</w:t>
                      </w:r>
                    </w:p>
                  </w:txbxContent>
                </v:textbox>
                <w10:wrap type="topAndBottom"/>
              </v:shape>
            </w:pict>
          </mc:Fallback>
        </mc:AlternateContent>
      </w:r>
      <w:r>
        <mc:AlternateContent>
          <mc:Choice Requires="wps">
            <w:drawing>
              <wp:anchor distT="0" distB="0" distL="223520" distR="4994275" simplePos="0" relativeHeight="125829382" behindDoc="0" locked="0" layoutInCell="1" allowOverlap="1">
                <wp:simplePos x="0" y="0"/>
                <wp:positionH relativeFrom="column">
                  <wp:posOffset>4993640</wp:posOffset>
                </wp:positionH>
                <wp:positionV relativeFrom="paragraph">
                  <wp:posOffset>1597025</wp:posOffset>
                </wp:positionV>
                <wp:extent cx="1042670" cy="301625"/>
                <wp:wrapTopAndBottom/>
                <wp:docPr id="8" name="Shape 8"/>
                <a:graphic xmlns:a="http://schemas.openxmlformats.org/drawingml/2006/main">
                  <a:graphicData uri="http://schemas.microsoft.com/office/word/2010/wordprocessingShape">
                    <wps:wsp>
                      <wps:cNvSpPr txBox="1"/>
                      <wps:spPr>
                        <a:xfrm>
                          <a:ext cx="1042670" cy="301625"/>
                        </a:xfrm>
                        <a:prstGeom prst="rect"/>
                        <a:noFill/>
                      </wps:spPr>
                      <wps:txbx>
                        <w:txbxContent>
                          <w:p>
                            <w:pPr>
                              <w:pStyle w:val="Style34"/>
                              <w:keepNext w:val="0"/>
                              <w:keepLines w:val="0"/>
                              <w:widowControl w:val="0"/>
                              <w:shd w:val="clear" w:color="auto" w:fill="auto"/>
                              <w:bidi w:val="0"/>
                              <w:spacing w:before="0" w:after="120" w:line="240" w:lineRule="auto"/>
                              <w:ind w:left="0" w:right="0" w:firstLine="0"/>
                              <w:jc w:val="left"/>
                            </w:pPr>
                            <w:r>
                              <w:rPr>
                                <w:spacing w:val="0"/>
                                <w:w w:val="100"/>
                                <w:position w:val="0"/>
                              </w:rPr>
                              <w:t>能源网络业务</w:t>
                            </w:r>
                          </w:p>
                          <w:p>
                            <w:pPr>
                              <w:pStyle w:val="Style34"/>
                              <w:keepNext w:val="0"/>
                              <w:keepLines w:val="0"/>
                              <w:widowControl w:val="0"/>
                              <w:shd w:val="clear" w:color="auto" w:fill="auto"/>
                              <w:bidi w:val="0"/>
                              <w:spacing w:before="0" w:after="0" w:line="240" w:lineRule="auto"/>
                              <w:ind w:left="0" w:right="0" w:firstLine="0"/>
                              <w:jc w:val="left"/>
                            </w:pPr>
                            <w:r>
                              <w:rPr>
                                <w:color w:val="5F5D5E"/>
                                <w:spacing w:val="0"/>
                                <w:w w:val="100"/>
                                <w:position w:val="0"/>
                              </w:rPr>
                              <w:t>能源转型+智慧能源管理</w:t>
                            </w:r>
                          </w:p>
                        </w:txbxContent>
                      </wps:txbx>
                      <wps:bodyPr lIns="0" tIns="0" rIns="0" bIns="0">
                        <a:noAutoFit/>
                      </wps:bodyPr>
                    </wps:wsp>
                  </a:graphicData>
                </a:graphic>
              </wp:anchor>
            </w:drawing>
          </mc:Choice>
          <mc:Fallback>
            <w:pict>
              <v:shape id="_x0000_s1034" type="#_x0000_t202" style="position:absolute;margin-left:393.19999999999999pt;margin-top:125.75pt;width:82.100000000000009pt;height:23.75pt;z-index:-125829371;mso-wrap-distance-left:17.600000000000001pt;mso-wrap-distance-right:393.25pt" filled="f" stroked="f">
                <v:textbox inset="0,0,0,0">
                  <w:txbxContent>
                    <w:p>
                      <w:pPr>
                        <w:pStyle w:val="Style34"/>
                        <w:keepNext w:val="0"/>
                        <w:keepLines w:val="0"/>
                        <w:widowControl w:val="0"/>
                        <w:shd w:val="clear" w:color="auto" w:fill="auto"/>
                        <w:bidi w:val="0"/>
                        <w:spacing w:before="0" w:after="120" w:line="240" w:lineRule="auto"/>
                        <w:ind w:left="0" w:right="0" w:firstLine="0"/>
                        <w:jc w:val="left"/>
                      </w:pPr>
                      <w:r>
                        <w:rPr>
                          <w:spacing w:val="0"/>
                          <w:w w:val="100"/>
                          <w:position w:val="0"/>
                        </w:rPr>
                        <w:t>能源网络业务</w:t>
                      </w:r>
                    </w:p>
                    <w:p>
                      <w:pPr>
                        <w:pStyle w:val="Style34"/>
                        <w:keepNext w:val="0"/>
                        <w:keepLines w:val="0"/>
                        <w:widowControl w:val="0"/>
                        <w:shd w:val="clear" w:color="auto" w:fill="auto"/>
                        <w:bidi w:val="0"/>
                        <w:spacing w:before="0" w:after="0" w:line="240" w:lineRule="auto"/>
                        <w:ind w:left="0" w:right="0" w:firstLine="0"/>
                        <w:jc w:val="left"/>
                      </w:pPr>
                      <w:r>
                        <w:rPr>
                          <w:color w:val="5F5D5E"/>
                          <w:spacing w:val="0"/>
                          <w:w w:val="100"/>
                          <w:position w:val="0"/>
                        </w:rPr>
                        <w:t>能源转型+智慧能源管理</w:t>
                      </w:r>
                    </w:p>
                  </w:txbxContent>
                </v:textbox>
                <w10:wrap type="topAndBottom"/>
              </v:shape>
            </w:pict>
          </mc:Fallback>
        </mc:AlternateContent>
      </w:r>
      <w:r>
        <mc:AlternateContent>
          <mc:Choice Requires="wps">
            <w:drawing>
              <wp:anchor distT="0" distB="0" distL="223520" distR="4695825" simplePos="0" relativeHeight="125829384" behindDoc="0" locked="0" layoutInCell="1" allowOverlap="1">
                <wp:simplePos x="0" y="0"/>
                <wp:positionH relativeFrom="column">
                  <wp:posOffset>223520</wp:posOffset>
                </wp:positionH>
                <wp:positionV relativeFrom="paragraph">
                  <wp:posOffset>1630680</wp:posOffset>
                </wp:positionV>
                <wp:extent cx="1341120" cy="295910"/>
                <wp:wrapTopAndBottom/>
                <wp:docPr id="10" name="Shape 10"/>
                <a:graphic xmlns:a="http://schemas.openxmlformats.org/drawingml/2006/main">
                  <a:graphicData uri="http://schemas.microsoft.com/office/word/2010/wordprocessingShape">
                    <wps:wsp>
                      <wps:cNvSpPr txBox="1"/>
                      <wps:spPr>
                        <a:xfrm>
                          <a:ext cx="1341120" cy="295910"/>
                        </a:xfrm>
                        <a:prstGeom prst="rect"/>
                        <a:noFill/>
                      </wps:spPr>
                      <wps:txbx>
                        <w:txbxContent>
                          <w:p>
                            <w:pPr>
                              <w:pStyle w:val="Style34"/>
                              <w:keepNext w:val="0"/>
                              <w:keepLines w:val="0"/>
                              <w:widowControl w:val="0"/>
                              <w:shd w:val="clear" w:color="auto" w:fill="auto"/>
                              <w:bidi w:val="0"/>
                              <w:spacing w:before="0" w:after="120" w:line="240" w:lineRule="auto"/>
                              <w:ind w:left="0" w:right="0" w:firstLine="0"/>
                              <w:jc w:val="right"/>
                            </w:pPr>
                            <w:r>
                              <w:rPr>
                                <w:spacing w:val="0"/>
                                <w:w w:val="100"/>
                                <w:position w:val="0"/>
                              </w:rPr>
                              <w:t>通信网络业务</w:t>
                            </w:r>
                          </w:p>
                          <w:p>
                            <w:pPr>
                              <w:pStyle w:val="Style34"/>
                              <w:keepNext w:val="0"/>
                              <w:keepLines w:val="0"/>
                              <w:widowControl w:val="0"/>
                              <w:shd w:val="clear" w:color="auto" w:fill="auto"/>
                              <w:bidi w:val="0"/>
                              <w:spacing w:before="0" w:after="0" w:line="240" w:lineRule="auto"/>
                              <w:ind w:left="0" w:right="0" w:firstLine="0"/>
                              <w:jc w:val="right"/>
                            </w:pPr>
                            <w:r>
                              <w:rPr>
                                <w:spacing w:val="0"/>
                                <w:w w:val="100"/>
                                <w:position w:val="0"/>
                              </w:rPr>
                              <w:t>通信支撑一体化+通信信息服务</w:t>
                            </w:r>
                          </w:p>
                        </w:txbxContent>
                      </wps:txbx>
                      <wps:bodyPr lIns="0" tIns="0" rIns="0" bIns="0">
                        <a:noAutoFit/>
                      </wps:bodyPr>
                    </wps:wsp>
                  </a:graphicData>
                </a:graphic>
              </wp:anchor>
            </w:drawing>
          </mc:Choice>
          <mc:Fallback>
            <w:pict>
              <v:shape id="_x0000_s1036" type="#_x0000_t202" style="position:absolute;margin-left:17.600000000000001pt;margin-top:128.40000000000001pt;width:105.60000000000001pt;height:23.300000000000001pt;z-index:-125829369;mso-wrap-distance-left:17.600000000000001pt;mso-wrap-distance-right:369.75pt" filled="f" stroked="f">
                <v:textbox inset="0,0,0,0">
                  <w:txbxContent>
                    <w:p>
                      <w:pPr>
                        <w:pStyle w:val="Style34"/>
                        <w:keepNext w:val="0"/>
                        <w:keepLines w:val="0"/>
                        <w:widowControl w:val="0"/>
                        <w:shd w:val="clear" w:color="auto" w:fill="auto"/>
                        <w:bidi w:val="0"/>
                        <w:spacing w:before="0" w:after="120" w:line="240" w:lineRule="auto"/>
                        <w:ind w:left="0" w:right="0" w:firstLine="0"/>
                        <w:jc w:val="right"/>
                      </w:pPr>
                      <w:r>
                        <w:rPr>
                          <w:spacing w:val="0"/>
                          <w:w w:val="100"/>
                          <w:position w:val="0"/>
                        </w:rPr>
                        <w:t>通信网络业务</w:t>
                      </w:r>
                    </w:p>
                    <w:p>
                      <w:pPr>
                        <w:pStyle w:val="Style34"/>
                        <w:keepNext w:val="0"/>
                        <w:keepLines w:val="0"/>
                        <w:widowControl w:val="0"/>
                        <w:shd w:val="clear" w:color="auto" w:fill="auto"/>
                        <w:bidi w:val="0"/>
                        <w:spacing w:before="0" w:after="0" w:line="240" w:lineRule="auto"/>
                        <w:ind w:left="0" w:right="0" w:firstLine="0"/>
                        <w:jc w:val="right"/>
                      </w:pPr>
                      <w:r>
                        <w:rPr>
                          <w:spacing w:val="0"/>
                          <w:w w:val="100"/>
                          <w:position w:val="0"/>
                        </w:rPr>
                        <w:t>通信支撑一体化+通信信息服务</w:t>
                      </w:r>
                    </w:p>
                  </w:txbxContent>
                </v:textbox>
                <w10:wrap type="topAndBottom"/>
              </v:shape>
            </w:pict>
          </mc:Fallback>
        </mc:AlternateConten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具体业务介绍如下：</w:t>
      </w:r>
    </w:p>
    <w:p>
      <w:pPr>
        <w:pStyle w:val="Style18"/>
        <w:keepNext w:val="0"/>
        <w:keepLines w:val="0"/>
        <w:widowControl w:val="0"/>
        <w:shd w:val="clear" w:color="auto" w:fill="auto"/>
        <w:tabs>
          <w:tab w:pos="701" w:val="left"/>
        </w:tabs>
        <w:bidi w:val="0"/>
        <w:spacing w:before="0" w:after="0" w:line="312" w:lineRule="exact"/>
        <w:ind w:left="0" w:right="0"/>
        <w:jc w:val="both"/>
      </w:pPr>
      <w:bookmarkStart w:id="69" w:name="bookmark69"/>
      <w:r>
        <w:rPr>
          <w:rFonts w:ascii="Times New Roman" w:eastAsia="Times New Roman" w:hAnsi="Times New Roman" w:cs="Times New Roman"/>
          <w:b/>
          <w:bCs/>
          <w:color w:val="000000"/>
          <w:spacing w:val="0"/>
          <w:w w:val="100"/>
          <w:position w:val="0"/>
        </w:rPr>
        <w:t>1</w:t>
      </w:r>
      <w:bookmarkEnd w:id="69"/>
      <w:r>
        <w:rPr>
          <w:b/>
          <w:bCs/>
          <w:color w:val="000000"/>
          <w:spacing w:val="0"/>
          <w:w w:val="100"/>
          <w:position w:val="0"/>
        </w:rPr>
        <w:t>、</w:t>
        <w:tab/>
      </w:r>
      <w:r>
        <w:rPr>
          <w:rFonts w:ascii="Times New Roman" w:eastAsia="Times New Roman" w:hAnsi="Times New Roman" w:cs="Times New Roman"/>
          <w:b/>
          <w:bCs/>
          <w:color w:val="000000"/>
          <w:spacing w:val="0"/>
          <w:w w:val="100"/>
          <w:position w:val="0"/>
        </w:rPr>
        <w:t>“</w:t>
      </w:r>
      <w:r>
        <w:rPr>
          <w:b/>
          <w:bCs/>
          <w:color w:val="000000"/>
          <w:spacing w:val="0"/>
          <w:w w:val="100"/>
          <w:position w:val="0"/>
        </w:rPr>
        <w:t>线上数字化平台</w:t>
      </w:r>
      <w:r>
        <w:rPr>
          <w:rFonts w:ascii="Times New Roman" w:eastAsia="Times New Roman" w:hAnsi="Times New Roman" w:cs="Times New Roman"/>
          <w:b/>
          <w:bCs/>
          <w:color w:val="000000"/>
          <w:spacing w:val="0"/>
          <w:w w:val="100"/>
          <w:position w:val="0"/>
        </w:rPr>
        <w:t>+</w:t>
      </w:r>
      <w:r>
        <w:rPr>
          <w:b/>
          <w:bCs/>
          <w:color w:val="000000"/>
          <w:spacing w:val="0"/>
          <w:w w:val="100"/>
          <w:position w:val="0"/>
        </w:rPr>
        <w:t>线下技术服务</w:t>
      </w:r>
      <w:r>
        <w:rPr>
          <w:rFonts w:ascii="Times New Roman" w:eastAsia="Times New Roman" w:hAnsi="Times New Roman" w:cs="Times New Roman"/>
          <w:b/>
          <w:bCs/>
          <w:color w:val="000000"/>
          <w:spacing w:val="0"/>
          <w:w w:val="100"/>
          <w:position w:val="0"/>
        </w:rPr>
        <w:t>”</w:t>
      </w:r>
      <w:r>
        <w:rPr>
          <w:b/>
          <w:bCs/>
          <w:color w:val="000000"/>
          <w:spacing w:val="0"/>
          <w:w w:val="100"/>
          <w:position w:val="0"/>
        </w:rPr>
        <w:t>业务模式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公司已经形成了</w:t>
      </w: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线下技术服务</w:t>
      </w:r>
      <w:r>
        <w:rPr>
          <w:rFonts w:ascii="Times New Roman" w:eastAsia="Times New Roman" w:hAnsi="Times New Roman" w:cs="Times New Roman"/>
          <w:color w:val="000000"/>
          <w:spacing w:val="0"/>
          <w:w w:val="100"/>
          <w:position w:val="0"/>
        </w:rPr>
        <w:t>”</w:t>
      </w:r>
      <w:r>
        <w:rPr>
          <w:color w:val="000000"/>
          <w:spacing w:val="0"/>
          <w:w w:val="100"/>
          <w:position w:val="0"/>
        </w:rPr>
        <w:t>的基本业务模式。</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方面，公司建立统一的综合管维体系，通过物联网设备采集通信设备、电力设备、智能交互设备、</w:t>
      </w:r>
      <w:r>
        <w:rPr>
          <w:rFonts w:ascii="Times New Roman" w:eastAsia="Times New Roman" w:hAnsi="Times New Roman" w:cs="Times New Roman"/>
          <w:color w:val="000000"/>
          <w:spacing w:val="0"/>
          <w:w w:val="100"/>
          <w:position w:val="0"/>
        </w:rPr>
        <w:t xml:space="preserve">IDC </w:t>
      </w:r>
      <w:r>
        <w:rPr>
          <w:color w:val="000000"/>
          <w:spacing w:val="0"/>
          <w:w w:val="100"/>
          <w:position w:val="0"/>
        </w:rPr>
        <w:t>设施等运行数据，将数据归集到自主研发的</w:t>
      </w:r>
      <w:r>
        <w:rPr>
          <w:rFonts w:ascii="Times New Roman" w:eastAsia="Times New Roman" w:hAnsi="Times New Roman" w:cs="Times New Roman"/>
          <w:color w:val="000000"/>
          <w:spacing w:val="0"/>
          <w:w w:val="100"/>
          <w:position w:val="0"/>
        </w:rPr>
        <w:t>“</w:t>
      </w:r>
      <w:r>
        <w:rPr>
          <w:color w:val="000000"/>
          <w:spacing w:val="0"/>
          <w:w w:val="100"/>
          <w:position w:val="0"/>
        </w:rPr>
        <w:t>数字化服务平台</w:t>
      </w:r>
      <w:r>
        <w:rPr>
          <w:rFonts w:ascii="Times New Roman" w:eastAsia="Times New Roman" w:hAnsi="Times New Roman" w:cs="Times New Roman"/>
          <w:color w:val="000000"/>
          <w:spacing w:val="0"/>
          <w:w w:val="100"/>
          <w:position w:val="0"/>
        </w:rPr>
        <w:t>”</w:t>
      </w:r>
      <w:r>
        <w:rPr>
          <w:color w:val="000000"/>
          <w:spacing w:val="0"/>
          <w:w w:val="100"/>
          <w:position w:val="0"/>
        </w:rPr>
        <w:t>，并通过</w:t>
      </w:r>
      <w:r>
        <w:rPr>
          <w:rFonts w:ascii="Times New Roman" w:eastAsia="Times New Roman" w:hAnsi="Times New Roman" w:cs="Times New Roman"/>
          <w:color w:val="000000"/>
          <w:spacing w:val="0"/>
          <w:w w:val="100"/>
          <w:position w:val="0"/>
        </w:rPr>
        <w:t>AI</w:t>
      </w:r>
      <w:r>
        <w:rPr>
          <w:color w:val="000000"/>
          <w:spacing w:val="0"/>
          <w:w w:val="100"/>
          <w:position w:val="0"/>
        </w:rPr>
        <w:t>算法进行分析，实现对系统和设备智能化的资产管 理、设备互联监测、精细化巡检、智能维护、数据分析、效率提升、隐患诊断、故障预判等，同时实现对线下管维人员和资 源的智能调度。</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目前公司已自主研发了</w:t>
      </w:r>
      <w:r>
        <w:rPr>
          <w:rFonts w:ascii="Times New Roman" w:eastAsia="Times New Roman" w:hAnsi="Times New Roman" w:cs="Times New Roman"/>
          <w:color w:val="000000"/>
          <w:spacing w:val="0"/>
          <w:w w:val="100"/>
          <w:position w:val="0"/>
        </w:rPr>
        <w:t>“</w:t>
      </w:r>
      <w:r>
        <w:rPr>
          <w:color w:val="000000"/>
          <w:spacing w:val="0"/>
          <w:w w:val="100"/>
          <w:position w:val="0"/>
        </w:rPr>
        <w:t>综合管维管理平台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“RunD</w:t>
      </w:r>
      <w:r>
        <w:rPr>
          <w:color w:val="000000"/>
          <w:spacing w:val="0"/>
          <w:w w:val="100"/>
          <w:position w:val="0"/>
        </w:rPr>
        <w:t>。</w:t>
      </w:r>
      <w:r>
        <w:rPr>
          <w:color w:val="000000"/>
          <w:spacing w:val="0"/>
          <w:w w:val="100"/>
          <w:position w:val="0"/>
        </w:rPr>
        <w:t>系列电力物联网平台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巡虎警务巡防平台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甦生精准教育平台</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无人机飞行服务平台</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消防建管平台</w:t>
      </w:r>
      <w:r>
        <w:rPr>
          <w:rFonts w:ascii="Times New Roman" w:eastAsia="Times New Roman" w:hAnsi="Times New Roman" w:cs="Times New Roman"/>
          <w:color w:val="000000"/>
          <w:spacing w:val="0"/>
          <w:w w:val="100"/>
          <w:position w:val="0"/>
        </w:rPr>
        <w:t>”</w:t>
      </w:r>
      <w:r>
        <w:rPr>
          <w:color w:val="000000"/>
          <w:spacing w:val="0"/>
          <w:w w:val="100"/>
          <w:position w:val="0"/>
        </w:rPr>
        <w:t>等数字化</w:t>
      </w:r>
      <w:r>
        <w:rPr>
          <w:rFonts w:ascii="Times New Roman" w:eastAsia="Times New Roman" w:hAnsi="Times New Roman" w:cs="Times New Roman"/>
          <w:color w:val="000000"/>
          <w:spacing w:val="0"/>
          <w:w w:val="100"/>
          <w:position w:val="0"/>
        </w:rPr>
        <w:t>SaaS</w:t>
      </w:r>
      <w:r>
        <w:rPr>
          <w:color w:val="000000"/>
          <w:spacing w:val="0"/>
          <w:w w:val="100"/>
          <w:position w:val="0"/>
        </w:rPr>
        <w:t>平台。</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数字化平台和智能管维设备的使用，在满足客户数字化转型需求、提升用户体验的同时，可以对公司服务网点、资源、 人员进行灵活调度和配置，实现了资源和人员的充分复用和精细化管理，</w:t>
      </w:r>
      <w:r>
        <w:rPr>
          <w:rFonts w:ascii="Times New Roman" w:eastAsia="Times New Roman" w:hAnsi="Times New Roman" w:cs="Times New Roman"/>
          <w:color w:val="000000"/>
          <w:spacing w:val="0"/>
          <w:w w:val="100"/>
          <w:position w:val="0"/>
        </w:rPr>
        <w:t>2021</w:t>
      </w:r>
      <w:r>
        <w:rPr>
          <w:color w:val="000000"/>
          <w:spacing w:val="0"/>
          <w:w w:val="100"/>
          <w:position w:val="0"/>
        </w:rPr>
        <w:t>年公司整体毛利率提升了提升</w:t>
      </w:r>
      <w:r>
        <w:rPr>
          <w:rFonts w:ascii="Times New Roman" w:eastAsia="Times New Roman" w:hAnsi="Times New Roman" w:cs="Times New Roman"/>
          <w:color w:val="000000"/>
          <w:spacing w:val="0"/>
          <w:w w:val="100"/>
          <w:position w:val="0"/>
        </w:rPr>
        <w:t>3.05</w:t>
      </w:r>
      <w:r>
        <w:rPr>
          <w:color w:val="000000"/>
          <w:spacing w:val="0"/>
          <w:w w:val="100"/>
          <w:position w:val="0"/>
        </w:rPr>
        <w:t>个百分点， 公司净资产收益率提升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.33</w:t>
      </w:r>
      <w:r>
        <w:rPr>
          <w:color w:val="000000"/>
          <w:spacing w:val="0"/>
          <w:w w:val="100"/>
          <w:position w:val="0"/>
        </w:rPr>
        <w:t>个百分点，人均创收提升接近</w:t>
      </w:r>
      <w:r>
        <w:rPr>
          <w:rFonts w:ascii="Times New Roman" w:eastAsia="Times New Roman" w:hAnsi="Times New Roman" w:cs="Times New Roman"/>
          <w:color w:val="000000"/>
          <w:spacing w:val="0"/>
          <w:w w:val="100"/>
          <w:position w:val="0"/>
        </w:rPr>
        <w:t>30%</w:t>
      </w:r>
      <w:r>
        <w:rPr>
          <w:color w:val="000000"/>
          <w:spacing w:val="0"/>
          <w:w w:val="100"/>
          <w:position w:val="0"/>
        </w:rPr>
        <w:t>。基于公司数字化平台的综合能源管理解决方案可有效将数据 中心</w:t>
      </w:r>
      <w:r>
        <w:rPr>
          <w:rFonts w:ascii="Times New Roman" w:eastAsia="Times New Roman" w:hAnsi="Times New Roman" w:cs="Times New Roman"/>
          <w:color w:val="000000"/>
          <w:spacing w:val="0"/>
          <w:w w:val="100"/>
          <w:position w:val="0"/>
        </w:rPr>
        <w:t>PUE</w:t>
      </w:r>
      <w:r>
        <w:rPr>
          <w:color w:val="000000"/>
          <w:spacing w:val="0"/>
          <w:w w:val="100"/>
          <w:position w:val="0"/>
        </w:rPr>
        <w:t>值降至</w:t>
      </w:r>
      <w:r>
        <w:rPr>
          <w:rFonts w:ascii="Times New Roman" w:eastAsia="Times New Roman" w:hAnsi="Times New Roman" w:cs="Times New Roman"/>
          <w:color w:val="000000"/>
          <w:spacing w:val="0"/>
          <w:w w:val="100"/>
          <w:position w:val="0"/>
        </w:rPr>
        <w:t>1.3</w:t>
      </w:r>
      <w:r>
        <w:rPr>
          <w:color w:val="000000"/>
          <w:spacing w:val="0"/>
          <w:w w:val="100"/>
          <w:position w:val="0"/>
        </w:rPr>
        <w:t>以下，可为通信机房、基站、楼宇等最高提升</w:t>
      </w:r>
      <w:r>
        <w:rPr>
          <w:rFonts w:ascii="Times New Roman" w:eastAsia="Times New Roman" w:hAnsi="Times New Roman" w:cs="Times New Roman"/>
          <w:color w:val="000000"/>
          <w:spacing w:val="0"/>
          <w:w w:val="100"/>
          <w:position w:val="0"/>
        </w:rPr>
        <w:t>30%</w:t>
      </w:r>
      <w:r>
        <w:rPr>
          <w:color w:val="000000"/>
          <w:spacing w:val="0"/>
          <w:w w:val="100"/>
          <w:position w:val="0"/>
        </w:rPr>
        <w:t>用电效能。</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数字化平台的使用将持续促进公司的经营效率提升。</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线下技术服务</w:t>
      </w:r>
      <w:r>
        <w:rPr>
          <w:rFonts w:ascii="Times New Roman" w:eastAsia="Times New Roman" w:hAnsi="Times New Roman" w:cs="Times New Roman"/>
          <w:color w:val="000000"/>
          <w:spacing w:val="0"/>
          <w:w w:val="100"/>
          <w:position w:val="0"/>
        </w:rPr>
        <w:t>”</w:t>
      </w:r>
      <w:r>
        <w:rPr>
          <w:color w:val="000000"/>
          <w:spacing w:val="0"/>
          <w:w w:val="100"/>
          <w:position w:val="0"/>
        </w:rPr>
        <w:t>方面，公司的服务网点已经覆盖超过</w:t>
      </w:r>
      <w:r>
        <w:rPr>
          <w:rFonts w:ascii="Times New Roman" w:eastAsia="Times New Roman" w:hAnsi="Times New Roman" w:cs="Times New Roman"/>
          <w:color w:val="000000"/>
          <w:spacing w:val="0"/>
          <w:w w:val="100"/>
          <w:position w:val="0"/>
        </w:rPr>
        <w:t>23</w:t>
      </w:r>
      <w:r>
        <w:rPr>
          <w:color w:val="000000"/>
          <w:spacing w:val="0"/>
          <w:w w:val="100"/>
          <w:position w:val="0"/>
        </w:rPr>
        <w:t>个重点省份、</w:t>
      </w:r>
      <w:r>
        <w:rPr>
          <w:rFonts w:ascii="Times New Roman" w:eastAsia="Times New Roman" w:hAnsi="Times New Roman" w:cs="Times New Roman"/>
          <w:color w:val="000000"/>
          <w:spacing w:val="0"/>
          <w:w w:val="100"/>
          <w:position w:val="0"/>
        </w:rPr>
        <w:t>200</w:t>
      </w:r>
      <w:r>
        <w:rPr>
          <w:color w:val="000000"/>
          <w:spacing w:val="0"/>
          <w:w w:val="100"/>
          <w:position w:val="0"/>
        </w:rPr>
        <w:t>个地市、</w:t>
      </w:r>
      <w:r>
        <w:rPr>
          <w:rFonts w:ascii="Times New Roman" w:eastAsia="Times New Roman" w:hAnsi="Times New Roman" w:cs="Times New Roman"/>
          <w:color w:val="000000"/>
          <w:spacing w:val="0"/>
          <w:w w:val="100"/>
          <w:position w:val="0"/>
        </w:rPr>
        <w:t>1200</w:t>
      </w:r>
      <w:r>
        <w:rPr>
          <w:color w:val="000000"/>
          <w:spacing w:val="0"/>
          <w:w w:val="100"/>
          <w:position w:val="0"/>
        </w:rPr>
        <w:t>个县区，在各地形成了</w:t>
      </w:r>
      <w:r>
        <w:rPr>
          <w:rFonts w:ascii="Times New Roman" w:eastAsia="Times New Roman" w:hAnsi="Times New Roman" w:cs="Times New Roman"/>
          <w:color w:val="000000"/>
          <w:spacing w:val="0"/>
          <w:w w:val="100"/>
          <w:position w:val="0"/>
        </w:rPr>
        <w:t>“</w:t>
      </w:r>
      <w:r>
        <w:rPr>
          <w:color w:val="000000"/>
          <w:spacing w:val="0"/>
          <w:w w:val="100"/>
          <w:position w:val="0"/>
        </w:rPr>
        <w:t xml:space="preserve">技术专家 </w:t>
      </w:r>
      <w:r>
        <w:rPr>
          <w:rFonts w:ascii="Times New Roman" w:eastAsia="Times New Roman" w:hAnsi="Times New Roman" w:cs="Times New Roman"/>
          <w:color w:val="000000"/>
          <w:spacing w:val="0"/>
          <w:w w:val="100"/>
          <w:position w:val="0"/>
        </w:rPr>
        <w:t>+</w:t>
      </w:r>
      <w:r>
        <w:rPr>
          <w:color w:val="000000"/>
          <w:spacing w:val="0"/>
          <w:w w:val="100"/>
          <w:position w:val="0"/>
        </w:rPr>
        <w:t>解决方案专家</w:t>
      </w:r>
      <w:r>
        <w:rPr>
          <w:rFonts w:ascii="Times New Roman" w:eastAsia="Times New Roman" w:hAnsi="Times New Roman" w:cs="Times New Roman"/>
          <w:color w:val="000000"/>
          <w:spacing w:val="0"/>
          <w:w w:val="100"/>
          <w:position w:val="0"/>
        </w:rPr>
        <w:t>+</w:t>
      </w:r>
      <w:r>
        <w:rPr>
          <w:color w:val="000000"/>
          <w:spacing w:val="0"/>
          <w:w w:val="100"/>
          <w:position w:val="0"/>
        </w:rPr>
        <w:t>客户经理</w:t>
      </w:r>
      <w:r>
        <w:rPr>
          <w:rFonts w:ascii="Times New Roman" w:eastAsia="Times New Roman" w:hAnsi="Times New Roman" w:cs="Times New Roman"/>
          <w:color w:val="000000"/>
          <w:spacing w:val="0"/>
          <w:w w:val="100"/>
          <w:position w:val="0"/>
        </w:rPr>
        <w:t>”</w:t>
      </w:r>
      <w:r>
        <w:rPr>
          <w:color w:val="000000"/>
          <w:spacing w:val="0"/>
          <w:w w:val="100"/>
          <w:position w:val="0"/>
        </w:rPr>
        <w:t>的服务铁三角，对线上数字化平台的预警和调度及时响应，进行灵活高效的业务拓展和管维服务。</w:t>
      </w:r>
    </w:p>
    <w:p>
      <w:pPr>
        <w:pStyle w:val="Style18"/>
        <w:keepNext w:val="0"/>
        <w:keepLines w:val="0"/>
        <w:widowControl w:val="0"/>
        <w:shd w:val="clear" w:color="auto" w:fill="auto"/>
        <w:bidi w:val="0"/>
        <w:spacing w:before="0" w:after="60" w:line="312" w:lineRule="exact"/>
        <w:ind w:left="0" w:right="0"/>
        <w:jc w:val="both"/>
      </w:pPr>
      <w:r>
        <w:rPr>
          <w:color w:val="000000"/>
          <w:spacing w:val="0"/>
          <w:w w:val="100"/>
          <w:position w:val="0"/>
        </w:rPr>
        <w:t xml:space="preserve">分布广泛的服务网点使公司具备属地管维服务优势，为客户提供高效、贴地的服务，目前公司管维业务客户续签率达到 </w:t>
      </w:r>
      <w:r>
        <w:rPr>
          <w:rFonts w:ascii="Times New Roman" w:eastAsia="Times New Roman" w:hAnsi="Times New Roman" w:cs="Times New Roman"/>
          <w:color w:val="000000"/>
          <w:spacing w:val="0"/>
          <w:w w:val="100"/>
          <w:position w:val="0"/>
        </w:rPr>
        <w:t>95%</w:t>
      </w:r>
      <w:r>
        <w:rPr>
          <w:color w:val="000000"/>
          <w:spacing w:val="0"/>
          <w:w w:val="100"/>
          <w:position w:val="0"/>
        </w:rPr>
        <w:t>以上。线下服务网点也使公司具备了优秀和业务创新拓展能力和高效的落地能力，通信网络管维业务各地市场份额持续 提升，信息网络管维和能源网络管维业务通过各地服务网点迅速复制推广。</w:t>
      </w:r>
    </w:p>
    <w:p>
      <w:pPr>
        <w:pStyle w:val="Style18"/>
        <w:keepNext w:val="0"/>
        <w:keepLines w:val="0"/>
        <w:widowControl w:val="0"/>
        <w:shd w:val="clear" w:color="auto" w:fill="auto"/>
        <w:tabs>
          <w:tab w:pos="715" w:val="left"/>
        </w:tabs>
        <w:bidi w:val="0"/>
        <w:spacing w:before="0" w:after="0"/>
        <w:ind w:left="0" w:right="0"/>
        <w:jc w:val="both"/>
      </w:pPr>
      <w:bookmarkStart w:id="70" w:name="bookmark70"/>
      <w:r>
        <w:rPr>
          <w:rFonts w:ascii="Times New Roman" w:eastAsia="Times New Roman" w:hAnsi="Times New Roman" w:cs="Times New Roman"/>
          <w:b/>
          <w:bCs/>
          <w:color w:val="000000"/>
          <w:spacing w:val="0"/>
          <w:w w:val="100"/>
          <w:position w:val="0"/>
        </w:rPr>
        <w:t>2</w:t>
      </w:r>
      <w:bookmarkEnd w:id="70"/>
      <w:r>
        <w:rPr>
          <w:b/>
          <w:bCs/>
          <w:color w:val="000000"/>
          <w:spacing w:val="0"/>
          <w:w w:val="100"/>
          <w:position w:val="0"/>
        </w:rPr>
        <w:t>、</w:t>
        <w:tab/>
        <w:t>管维业务布局</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公司是通信网络管维领域规模最大的民营企业，是中国移动</w:t>
      </w:r>
      <w:r>
        <w:rPr>
          <w:rFonts w:ascii="Times New Roman" w:eastAsia="Times New Roman" w:hAnsi="Times New Roman" w:cs="Times New Roman"/>
          <w:color w:val="000000"/>
          <w:spacing w:val="0"/>
          <w:w w:val="100"/>
          <w:position w:val="0"/>
        </w:rPr>
        <w:t>A</w:t>
      </w:r>
      <w:r>
        <w:rPr>
          <w:color w:val="000000"/>
          <w:spacing w:val="0"/>
          <w:w w:val="100"/>
          <w:position w:val="0"/>
        </w:rPr>
        <w:t>级优秀供应商，中国铁塔五星级的服务商；随着</w:t>
      </w:r>
      <w:r>
        <w:rPr>
          <w:rFonts w:ascii="Times New Roman" w:eastAsia="Times New Roman" w:hAnsi="Times New Roman" w:cs="Times New Roman"/>
          <w:color w:val="000000"/>
          <w:spacing w:val="0"/>
          <w:w w:val="100"/>
          <w:position w:val="0"/>
        </w:rPr>
        <w:t>“</w:t>
      </w:r>
      <w:r>
        <w:rPr>
          <w:color w:val="000000"/>
          <w:spacing w:val="0"/>
          <w:w w:val="100"/>
          <w:position w:val="0"/>
        </w:rPr>
        <w:t>云网融 合</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数字化转型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融合应用</w:t>
      </w:r>
      <w:r>
        <w:rPr>
          <w:rFonts w:ascii="Times New Roman" w:eastAsia="Times New Roman" w:hAnsi="Times New Roman" w:cs="Times New Roman"/>
          <w:color w:val="000000"/>
          <w:spacing w:val="0"/>
          <w:w w:val="100"/>
          <w:position w:val="0"/>
        </w:rPr>
        <w:t>”</w:t>
      </w:r>
      <w:r>
        <w:rPr>
          <w:color w:val="000000"/>
          <w:spacing w:val="0"/>
          <w:w w:val="100"/>
          <w:position w:val="0"/>
        </w:rPr>
        <w:t>等行业趋势，以原有</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 xml:space="preserve">云服务等技术能力为基础，将管维业务拓展至信息网络领域； </w:t>
      </w:r>
      <w:r>
        <w:rPr>
          <w:color w:val="000000"/>
          <w:spacing w:val="0"/>
          <w:w w:val="100"/>
          <w:position w:val="0"/>
        </w:rPr>
        <w:t>以原有通信电力技术为基础，将管维业务拓展至能源网络领域，并在</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的双碳国家战略下取得快速发展。</w:t>
      </w:r>
    </w:p>
    <w:p>
      <w:pPr>
        <w:pStyle w:val="Style18"/>
        <w:keepNext w:val="0"/>
        <w:keepLines w:val="0"/>
        <w:widowControl w:val="0"/>
        <w:shd w:val="clear" w:color="auto" w:fill="auto"/>
        <w:bidi w:val="0"/>
        <w:spacing w:before="0" w:after="0" w:line="350" w:lineRule="auto"/>
        <w:ind w:left="0" w:right="0"/>
        <w:jc w:val="both"/>
      </w:pPr>
      <w:r>
        <w:rPr>
          <w:rFonts w:ascii="Times New Roman" w:eastAsia="Times New Roman" w:hAnsi="Times New Roman" w:cs="Times New Roman"/>
          <w:b/>
          <w:bCs/>
          <w:color w:val="000000"/>
          <w:spacing w:val="0"/>
          <w:w w:val="100"/>
          <w:position w:val="0"/>
        </w:rPr>
        <w:t>2.1</w:t>
      </w:r>
      <w:r>
        <w:rPr>
          <w:b/>
          <w:bCs/>
          <w:color w:val="000000"/>
          <w:spacing w:val="0"/>
          <w:w w:val="100"/>
          <w:position w:val="0"/>
        </w:rPr>
        <w:t>通信网络管维</w:t>
      </w:r>
    </w:p>
    <w:p>
      <w:pPr>
        <w:pStyle w:val="Style18"/>
        <w:keepNext w:val="0"/>
        <w:keepLines w:val="0"/>
        <w:widowControl w:val="0"/>
        <w:shd w:val="clear" w:color="auto" w:fill="auto"/>
        <w:bidi w:val="0"/>
        <w:spacing w:before="0" w:after="0" w:line="302" w:lineRule="exact"/>
        <w:ind w:left="0" w:right="0"/>
        <w:jc w:val="both"/>
      </w:pPr>
      <w:r>
        <w:rPr>
          <w:color w:val="000000"/>
          <w:spacing w:val="0"/>
          <w:w w:val="100"/>
          <w:position w:val="0"/>
        </w:rPr>
        <w:t>公司为运营商、中国铁塔客户的</w:t>
      </w:r>
      <w:r>
        <w:rPr>
          <w:rFonts w:ascii="Times New Roman" w:eastAsia="Times New Roman" w:hAnsi="Times New Roman" w:cs="Times New Roman"/>
          <w:color w:val="000000"/>
          <w:spacing w:val="0"/>
          <w:w w:val="100"/>
          <w:position w:val="0"/>
        </w:rPr>
        <w:t>5G</w:t>
      </w:r>
      <w:r>
        <w:rPr>
          <w:color w:val="000000"/>
          <w:spacing w:val="0"/>
          <w:w w:val="100"/>
          <w:position w:val="0"/>
        </w:rPr>
        <w:t>基站、数据通信、核心网、传输网、接入网等通信基础设施提供包括咨询设计、优 化、运维、产品集成、综合能源管理等通信全生命周期一体化管维服务。</w:t>
      </w:r>
    </w:p>
    <w:p>
      <w:pPr>
        <w:pStyle w:val="Style18"/>
        <w:keepNext w:val="0"/>
        <w:keepLines w:val="0"/>
        <w:widowControl w:val="0"/>
        <w:shd w:val="clear" w:color="auto" w:fill="auto"/>
        <w:bidi w:val="0"/>
        <w:spacing w:before="0" w:after="80" w:line="302" w:lineRule="exact"/>
        <w:ind w:left="0" w:right="0"/>
        <w:jc w:val="both"/>
      </w:pPr>
      <w:r>
        <w:rPr>
          <w:color w:val="000000"/>
          <w:spacing w:val="0"/>
          <w:w w:val="100"/>
          <w:position w:val="0"/>
        </w:rPr>
        <w:t>公司是中国移动</w:t>
      </w:r>
      <w:r>
        <w:rPr>
          <w:rFonts w:ascii="Times New Roman" w:eastAsia="Times New Roman" w:hAnsi="Times New Roman" w:cs="Times New Roman"/>
          <w:color w:val="000000"/>
          <w:spacing w:val="0"/>
          <w:w w:val="100"/>
          <w:position w:val="0"/>
        </w:rPr>
        <w:t>A</w:t>
      </w:r>
      <w:r>
        <w:rPr>
          <w:color w:val="000000"/>
          <w:spacing w:val="0"/>
          <w:w w:val="100"/>
          <w:position w:val="0"/>
        </w:rPr>
        <w:t>级优秀供应商，中国铁塔五星级的服务商，是通信网络管维领域规模最大的民营企业。公司将多项措 施并举，巩固市场领先地位，持续提升市场份额，扩大业务品类，提高效率，未来发展空间广阔。</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2.2</w:t>
      </w:r>
      <w:r>
        <w:rPr>
          <w:b/>
          <w:bCs/>
          <w:color w:val="000000"/>
          <w:spacing w:val="0"/>
          <w:w w:val="100"/>
          <w:position w:val="0"/>
        </w:rPr>
        <w:t>信息网络管维</w:t>
      </w:r>
    </w:p>
    <w:p>
      <w:pPr>
        <w:pStyle w:val="Style18"/>
        <w:keepNext w:val="0"/>
        <w:keepLines w:val="0"/>
        <w:widowControl w:val="0"/>
        <w:shd w:val="clear" w:color="auto" w:fill="auto"/>
        <w:bidi w:val="0"/>
        <w:spacing w:before="0" w:after="80" w:line="313" w:lineRule="exact"/>
        <w:ind w:left="0" w:right="0"/>
        <w:jc w:val="both"/>
      </w:pPr>
      <w:r>
        <w:rPr>
          <w:color w:val="000000"/>
          <w:spacing w:val="0"/>
          <w:w w:val="100"/>
          <w:position w:val="0"/>
        </w:rPr>
        <w:t>信息网络管维包括数字化业务和</w:t>
      </w:r>
      <w:r>
        <w:rPr>
          <w:rFonts w:ascii="Times New Roman" w:eastAsia="Times New Roman" w:hAnsi="Times New Roman" w:cs="Times New Roman"/>
          <w:color w:val="000000"/>
          <w:spacing w:val="0"/>
          <w:w w:val="100"/>
          <w:position w:val="0"/>
        </w:rPr>
        <w:t>IDC</w:t>
      </w:r>
      <w:r>
        <w:rPr>
          <w:color w:val="000000"/>
          <w:spacing w:val="0"/>
          <w:w w:val="100"/>
          <w:position w:val="0"/>
        </w:rPr>
        <w:t>服务。</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2.2.1</w:t>
      </w:r>
      <w:r>
        <w:rPr>
          <w:b/>
          <w:bCs/>
          <w:color w:val="000000"/>
          <w:spacing w:val="0"/>
          <w:w w:val="100"/>
          <w:position w:val="0"/>
        </w:rPr>
        <w:t>数字化业务</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公司准确把握</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年远景目标纲要，积极响应国家数字政策新机遇，推进数字经济发展，加强数字中国 建设。公司始终坚定</w:t>
      </w:r>
      <w:r>
        <w:rPr>
          <w:rFonts w:ascii="Times New Roman" w:eastAsia="Times New Roman" w:hAnsi="Times New Roman" w:cs="Times New Roman"/>
          <w:color w:val="000000"/>
          <w:spacing w:val="0"/>
          <w:w w:val="100"/>
          <w:position w:val="0"/>
        </w:rPr>
        <w:t>“</w:t>
      </w:r>
      <w:r>
        <w:rPr>
          <w:color w:val="000000"/>
          <w:spacing w:val="0"/>
          <w:w w:val="100"/>
          <w:position w:val="0"/>
        </w:rPr>
        <w:t>通信信息网络与能源网络的管维者</w:t>
      </w:r>
      <w:r>
        <w:rPr>
          <w:rFonts w:ascii="Times New Roman" w:eastAsia="Times New Roman" w:hAnsi="Times New Roman" w:cs="Times New Roman"/>
          <w:color w:val="000000"/>
          <w:spacing w:val="0"/>
          <w:w w:val="100"/>
          <w:position w:val="0"/>
        </w:rPr>
        <w:t>”</w:t>
      </w:r>
      <w:r>
        <w:rPr>
          <w:color w:val="000000"/>
          <w:spacing w:val="0"/>
          <w:w w:val="100"/>
          <w:position w:val="0"/>
        </w:rPr>
        <w:t>的战略定位与目标，凭借在</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智能、物联网、大数据、云计 算等的技术优势，聚焦</w:t>
      </w:r>
      <w:r>
        <w:rPr>
          <w:rFonts w:ascii="Times New Roman" w:eastAsia="Times New Roman" w:hAnsi="Times New Roman" w:cs="Times New Roman"/>
          <w:color w:val="000000"/>
          <w:spacing w:val="0"/>
          <w:w w:val="100"/>
          <w:position w:val="0"/>
        </w:rPr>
        <w:t>“</w:t>
      </w:r>
      <w:r>
        <w:rPr>
          <w:color w:val="000000"/>
          <w:spacing w:val="0"/>
          <w:w w:val="100"/>
          <w:position w:val="0"/>
        </w:rPr>
        <w:t>平安中国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教育强国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乡村振兴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推进智慧生活建设</w:t>
      </w:r>
      <w:r>
        <w:rPr>
          <w:rFonts w:ascii="Times New Roman" w:eastAsia="Times New Roman" w:hAnsi="Times New Roman" w:cs="Times New Roman"/>
          <w:color w:val="000000"/>
          <w:spacing w:val="0"/>
          <w:w w:val="100"/>
          <w:position w:val="0"/>
        </w:rPr>
        <w:t>”</w:t>
      </w:r>
      <w:r>
        <w:rPr>
          <w:color w:val="000000"/>
          <w:spacing w:val="0"/>
          <w:w w:val="100"/>
          <w:position w:val="0"/>
        </w:rPr>
        <w:t>等国家战略与发展方向，自主研发一系 列数字化服务产品，以新理念、新业态、新模式全面转型技术创新型企业，全助力各领域实现数字化转型、智能化升级，实 现对万物互联的数字化，开启公司数字化服务新篇章！</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聚焦社会综合治理与防控防疫升级：</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期间，党和国家提出了建设更高水平平安中国的宏伟目标，公司深入推进新型平安城市、社会治理、智慧城市 等重大项目的建设，以数字化助推公共安全领域发展，用科技创新驱动公共安防行业智能化深入，促进社会运行高效协同， 构筑全民畅享数字生活。</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公司为公安、交警、消防等搭建的智慧街面巡防系统、社会治安要素采集平台、社会治安实战融合平台、智慧平安社区 等智慧管控数字化产品，借助</w:t>
      </w:r>
      <w:r>
        <w:rPr>
          <w:rFonts w:ascii="Times New Roman" w:eastAsia="Times New Roman" w:hAnsi="Times New Roman" w:cs="Times New Roman"/>
          <w:color w:val="000000"/>
          <w:spacing w:val="0"/>
          <w:w w:val="100"/>
          <w:position w:val="0"/>
        </w:rPr>
        <w:t>“5G+</w:t>
      </w:r>
      <w:r>
        <w:rPr>
          <w:color w:val="000000"/>
          <w:spacing w:val="0"/>
          <w:w w:val="100"/>
          <w:position w:val="0"/>
        </w:rPr>
        <w:t>物联网</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优势助力疫情防控，通过大数据采集、可视化呈现，全面提升智慧应急能力， 改进社区智能化管理水平，推进公安大数据智能化应用，助力健全社会治安防控体系，为构建安全和谐稳定的治安环境和社 会环境贡献力量，让城市发展更智慧，让人民生活更美好。</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聚焦国家教育数字化战略转型：</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把提升国民素质放在突出重要位置，构建高质量的教育体系和全方位全周期的健康体系，优化人口结构，拓展人口质 量红利，提升人力资本水平和人的全面发展能力。</w:t>
      </w:r>
      <w:r>
        <w:rPr>
          <w:rFonts w:ascii="Times New Roman" w:eastAsia="Times New Roman" w:hAnsi="Times New Roman" w:cs="Times New Roman"/>
          <w:color w:val="000000"/>
          <w:spacing w:val="0"/>
          <w:w w:val="100"/>
          <w:position w:val="0"/>
        </w:rPr>
        <w:t>”</w:t>
      </w:r>
      <w:r>
        <w:rPr>
          <w:color w:val="000000"/>
          <w:spacing w:val="0"/>
          <w:w w:val="100"/>
          <w:position w:val="0"/>
        </w:rPr>
        <w:t>是十四五规划的重要目标之一。公司抓住有利机遇，充分利用科技赋能， 通过实施教育数字化战略行动，加速推进信息技术与教育深度融合。目前，公司利用大数据、人工智能、</w:t>
      </w:r>
      <w:r>
        <w:rPr>
          <w:rFonts w:ascii="Times New Roman" w:eastAsia="Times New Roman" w:hAnsi="Times New Roman" w:cs="Times New Roman"/>
          <w:color w:val="000000"/>
          <w:spacing w:val="0"/>
          <w:w w:val="100"/>
          <w:position w:val="0"/>
        </w:rPr>
        <w:t>OCR</w:t>
      </w:r>
      <w:r>
        <w:rPr>
          <w:color w:val="000000"/>
          <w:spacing w:val="0"/>
          <w:w w:val="100"/>
          <w:position w:val="0"/>
        </w:rPr>
        <w:t>识别等高新 技术，给教育行业提供信息化环境下创新教育教学辅助工具，使信息化教学真正成为教师教学活动的常态；帮助学校实现轻 松备课、精准教学、智能改卷、个性辅导和高效管理，提升学校精准化教学管理。公司针对传统数字校园系统建设孤立、信 息孤岛严重难题，从战略层面进行系统规划，形成数字化治理体系和机制，全面提升学校数字化意识、数字化思维和数字化 能力，助力校园构建智慧教育发展新生态，以教育数字化推动数字中国建设！</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聚焦数字乡村助力乡村振兴：</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数字乡村是乡村振兴的未来方向。公司依托</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物联网、云计算、人工智能、大数据等新一代信息技术专业，以数字 乡村发展纲要和乡村振兴战略规划为指导，为全面赋能数字乡村建设，提升数字乡村综合服务管理水平。公司大力推进乡村 数字化配套基础设施改造升级，加大乡村数字平台建设，提升乡村治理数字化水平。利用公司贴地服务优势，配备专业团队 对项目开展实地调研，以目标、问题、结果为导向，为项目量身定制</w:t>
      </w:r>
      <w:r>
        <w:rPr>
          <w:rFonts w:ascii="Times New Roman" w:eastAsia="Times New Roman" w:hAnsi="Times New Roman" w:cs="Times New Roman"/>
          <w:color w:val="000000"/>
          <w:spacing w:val="0"/>
          <w:w w:val="100"/>
          <w:position w:val="0"/>
        </w:rPr>
        <w:t>“</w:t>
      </w:r>
      <w:r>
        <w:rPr>
          <w:color w:val="000000"/>
          <w:spacing w:val="0"/>
          <w:w w:val="100"/>
          <w:position w:val="0"/>
        </w:rPr>
        <w:t>一村一问一策</w:t>
      </w:r>
      <w:r>
        <w:rPr>
          <w:rFonts w:ascii="Times New Roman" w:eastAsia="Times New Roman" w:hAnsi="Times New Roman" w:cs="Times New Roman"/>
          <w:color w:val="000000"/>
          <w:spacing w:val="0"/>
          <w:w w:val="100"/>
          <w:position w:val="0"/>
        </w:rPr>
        <w:t>”</w:t>
      </w:r>
      <w:r>
        <w:rPr>
          <w:color w:val="000000"/>
          <w:spacing w:val="0"/>
          <w:w w:val="100"/>
          <w:position w:val="0"/>
        </w:rPr>
        <w:t>综合性解决方案。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日，广 西壮族自治区数字乡村研究院成立，公司作为副理事长单位联合编制并发布了全国首部省级《广西壮族自治区数字乡村白皮 书》，推动数字乡村建设健康、高质量发展，持续赋能乡村振兴。</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聚焦</w:t>
      </w:r>
      <w:r>
        <w:rPr>
          <w:rFonts w:ascii="Times New Roman" w:eastAsia="Times New Roman" w:hAnsi="Times New Roman" w:cs="Times New Roman"/>
          <w:color w:val="000000"/>
          <w:spacing w:val="0"/>
          <w:w w:val="100"/>
          <w:position w:val="0"/>
        </w:rPr>
        <w:t>XR</w:t>
      </w:r>
      <w:r>
        <w:rPr>
          <w:color w:val="000000"/>
          <w:spacing w:val="0"/>
          <w:w w:val="100"/>
          <w:position w:val="0"/>
        </w:rPr>
        <w:t>应用战略布局：</w:t>
      </w:r>
    </w:p>
    <w:p>
      <w:pPr>
        <w:pStyle w:val="Style18"/>
        <w:keepNext w:val="0"/>
        <w:keepLines w:val="0"/>
        <w:widowControl w:val="0"/>
        <w:shd w:val="clear" w:color="auto" w:fill="auto"/>
        <w:bidi w:val="0"/>
        <w:spacing w:before="0" w:after="40" w:line="313" w:lineRule="exact"/>
        <w:ind w:left="0" w:right="0"/>
        <w:jc w:val="both"/>
      </w:pPr>
      <w:r>
        <w:rPr>
          <w:color w:val="000000"/>
          <w:spacing w:val="0"/>
          <w:w w:val="100"/>
          <w:position w:val="0"/>
        </w:rPr>
        <w:t>元宇宙包含</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区块链、内容制作等多个行业领域，但其核心是通过虚拟体验</w:t>
      </w:r>
      <w:r>
        <w:rPr>
          <w:rFonts w:ascii="Times New Roman" w:eastAsia="Times New Roman" w:hAnsi="Times New Roman" w:cs="Times New Roman"/>
          <w:color w:val="000000"/>
          <w:spacing w:val="0"/>
          <w:w w:val="100"/>
          <w:position w:val="0"/>
        </w:rPr>
        <w:t>XR</w:t>
      </w:r>
      <w:r>
        <w:rPr>
          <w:color w:val="000000"/>
          <w:spacing w:val="0"/>
          <w:w w:val="100"/>
          <w:position w:val="0"/>
        </w:rPr>
        <w:t>技术及设备来不断优化用户的数 字化生活体验。随着</w:t>
      </w:r>
      <w:r>
        <w:rPr>
          <w:rFonts w:ascii="Times New Roman" w:eastAsia="Times New Roman" w:hAnsi="Times New Roman" w:cs="Times New Roman"/>
          <w:color w:val="000000"/>
          <w:spacing w:val="0"/>
          <w:w w:val="100"/>
          <w:position w:val="0"/>
        </w:rPr>
        <w:t>XR</w:t>
      </w:r>
      <w:r>
        <w:rPr>
          <w:color w:val="000000"/>
          <w:spacing w:val="0"/>
          <w:w w:val="100"/>
          <w:position w:val="0"/>
        </w:rPr>
        <w:t>技术越发成熟，虚拟形象、虚实结合的演出等</w:t>
      </w:r>
      <w:r>
        <w:rPr>
          <w:rFonts w:ascii="Times New Roman" w:eastAsia="Times New Roman" w:hAnsi="Times New Roman" w:cs="Times New Roman"/>
          <w:color w:val="000000"/>
          <w:spacing w:val="0"/>
          <w:w w:val="100"/>
          <w:position w:val="0"/>
        </w:rPr>
        <w:t>XR</w:t>
      </w:r>
      <w:r>
        <w:rPr>
          <w:color w:val="000000"/>
          <w:spacing w:val="0"/>
          <w:w w:val="100"/>
          <w:position w:val="0"/>
        </w:rPr>
        <w:t>应用场景将继续扩围。公司控股子公司旗鱼科技目 前已形成面向</w:t>
      </w:r>
      <w:r>
        <w:rPr>
          <w:rFonts w:ascii="Times New Roman" w:eastAsia="Times New Roman" w:hAnsi="Times New Roman" w:cs="Times New Roman"/>
          <w:color w:val="000000"/>
          <w:spacing w:val="0"/>
          <w:w w:val="100"/>
          <w:position w:val="0"/>
        </w:rPr>
        <w:t>C</w:t>
      </w:r>
      <w:r>
        <w:rPr>
          <w:color w:val="000000"/>
          <w:spacing w:val="0"/>
          <w:w w:val="100"/>
          <w:position w:val="0"/>
        </w:rPr>
        <w:t>端用户打造儿童元宇宙科教娱乐服务平台，让人工智能和大数据作用于教学场景、应用</w:t>
      </w:r>
      <w:r>
        <w:rPr>
          <w:rFonts w:ascii="Times New Roman" w:eastAsia="Times New Roman" w:hAnsi="Times New Roman" w:cs="Times New Roman"/>
          <w:color w:val="000000"/>
          <w:spacing w:val="0"/>
          <w:w w:val="100"/>
          <w:position w:val="0"/>
        </w:rPr>
        <w:t>XR</w:t>
      </w:r>
      <w:r>
        <w:rPr>
          <w:color w:val="000000"/>
          <w:spacing w:val="0"/>
          <w:w w:val="100"/>
          <w:position w:val="0"/>
        </w:rPr>
        <w:t>等技术打造科普 教育平台，提高学生学习兴趣和教学质量，助力教育的精准化转型和创新。同时也在拓展面向</w:t>
      </w:r>
      <w:r>
        <w:rPr>
          <w:rFonts w:ascii="Times New Roman" w:eastAsia="Times New Roman" w:hAnsi="Times New Roman" w:cs="Times New Roman"/>
          <w:color w:val="000000"/>
          <w:spacing w:val="0"/>
          <w:w w:val="100"/>
          <w:position w:val="0"/>
        </w:rPr>
        <w:t>B</w:t>
      </w:r>
      <w:r>
        <w:rPr>
          <w:color w:val="000000"/>
          <w:spacing w:val="0"/>
          <w:w w:val="100"/>
          <w:position w:val="0"/>
        </w:rPr>
        <w:t>端客户提供</w:t>
      </w:r>
      <w:r>
        <w:rPr>
          <w:rFonts w:ascii="Times New Roman" w:eastAsia="Times New Roman" w:hAnsi="Times New Roman" w:cs="Times New Roman"/>
          <w:color w:val="000000"/>
          <w:spacing w:val="0"/>
          <w:w w:val="100"/>
          <w:position w:val="0"/>
        </w:rPr>
        <w:t>XR</w:t>
      </w:r>
      <w:r>
        <w:rPr>
          <w:color w:val="000000"/>
          <w:spacing w:val="0"/>
          <w:w w:val="100"/>
          <w:position w:val="0"/>
        </w:rPr>
        <w:t>产品的业务 格局，包括航空实训系统、全息教室系统、模拟驾驶平台、全息对战系统等，解决方案得到航空公司、高等院校、部队等客 户的好评，并将实现更多领域技术市场化应用。</w:t>
      </w:r>
    </w:p>
    <w:p>
      <w:pPr>
        <w:pStyle w:val="Style37"/>
        <w:keepNext w:val="0"/>
        <w:keepLines w:val="0"/>
        <w:widowControl w:val="0"/>
        <w:shd w:val="clear" w:color="auto" w:fill="auto"/>
        <w:bidi w:val="0"/>
        <w:spacing w:before="0" w:after="0"/>
        <w:ind w:left="0" w:right="0"/>
        <w:jc w:val="both"/>
      </w:pPr>
      <w:r>
        <w:rPr>
          <w:color w:val="000000"/>
          <w:spacing w:val="0"/>
          <w:w w:val="100"/>
          <w:position w:val="0"/>
        </w:rPr>
        <w:t>2.2.2 IDC</w:t>
      </w:r>
      <w:r>
        <w:rPr>
          <w:rFonts w:ascii="SimSun" w:eastAsia="SimSun" w:hAnsi="SimSun" w:cs="SimSun"/>
          <w:color w:val="000000"/>
          <w:spacing w:val="0"/>
          <w:w w:val="100"/>
          <w:position w:val="0"/>
        </w:rPr>
        <w:t>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润建股份以通信运营商</w:t>
      </w:r>
      <w:r>
        <w:rPr>
          <w:rFonts w:ascii="Times New Roman" w:eastAsia="Times New Roman" w:hAnsi="Times New Roman" w:cs="Times New Roman"/>
          <w:color w:val="000000"/>
          <w:spacing w:val="0"/>
          <w:w w:val="100"/>
          <w:position w:val="0"/>
        </w:rPr>
        <w:t>IDC</w:t>
      </w:r>
      <w:r>
        <w:rPr>
          <w:color w:val="000000"/>
          <w:spacing w:val="0"/>
          <w:w w:val="100"/>
          <w:position w:val="0"/>
        </w:rPr>
        <w:t>管维需求为切入点，已完成</w:t>
      </w:r>
      <w:r>
        <w:rPr>
          <w:rFonts w:ascii="Times New Roman" w:eastAsia="Times New Roman" w:hAnsi="Times New Roman" w:cs="Times New Roman"/>
          <w:color w:val="000000"/>
          <w:spacing w:val="0"/>
          <w:w w:val="100"/>
          <w:position w:val="0"/>
        </w:rPr>
        <w:t>IDC</w:t>
      </w:r>
      <w:r>
        <w:rPr>
          <w:color w:val="000000"/>
          <w:spacing w:val="0"/>
          <w:w w:val="100"/>
          <w:position w:val="0"/>
        </w:rPr>
        <w:t>网络管维业务全链条布局，拥有技术雄厚的实施、运维团队， 可为</w:t>
      </w:r>
      <w:r>
        <w:rPr>
          <w:rFonts w:ascii="Times New Roman" w:eastAsia="Times New Roman" w:hAnsi="Times New Roman" w:cs="Times New Roman"/>
          <w:color w:val="000000"/>
          <w:spacing w:val="0"/>
          <w:w w:val="100"/>
          <w:position w:val="0"/>
        </w:rPr>
        <w:t>IDC</w:t>
      </w:r>
      <w:r>
        <w:rPr>
          <w:color w:val="000000"/>
          <w:spacing w:val="0"/>
          <w:w w:val="100"/>
          <w:position w:val="0"/>
        </w:rPr>
        <w:t>提供全生命周期一站式服务，包括</w:t>
      </w:r>
      <w:r>
        <w:rPr>
          <w:rFonts w:ascii="Times New Roman" w:eastAsia="Times New Roman" w:hAnsi="Times New Roman" w:cs="Times New Roman"/>
          <w:color w:val="000000"/>
          <w:spacing w:val="0"/>
          <w:w w:val="100"/>
          <w:position w:val="0"/>
        </w:rPr>
        <w:t>IDC</w:t>
      </w:r>
      <w:r>
        <w:rPr>
          <w:color w:val="000000"/>
          <w:spacing w:val="0"/>
          <w:w w:val="100"/>
          <w:position w:val="0"/>
        </w:rPr>
        <w:t>的咨询设计、建设、运维、节能改造、运营等，以及云咨询、云集成、云管 理、云运维等增值服务。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公司秉承</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的服务理念，面向多元化、多样性的客户需求，逐渐形成以基础电信运营商为核心客户，以金 融机构、政企机构为主要客户，提供专业化、标准化的</w:t>
      </w:r>
      <w:r>
        <w:rPr>
          <w:rFonts w:ascii="Times New Roman" w:eastAsia="Times New Roman" w:hAnsi="Times New Roman" w:cs="Times New Roman"/>
          <w:color w:val="000000"/>
          <w:spacing w:val="0"/>
          <w:w w:val="100"/>
          <w:position w:val="0"/>
        </w:rPr>
        <w:t>IDC</w:t>
      </w:r>
      <w:r>
        <w:rPr>
          <w:color w:val="000000"/>
          <w:spacing w:val="0"/>
          <w:w w:val="100"/>
          <w:position w:val="0"/>
        </w:rPr>
        <w:t>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公司公开发行</w:t>
      </w:r>
      <w:r>
        <w:rPr>
          <w:rFonts w:ascii="Times New Roman" w:eastAsia="Times New Roman" w:hAnsi="Times New Roman" w:cs="Times New Roman"/>
          <w:color w:val="000000"/>
          <w:spacing w:val="0"/>
          <w:w w:val="100"/>
          <w:position w:val="0"/>
        </w:rPr>
        <w:t>A</w:t>
      </w:r>
      <w:r>
        <w:rPr>
          <w:color w:val="000000"/>
          <w:spacing w:val="0"/>
          <w:w w:val="100"/>
          <w:position w:val="0"/>
        </w:rPr>
        <w:t>股可转换公司债券募集资金人民币</w:t>
      </w:r>
      <w:r>
        <w:rPr>
          <w:rFonts w:ascii="Times New Roman" w:eastAsia="Times New Roman" w:hAnsi="Times New Roman" w:cs="Times New Roman"/>
          <w:color w:val="000000"/>
          <w:spacing w:val="0"/>
          <w:w w:val="100"/>
          <w:position w:val="0"/>
        </w:rPr>
        <w:t>10.9</w:t>
      </w:r>
      <w:r>
        <w:rPr>
          <w:color w:val="000000"/>
          <w:spacing w:val="0"/>
          <w:w w:val="100"/>
          <w:position w:val="0"/>
        </w:rPr>
        <w:t>亿元用于建设五象云谷云计算中心项目，五象云谷云计算中心计 划建设</w:t>
      </w:r>
      <w:r>
        <w:rPr>
          <w:rFonts w:ascii="Times New Roman" w:eastAsia="Times New Roman" w:hAnsi="Times New Roman" w:cs="Times New Roman"/>
          <w:color w:val="000000"/>
          <w:spacing w:val="0"/>
          <w:w w:val="100"/>
          <w:position w:val="0"/>
        </w:rPr>
        <w:t>6000</w:t>
      </w:r>
      <w:r>
        <w:rPr>
          <w:color w:val="000000"/>
          <w:spacing w:val="0"/>
          <w:w w:val="100"/>
          <w:position w:val="0"/>
        </w:rPr>
        <w:t>个机架，将打造符合国标</w:t>
      </w:r>
      <w:r>
        <w:rPr>
          <w:rFonts w:ascii="Times New Roman" w:eastAsia="Times New Roman" w:hAnsi="Times New Roman" w:cs="Times New Roman"/>
          <w:color w:val="000000"/>
          <w:spacing w:val="0"/>
          <w:w w:val="100"/>
          <w:position w:val="0"/>
        </w:rPr>
        <w:t>A</w:t>
      </w:r>
      <w:r>
        <w:rPr>
          <w:color w:val="000000"/>
          <w:spacing w:val="0"/>
          <w:w w:val="100"/>
          <w:position w:val="0"/>
        </w:rPr>
        <w:t>级、国际</w:t>
      </w:r>
      <w:r>
        <w:rPr>
          <w:rFonts w:ascii="Times New Roman" w:eastAsia="Times New Roman" w:hAnsi="Times New Roman" w:cs="Times New Roman"/>
          <w:color w:val="000000"/>
          <w:spacing w:val="0"/>
          <w:w w:val="100"/>
          <w:position w:val="0"/>
        </w:rPr>
        <w:t>T3</w:t>
      </w:r>
      <w:r>
        <w:rPr>
          <w:color w:val="000000"/>
          <w:spacing w:val="0"/>
          <w:w w:val="100"/>
          <w:position w:val="0"/>
        </w:rPr>
        <w:t>级设计标准、满足国家绿色数据中心标准的标杆云数据产业园区。五象云 谷云计算中心项目是目前为止广西最高等级、最大规模云计算数据中心，将于</w:t>
      </w:r>
      <w:r>
        <w:rPr>
          <w:rFonts w:ascii="Times New Roman" w:eastAsia="Times New Roman" w:hAnsi="Times New Roman" w:cs="Times New Roman"/>
          <w:color w:val="000000"/>
          <w:spacing w:val="0"/>
          <w:w w:val="100"/>
          <w:position w:val="0"/>
        </w:rPr>
        <w:t>2022</w:t>
      </w:r>
      <w:r>
        <w:rPr>
          <w:color w:val="000000"/>
          <w:spacing w:val="0"/>
          <w:w w:val="100"/>
          <w:position w:val="0"/>
        </w:rPr>
        <w:t>年开始投产运营，目前已和部分客户签订 了意向协议，本地和异地灾备需求旺盛，整体业务拓展良好。</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rPr>
        <w:t>2.3</w:t>
      </w:r>
      <w:r>
        <w:rPr>
          <w:b/>
          <w:bCs/>
          <w:color w:val="000000"/>
          <w:spacing w:val="0"/>
          <w:w w:val="100"/>
          <w:position w:val="0"/>
        </w:rPr>
        <w:t>能源网络管维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润建股份依托电力行业的技术底蕴和积累，顺应能源变革的大潮流，将传统自动化技术及</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物联网、大数据、 云计算等现代新技术融合，全面布局能源网络，打造</w:t>
      </w:r>
      <w:r>
        <w:rPr>
          <w:rFonts w:ascii="Times New Roman" w:eastAsia="Times New Roman" w:hAnsi="Times New Roman" w:cs="Times New Roman"/>
          <w:color w:val="000000"/>
          <w:spacing w:val="0"/>
          <w:w w:val="100"/>
          <w:position w:val="0"/>
        </w:rPr>
        <w:t>“</w:t>
      </w:r>
      <w:r>
        <w:rPr>
          <w:color w:val="000000"/>
          <w:spacing w:val="0"/>
          <w:w w:val="100"/>
          <w:position w:val="0"/>
        </w:rPr>
        <w:t>发</w:t>
      </w:r>
      <w:r>
        <w:rPr>
          <w:rFonts w:ascii="Times New Roman" w:eastAsia="Times New Roman" w:hAnsi="Times New Roman" w:cs="Times New Roman"/>
          <w:color w:val="000000"/>
          <w:spacing w:val="0"/>
          <w:w w:val="100"/>
          <w:position w:val="0"/>
        </w:rPr>
        <w:t>-</w:t>
      </w:r>
      <w:r>
        <w:rPr>
          <w:color w:val="000000"/>
          <w:spacing w:val="0"/>
          <w:w w:val="100"/>
          <w:position w:val="0"/>
        </w:rPr>
        <w:t>输</w:t>
      </w:r>
      <w:r>
        <w:rPr>
          <w:rFonts w:ascii="Times New Roman" w:eastAsia="Times New Roman" w:hAnsi="Times New Roman" w:cs="Times New Roman"/>
          <w:color w:val="000000"/>
          <w:spacing w:val="0"/>
          <w:w w:val="100"/>
          <w:position w:val="0"/>
        </w:rPr>
        <w:t>-</w:t>
      </w:r>
      <w:r>
        <w:rPr>
          <w:color w:val="000000"/>
          <w:spacing w:val="0"/>
          <w:w w:val="100"/>
          <w:position w:val="0"/>
        </w:rPr>
        <w:t>配</w:t>
      </w:r>
      <w:r>
        <w:rPr>
          <w:rFonts w:ascii="Times New Roman" w:eastAsia="Times New Roman" w:hAnsi="Times New Roman" w:cs="Times New Roman"/>
          <w:color w:val="000000"/>
          <w:spacing w:val="0"/>
          <w:w w:val="100"/>
          <w:position w:val="0"/>
        </w:rPr>
        <w:t>-</w:t>
      </w:r>
      <w:r>
        <w:rPr>
          <w:color w:val="000000"/>
          <w:spacing w:val="0"/>
          <w:w w:val="100"/>
          <w:position w:val="0"/>
        </w:rPr>
        <w:t>储</w:t>
      </w:r>
      <w:r>
        <w:rPr>
          <w:rFonts w:ascii="Times New Roman" w:eastAsia="Times New Roman" w:hAnsi="Times New Roman" w:cs="Times New Roman"/>
          <w:color w:val="000000"/>
          <w:spacing w:val="0"/>
          <w:w w:val="100"/>
          <w:position w:val="0"/>
        </w:rPr>
        <w:t>-</w:t>
      </w:r>
      <w:r>
        <w:rPr>
          <w:color w:val="000000"/>
          <w:spacing w:val="0"/>
          <w:w w:val="100"/>
          <w:position w:val="0"/>
        </w:rPr>
        <w:t>用</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全流程、全专业的技术服务能力，为客户提供能源 设计、能源基建、能源运维、能源安全与能效提升、能源增值服务一体化能源网络管维解决方案，助力新型电力系统的构建 与</w:t>
      </w:r>
      <w:r>
        <w:rPr>
          <w:rFonts w:ascii="Times New Roman" w:eastAsia="Times New Roman" w:hAnsi="Times New Roman" w:cs="Times New Roman"/>
          <w:color w:val="000000"/>
          <w:spacing w:val="0"/>
          <w:w w:val="100"/>
          <w:position w:val="0"/>
        </w:rPr>
        <w:t>“</w:t>
      </w:r>
      <w:r>
        <w:rPr>
          <w:color w:val="000000"/>
          <w:spacing w:val="0"/>
          <w:w w:val="100"/>
          <w:position w:val="0"/>
        </w:rPr>
        <w:t>双碳目标</w:t>
      </w:r>
      <w:r>
        <w:rPr>
          <w:rFonts w:ascii="Times New Roman" w:eastAsia="Times New Roman" w:hAnsi="Times New Roman" w:cs="Times New Roman"/>
          <w:color w:val="000000"/>
          <w:spacing w:val="0"/>
          <w:w w:val="100"/>
          <w:position w:val="0"/>
        </w:rPr>
        <w:t>”</w:t>
      </w:r>
      <w:r>
        <w:rPr>
          <w:color w:val="000000"/>
          <w:spacing w:val="0"/>
          <w:w w:val="100"/>
          <w:position w:val="0"/>
        </w:rPr>
        <w:t>的实现，引领能源新时代。</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rPr>
        <w:t>2.3.1</w:t>
      </w:r>
      <w:r>
        <w:rPr>
          <w:b/>
          <w:bCs/>
          <w:color w:val="000000"/>
          <w:spacing w:val="0"/>
          <w:w w:val="100"/>
          <w:position w:val="0"/>
        </w:rPr>
        <w:t>用户侧：用电网络管维服务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公司为</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通信基站、产业园区、商业楼宇等耗能用户提供综合能源管理以及咨询、设计、建设、运维、节能改造等 全生命周期服务。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公司用电网络管维业务依托于公司自主研发的</w:t>
      </w:r>
      <w:r>
        <w:rPr>
          <w:rFonts w:ascii="Times New Roman" w:eastAsia="Times New Roman" w:hAnsi="Times New Roman" w:cs="Times New Roman"/>
          <w:color w:val="000000"/>
          <w:spacing w:val="0"/>
          <w:w w:val="100"/>
          <w:position w:val="0"/>
        </w:rPr>
        <w:t>RunD</w:t>
      </w:r>
      <w:r>
        <w:rPr>
          <w:color w:val="000000"/>
          <w:spacing w:val="0"/>
          <w:w w:val="100"/>
          <w:position w:val="0"/>
        </w:rPr>
        <w:t>。</w:t>
      </w:r>
      <w:r>
        <w:rPr>
          <w:color w:val="000000"/>
          <w:spacing w:val="0"/>
          <w:w w:val="100"/>
          <w:position w:val="0"/>
        </w:rPr>
        <w:t>物联网平台，通过</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物联网技术、</w:t>
      </w:r>
      <w:r>
        <w:rPr>
          <w:rFonts w:ascii="Times New Roman" w:eastAsia="Times New Roman" w:hAnsi="Times New Roman" w:cs="Times New Roman"/>
          <w:color w:val="000000"/>
          <w:spacing w:val="0"/>
          <w:w w:val="100"/>
          <w:position w:val="0"/>
        </w:rPr>
        <w:t>BIM</w:t>
      </w:r>
      <w:r>
        <w:rPr>
          <w:color w:val="000000"/>
          <w:spacing w:val="0"/>
          <w:w w:val="100"/>
          <w:position w:val="0"/>
        </w:rPr>
        <w:t>可视化等手段，对客户现 有用电设施进行数字化升级，实现用电负荷调控，最高可使客户能源系统用电效能提升</w:t>
      </w:r>
      <w:r>
        <w:rPr>
          <w:rFonts w:ascii="Times New Roman" w:eastAsia="Times New Roman" w:hAnsi="Times New Roman" w:cs="Times New Roman"/>
          <w:color w:val="000000"/>
          <w:spacing w:val="0"/>
          <w:w w:val="100"/>
          <w:position w:val="0"/>
        </w:rPr>
        <w:t>30%</w:t>
      </w:r>
      <w:r>
        <w:rPr>
          <w:color w:val="000000"/>
          <w:spacing w:val="0"/>
          <w:w w:val="100"/>
          <w:position w:val="0"/>
        </w:rPr>
        <w:t>；并使客户用电安全事件响应及 处置效率提升至秒级，保障客户的供电可靠性和供电质量，为客户的安全用电、高效与经济运维保驾护航。</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其中公司重点发展的综合能源管理服务，以自主研发的综合能源管理平台为基础，为客户的</w:t>
      </w:r>
      <w:r>
        <w:rPr>
          <w:rFonts w:ascii="Times New Roman" w:eastAsia="Times New Roman" w:hAnsi="Times New Roman" w:cs="Times New Roman"/>
          <w:color w:val="000000"/>
          <w:spacing w:val="0"/>
          <w:w w:val="100"/>
          <w:position w:val="0"/>
        </w:rPr>
        <w:t>IDC</w:t>
      </w:r>
      <w:r>
        <w:rPr>
          <w:color w:val="000000"/>
          <w:spacing w:val="0"/>
          <w:w w:val="100"/>
          <w:position w:val="0"/>
        </w:rPr>
        <w:t>数据中心、通信机房、 基站等提供从能耗监控、节能改造、能源环境优化、低碳材料及设备采供、智能运维等多场景多业务需求下的综合能源管理 解决方案，实现能耗的数字化管理。通过能源管理的数字化、可视化、智能化，有效降低用户能耗指标，有效控制用户</w:t>
      </w:r>
      <w:r>
        <w:rPr>
          <w:rFonts w:ascii="Times New Roman" w:eastAsia="Times New Roman" w:hAnsi="Times New Roman" w:cs="Times New Roman"/>
          <w:color w:val="000000"/>
          <w:spacing w:val="0"/>
          <w:w w:val="100"/>
          <w:position w:val="0"/>
        </w:rPr>
        <w:t xml:space="preserve">PUE </w:t>
      </w:r>
      <w:r>
        <w:rPr>
          <w:color w:val="000000"/>
          <w:spacing w:val="0"/>
          <w:w w:val="100"/>
          <w:position w:val="0"/>
        </w:rPr>
        <w:t>值在</w:t>
      </w:r>
      <w:r>
        <w:rPr>
          <w:rFonts w:ascii="Times New Roman" w:eastAsia="Times New Roman" w:hAnsi="Times New Roman" w:cs="Times New Roman"/>
          <w:color w:val="000000"/>
          <w:spacing w:val="0"/>
          <w:w w:val="100"/>
          <w:position w:val="0"/>
        </w:rPr>
        <w:t>1.3</w:t>
      </w:r>
      <w:r>
        <w:rPr>
          <w:color w:val="000000"/>
          <w:spacing w:val="0"/>
          <w:w w:val="100"/>
          <w:position w:val="0"/>
        </w:rPr>
        <w:t>以内，年节电量最高可达</w:t>
      </w:r>
      <w:r>
        <w:rPr>
          <w:rFonts w:ascii="Times New Roman" w:eastAsia="Times New Roman" w:hAnsi="Times New Roman" w:cs="Times New Roman"/>
          <w:color w:val="000000"/>
          <w:spacing w:val="0"/>
          <w:w w:val="100"/>
          <w:position w:val="0"/>
        </w:rPr>
        <w:t>30%</w:t>
      </w:r>
      <w:r>
        <w:rPr>
          <w:color w:val="000000"/>
          <w:spacing w:val="0"/>
          <w:w w:val="100"/>
          <w:position w:val="0"/>
        </w:rPr>
        <w:t>，协助客户实现</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b/>
          <w:bCs/>
          <w:color w:val="000000"/>
          <w:spacing w:val="0"/>
          <w:w w:val="100"/>
          <w:position w:val="0"/>
        </w:rPr>
        <w:t>2.3.2</w:t>
      </w:r>
      <w:r>
        <w:rPr>
          <w:b/>
          <w:bCs/>
          <w:color w:val="000000"/>
          <w:spacing w:val="0"/>
          <w:w w:val="100"/>
          <w:position w:val="0"/>
        </w:rPr>
        <w:t>发电侧：新能源电站与电网管维服务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公司为新能源发电站（光伏、风力等）提供从前期开发，到建设、到运维的全生命周期服务，其中新能源电站运维是最 终业务目的。目前公司重点拓展的光伏运维业务已全场景覆盖户用、分布式、大型地面、农光</w:t>
      </w:r>
      <w:r>
        <w:rPr>
          <w:rFonts w:ascii="Times New Roman" w:eastAsia="Times New Roman" w:hAnsi="Times New Roman" w:cs="Times New Roman"/>
          <w:color w:val="000000"/>
          <w:spacing w:val="0"/>
          <w:w w:val="100"/>
          <w:position w:val="0"/>
        </w:rPr>
        <w:t>/</w:t>
      </w:r>
      <w:r>
        <w:rPr>
          <w:color w:val="000000"/>
          <w:spacing w:val="0"/>
          <w:w w:val="100"/>
          <w:position w:val="0"/>
        </w:rPr>
        <w:t>渔光互补等电站，提供</w:t>
      </w:r>
      <w:r>
        <w:rPr>
          <w:rFonts w:ascii="Times New Roman" w:eastAsia="Times New Roman" w:hAnsi="Times New Roman" w:cs="Times New Roman"/>
          <w:color w:val="000000"/>
          <w:spacing w:val="0"/>
          <w:w w:val="100"/>
          <w:position w:val="0"/>
        </w:rPr>
        <w:t>“</w:t>
      </w:r>
      <w:r>
        <w:rPr>
          <w:color w:val="000000"/>
          <w:spacing w:val="0"/>
          <w:w w:val="100"/>
          <w:position w:val="0"/>
        </w:rPr>
        <w:t xml:space="preserve">平台 </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 xml:space="preserve">-AI” </w:t>
      </w:r>
      <w:r>
        <w:rPr>
          <w:color w:val="000000"/>
          <w:spacing w:val="0"/>
          <w:w w:val="100"/>
          <w:position w:val="0"/>
        </w:rPr>
        <w:t xml:space="preserve">一揽子智慧化运营解决方案，实现数字管维、高效发电、安全可靠，有效提升光伏系统效率，可帮助客户提升约 </w:t>
      </w:r>
      <w:r>
        <w:rPr>
          <w:rFonts w:ascii="Times New Roman" w:eastAsia="Times New Roman" w:hAnsi="Times New Roman" w:cs="Times New Roman"/>
          <w:color w:val="000000"/>
          <w:spacing w:val="0"/>
          <w:w w:val="100"/>
          <w:position w:val="0"/>
        </w:rPr>
        <w:t>3%-5%</w:t>
      </w:r>
      <w:r>
        <w:rPr>
          <w:color w:val="000000"/>
          <w:spacing w:val="0"/>
          <w:w w:val="100"/>
          <w:position w:val="0"/>
        </w:rPr>
        <w:t>的发电效率，有效降低发电成本，保障客户投资价值最大化。</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借助数字电网变革契机，公司加快构建</w:t>
      </w:r>
      <w:r>
        <w:rPr>
          <w:rFonts w:ascii="Times New Roman" w:eastAsia="Times New Roman" w:hAnsi="Times New Roman" w:cs="Times New Roman"/>
          <w:color w:val="000000"/>
          <w:spacing w:val="0"/>
          <w:w w:val="100"/>
          <w:position w:val="0"/>
        </w:rPr>
        <w:t>“</w:t>
      </w:r>
      <w:r>
        <w:rPr>
          <w:color w:val="000000"/>
          <w:spacing w:val="0"/>
          <w:w w:val="100"/>
          <w:position w:val="0"/>
        </w:rPr>
        <w:t>立体巡检</w:t>
      </w:r>
      <w:r>
        <w:rPr>
          <w:rFonts w:ascii="Times New Roman" w:eastAsia="Times New Roman" w:hAnsi="Times New Roman" w:cs="Times New Roman"/>
          <w:color w:val="000000"/>
          <w:spacing w:val="0"/>
          <w:w w:val="100"/>
          <w:position w:val="0"/>
        </w:rPr>
        <w:t>+</w:t>
      </w:r>
      <w:r>
        <w:rPr>
          <w:color w:val="000000"/>
          <w:spacing w:val="0"/>
          <w:w w:val="100"/>
          <w:position w:val="0"/>
        </w:rPr>
        <w:t>集中监控</w:t>
      </w:r>
      <w:r>
        <w:rPr>
          <w:rFonts w:ascii="Times New Roman" w:eastAsia="Times New Roman" w:hAnsi="Times New Roman" w:cs="Times New Roman"/>
          <w:color w:val="000000"/>
          <w:spacing w:val="0"/>
          <w:w w:val="100"/>
          <w:position w:val="0"/>
        </w:rPr>
        <w:t>”</w:t>
      </w:r>
      <w:r>
        <w:rPr>
          <w:color w:val="000000"/>
          <w:spacing w:val="0"/>
          <w:w w:val="100"/>
          <w:position w:val="0"/>
        </w:rPr>
        <w:t>电网智能化监测巡检管维业务，拓展无人机巡检、电网地 质灾害监测、变电站智能监测、刀闸闭合视频</w:t>
      </w:r>
      <w:r>
        <w:rPr>
          <w:rFonts w:ascii="Times New Roman" w:eastAsia="Times New Roman" w:hAnsi="Times New Roman" w:cs="Times New Roman"/>
          <w:color w:val="000000"/>
          <w:spacing w:val="0"/>
          <w:w w:val="100"/>
          <w:position w:val="0"/>
        </w:rPr>
        <w:t>AI</w:t>
      </w:r>
      <w:r>
        <w:rPr>
          <w:color w:val="000000"/>
          <w:spacing w:val="0"/>
          <w:w w:val="100"/>
          <w:position w:val="0"/>
        </w:rPr>
        <w:t>监测等业务，助力电网提升地质灾害监测、缺陷智能识别、无人机移动机 巢等智能应用的能力，持续提高电网智能预警、状态综合评估和辅助决策智慧化水平。</w:t>
      </w:r>
    </w:p>
    <w:p>
      <w:pPr>
        <w:pStyle w:val="Style23"/>
        <w:keepNext/>
        <w:keepLines/>
        <w:widowControl w:val="0"/>
        <w:shd w:val="clear" w:color="auto" w:fill="auto"/>
        <w:bidi w:val="0"/>
        <w:spacing w:before="0" w:after="34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18"/>
        <w:keepNext w:val="0"/>
        <w:keepLines w:val="0"/>
        <w:widowControl w:val="0"/>
        <w:shd w:val="clear" w:color="auto" w:fill="auto"/>
        <w:bidi w:val="0"/>
        <w:spacing w:before="0" w:after="0"/>
        <w:ind w:left="0" w:right="0"/>
        <w:jc w:val="both"/>
      </w:pPr>
      <w:bookmarkStart w:id="75" w:name="bookmark75"/>
      <w:r>
        <w:rPr>
          <w:rFonts w:ascii="Times New Roman" w:eastAsia="Times New Roman" w:hAnsi="Times New Roman" w:cs="Times New Roman"/>
          <w:b/>
          <w:bCs/>
          <w:color w:val="000000"/>
          <w:spacing w:val="0"/>
          <w:w w:val="100"/>
          <w:position w:val="0"/>
        </w:rPr>
        <w:t>1</w:t>
      </w:r>
      <w:bookmarkEnd w:id="75"/>
      <w:r>
        <w:rPr>
          <w:b/>
          <w:bCs/>
          <w:color w:val="000000"/>
          <w:spacing w:val="0"/>
          <w:w w:val="100"/>
          <w:position w:val="0"/>
        </w:rPr>
        <w:t>、技术研发优势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公司研发工作始终坚持以市场需求、业务发展为导向。目前公司已在全球设立</w:t>
      </w:r>
      <w:r>
        <w:rPr>
          <w:rFonts w:ascii="Times New Roman" w:eastAsia="Times New Roman" w:hAnsi="Times New Roman" w:cs="Times New Roman"/>
          <w:color w:val="000000"/>
          <w:spacing w:val="0"/>
          <w:w w:val="100"/>
          <w:position w:val="0"/>
        </w:rPr>
        <w:t>6</w:t>
      </w:r>
      <w:r>
        <w:rPr>
          <w:color w:val="000000"/>
          <w:spacing w:val="0"/>
          <w:w w:val="100"/>
          <w:position w:val="0"/>
        </w:rPr>
        <w:t>大研发中心，</w:t>
      </w:r>
      <w:r>
        <w:rPr>
          <w:rFonts w:ascii="Times New Roman" w:eastAsia="Times New Roman" w:hAnsi="Times New Roman" w:cs="Times New Roman"/>
          <w:color w:val="000000"/>
          <w:spacing w:val="0"/>
          <w:w w:val="100"/>
          <w:position w:val="0"/>
        </w:rPr>
        <w:t>14</w:t>
      </w:r>
      <w:r>
        <w:rPr>
          <w:color w:val="000000"/>
          <w:spacing w:val="0"/>
          <w:w w:val="100"/>
          <w:position w:val="0"/>
        </w:rPr>
        <w:t>大研发基地，研发人员 超过</w:t>
      </w:r>
      <w:r>
        <w:rPr>
          <w:rFonts w:ascii="Times New Roman" w:eastAsia="Times New Roman" w:hAnsi="Times New Roman" w:cs="Times New Roman"/>
          <w:color w:val="000000"/>
          <w:spacing w:val="0"/>
          <w:w w:val="100"/>
          <w:position w:val="0"/>
        </w:rPr>
        <w:t>1000</w:t>
      </w:r>
      <w:r>
        <w:rPr>
          <w:color w:val="000000"/>
          <w:spacing w:val="0"/>
          <w:w w:val="100"/>
          <w:position w:val="0"/>
        </w:rPr>
        <w:t>名，近三年年均研发投入达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.86</w:t>
      </w:r>
      <w:r>
        <w:rPr>
          <w:color w:val="000000"/>
          <w:spacing w:val="0"/>
          <w:w w:val="100"/>
          <w:position w:val="0"/>
        </w:rPr>
        <w:t>亿，目前已获得专利、软著等知识产权超过</w:t>
      </w:r>
      <w:r>
        <w:rPr>
          <w:rFonts w:ascii="Times New Roman" w:eastAsia="Times New Roman" w:hAnsi="Times New Roman" w:cs="Times New Roman"/>
          <w:color w:val="000000"/>
          <w:spacing w:val="0"/>
          <w:w w:val="100"/>
          <w:position w:val="0"/>
        </w:rPr>
        <w:t>360</w:t>
      </w:r>
      <w:r>
        <w:rPr>
          <w:color w:val="000000"/>
          <w:spacing w:val="0"/>
          <w:w w:val="100"/>
          <w:position w:val="0"/>
        </w:rPr>
        <w:t>项。</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通过制订科学的项目管理与质量评估指标体系，公司实现了技术研发全方位的项目过程管理与内控。公司围绕</w:t>
      </w:r>
      <w:r>
        <w:rPr>
          <w:rFonts w:ascii="Times New Roman" w:eastAsia="Times New Roman" w:hAnsi="Times New Roman" w:cs="Times New Roman"/>
          <w:color w:val="000000"/>
          <w:spacing w:val="0"/>
          <w:w w:val="100"/>
          <w:position w:val="0"/>
        </w:rPr>
        <w:t>“</w:t>
      </w:r>
      <w:r>
        <w:rPr>
          <w:color w:val="000000"/>
          <w:spacing w:val="0"/>
          <w:w w:val="100"/>
          <w:position w:val="0"/>
        </w:rPr>
        <w:t>管维业 务技术创新与支持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满足客户数字化转型需求</w:t>
      </w:r>
      <w:r>
        <w:rPr>
          <w:rFonts w:ascii="Times New Roman" w:eastAsia="Times New Roman" w:hAnsi="Times New Roman" w:cs="Times New Roman"/>
          <w:color w:val="000000"/>
          <w:spacing w:val="0"/>
          <w:w w:val="100"/>
          <w:position w:val="0"/>
        </w:rPr>
        <w:t>”</w:t>
      </w:r>
      <w:r>
        <w:rPr>
          <w:color w:val="000000"/>
          <w:spacing w:val="0"/>
          <w:w w:val="100"/>
          <w:position w:val="0"/>
        </w:rPr>
        <w:t>等方向，持续加大在数字化平台、数字化业务、能源数字化等领域的研发 投入。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强大的创新研发能力使公司在</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时代，具有的强大的业务创新能力和拓展能力，迅速提升公司网络管维能力， 特别是信息网络和能源网络管维能力，提高公司效率，为公司业务发展奠定了基础。</w:t>
      </w:r>
    </w:p>
    <w:p>
      <w:pPr>
        <w:pStyle w:val="Style18"/>
        <w:keepNext w:val="0"/>
        <w:keepLines w:val="0"/>
        <w:widowControl w:val="0"/>
        <w:shd w:val="clear" w:color="auto" w:fill="auto"/>
        <w:tabs>
          <w:tab w:pos="700" w:val="left"/>
        </w:tabs>
        <w:bidi w:val="0"/>
        <w:spacing w:before="0" w:after="0" w:line="312" w:lineRule="exact"/>
        <w:ind w:left="0" w:right="0"/>
        <w:jc w:val="left"/>
      </w:pPr>
      <w:bookmarkStart w:id="76" w:name="bookmark76"/>
      <w:r>
        <w:rPr>
          <w:rFonts w:ascii="Times New Roman" w:eastAsia="Times New Roman" w:hAnsi="Times New Roman" w:cs="Times New Roman"/>
          <w:b/>
          <w:bCs/>
          <w:color w:val="000000"/>
          <w:spacing w:val="0"/>
          <w:w w:val="100"/>
          <w:position w:val="0"/>
        </w:rPr>
        <w:t>2</w:t>
      </w:r>
      <w:bookmarkEnd w:id="76"/>
      <w:r>
        <w:rPr>
          <w:b/>
          <w:bCs/>
          <w:color w:val="000000"/>
          <w:spacing w:val="0"/>
          <w:w w:val="100"/>
          <w:position w:val="0"/>
        </w:rPr>
        <w:t>、</w:t>
        <w:tab/>
        <w:t>线上数字化平台优势</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公司将标准化、规范化、流程化的管理理念进一步通过数字化平台充分拓展和应用，从而实现管维业务智能化，对系统 和设备的运行情况的数据分析、分析判断、辅助决策、效率提升、隐患诊断、故障预判等，同时实现对线下管维人员和资源 的智能调度。</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数字化平台和智能管维设备的使用，提升了公司的管理能力和经营效率，公司可以对服务网点、资源、人员进行灵活调 度和配置，实现资源和人员的复用，充分提升了公司的管维效率并实现了成本节约；也可以充分满足客户的数字化转型需要， 为客户提供相关产品和解决方案，实现了业务快速拓展。</w:t>
      </w:r>
    </w:p>
    <w:p>
      <w:pPr>
        <w:pStyle w:val="Style18"/>
        <w:keepNext w:val="0"/>
        <w:keepLines w:val="0"/>
        <w:widowControl w:val="0"/>
        <w:shd w:val="clear" w:color="auto" w:fill="auto"/>
        <w:tabs>
          <w:tab w:pos="700" w:val="left"/>
        </w:tabs>
        <w:bidi w:val="0"/>
        <w:spacing w:before="0" w:after="0" w:line="312" w:lineRule="exact"/>
        <w:ind w:left="0" w:right="0"/>
        <w:jc w:val="left"/>
      </w:pPr>
      <w:bookmarkStart w:id="77" w:name="bookmark77"/>
      <w:r>
        <w:rPr>
          <w:rFonts w:ascii="Times New Roman" w:eastAsia="Times New Roman" w:hAnsi="Times New Roman" w:cs="Times New Roman"/>
          <w:b/>
          <w:bCs/>
          <w:color w:val="000000"/>
          <w:spacing w:val="0"/>
          <w:w w:val="100"/>
          <w:position w:val="0"/>
        </w:rPr>
        <w:t>3</w:t>
      </w:r>
      <w:bookmarkEnd w:id="77"/>
      <w:r>
        <w:rPr>
          <w:b/>
          <w:bCs/>
          <w:color w:val="000000"/>
          <w:spacing w:val="0"/>
          <w:w w:val="100"/>
          <w:position w:val="0"/>
        </w:rPr>
        <w:t>、</w:t>
        <w:tab/>
        <w:t>分布广泛的服务网点优势</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公司的服务网点已经覆盖超过</w:t>
      </w:r>
      <w:r>
        <w:rPr>
          <w:rFonts w:ascii="Times New Roman" w:eastAsia="Times New Roman" w:hAnsi="Times New Roman" w:cs="Times New Roman"/>
          <w:color w:val="000000"/>
          <w:spacing w:val="0"/>
          <w:w w:val="100"/>
          <w:position w:val="0"/>
        </w:rPr>
        <w:t>23</w:t>
      </w:r>
      <w:r>
        <w:rPr>
          <w:color w:val="000000"/>
          <w:spacing w:val="0"/>
          <w:w w:val="100"/>
          <w:position w:val="0"/>
        </w:rPr>
        <w:t>个重点省份、</w:t>
      </w:r>
      <w:r>
        <w:rPr>
          <w:rFonts w:ascii="Times New Roman" w:eastAsia="Times New Roman" w:hAnsi="Times New Roman" w:cs="Times New Roman"/>
          <w:color w:val="000000"/>
          <w:spacing w:val="0"/>
          <w:w w:val="100"/>
          <w:position w:val="0"/>
        </w:rPr>
        <w:t>200</w:t>
      </w:r>
      <w:r>
        <w:rPr>
          <w:color w:val="000000"/>
          <w:spacing w:val="0"/>
          <w:w w:val="100"/>
          <w:position w:val="0"/>
        </w:rPr>
        <w:t>个地市、</w:t>
      </w:r>
      <w:r>
        <w:rPr>
          <w:rFonts w:ascii="Times New Roman" w:eastAsia="Times New Roman" w:hAnsi="Times New Roman" w:cs="Times New Roman"/>
          <w:color w:val="000000"/>
          <w:spacing w:val="0"/>
          <w:w w:val="100"/>
          <w:position w:val="0"/>
        </w:rPr>
        <w:t>1200</w:t>
      </w:r>
      <w:r>
        <w:rPr>
          <w:color w:val="000000"/>
          <w:spacing w:val="0"/>
          <w:w w:val="100"/>
          <w:position w:val="0"/>
        </w:rPr>
        <w:t>个县区，在各地形成了</w:t>
      </w:r>
      <w:r>
        <w:rPr>
          <w:rFonts w:ascii="Times New Roman" w:eastAsia="Times New Roman" w:hAnsi="Times New Roman" w:cs="Times New Roman"/>
          <w:color w:val="000000"/>
          <w:spacing w:val="0"/>
          <w:w w:val="100"/>
          <w:position w:val="0"/>
        </w:rPr>
        <w:t>“</w:t>
      </w:r>
      <w:r>
        <w:rPr>
          <w:color w:val="000000"/>
          <w:spacing w:val="0"/>
          <w:w w:val="100"/>
          <w:position w:val="0"/>
        </w:rPr>
        <w:t>技术专家</w:t>
      </w:r>
      <w:r>
        <w:rPr>
          <w:rFonts w:ascii="Times New Roman" w:eastAsia="Times New Roman" w:hAnsi="Times New Roman" w:cs="Times New Roman"/>
          <w:color w:val="000000"/>
          <w:spacing w:val="0"/>
          <w:w w:val="100"/>
          <w:position w:val="0"/>
        </w:rPr>
        <w:t>+</w:t>
      </w:r>
      <w:r>
        <w:rPr>
          <w:color w:val="000000"/>
          <w:spacing w:val="0"/>
          <w:w w:val="100"/>
          <w:position w:val="0"/>
        </w:rPr>
        <w:t>解决方案专家</w:t>
      </w:r>
      <w:r>
        <w:rPr>
          <w:rFonts w:ascii="Times New Roman" w:eastAsia="Times New Roman" w:hAnsi="Times New Roman" w:cs="Times New Roman"/>
          <w:color w:val="000000"/>
          <w:spacing w:val="0"/>
          <w:w w:val="100"/>
          <w:position w:val="0"/>
        </w:rPr>
        <w:t>+</w:t>
      </w:r>
      <w:r>
        <w:rPr>
          <w:color w:val="000000"/>
          <w:spacing w:val="0"/>
          <w:w w:val="100"/>
          <w:position w:val="0"/>
        </w:rPr>
        <w:t>客户 经理</w:t>
      </w:r>
      <w:r>
        <w:rPr>
          <w:rFonts w:ascii="Times New Roman" w:eastAsia="Times New Roman" w:hAnsi="Times New Roman" w:cs="Times New Roman"/>
          <w:color w:val="000000"/>
          <w:spacing w:val="0"/>
          <w:w w:val="100"/>
          <w:position w:val="0"/>
        </w:rPr>
        <w:t>”</w:t>
      </w:r>
      <w:r>
        <w:rPr>
          <w:color w:val="000000"/>
          <w:spacing w:val="0"/>
          <w:w w:val="100"/>
          <w:position w:val="0"/>
        </w:rPr>
        <w:t>的服务铁三角。</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分布广泛的服务网点使公司具备属地管维服务优势，通信网络管维业务上，各地市场份额持续提高，业务品类持续拓展； 信息网络管维业务的典型应用和产品利用公司各地服务网点快速复制推广；能源网络管维业务利用深入县区一级的服务网点 收集的信息进行区域快速拓展。各地服务网点实现了业务叠加，资源和人员得到复用，管维效率和经营效率持续提升。</w:t>
      </w:r>
    </w:p>
    <w:p>
      <w:pPr>
        <w:pStyle w:val="Style18"/>
        <w:keepNext w:val="0"/>
        <w:keepLines w:val="0"/>
        <w:widowControl w:val="0"/>
        <w:shd w:val="clear" w:color="auto" w:fill="auto"/>
        <w:tabs>
          <w:tab w:pos="700" w:val="left"/>
        </w:tabs>
        <w:bidi w:val="0"/>
        <w:spacing w:before="0" w:after="0" w:line="312" w:lineRule="exact"/>
        <w:ind w:left="0" w:right="0"/>
        <w:jc w:val="left"/>
      </w:pPr>
      <w:bookmarkStart w:id="78" w:name="bookmark78"/>
      <w:r>
        <w:rPr>
          <w:rFonts w:ascii="Times New Roman" w:eastAsia="Times New Roman" w:hAnsi="Times New Roman" w:cs="Times New Roman"/>
          <w:b/>
          <w:bCs/>
          <w:color w:val="000000"/>
          <w:spacing w:val="0"/>
          <w:w w:val="100"/>
          <w:position w:val="0"/>
        </w:rPr>
        <w:t>4</w:t>
      </w:r>
      <w:bookmarkEnd w:id="78"/>
      <w:r>
        <w:rPr>
          <w:b/>
          <w:bCs/>
          <w:color w:val="000000"/>
          <w:spacing w:val="0"/>
          <w:w w:val="100"/>
          <w:position w:val="0"/>
        </w:rPr>
        <w:t>、</w:t>
        <w:tab/>
        <w:t>多专业、多层次、多区域的综合管维能力优势</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随着数字化时代的来临，几乎所有行业均相互关联，通信网络需要有电力基础设施才能运行；电力物联网、电网数字化 等改造需要通信网络作为基础；行业数字化离不开通信、电力技术，同时又促进通信、电力技术发展。</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未来基础网络将进入</w:t>
      </w:r>
      <w:r>
        <w:rPr>
          <w:rFonts w:ascii="Times New Roman" w:eastAsia="Times New Roman" w:hAnsi="Times New Roman" w:cs="Times New Roman"/>
          <w:color w:val="000000"/>
          <w:spacing w:val="0"/>
          <w:w w:val="100"/>
          <w:position w:val="0"/>
        </w:rPr>
        <w:t>“</w:t>
      </w:r>
      <w:r>
        <w:rPr>
          <w:color w:val="000000"/>
          <w:spacing w:val="0"/>
          <w:w w:val="100"/>
          <w:position w:val="0"/>
        </w:rPr>
        <w:t>大运维</w:t>
      </w:r>
      <w:r>
        <w:rPr>
          <w:rFonts w:ascii="Times New Roman" w:eastAsia="Times New Roman" w:hAnsi="Times New Roman" w:cs="Times New Roman"/>
          <w:color w:val="000000"/>
          <w:spacing w:val="0"/>
          <w:w w:val="100"/>
          <w:position w:val="0"/>
        </w:rPr>
        <w:t>”</w:t>
      </w:r>
      <w:r>
        <w:rPr>
          <w:color w:val="000000"/>
          <w:spacing w:val="0"/>
          <w:w w:val="100"/>
          <w:position w:val="0"/>
        </w:rPr>
        <w:t>时代，具备多专业、多层次、多区域管理和运维能力的企业将具备良好竞争优势。公司业 务资质种类齐全、等级高，可承接各类规模服务项目，为客户提供从建设到维护与优化、配套业务管理支撑平台建设的全方 位、一体化的综合管维服务，是作为全国范围内为数不多的跨区域的通信信息网络与能源网络管维者，综合管维能力突出， 管维效率高，可全面保障通信网络、信息网络、能源网络畅通。</w:t>
      </w:r>
    </w:p>
    <w:p>
      <w:pPr>
        <w:pStyle w:val="Style18"/>
        <w:keepNext w:val="0"/>
        <w:keepLines w:val="0"/>
        <w:widowControl w:val="0"/>
        <w:shd w:val="clear" w:color="auto" w:fill="auto"/>
        <w:tabs>
          <w:tab w:pos="700" w:val="left"/>
        </w:tabs>
        <w:bidi w:val="0"/>
        <w:spacing w:before="0" w:after="0" w:line="312" w:lineRule="exact"/>
        <w:ind w:left="0" w:right="0"/>
        <w:jc w:val="left"/>
      </w:pPr>
      <w:bookmarkStart w:id="79" w:name="bookmark79"/>
      <w:r>
        <w:rPr>
          <w:rFonts w:ascii="Times New Roman" w:eastAsia="Times New Roman" w:hAnsi="Times New Roman" w:cs="Times New Roman"/>
          <w:b/>
          <w:bCs/>
          <w:color w:val="000000"/>
          <w:spacing w:val="0"/>
          <w:w w:val="100"/>
          <w:position w:val="0"/>
        </w:rPr>
        <w:t>5</w:t>
      </w:r>
      <w:bookmarkEnd w:id="79"/>
      <w:r>
        <w:rPr>
          <w:b/>
          <w:bCs/>
          <w:color w:val="000000"/>
          <w:spacing w:val="0"/>
          <w:w w:val="100"/>
          <w:position w:val="0"/>
        </w:rPr>
        <w:t>、</w:t>
        <w:tab/>
        <w:t>快速响应市场的平台型组织优势</w:t>
      </w:r>
    </w:p>
    <w:p>
      <w:pPr>
        <w:pStyle w:val="Style18"/>
        <w:keepNext w:val="0"/>
        <w:keepLines w:val="0"/>
        <w:widowControl w:val="0"/>
        <w:shd w:val="clear" w:color="auto" w:fill="auto"/>
        <w:bidi w:val="0"/>
        <w:spacing w:before="0" w:after="340" w:line="312" w:lineRule="exact"/>
        <w:ind w:left="0" w:right="0"/>
        <w:jc w:val="left"/>
      </w:pPr>
      <w:r>
        <w:rPr>
          <w:color w:val="000000"/>
          <w:spacing w:val="0"/>
          <w:w w:val="100"/>
          <w:position w:val="0"/>
        </w:rPr>
        <w:t>公司构建了快速响应市场的平台型组织，由</w:t>
      </w:r>
      <w:r>
        <w:rPr>
          <w:rFonts w:ascii="Times New Roman" w:eastAsia="Times New Roman" w:hAnsi="Times New Roman" w:cs="Times New Roman"/>
          <w:color w:val="000000"/>
          <w:spacing w:val="0"/>
          <w:w w:val="100"/>
          <w:position w:val="0"/>
        </w:rPr>
        <w:t>“</w:t>
      </w:r>
      <w:r>
        <w:rPr>
          <w:color w:val="000000"/>
          <w:spacing w:val="0"/>
          <w:w w:val="100"/>
          <w:position w:val="0"/>
        </w:rPr>
        <w:t>前台、中台、后台</w:t>
      </w:r>
      <w:r>
        <w:rPr>
          <w:rFonts w:ascii="Times New Roman" w:eastAsia="Times New Roman" w:hAnsi="Times New Roman" w:cs="Times New Roman"/>
          <w:color w:val="000000"/>
          <w:spacing w:val="0"/>
          <w:w w:val="100"/>
          <w:position w:val="0"/>
        </w:rPr>
        <w:t>”</w:t>
      </w:r>
      <w:r>
        <w:rPr>
          <w:color w:val="000000"/>
          <w:spacing w:val="0"/>
          <w:w w:val="100"/>
          <w:position w:val="0"/>
        </w:rPr>
        <w:t>组成，后台提供战略规划及管理支持，中台提供技术支 持和共享资源池，形成核心技术优势，构建专业化和规模化竞争基础；前台组织形式和机制灵活，吸附更多外部参与主体加 入，抵抗熵增。配套</w:t>
      </w:r>
      <w:r>
        <w:rPr>
          <w:rFonts w:ascii="Times New Roman" w:eastAsia="Times New Roman" w:hAnsi="Times New Roman" w:cs="Times New Roman"/>
          <w:color w:val="000000"/>
          <w:spacing w:val="0"/>
          <w:w w:val="100"/>
          <w:position w:val="0"/>
        </w:rPr>
        <w:t>“</w:t>
      </w:r>
      <w:r>
        <w:rPr>
          <w:color w:val="000000"/>
          <w:spacing w:val="0"/>
          <w:w w:val="100"/>
          <w:position w:val="0"/>
        </w:rPr>
        <w:t>奋斗、公平、共享</w:t>
      </w:r>
      <w:r>
        <w:rPr>
          <w:rFonts w:ascii="Times New Roman" w:eastAsia="Times New Roman" w:hAnsi="Times New Roman" w:cs="Times New Roman"/>
          <w:color w:val="000000"/>
          <w:spacing w:val="0"/>
          <w:w w:val="100"/>
          <w:position w:val="0"/>
        </w:rPr>
        <w:t>”</w:t>
      </w:r>
      <w:r>
        <w:rPr>
          <w:color w:val="000000"/>
          <w:spacing w:val="0"/>
          <w:w w:val="100"/>
          <w:position w:val="0"/>
        </w:rPr>
        <w:t>的文化和激励分享机制，形成齐创共享的组织氛围。</w:t>
      </w:r>
    </w:p>
    <w:p>
      <w:pPr>
        <w:pStyle w:val="Style23"/>
        <w:keepNext/>
        <w:keepLines/>
        <w:widowControl w:val="0"/>
        <w:shd w:val="clear" w:color="auto" w:fill="auto"/>
        <w:bidi w:val="0"/>
        <w:spacing w:before="0" w:after="34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四</w:t>
      </w:r>
      <w:bookmarkEnd w:id="82"/>
      <w:r>
        <w:rPr>
          <w:color w:val="000000"/>
          <w:spacing w:val="0"/>
          <w:w w:val="100"/>
          <w:position w:val="0"/>
          <w:sz w:val="24"/>
          <w:szCs w:val="24"/>
        </w:rPr>
        <w:t>、主营业务分析</w:t>
      </w:r>
      <w:bookmarkEnd w:id="80"/>
      <w:bookmarkEnd w:id="81"/>
      <w:bookmarkEnd w:id="83"/>
    </w:p>
    <w:p>
      <w:pPr>
        <w:pStyle w:val="Style29"/>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1</w:t>
      </w:r>
      <w:bookmarkEnd w:id="86"/>
      <w:r>
        <w:rPr>
          <w:color w:val="000000"/>
          <w:spacing w:val="0"/>
          <w:w w:val="100"/>
          <w:position w:val="0"/>
        </w:rPr>
        <w:t>、概述</w:t>
      </w:r>
      <w:bookmarkEnd w:id="84"/>
      <w:bookmarkEnd w:id="85"/>
      <w:bookmarkEnd w:id="87"/>
    </w:p>
    <w:p>
      <w:pPr>
        <w:pStyle w:val="Style18"/>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66.02</w:t>
      </w:r>
      <w:r>
        <w:rPr>
          <w:color w:val="000000"/>
          <w:spacing w:val="0"/>
          <w:w w:val="100"/>
          <w:position w:val="0"/>
        </w:rPr>
        <w:t>亿，同比增长</w:t>
      </w:r>
      <w:r>
        <w:rPr>
          <w:rFonts w:ascii="Times New Roman" w:eastAsia="Times New Roman" w:hAnsi="Times New Roman" w:cs="Times New Roman"/>
          <w:color w:val="000000"/>
          <w:spacing w:val="0"/>
          <w:w w:val="100"/>
          <w:position w:val="0"/>
        </w:rPr>
        <w:t xml:space="preserve">57.47% </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3.53</w:t>
      </w:r>
      <w:r>
        <w:rPr>
          <w:color w:val="000000"/>
          <w:spacing w:val="0"/>
          <w:w w:val="100"/>
          <w:position w:val="0"/>
        </w:rPr>
        <w:t>亿，同比增长</w:t>
      </w:r>
      <w:r>
        <w:rPr>
          <w:rFonts w:ascii="Times New Roman" w:eastAsia="Times New Roman" w:hAnsi="Times New Roman" w:cs="Times New Roman"/>
          <w:color w:val="000000"/>
          <w:spacing w:val="0"/>
          <w:w w:val="100"/>
          <w:position w:val="0"/>
        </w:rPr>
        <w:t>47.88%</w:t>
      </w:r>
      <w:r>
        <w:rPr>
          <w:color w:val="000000"/>
          <w:spacing w:val="0"/>
          <w:w w:val="100"/>
          <w:position w:val="0"/>
        </w:rPr>
        <w:t>； 整体毛利率</w:t>
      </w:r>
      <w:r>
        <w:rPr>
          <w:rFonts w:ascii="Times New Roman" w:eastAsia="Times New Roman" w:hAnsi="Times New Roman" w:cs="Times New Roman"/>
          <w:color w:val="000000"/>
          <w:spacing w:val="0"/>
          <w:w w:val="100"/>
          <w:position w:val="0"/>
        </w:rPr>
        <w:t>20.21%</w:t>
      </w:r>
      <w:r>
        <w:rPr>
          <w:color w:val="000000"/>
          <w:spacing w:val="0"/>
          <w:w w:val="100"/>
          <w:position w:val="0"/>
        </w:rPr>
        <w:t>，同比提升</w:t>
      </w:r>
      <w:r>
        <w:rPr>
          <w:rFonts w:ascii="Times New Roman" w:eastAsia="Times New Roman" w:hAnsi="Times New Roman" w:cs="Times New Roman"/>
          <w:color w:val="000000"/>
          <w:spacing w:val="0"/>
          <w:w w:val="100"/>
          <w:position w:val="0"/>
        </w:rPr>
        <w:t>3.05</w:t>
      </w:r>
      <w:r>
        <w:rPr>
          <w:color w:val="000000"/>
          <w:spacing w:val="0"/>
          <w:w w:val="100"/>
          <w:position w:val="0"/>
        </w:rPr>
        <w:t>个百分点；其中通信网络管维业务收入增长</w:t>
      </w:r>
      <w:r>
        <w:rPr>
          <w:rFonts w:ascii="Times New Roman" w:eastAsia="Times New Roman" w:hAnsi="Times New Roman" w:cs="Times New Roman"/>
          <w:color w:val="000000"/>
          <w:spacing w:val="0"/>
          <w:w w:val="100"/>
          <w:position w:val="0"/>
        </w:rPr>
        <w:t>27.69%</w:t>
      </w:r>
      <w:r>
        <w:rPr>
          <w:color w:val="000000"/>
          <w:spacing w:val="0"/>
          <w:w w:val="100"/>
          <w:position w:val="0"/>
        </w:rPr>
        <w:t>，信息网络管维业务中，数字化业务收 入同比增长</w:t>
      </w:r>
      <w:r>
        <w:rPr>
          <w:rFonts w:ascii="Times New Roman" w:eastAsia="Times New Roman" w:hAnsi="Times New Roman" w:cs="Times New Roman"/>
          <w:color w:val="000000"/>
          <w:spacing w:val="0"/>
          <w:w w:val="100"/>
          <w:position w:val="0"/>
        </w:rPr>
        <w:t>185.67%</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服务收入同比增长</w:t>
      </w:r>
      <w:r>
        <w:rPr>
          <w:rFonts w:ascii="Times New Roman" w:eastAsia="Times New Roman" w:hAnsi="Times New Roman" w:cs="Times New Roman"/>
          <w:color w:val="000000"/>
          <w:spacing w:val="0"/>
          <w:w w:val="100"/>
          <w:position w:val="0"/>
        </w:rPr>
        <w:t>2071.58%</w:t>
      </w:r>
      <w:r>
        <w:rPr>
          <w:color w:val="000000"/>
          <w:spacing w:val="0"/>
          <w:w w:val="100"/>
          <w:position w:val="0"/>
        </w:rPr>
        <w:t>，能源网络管维业务收入增长</w:t>
      </w:r>
      <w:r>
        <w:rPr>
          <w:rFonts w:ascii="Times New Roman" w:eastAsia="Times New Roman" w:hAnsi="Times New Roman" w:cs="Times New Roman"/>
          <w:color w:val="000000"/>
          <w:spacing w:val="0"/>
          <w:w w:val="100"/>
          <w:position w:val="0"/>
        </w:rPr>
        <w:t>158.11%</w:t>
      </w:r>
      <w:r>
        <w:rPr>
          <w:color w:val="000000"/>
          <w:spacing w:val="0"/>
          <w:w w:val="100"/>
          <w:position w:val="0"/>
        </w:rPr>
        <w:t>；公司持续加大研发投入，</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年研发投入同比增加</w:t>
      </w:r>
      <w:r>
        <w:rPr>
          <w:rFonts w:ascii="Times New Roman" w:eastAsia="Times New Roman" w:hAnsi="Times New Roman" w:cs="Times New Roman"/>
          <w:color w:val="000000"/>
          <w:spacing w:val="0"/>
          <w:w w:val="100"/>
          <w:position w:val="0"/>
        </w:rPr>
        <w:t>66.87%</w:t>
      </w:r>
      <w:r>
        <w:rPr>
          <w:color w:val="000000"/>
          <w:spacing w:val="0"/>
          <w:w w:val="100"/>
          <w:position w:val="0"/>
        </w:rPr>
        <w:t>，占营业收入比例重达</w:t>
      </w:r>
      <w:r>
        <w:rPr>
          <w:rFonts w:ascii="Times New Roman" w:eastAsia="Times New Roman" w:hAnsi="Times New Roman" w:cs="Times New Roman"/>
          <w:color w:val="000000"/>
          <w:spacing w:val="0"/>
          <w:w w:val="100"/>
          <w:position w:val="0"/>
        </w:rPr>
        <w:t>4.18%</w:t>
      </w:r>
      <w:r>
        <w:rPr>
          <w:color w:val="000000"/>
          <w:spacing w:val="0"/>
          <w:w w:val="100"/>
          <w:position w:val="0"/>
        </w:rPr>
        <w:t>；持续加大市场拓展投入力度，在手订单充裕。</w:t>
      </w:r>
    </w:p>
    <w:p>
      <w:pPr>
        <w:pStyle w:val="Style18"/>
        <w:keepNext w:val="0"/>
        <w:keepLines w:val="0"/>
        <w:widowControl w:val="0"/>
        <w:shd w:val="clear" w:color="auto" w:fill="auto"/>
        <w:bidi w:val="0"/>
        <w:spacing w:before="0" w:after="80" w:line="311"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年，公司战略布局和研发投入效果凸显，在</w:t>
      </w: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线下技术服务</w:t>
      </w:r>
      <w:r>
        <w:rPr>
          <w:rFonts w:ascii="Times New Roman" w:eastAsia="Times New Roman" w:hAnsi="Times New Roman" w:cs="Times New Roman"/>
          <w:color w:val="000000"/>
          <w:spacing w:val="0"/>
          <w:w w:val="100"/>
          <w:position w:val="0"/>
        </w:rPr>
        <w:t>”</w:t>
      </w:r>
      <w:r>
        <w:rPr>
          <w:color w:val="000000"/>
          <w:spacing w:val="0"/>
          <w:w w:val="100"/>
          <w:position w:val="0"/>
        </w:rPr>
        <w:t>业务模式、强大的创新研发能力以及 高效灵活的平台型组织的支持下，公司管维业务快速落地，经营业绩进入快速增长时期，形成良好的业务合作生态，规模效 应逐步显现，市场地位持续增强，在手订单充裕，公司进入快速发展通道。</w:t>
      </w:r>
    </w:p>
    <w:p>
      <w:pPr>
        <w:pStyle w:val="Style18"/>
        <w:keepNext w:val="0"/>
        <w:keepLines w:val="0"/>
        <w:widowControl w:val="0"/>
        <w:shd w:val="clear" w:color="auto" w:fill="auto"/>
        <w:bidi w:val="0"/>
        <w:spacing w:before="0" w:after="0"/>
        <w:ind w:left="0" w:right="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rPr>
        <w:t>通信网络管维业务</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在通信网络管维业务上，在数字化管维平台的赋能下，公司形成</w:t>
      </w: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线下技术服务</w:t>
      </w:r>
      <w:r>
        <w:rPr>
          <w:rFonts w:ascii="Times New Roman" w:eastAsia="Times New Roman" w:hAnsi="Times New Roman" w:cs="Times New Roman"/>
          <w:color w:val="000000"/>
          <w:spacing w:val="0"/>
          <w:w w:val="100"/>
          <w:position w:val="0"/>
        </w:rPr>
        <w:t>”</w:t>
      </w:r>
      <w:r>
        <w:rPr>
          <w:color w:val="000000"/>
          <w:spacing w:val="0"/>
          <w:w w:val="100"/>
          <w:position w:val="0"/>
        </w:rPr>
        <w:t>业务模式，实现智能 调度，在提高管维效率、提升管维品质的同时降低了管理成本。</w:t>
      </w:r>
      <w:r>
        <w:rPr>
          <w:rFonts w:ascii="Times New Roman" w:eastAsia="Times New Roman" w:hAnsi="Times New Roman" w:cs="Times New Roman"/>
          <w:color w:val="000000"/>
          <w:spacing w:val="0"/>
          <w:w w:val="100"/>
          <w:position w:val="0"/>
        </w:rPr>
        <w:t>2021</w:t>
      </w:r>
      <w:r>
        <w:rPr>
          <w:color w:val="000000"/>
          <w:spacing w:val="0"/>
          <w:w w:val="100"/>
          <w:position w:val="0"/>
        </w:rPr>
        <w:t>年公司在多个省份、多个专业类型上市场份额得到持续 提升，拓展综合能源管理等业务品类，依托数字化管维平台实施精细化管理，通信网络管维业务营业收入同比增长</w:t>
      </w:r>
      <w:r>
        <w:rPr>
          <w:rFonts w:ascii="Times New Roman" w:eastAsia="Times New Roman" w:hAnsi="Times New Roman" w:cs="Times New Roman"/>
          <w:color w:val="000000"/>
          <w:spacing w:val="0"/>
          <w:w w:val="100"/>
          <w:position w:val="0"/>
        </w:rPr>
        <w:t>27.69%</w:t>
      </w:r>
      <w:r>
        <w:rPr>
          <w:color w:val="000000"/>
          <w:spacing w:val="0"/>
          <w:w w:val="100"/>
          <w:position w:val="0"/>
        </w:rPr>
        <w:t>， 毛利率提升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.09</w:t>
      </w:r>
      <w:r>
        <w:rPr>
          <w:color w:val="000000"/>
          <w:spacing w:val="0"/>
          <w:w w:val="100"/>
          <w:position w:val="0"/>
        </w:rPr>
        <w:t>个百分点。</w:t>
      </w:r>
    </w:p>
    <w:p>
      <w:pPr>
        <w:pStyle w:val="Style18"/>
        <w:keepNext w:val="0"/>
        <w:keepLines w:val="0"/>
        <w:widowControl w:val="0"/>
        <w:shd w:val="clear" w:color="auto" w:fill="auto"/>
        <w:bidi w:val="0"/>
        <w:spacing w:before="0" w:after="80" w:line="311"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年公司取得了多项重要进展，在拓展综合能源管理业务品类上，中标了</w:t>
      </w:r>
      <w:r>
        <w:rPr>
          <w:rFonts w:ascii="Times New Roman" w:eastAsia="Times New Roman" w:hAnsi="Times New Roman" w:cs="Times New Roman"/>
          <w:color w:val="000000"/>
          <w:spacing w:val="0"/>
          <w:w w:val="100"/>
          <w:position w:val="0"/>
        </w:rPr>
        <w:t>“</w:t>
      </w:r>
      <w:r>
        <w:rPr>
          <w:color w:val="000000"/>
          <w:spacing w:val="0"/>
          <w:w w:val="100"/>
          <w:position w:val="0"/>
        </w:rPr>
        <w:t>中国移动</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年新型空调末端系 统集中采购项目</w:t>
      </w:r>
      <w:r>
        <w:rPr>
          <w:rFonts w:ascii="Times New Roman" w:eastAsia="Times New Roman" w:hAnsi="Times New Roman" w:cs="Times New Roman"/>
          <w:color w:val="000000"/>
          <w:spacing w:val="0"/>
          <w:w w:val="100"/>
          <w:position w:val="0"/>
        </w:rPr>
        <w:t>”</w:t>
      </w: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中国移动通信集团有限公司</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年网络综合代维服务采购项目</w:t>
      </w:r>
      <w:r>
        <w:rPr>
          <w:rFonts w:ascii="Times New Roman" w:eastAsia="Times New Roman" w:hAnsi="Times New Roman" w:cs="Times New Roman"/>
          <w:color w:val="000000"/>
          <w:spacing w:val="0"/>
          <w:w w:val="100"/>
          <w:position w:val="0"/>
        </w:rPr>
        <w:t>”</w:t>
      </w:r>
      <w:r>
        <w:rPr>
          <w:color w:val="000000"/>
          <w:spacing w:val="0"/>
          <w:w w:val="100"/>
          <w:position w:val="0"/>
        </w:rPr>
        <w:t>、《中国移动</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年通信工程施工服务集中采购（设备安装）项目》、《中国移动</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 xml:space="preserve">年通信工程施工服务集中采购（传输管线）项 </w:t>
      </w:r>
      <w:r>
        <w:rPr>
          <w:color w:val="000000"/>
          <w:spacing w:val="0"/>
          <w:w w:val="100"/>
          <w:position w:val="0"/>
        </w:rPr>
        <w:t>目》等重要项目中，市场份额得到大幅度提升，公司品牌实力、市场地位持续提升。</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1.2</w:t>
      </w:r>
      <w:r>
        <w:rPr>
          <w:b/>
          <w:bCs/>
          <w:color w:val="000000"/>
          <w:spacing w:val="0"/>
          <w:w w:val="100"/>
          <w:position w:val="0"/>
        </w:rPr>
        <w:t>信息网络管维业务</w:t>
      </w:r>
    </w:p>
    <w:p>
      <w:pPr>
        <w:pStyle w:val="Style18"/>
        <w:keepNext w:val="0"/>
        <w:keepLines w:val="0"/>
        <w:widowControl w:val="0"/>
        <w:shd w:val="clear" w:color="auto" w:fill="auto"/>
        <w:bidi w:val="0"/>
        <w:spacing w:before="0" w:after="0" w:line="308" w:lineRule="exact"/>
        <w:ind w:left="0" w:right="0"/>
        <w:jc w:val="both"/>
      </w:pPr>
      <w:r>
        <w:rPr>
          <w:color w:val="000000"/>
          <w:spacing w:val="0"/>
          <w:w w:val="100"/>
          <w:position w:val="0"/>
        </w:rPr>
        <w:t>在信息网络管维的数字化业务上，公司基于自主研发的数字化平台打造了一系列数字化产品和解决方案，以</w:t>
      </w:r>
      <w:r>
        <w:rPr>
          <w:rFonts w:ascii="Times New Roman" w:eastAsia="Times New Roman" w:hAnsi="Times New Roman" w:cs="Times New Roman"/>
          <w:color w:val="000000"/>
          <w:spacing w:val="0"/>
          <w:w w:val="100"/>
          <w:position w:val="0"/>
        </w:rPr>
        <w:t>“</w:t>
      </w:r>
      <w:r>
        <w:rPr>
          <w:color w:val="000000"/>
          <w:spacing w:val="0"/>
          <w:w w:val="100"/>
          <w:position w:val="0"/>
        </w:rPr>
        <w:t>聚焦产品、 聚焦客户、聚焦渠道、属地化服务</w:t>
      </w:r>
      <w:r>
        <w:rPr>
          <w:rFonts w:ascii="Times New Roman" w:eastAsia="Times New Roman" w:hAnsi="Times New Roman" w:cs="Times New Roman"/>
          <w:color w:val="000000"/>
          <w:spacing w:val="0"/>
          <w:w w:val="100"/>
          <w:position w:val="0"/>
        </w:rPr>
        <w:t>”</w:t>
      </w:r>
      <w:r>
        <w:rPr>
          <w:color w:val="000000"/>
          <w:spacing w:val="0"/>
          <w:w w:val="100"/>
          <w:position w:val="0"/>
        </w:rPr>
        <w:t>的发展核心策略，通过公司线下服务网点快速推广复制，实现了业务快速落地，并且随 着数字化平台的使用及业务成熟度不断提升，整体业务毛利率得到提升。在</w:t>
      </w:r>
      <w:r>
        <w:rPr>
          <w:rFonts w:ascii="Times New Roman" w:eastAsia="Times New Roman" w:hAnsi="Times New Roman" w:cs="Times New Roman"/>
          <w:color w:val="000000"/>
          <w:spacing w:val="0"/>
          <w:w w:val="100"/>
          <w:position w:val="0"/>
        </w:rPr>
        <w:t>IDC</w:t>
      </w:r>
      <w:r>
        <w:rPr>
          <w:color w:val="000000"/>
          <w:spacing w:val="0"/>
          <w:w w:val="100"/>
          <w:position w:val="0"/>
        </w:rPr>
        <w:t>服务上，公司打造了覆盖</w:t>
      </w:r>
      <w:r>
        <w:rPr>
          <w:rFonts w:ascii="Times New Roman" w:eastAsia="Times New Roman" w:hAnsi="Times New Roman" w:cs="Times New Roman"/>
          <w:color w:val="000000"/>
          <w:spacing w:val="0"/>
          <w:w w:val="100"/>
          <w:position w:val="0"/>
        </w:rPr>
        <w:t>IDC</w:t>
      </w:r>
      <w:r>
        <w:rPr>
          <w:color w:val="000000"/>
          <w:spacing w:val="0"/>
          <w:w w:val="100"/>
          <w:position w:val="0"/>
        </w:rPr>
        <w:t>全生命周期的 服务，以运营商数据中心、数据机房等为切入点，快速进行业务拓展，公司可转债募投项目</w:t>
      </w:r>
      <w:r>
        <w:rPr>
          <w:rFonts w:ascii="Times New Roman" w:eastAsia="Times New Roman" w:hAnsi="Times New Roman" w:cs="Times New Roman"/>
          <w:color w:val="000000"/>
          <w:spacing w:val="0"/>
          <w:w w:val="100"/>
          <w:position w:val="0"/>
        </w:rPr>
        <w:t>“</w:t>
      </w:r>
      <w:r>
        <w:rPr>
          <w:color w:val="000000"/>
          <w:spacing w:val="0"/>
          <w:w w:val="100"/>
          <w:position w:val="0"/>
        </w:rPr>
        <w:t>五象云谷云计算中心</w:t>
      </w:r>
      <w:r>
        <w:rPr>
          <w:rFonts w:ascii="Times New Roman" w:eastAsia="Times New Roman" w:hAnsi="Times New Roman" w:cs="Times New Roman"/>
          <w:color w:val="000000"/>
          <w:spacing w:val="0"/>
          <w:w w:val="100"/>
          <w:position w:val="0"/>
        </w:rPr>
        <w:t>”</w:t>
      </w:r>
      <w:r>
        <w:rPr>
          <w:color w:val="000000"/>
          <w:spacing w:val="0"/>
          <w:w w:val="100"/>
          <w:position w:val="0"/>
        </w:rPr>
        <w:t>已完成土 建和部分机电设备安装，将于</w:t>
      </w:r>
      <w:r>
        <w:rPr>
          <w:rFonts w:ascii="Times New Roman" w:eastAsia="Times New Roman" w:hAnsi="Times New Roman" w:cs="Times New Roman"/>
          <w:color w:val="000000"/>
          <w:spacing w:val="0"/>
          <w:w w:val="100"/>
          <w:position w:val="0"/>
        </w:rPr>
        <w:t>2022</w:t>
      </w:r>
      <w:r>
        <w:rPr>
          <w:color w:val="000000"/>
          <w:spacing w:val="0"/>
          <w:w w:val="100"/>
          <w:position w:val="0"/>
        </w:rPr>
        <w:t>年开始投产运营，目前已和部分客户签订了意向协议，本地和异地灾备需求旺盛，整体业 务拓展良好。</w:t>
      </w:r>
    </w:p>
    <w:p>
      <w:pPr>
        <w:pStyle w:val="Style18"/>
        <w:keepNext w:val="0"/>
        <w:keepLines w:val="0"/>
        <w:widowControl w:val="0"/>
        <w:shd w:val="clear" w:color="auto" w:fill="auto"/>
        <w:bidi w:val="0"/>
        <w:spacing w:before="0" w:after="80" w:line="308"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年，信息网络管维业务营业收入同比增长</w:t>
      </w:r>
      <w:r>
        <w:rPr>
          <w:rFonts w:ascii="Times New Roman" w:eastAsia="Times New Roman" w:hAnsi="Times New Roman" w:cs="Times New Roman"/>
          <w:color w:val="000000"/>
          <w:spacing w:val="0"/>
          <w:w w:val="100"/>
          <w:position w:val="0"/>
        </w:rPr>
        <w:t>211.75%</w:t>
      </w:r>
      <w:r>
        <w:rPr>
          <w:color w:val="000000"/>
          <w:spacing w:val="0"/>
          <w:w w:val="100"/>
          <w:position w:val="0"/>
        </w:rPr>
        <w:t>，其中数字化业务营业收入同比增长</w:t>
      </w:r>
      <w:r>
        <w:rPr>
          <w:rFonts w:ascii="Times New Roman" w:eastAsia="Times New Roman" w:hAnsi="Times New Roman" w:cs="Times New Roman"/>
          <w:color w:val="000000"/>
          <w:spacing w:val="0"/>
          <w:w w:val="100"/>
          <w:position w:val="0"/>
        </w:rPr>
        <w:t>185.67%</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服务营业收入 同比增长</w:t>
      </w:r>
      <w:r>
        <w:rPr>
          <w:rFonts w:ascii="Times New Roman" w:eastAsia="Times New Roman" w:hAnsi="Times New Roman" w:cs="Times New Roman"/>
          <w:color w:val="000000"/>
          <w:spacing w:val="0"/>
          <w:w w:val="100"/>
          <w:position w:val="0"/>
        </w:rPr>
        <w:t>2071.58%</w:t>
      </w:r>
      <w:r>
        <w:rPr>
          <w:color w:val="000000"/>
          <w:spacing w:val="0"/>
          <w:w w:val="100"/>
          <w:position w:val="0"/>
        </w:rPr>
        <w:t>；信息网络管维业务毛利率提升</w:t>
      </w:r>
      <w:r>
        <w:rPr>
          <w:rFonts w:ascii="Times New Roman" w:eastAsia="Times New Roman" w:hAnsi="Times New Roman" w:cs="Times New Roman"/>
          <w:color w:val="000000"/>
          <w:spacing w:val="0"/>
          <w:w w:val="100"/>
          <w:position w:val="0"/>
        </w:rPr>
        <w:t>9.01</w:t>
      </w:r>
      <w:r>
        <w:rPr>
          <w:color w:val="000000"/>
          <w:spacing w:val="0"/>
          <w:w w:val="100"/>
          <w:position w:val="0"/>
        </w:rPr>
        <w:t>个百分点。公司取得了</w:t>
      </w:r>
      <w:r>
        <w:rPr>
          <w:rFonts w:ascii="Times New Roman" w:eastAsia="Times New Roman" w:hAnsi="Times New Roman" w:cs="Times New Roman"/>
          <w:color w:val="000000"/>
          <w:spacing w:val="0"/>
          <w:w w:val="100"/>
          <w:position w:val="0"/>
        </w:rPr>
        <w:t>“</w:t>
      </w:r>
      <w:r>
        <w:rPr>
          <w:color w:val="000000"/>
          <w:spacing w:val="0"/>
          <w:w w:val="100"/>
          <w:position w:val="0"/>
        </w:rPr>
        <w:t>湖南公安厅信息化运维及通信保障服务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东 莞松山湖北区学校（国家级未来学校试点项目）</w:t>
      </w:r>
      <w:r>
        <w:rPr>
          <w:rFonts w:ascii="Times New Roman" w:eastAsia="Times New Roman" w:hAnsi="Times New Roman" w:cs="Times New Roman"/>
          <w:color w:val="000000"/>
          <w:spacing w:val="0"/>
          <w:w w:val="100"/>
          <w:position w:val="0"/>
        </w:rPr>
        <w:t>”</w:t>
      </w:r>
      <w:r>
        <w:rPr>
          <w:color w:val="000000"/>
          <w:spacing w:val="0"/>
          <w:w w:val="100"/>
          <w:position w:val="0"/>
        </w:rPr>
        <w:t>、《中国移动广东公司</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年通信机房配套施工服务公开招标项 目》等典型项目应用。</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1.3</w:t>
      </w:r>
      <w:r>
        <w:rPr>
          <w:b/>
          <w:bCs/>
          <w:color w:val="000000"/>
          <w:spacing w:val="0"/>
          <w:w w:val="100"/>
          <w:position w:val="0"/>
        </w:rPr>
        <w:t>能源网络管维业务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在能源网络管维业务上，公司充分发挥线上数字化平台优势，持续提升管维能力和产品能力；发挥线下服务优势，迅速 进行业务拓展，在广西、广东、四川、河北、宁夏等省份打造优势区域，与合作伙伴形成了良好合作生态；发挥公司在管维 经营和能力上的优势，在新能源电站管维业务拓展中，形成了特有的开发、建设、运维模式。</w:t>
      </w:r>
    </w:p>
    <w:p>
      <w:pPr>
        <w:pStyle w:val="Style18"/>
        <w:keepNext w:val="0"/>
        <w:keepLines w:val="0"/>
        <w:widowControl w:val="0"/>
        <w:shd w:val="clear" w:color="auto" w:fill="auto"/>
        <w:bidi w:val="0"/>
        <w:spacing w:before="0" w:after="8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年公司能源网络管维业务营业收入同比增长</w:t>
      </w:r>
      <w:r>
        <w:rPr>
          <w:rFonts w:ascii="Times New Roman" w:eastAsia="Times New Roman" w:hAnsi="Times New Roman" w:cs="Times New Roman"/>
          <w:color w:val="000000"/>
          <w:spacing w:val="0"/>
          <w:w w:val="100"/>
          <w:position w:val="0"/>
        </w:rPr>
        <w:t>158.11%</w:t>
      </w:r>
      <w:r>
        <w:rPr>
          <w:color w:val="000000"/>
          <w:spacing w:val="0"/>
          <w:w w:val="100"/>
          <w:position w:val="0"/>
        </w:rPr>
        <w:t>，毛利率提升</w:t>
      </w:r>
      <w:r>
        <w:rPr>
          <w:rFonts w:ascii="Times New Roman" w:eastAsia="Times New Roman" w:hAnsi="Times New Roman" w:cs="Times New Roman"/>
          <w:color w:val="000000"/>
          <w:spacing w:val="0"/>
          <w:w w:val="100"/>
          <w:position w:val="0"/>
        </w:rPr>
        <w:t>5.37</w:t>
      </w:r>
      <w:r>
        <w:rPr>
          <w:color w:val="000000"/>
          <w:spacing w:val="0"/>
          <w:w w:val="100"/>
          <w:position w:val="0"/>
        </w:rPr>
        <w:t>个百分点。公司与桂林市永福县人民政府签 订整县屋顶分布式光伏发电项目开发协议，该项目预计总容量约</w:t>
      </w:r>
      <w:r>
        <w:rPr>
          <w:rFonts w:ascii="Times New Roman" w:eastAsia="Times New Roman" w:hAnsi="Times New Roman" w:cs="Times New Roman"/>
          <w:color w:val="000000"/>
          <w:spacing w:val="0"/>
          <w:w w:val="100"/>
          <w:position w:val="0"/>
        </w:rPr>
        <w:t>409MW</w:t>
      </w:r>
      <w:r>
        <w:rPr>
          <w:color w:val="000000"/>
          <w:spacing w:val="0"/>
          <w:w w:val="100"/>
          <w:position w:val="0"/>
        </w:rPr>
        <w:t>，</w:t>
      </w:r>
      <w:r>
        <w:rPr>
          <w:color w:val="000000"/>
          <w:spacing w:val="0"/>
          <w:w w:val="100"/>
          <w:position w:val="0"/>
        </w:rPr>
        <w:t>预计总投资金额为</w:t>
      </w:r>
      <w:r>
        <w:rPr>
          <w:rFonts w:ascii="Times New Roman" w:eastAsia="Times New Roman" w:hAnsi="Times New Roman" w:cs="Times New Roman"/>
          <w:color w:val="000000"/>
          <w:spacing w:val="0"/>
          <w:w w:val="100"/>
          <w:position w:val="0"/>
        </w:rPr>
        <w:t>18.06</w:t>
      </w:r>
      <w:r>
        <w:rPr>
          <w:color w:val="000000"/>
          <w:spacing w:val="0"/>
          <w:w w:val="100"/>
          <w:position w:val="0"/>
        </w:rPr>
        <w:t>亿元；控股子公司润建新 能源与合山市人民政府签订了新能源发电项目开发投资协议，拟规划建设容量约</w:t>
      </w:r>
      <w:r>
        <w:rPr>
          <w:rFonts w:ascii="Times New Roman" w:eastAsia="Times New Roman" w:hAnsi="Times New Roman" w:cs="Times New Roman"/>
          <w:color w:val="000000"/>
          <w:spacing w:val="0"/>
          <w:w w:val="100"/>
          <w:position w:val="0"/>
        </w:rPr>
        <w:t xml:space="preserve">200MW </w:t>
      </w:r>
      <w:r>
        <w:rPr>
          <w:color w:val="000000"/>
          <w:spacing w:val="0"/>
          <w:w w:val="100"/>
          <w:position w:val="0"/>
        </w:rPr>
        <w:t>（其中分布式光伏</w:t>
      </w:r>
      <w:r>
        <w:rPr>
          <w:rFonts w:ascii="Times New Roman" w:eastAsia="Times New Roman" w:hAnsi="Times New Roman" w:cs="Times New Roman"/>
          <w:color w:val="000000"/>
          <w:spacing w:val="0"/>
          <w:w w:val="100"/>
          <w:position w:val="0"/>
        </w:rPr>
        <w:t>50MW</w:t>
      </w:r>
      <w:r>
        <w:rPr>
          <w:color w:val="000000"/>
          <w:spacing w:val="0"/>
          <w:w w:val="100"/>
          <w:position w:val="0"/>
        </w:rPr>
        <w:t>、风能发 电</w:t>
      </w:r>
      <w:r>
        <w:rPr>
          <w:rFonts w:ascii="Times New Roman" w:eastAsia="Times New Roman" w:hAnsi="Times New Roman" w:cs="Times New Roman"/>
          <w:color w:val="000000"/>
          <w:spacing w:val="0"/>
          <w:w w:val="100"/>
          <w:position w:val="0"/>
        </w:rPr>
        <w:t>150MW</w:t>
      </w:r>
      <w:r>
        <w:rPr>
          <w:color w:val="000000"/>
          <w:spacing w:val="0"/>
          <w:w w:val="100"/>
          <w:position w:val="0"/>
        </w:rPr>
        <w:t>），预计总开发投资金额为</w:t>
      </w:r>
      <w:r>
        <w:rPr>
          <w:rFonts w:ascii="Times New Roman" w:eastAsia="Times New Roman" w:hAnsi="Times New Roman" w:cs="Times New Roman"/>
          <w:color w:val="000000"/>
          <w:spacing w:val="0"/>
          <w:w w:val="100"/>
          <w:position w:val="0"/>
        </w:rPr>
        <w:t>20</w:t>
      </w:r>
      <w:r>
        <w:rPr>
          <w:color w:val="000000"/>
          <w:spacing w:val="0"/>
          <w:w w:val="100"/>
          <w:position w:val="0"/>
        </w:rPr>
        <w:t>亿元。</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b/>
          <w:bCs/>
          <w:color w:val="000000"/>
          <w:spacing w:val="0"/>
          <w:w w:val="100"/>
          <w:position w:val="0"/>
        </w:rPr>
        <w:t>1.4</w:t>
      </w:r>
      <w:r>
        <w:rPr>
          <w:b/>
          <w:bCs/>
          <w:color w:val="000000"/>
          <w:spacing w:val="0"/>
          <w:w w:val="100"/>
          <w:position w:val="0"/>
        </w:rPr>
        <w:t>技术研发和经营管理</w:t>
      </w:r>
    </w:p>
    <w:p>
      <w:pPr>
        <w:pStyle w:val="Style18"/>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在技术研发及经营管理上，公司提出了创新发展三大策略，以技术创新、模式创新和管理创新驱动公司发展，塑造核心 竞争力。在技术创新上，公司以</w:t>
      </w:r>
      <w:r>
        <w:rPr>
          <w:rFonts w:ascii="Times New Roman" w:eastAsia="Times New Roman" w:hAnsi="Times New Roman" w:cs="Times New Roman"/>
          <w:color w:val="000000"/>
          <w:spacing w:val="0"/>
          <w:w w:val="100"/>
          <w:position w:val="0"/>
        </w:rPr>
        <w:t>“</w:t>
      </w:r>
      <w:r>
        <w:rPr>
          <w:color w:val="000000"/>
          <w:spacing w:val="0"/>
          <w:w w:val="100"/>
          <w:position w:val="0"/>
        </w:rPr>
        <w:t>让技术成为追求，让技术成就梦想</w:t>
      </w:r>
      <w:r>
        <w:rPr>
          <w:rFonts w:ascii="Times New Roman" w:eastAsia="Times New Roman" w:hAnsi="Times New Roman" w:cs="Times New Roman"/>
          <w:color w:val="000000"/>
          <w:spacing w:val="0"/>
          <w:w w:val="100"/>
          <w:position w:val="0"/>
        </w:rPr>
        <w:t>”</w:t>
      </w:r>
      <w:r>
        <w:rPr>
          <w:color w:val="000000"/>
          <w:spacing w:val="0"/>
          <w:w w:val="100"/>
          <w:position w:val="0"/>
        </w:rPr>
        <w:t>的理念，围绕</w:t>
      </w:r>
      <w:r>
        <w:rPr>
          <w:rFonts w:ascii="Times New Roman" w:eastAsia="Times New Roman" w:hAnsi="Times New Roman" w:cs="Times New Roman"/>
          <w:color w:val="000000"/>
          <w:spacing w:val="0"/>
          <w:w w:val="100"/>
          <w:position w:val="0"/>
        </w:rPr>
        <w:t>“</w:t>
      </w:r>
      <w:r>
        <w:rPr>
          <w:color w:val="000000"/>
          <w:spacing w:val="0"/>
          <w:w w:val="100"/>
          <w:position w:val="0"/>
        </w:rPr>
        <w:t>管维业务技术创新与支持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满足客户 数字化转型需求</w:t>
      </w:r>
      <w:r>
        <w:rPr>
          <w:rFonts w:ascii="Times New Roman" w:eastAsia="Times New Roman" w:hAnsi="Times New Roman" w:cs="Times New Roman"/>
          <w:color w:val="000000"/>
          <w:spacing w:val="0"/>
          <w:w w:val="100"/>
          <w:position w:val="0"/>
        </w:rPr>
        <w:t>”</w:t>
      </w:r>
      <w:r>
        <w:rPr>
          <w:color w:val="000000"/>
          <w:spacing w:val="0"/>
          <w:w w:val="100"/>
          <w:position w:val="0"/>
        </w:rPr>
        <w:t>等方向，重点在</w:t>
      </w:r>
      <w:r>
        <w:rPr>
          <w:rFonts w:ascii="Times New Roman" w:eastAsia="Times New Roman" w:hAnsi="Times New Roman" w:cs="Times New Roman"/>
          <w:color w:val="000000"/>
          <w:spacing w:val="0"/>
          <w:w w:val="100"/>
          <w:position w:val="0"/>
        </w:rPr>
        <w:t>“</w:t>
      </w:r>
      <w:r>
        <w:rPr>
          <w:color w:val="000000"/>
          <w:spacing w:val="0"/>
          <w:w w:val="100"/>
          <w:position w:val="0"/>
        </w:rPr>
        <w:t>基于</w:t>
      </w:r>
      <w:r>
        <w:rPr>
          <w:rFonts w:ascii="Times New Roman" w:eastAsia="Times New Roman" w:hAnsi="Times New Roman" w:cs="Times New Roman"/>
          <w:color w:val="000000"/>
          <w:spacing w:val="0"/>
          <w:w w:val="100"/>
          <w:position w:val="0"/>
        </w:rPr>
        <w:t>5G</w:t>
      </w:r>
      <w:r>
        <w:rPr>
          <w:color w:val="000000"/>
          <w:spacing w:val="0"/>
          <w:w w:val="100"/>
          <w:position w:val="0"/>
        </w:rPr>
        <w:t>的应用技术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数字化与智能化技术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能源技术（面向碳中和技术）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融合技 术（数字化与能源、通信与能源）</w:t>
      </w:r>
      <w:r>
        <w:rPr>
          <w:rFonts w:ascii="Times New Roman" w:eastAsia="Times New Roman" w:hAnsi="Times New Roman" w:cs="Times New Roman"/>
          <w:color w:val="000000"/>
          <w:spacing w:val="0"/>
          <w:w w:val="100"/>
          <w:position w:val="0"/>
        </w:rPr>
        <w:t>”</w:t>
      </w:r>
      <w:r>
        <w:rPr>
          <w:color w:val="000000"/>
          <w:spacing w:val="0"/>
          <w:w w:val="100"/>
          <w:position w:val="0"/>
        </w:rPr>
        <w:t>等方面进行创新和研发。在模式创新上，重点进行：业务模式创新，提高服务效率和业 务附加值；合作模式创新，形成合作生态；商业模式创新，由</w:t>
      </w:r>
      <w:r>
        <w:rPr>
          <w:rFonts w:ascii="Times New Roman" w:eastAsia="Times New Roman" w:hAnsi="Times New Roman" w:cs="Times New Roman"/>
          <w:color w:val="000000"/>
          <w:spacing w:val="0"/>
          <w:w w:val="100"/>
          <w:position w:val="0"/>
        </w:rPr>
        <w:t>ToB</w:t>
      </w:r>
      <w:r>
        <w:rPr>
          <w:color w:val="000000"/>
          <w:spacing w:val="0"/>
          <w:w w:val="100"/>
          <w:position w:val="0"/>
        </w:rPr>
        <w:t>向</w:t>
      </w:r>
      <w:r>
        <w:rPr>
          <w:rFonts w:ascii="Times New Roman" w:eastAsia="Times New Roman" w:hAnsi="Times New Roman" w:cs="Times New Roman"/>
          <w:color w:val="000000"/>
          <w:spacing w:val="0"/>
          <w:w w:val="100"/>
          <w:position w:val="0"/>
        </w:rPr>
        <w:t>ToC</w:t>
      </w:r>
      <w:r>
        <w:rPr>
          <w:color w:val="000000"/>
          <w:spacing w:val="0"/>
          <w:w w:val="100"/>
          <w:position w:val="0"/>
        </w:rPr>
        <w:t>延伸，提升公司整体价值。在管理创新上，持续深 化数字化管理机制创新，提高效率效能；激励机制创新，激活内驱力；协同机制创新，实现协同发展；共享机制创新，实现 资源复用。</w:t>
      </w:r>
    </w:p>
    <w:p>
      <w:pPr>
        <w:pStyle w:val="Style29"/>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2</w:t>
      </w:r>
      <w:bookmarkEnd w:id="90"/>
      <w:r>
        <w:rPr>
          <w:color w:val="000000"/>
          <w:spacing w:val="0"/>
          <w:w w:val="100"/>
          <w:position w:val="0"/>
        </w:rPr>
        <w:t>、收入与成本</w:t>
      </w:r>
      <w:bookmarkEnd w:id="88"/>
      <w:bookmarkEnd w:id="89"/>
      <w:bookmarkEnd w:id="91"/>
    </w:p>
    <w:p>
      <w:pPr>
        <w:pStyle w:val="Style40"/>
        <w:keepNext/>
        <w:keepLines/>
        <w:widowControl w:val="0"/>
        <w:shd w:val="clear" w:color="auto" w:fill="auto"/>
        <w:bidi w:val="0"/>
        <w:spacing w:before="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2"/>
      <w:bookmarkEnd w:id="93"/>
      <w:bookmarkEnd w:id="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6,602,328,309.95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4,192,633,827.73</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w:t>
            </w:r>
          </w:p>
        </w:tc>
      </w:tr>
      <w:tr>
        <w:trPr>
          <w:trHeight w:val="39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管维业务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6,600,349,794.63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4,189,313,754.72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1,978,515.32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3,320,073.01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w:t>
            </w:r>
          </w:p>
        </w:tc>
      </w:tr>
      <w:tr>
        <w:trPr>
          <w:trHeight w:val="408"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通信网络管维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4,347,747,815.90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3,404,995,522.20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信息网络管维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1,326,317,951.68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425,446,771.76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其中：数字化业务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1,198,575,560.63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419,564,318.20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IDC</w:t>
            </w: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127,742,391.05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5,882,453.56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2,071.58%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能源网络管维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926,284,027.05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358,871,460.76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1,978,515.32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3,320,073.01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-40.41%</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3,655,349,156.16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2,001,614,975.39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896,052,667.93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740,926,837.45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769,203,934.61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467,101,401.17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490,119,175.60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380,844,606.79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458,627,493.12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320,988,277.65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249,450,664.50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235,836,288.72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67,844,703.03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43,776,516.76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15,680,515.00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1,544,923.80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914.97%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6,602,328,309.95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4,192,633,827.73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1,188,644,35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1,744,473,07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1,647,669,72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2,021,541,15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661,219,051.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1,058,719,57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1,127,959,41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1,344,735,78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69,129,547.3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96,310,400.1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90,853,182.3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96,690,649.5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40,722,889.1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49,334,428.6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55,053,667.3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93,592,102.5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360" w:line="317" w:lineRule="exact"/>
        <w:ind w:left="0" w:right="0" w:firstLine="360"/>
        <w:jc w:val="left"/>
      </w:pPr>
      <w:r>
        <w:rPr>
          <w:color w:val="000000"/>
          <w:spacing w:val="0"/>
          <w:w w:val="100"/>
          <w:position w:val="0"/>
        </w:rPr>
        <w:t>公司收入主要来源于管维业务，客户主要系运营商、中国铁塔、政府、学校等单位，一季度受春节假期、客户投资规划 及年度预算审批等因素影响，需求量和派单量相对较少，导致一季度收入较低。</w:t>
      </w:r>
    </w:p>
    <w:p>
      <w:pPr>
        <w:pStyle w:val="Style40"/>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6"/>
      <w:bookmarkEnd w:id="97"/>
      <w:bookmarkEnd w:id="99"/>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管维业务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6,600,349,794.63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5,266,163,009.07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通信网络管维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4,347,747,815.90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3,463,431,562.96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信息网络管维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1,326,317,951.68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1,040,571,513.36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其中：数字化业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1,198,575,560.63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934,588,718.50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IDC</w:t>
            </w:r>
            <w:r>
              <w:rPr>
                <w:color w:val="000000"/>
                <w:spacing w:val="0"/>
                <w:w w:val="100"/>
                <w:position w:val="0"/>
              </w:rPr>
              <w:t>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127,742,391.05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105,982,794.86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能源网络管维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926,284,027.05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762,159,932.75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3,653,370,640.84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2,924,647,793.86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896,052,667.93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722,829,679.39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769,203,934.61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592,315,350.84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1"/>
      <w:bookmarkEnd w:id="103"/>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4"/>
      <w:bookmarkEnd w:id="105"/>
      <w:bookmarkEnd w:id="107"/>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8"/>
      <w:bookmarkEnd w:id="109"/>
      <w:bookmarkEnd w:id="111"/>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管维业务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199,041,602.50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139,954,032.77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管维业务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3,806,700,130.72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2,684,041,741.15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管维业务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970,099,644.47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388,044,537.41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管维业务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290,321,631.38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258,284,576.16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5,266,163,009.07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3,470,324,887.49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本报告期内，成本同比上升</w:t>
      </w:r>
      <w:r>
        <w:rPr>
          <w:rFonts w:ascii="Times New Roman" w:eastAsia="Times New Roman" w:hAnsi="Times New Roman" w:cs="Times New Roman"/>
          <w:color w:val="000000"/>
          <w:spacing w:val="0"/>
          <w:w w:val="100"/>
          <w:position w:val="0"/>
        </w:rPr>
        <w:t>51.75%</w:t>
      </w:r>
      <w:r>
        <w:rPr>
          <w:color w:val="000000"/>
          <w:spacing w:val="0"/>
          <w:w w:val="100"/>
          <w:position w:val="0"/>
        </w:rPr>
        <w:t>，主要系营业收入增长对应成本投入增加所致，成本结构基本保持稳定，材料费占比略 有上升：</w:t>
      </w:r>
    </w:p>
    <w:p>
      <w:pPr>
        <w:pStyle w:val="Style18"/>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年，公司新业务快速发展，业务叠加呈现规模效益，且进一步加强智能化作业应用推广，采取</w:t>
      </w: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线 下技术服务</w:t>
      </w:r>
      <w:r>
        <w:rPr>
          <w:rFonts w:ascii="Times New Roman" w:eastAsia="Times New Roman" w:hAnsi="Times New Roman" w:cs="Times New Roman"/>
          <w:color w:val="000000"/>
          <w:spacing w:val="0"/>
          <w:w w:val="100"/>
          <w:position w:val="0"/>
        </w:rPr>
        <w:t>”</w:t>
      </w:r>
      <w:r>
        <w:rPr>
          <w:color w:val="000000"/>
          <w:spacing w:val="0"/>
          <w:w w:val="100"/>
          <w:position w:val="0"/>
        </w:rPr>
        <w:t>模式，数字化管理平台、安全管理平台等逐步提升项目管理、业务运营各方面的运营管理效率，效果凸显，职 工薪酬同比上升</w:t>
      </w:r>
      <w:r>
        <w:rPr>
          <w:rFonts w:ascii="Times New Roman" w:eastAsia="Times New Roman" w:hAnsi="Times New Roman" w:cs="Times New Roman"/>
          <w:color w:val="000000"/>
          <w:spacing w:val="0"/>
          <w:w w:val="100"/>
          <w:position w:val="0"/>
        </w:rPr>
        <w:t>42.22%</w:t>
      </w:r>
      <w:r>
        <w:rPr>
          <w:color w:val="000000"/>
          <w:spacing w:val="0"/>
          <w:w w:val="100"/>
          <w:position w:val="0"/>
        </w:rPr>
        <w:t>，劳务分包费上升</w:t>
      </w:r>
      <w:r>
        <w:rPr>
          <w:rFonts w:ascii="Times New Roman" w:eastAsia="Times New Roman" w:hAnsi="Times New Roman" w:cs="Times New Roman"/>
          <w:color w:val="000000"/>
          <w:spacing w:val="0"/>
          <w:w w:val="100"/>
          <w:position w:val="0"/>
        </w:rPr>
        <w:t>41.83%</w:t>
      </w:r>
      <w:r>
        <w:rPr>
          <w:color w:val="000000"/>
          <w:spacing w:val="0"/>
          <w:w w:val="100"/>
          <w:position w:val="0"/>
        </w:rPr>
        <w:t>，间接费用同比上升</w:t>
      </w:r>
      <w:r>
        <w:rPr>
          <w:rFonts w:ascii="Times New Roman" w:eastAsia="Times New Roman" w:hAnsi="Times New Roman" w:cs="Times New Roman"/>
          <w:color w:val="000000"/>
          <w:spacing w:val="0"/>
          <w:w w:val="100"/>
          <w:position w:val="0"/>
        </w:rPr>
        <w:t>12.4%</w:t>
      </w:r>
      <w:r>
        <w:rPr>
          <w:color w:val="000000"/>
          <w:spacing w:val="0"/>
          <w:w w:val="100"/>
          <w:position w:val="0"/>
        </w:rPr>
        <w:t>，整体增幅低于收入增长幅度；</w:t>
      </w:r>
      <w:r>
        <w:br w:type="page"/>
      </w:r>
    </w:p>
    <w:p>
      <w:pPr>
        <w:pStyle w:val="Style18"/>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、材料费同比增加</w:t>
      </w:r>
      <w:r>
        <w:rPr>
          <w:rFonts w:ascii="Times New Roman" w:eastAsia="Times New Roman" w:hAnsi="Times New Roman" w:cs="Times New Roman"/>
          <w:color w:val="000000"/>
          <w:spacing w:val="0"/>
          <w:w w:val="100"/>
          <w:position w:val="0"/>
        </w:rPr>
        <w:t>150%</w:t>
      </w:r>
      <w:r>
        <w:rPr>
          <w:color w:val="000000"/>
          <w:spacing w:val="0"/>
          <w:w w:val="100"/>
          <w:position w:val="0"/>
        </w:rPr>
        <w:t>，主要系公司信息网络管维和能源网络管维业务增长，对外采购材料金额增加所致。</w:t>
      </w:r>
    </w:p>
    <w:p>
      <w:pPr>
        <w:pStyle w:val="Style18"/>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 主营业务成本构成</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199,041,602.50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139,954,032.77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劳务分包费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3,806,700,130.72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2,684,041,741.15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970,099,644.47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388,044,537.41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间接费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290,321,631.38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258,284,576.16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5,266,163,009.07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3,470,324,887.49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51.75%</w:t>
            </w:r>
          </w:p>
        </w:tc>
      </w:tr>
    </w:tbl>
    <w:p>
      <w:pPr>
        <w:widowControl w:val="0"/>
        <w:spacing w:after="299" w:line="1" w:lineRule="exact"/>
      </w:pPr>
    </w:p>
    <w:p>
      <w:pPr>
        <w:pStyle w:val="Style40"/>
        <w:keepNext/>
        <w:keepLines/>
        <w:widowControl w:val="0"/>
        <w:shd w:val="clear" w:color="auto" w:fill="auto"/>
        <w:bidi w:val="0"/>
        <w:spacing w:before="0" w:after="80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2"/>
      <w:bookmarkEnd w:id="113"/>
      <w:bookmarkEnd w:id="115"/>
    </w:p>
    <w:p>
      <w:pPr>
        <w:pStyle w:val="Style25"/>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）本报告期末纳入合并范围的子公司</w:t>
      </w:r>
    </w:p>
    <w:tbl>
      <w:tblPr>
        <w:tblOverlap w:val="never"/>
        <w:jc w:val="center"/>
        <w:tblLayout w:type="fixed"/>
      </w:tblPr>
      <w:tblGrid>
        <w:gridCol w:w="590"/>
        <w:gridCol w:w="4094"/>
        <w:gridCol w:w="1354"/>
        <w:gridCol w:w="1771"/>
        <w:gridCol w:w="965"/>
        <w:gridCol w:w="898"/>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子公司关系</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广西诚本规划设计咨询有限公司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诚本规划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广西润联检测技术有限公司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润联信息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广州卓联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五象云谷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长嘉科技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润沃科技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广东南粤云视科技有限公司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南粤云视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广西信安锐达科技有限公司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信安锐达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智慧能源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润玖科技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广州市赛皓达智能科技有限公司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赛皓达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广州恒泰电力工程有限公司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恒泰电力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鹰扬电力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博深咨询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润建国际有限公司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润建国际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R&amp;JINTERNATIONAL(SINGAPORE)PTE.LTD.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PT.RJGFINTERNATIONALINDONESIA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润建印尼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49.00</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PT.RJIINTERNATIONALINDONESIA</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润建智能印尼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67.00</w:t>
            </w:r>
          </w:p>
        </w:tc>
      </w:tr>
    </w:tbl>
    <w:p>
      <w:pPr>
        <w:spacing w:lineRule="exact" w:line="1"/>
        <w:rPr>
          <w:sz w:val="2"/>
          <w:szCs w:val="2"/>
        </w:rPr>
      </w:pPr>
      <w:r>
        <w:br w:type="page"/>
      </w:r>
    </w:p>
    <w:tbl>
      <w:tblPr>
        <w:tblOverlap w:val="never"/>
        <w:jc w:val="center"/>
        <w:tblLayout w:type="fixed"/>
      </w:tblPr>
      <w:tblGrid>
        <w:gridCol w:w="590"/>
        <w:gridCol w:w="4094"/>
        <w:gridCol w:w="1354"/>
        <w:gridCol w:w="1771"/>
        <w:gridCol w:w="965"/>
        <w:gridCol w:w="898"/>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RJGFPHILPPINECORP.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广东润建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 Technologies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润建德国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山东旋几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广西旋几工业技术有限公司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陕西旋几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润和世联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海南禹尧数据科技有限公司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海南禹尧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广西云数工程咨询有限公司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云数工程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智海信息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数智教育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润盛新能源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广东润捷设计有限公司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润捷设计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润福能源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润曦能源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广西云视数乡科技有限公司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云视数乡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广润建设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广州研通通信工程有限公司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研通通信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159" w:line="1" w:lineRule="exact"/>
      </w:pPr>
    </w:p>
    <w:p>
      <w:pPr>
        <w:pStyle w:val="Style18"/>
        <w:keepNext w:val="0"/>
        <w:keepLines w:val="0"/>
        <w:widowControl w:val="0"/>
        <w:shd w:val="clear" w:color="auto" w:fill="auto"/>
        <w:bidi w:val="0"/>
        <w:spacing w:before="0" w:after="24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）本报告期内合并财务报表范围变化</w:t>
      </w:r>
    </w:p>
    <w:p>
      <w:pPr>
        <w:pStyle w:val="Style25"/>
        <w:keepNext w:val="0"/>
        <w:keepLines w:val="0"/>
        <w:widowControl w:val="0"/>
        <w:shd w:val="clear" w:color="auto" w:fill="auto"/>
        <w:bidi w:val="0"/>
        <w:spacing w:before="0" w:after="0" w:line="240" w:lineRule="auto"/>
        <w:ind w:left="336" w:right="0" w:firstLine="0"/>
        <w:jc w:val="left"/>
      </w:pPr>
      <w:r>
        <w:rPr>
          <w:color w:val="000000"/>
          <w:spacing w:val="0"/>
          <w:w w:val="100"/>
          <w:position w:val="0"/>
        </w:rPr>
        <w:t>本报告期内新增子公司：</w:t>
      </w:r>
    </w:p>
    <w:tbl>
      <w:tblPr>
        <w:tblOverlap w:val="never"/>
        <w:jc w:val="center"/>
        <w:tblLayout w:type="fixed"/>
      </w:tblPr>
      <w:tblGrid>
        <w:gridCol w:w="586"/>
        <w:gridCol w:w="4085"/>
        <w:gridCol w:w="1421"/>
        <w:gridCol w:w="1272"/>
        <w:gridCol w:w="228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润玖科技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广西旋几工业技术有限公司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广西云数工程咨询有限公司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云数工程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数智教育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润佳新能源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润盛新能源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润建新能源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bl>
    <w:p>
      <w:pPr>
        <w:spacing w:lineRule="exact" w:line="1"/>
        <w:rPr>
          <w:sz w:val="2"/>
          <w:szCs w:val="2"/>
        </w:rPr>
      </w:pPr>
      <w:r>
        <w:br w:type="page"/>
      </w:r>
    </w:p>
    <w:tbl>
      <w:tblPr>
        <w:tblOverlap w:val="never"/>
        <w:jc w:val="center"/>
        <w:tblLayout w:type="fixed"/>
      </w:tblPr>
      <w:tblGrid>
        <w:gridCol w:w="586"/>
        <w:gridCol w:w="4085"/>
        <w:gridCol w:w="1421"/>
        <w:gridCol w:w="1272"/>
        <w:gridCol w:w="2280"/>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永福润福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横州润曦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广西云视数乡科技有限公司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云视数乡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广州智海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深圳广润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广东润捷设计有限公司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广州研通通信工程有限公司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研通通信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海南禹尧数据科技有限公司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海南禹尧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pStyle w:val="Style25"/>
        <w:keepNext w:val="0"/>
        <w:keepLines w:val="0"/>
        <w:widowControl w:val="0"/>
        <w:shd w:val="clear" w:color="auto" w:fill="auto"/>
        <w:bidi w:val="0"/>
        <w:spacing w:before="0" w:after="0" w:line="240" w:lineRule="auto"/>
        <w:ind w:left="336" w:right="0" w:firstLine="0"/>
        <w:jc w:val="left"/>
      </w:pPr>
      <w:r>
        <w:rPr>
          <w:color w:val="000000"/>
          <w:spacing w:val="0"/>
          <w:w w:val="100"/>
          <w:position w:val="0"/>
        </w:rPr>
        <w:t>本报告期无减少子公司的情况。</w:t>
      </w:r>
    </w:p>
    <w:p>
      <w:pPr>
        <w:widowControl w:val="0"/>
        <w:spacing w:after="179" w:line="1" w:lineRule="exact"/>
      </w:pPr>
    </w:p>
    <w:p>
      <w:pPr>
        <w:pStyle w:val="Style1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本报告期内新增及减少子公司的具体情况详见本附注八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合并范围的变更匚</w:t>
      </w:r>
    </w:p>
    <w:p>
      <w:pPr>
        <w:pStyle w:val="Style40"/>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6"/>
      <w:bookmarkEnd w:id="117"/>
      <w:bookmarkEnd w:id="11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0"/>
      <w:bookmarkEnd w:id="121"/>
      <w:bookmarkEnd w:id="123"/>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1,932,666,305.91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863,213,375.35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439,716,851.75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6.66%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中国移动通信集团江苏有限公司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242,085,518.50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中国电信股份有限公司广西分公司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196,290,985.86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中国移动通信集团安徽有限公司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191,359,574.45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2.90%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1,932,666,305.91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w:t>
            </w:r>
          </w:p>
        </w:tc>
      </w:tr>
    </w:tbl>
    <w:p>
      <w:pPr>
        <w:pStyle w:val="Style18"/>
        <w:keepNext w:val="0"/>
        <w:keepLines w:val="0"/>
        <w:widowControl w:val="0"/>
        <w:shd w:val="clear" w:color="auto" w:fill="auto"/>
        <w:bidi w:val="0"/>
        <w:spacing w:before="0" w:after="80" w:line="326" w:lineRule="exact"/>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以上的股东、实际控制 人和其他关联方不存在在客户中直接或间接拥有权益。</w:t>
      </w:r>
    </w:p>
    <w:p>
      <w:pPr>
        <w:pStyle w:val="Style18"/>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2,337,977,861.35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w:t>
            </w:r>
          </w:p>
        </w:tc>
      </w:tr>
    </w:tbl>
    <w:p>
      <w:pPr>
        <w:spacing w:lineRule="exact" w:line="1"/>
        <w:rPr>
          <w:sz w:val="2"/>
          <w:szCs w:val="2"/>
        </w:rPr>
      </w:pPr>
      <w:r>
        <w:br w:type="page"/>
      </w:r>
    </w:p>
    <w:tbl>
      <w:tblPr>
        <w:tblOverlap w:val="never"/>
        <w:jc w:val="center"/>
        <w:tblLayout w:type="fixed"/>
      </w:tblPr>
      <w:tblGrid>
        <w:gridCol w:w="4262"/>
        <w:gridCol w:w="5323"/>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广西熙盛建筑工程有限公司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647,753,480.47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广西溥天建筑劳务有限公司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557,556,006.79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广西展飞劳务有限公司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547,990,151.97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10.02%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广西宏焘劳务有限公司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342,637,500.73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萍乡市共能人力资源有限公司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242,040,721.39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2,337,977,861.35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42.77%</w:t>
            </w:r>
          </w:p>
        </w:tc>
      </w:tr>
    </w:tbl>
    <w:p>
      <w:pPr>
        <w:widowControl w:val="0"/>
        <w:spacing w:after="5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3</w:t>
      </w:r>
      <w:bookmarkEnd w:id="126"/>
      <w:r>
        <w:rPr>
          <w:color w:val="000000"/>
          <w:spacing w:val="0"/>
          <w:w w:val="100"/>
          <w:position w:val="0"/>
        </w:rPr>
        <w:t>、费用</w:t>
      </w:r>
      <w:bookmarkEnd w:id="124"/>
      <w:bookmarkEnd w:id="125"/>
      <w:bookmarkEnd w:id="1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261,560,682.43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154,635,057.22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主要系公司加大市场战略布局投入， 年度销售规模扩大，市场人员股权激 励费用增加所致</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234,389,332.19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148,702,216.09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主要系本期公司经营规模持续扩大， 配套管理投入相应增加，公司推行股 票期权激励计划，管理人员股权激励 费用增加所致</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17,258,293.17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-36,410,095.42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主要系公司计提可转换公司债券利 息和银行贷款利息所致</w:t>
            </w:r>
          </w:p>
        </w:tc>
      </w:tr>
      <w:tr>
        <w:trPr>
          <w:trHeight w:val="13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275,991,187.81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165,396,527.57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主要系公司进一步加大研发投入，以 提升公司市场竞争力；研发人员股权 激励费用增加、薪酬及相关费用增加 所致</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4</w:t>
      </w:r>
      <w:bookmarkEnd w:id="130"/>
      <w:r>
        <w:rPr>
          <w:color w:val="000000"/>
          <w:spacing w:val="0"/>
          <w:w w:val="100"/>
          <w:position w:val="0"/>
        </w:rPr>
        <w:t>、研发投入</w:t>
      </w:r>
      <w:bookmarkEnd w:id="128"/>
      <w:bookmarkEnd w:id="129"/>
      <w:bookmarkEnd w:id="131"/>
    </w:p>
    <w:p>
      <w:pPr>
        <w:pStyle w:val="Style1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2693"/>
        <w:gridCol w:w="1416"/>
        <w:gridCol w:w="2693"/>
        <w:gridCol w:w="199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主要研发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 影响</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综合管维 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、通过客户关系管理系统的市场 信息同步至综合管维平台，将数据 流向和系统逻辑彻底厘清，解决系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已完成综合管维 平台内测版本</w:t>
            </w:r>
            <w:r>
              <w:rPr>
                <w:rFonts w:ascii="Times New Roman" w:eastAsia="Times New Roman" w:hAnsi="Times New Roman" w:cs="Times New Roman"/>
                <w:color w:val="000000"/>
                <w:spacing w:val="0"/>
                <w:w w:val="100"/>
                <w:position w:val="0"/>
              </w:rPr>
              <w:t xml:space="preserve">1.1 </w:t>
            </w:r>
            <w:r>
              <w:rPr>
                <w:color w:val="000000"/>
                <w:spacing w:val="0"/>
                <w:w w:val="100"/>
                <w:position w:val="0"/>
              </w:rPr>
              <w:t>发布，功能包括市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、通过客户关系管理系统的市场 信息同步至综合管维平台，将数据 流向和系统逻辑彻底厘清，解决系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、通过重构综合管维平 台，优化系统架构减少系 统优化及数据处理需求，</w:t>
            </w:r>
          </w:p>
        </w:tc>
      </w:tr>
    </w:tbl>
    <w:p>
      <w:pPr>
        <w:spacing w:lineRule="exact" w:line="1"/>
        <w:rPr>
          <w:sz w:val="2"/>
          <w:szCs w:val="2"/>
        </w:rPr>
      </w:pPr>
      <w:r>
        <w:br w:type="page"/>
      </w:r>
    </w:p>
    <w:tbl>
      <w:tblPr>
        <w:tblOverlap w:val="never"/>
        <w:jc w:val="center"/>
        <w:tblLayout w:type="fixed"/>
      </w:tblPr>
      <w:tblGrid>
        <w:gridCol w:w="859"/>
        <w:gridCol w:w="2693"/>
        <w:gridCol w:w="1416"/>
        <w:gridCol w:w="2693"/>
        <w:gridCol w:w="1997"/>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统间集成复杂关系；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场管理、项目合 同、项目管理、分 包合同、财务管 理、项目配置等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统间集成复杂关系；</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降低每年在系统运营维 护方面投入的成本</w:t>
            </w:r>
            <w:r>
              <w:rPr>
                <w:rFonts w:ascii="Times New Roman" w:eastAsia="Times New Roman" w:hAnsi="Times New Roman" w:cs="Times New Roman"/>
                <w:color w:val="000000"/>
                <w:spacing w:val="0"/>
                <w:w w:val="100"/>
                <w:position w:val="0"/>
              </w:rPr>
              <w:t xml:space="preserve">20% </w:t>
            </w:r>
            <w:r>
              <w:rPr>
                <w:color w:val="000000"/>
                <w:spacing w:val="0"/>
                <w:w w:val="100"/>
                <w:position w:val="0"/>
              </w:rPr>
              <w:t>以上；</w:t>
            </w:r>
            <w:r>
              <w:rPr>
                <w:rFonts w:ascii="Times New Roman" w:eastAsia="Times New Roman" w:hAnsi="Times New Roman" w:cs="Times New Roman"/>
                <w:color w:val="000000"/>
                <w:spacing w:val="0"/>
                <w:w w:val="100"/>
                <w:position w:val="0"/>
              </w:rPr>
              <w:t>2</w:t>
            </w:r>
            <w:r>
              <w:rPr>
                <w:color w:val="000000"/>
                <w:spacing w:val="0"/>
                <w:w w:val="100"/>
                <w:position w:val="0"/>
              </w:rPr>
              <w:t>、通过新版本综 合管</w:t>
            </w:r>
            <w:r>
              <w:rPr>
                <w:rFonts w:ascii="Times New Roman" w:eastAsia="Times New Roman" w:hAnsi="Times New Roman" w:cs="Times New Roman"/>
                <w:color w:val="000000"/>
                <w:spacing w:val="0"/>
                <w:w w:val="100"/>
                <w:position w:val="0"/>
              </w:rPr>
              <w:t>3</w:t>
            </w:r>
            <w:r>
              <w:rPr>
                <w:color w:val="000000"/>
                <w:spacing w:val="0"/>
                <w:w w:val="100"/>
                <w:position w:val="0"/>
              </w:rPr>
              <w:t>、通过定义项目风 险，智能推送风险预警信 息，提升风险识别效率， 使公司风险识别周期缩 短</w:t>
            </w:r>
            <w:r>
              <w:rPr>
                <w:rFonts w:ascii="Times New Roman" w:eastAsia="Times New Roman" w:hAnsi="Times New Roman" w:cs="Times New Roman"/>
                <w:color w:val="000000"/>
                <w:spacing w:val="0"/>
                <w:w w:val="100"/>
                <w:position w:val="0"/>
              </w:rPr>
              <w:t>2</w:t>
            </w:r>
            <w:r>
              <w:rPr>
                <w:color w:val="000000"/>
                <w:spacing w:val="0"/>
                <w:w w:val="100"/>
                <w:position w:val="0"/>
              </w:rPr>
              <w:t>周或以上。</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iEACP </w:t>
            </w:r>
            <w:r>
              <w:rPr>
                <w:color w:val="000000"/>
                <w:spacing w:val="0"/>
                <w:w w:val="100"/>
                <w:position w:val="0"/>
              </w:rPr>
              <w:t>综</w:t>
            </w:r>
          </w:p>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合能效管 理控制平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通过软硬件结合高新技术，解决运 营商基站、机房场景下能耗管理粗 放、节能手段低效、无设备智能控 制功能的问题，切实为运营商客户 解决能耗管理难的问题。迎合双碳 战略、帮助客户实现节能目标。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逐渐投入使用。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通过软硬件结合高新技术，解决运 营商基站、机房场景下能耗管理粗 放、节能手段低效、无设备智能控 制功能的问题，切实为运营商客户 解决能耗管理难的问题。迎合双碳 战略、帮助客户实现节能目标。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通过综合能源管理平台， 与客户形成良好的合作 关系，引导运营商市场导 向，形成后续咨询、集成、 实施运维等综合能源管 理服务市场，为公司业务 发展提供更大市场潜力 基础。</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治安指</w:t>
            </w:r>
          </w:p>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挥调度平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通过前端移动感知设备，使用</w:t>
            </w:r>
            <w:r>
              <w:rPr>
                <w:rFonts w:ascii="Times New Roman" w:eastAsia="Times New Roman" w:hAnsi="Times New Roman" w:cs="Times New Roman"/>
                <w:color w:val="000000"/>
                <w:spacing w:val="0"/>
                <w:w w:val="100"/>
                <w:position w:val="0"/>
              </w:rPr>
              <w:t xml:space="preserve">5G </w:t>
            </w:r>
            <w:r>
              <w:rPr>
                <w:color w:val="000000"/>
                <w:spacing w:val="0"/>
                <w:w w:val="100"/>
                <w:position w:val="0"/>
              </w:rPr>
              <w:t>等协议接入，结合</w:t>
            </w:r>
            <w:r>
              <w:rPr>
                <w:rFonts w:ascii="Times New Roman" w:eastAsia="Times New Roman" w:hAnsi="Times New Roman" w:cs="Times New Roman"/>
                <w:color w:val="000000"/>
                <w:spacing w:val="0"/>
                <w:w w:val="100"/>
                <w:position w:val="0"/>
              </w:rPr>
              <w:t>GIS</w:t>
            </w:r>
            <w:r>
              <w:rPr>
                <w:color w:val="000000"/>
                <w:spacing w:val="0"/>
                <w:w w:val="100"/>
                <w:position w:val="0"/>
              </w:rPr>
              <w:t>应用，在治 安防控重要站点，结合核查管控， 实现实时数据汇聚，多端融合的指 挥调度系统助力公安进行态势研 判，实战应用，打造和谐稳定的社 会环境，减少治安方面的安全隐 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完成治安指挥调 度平台</w:t>
            </w:r>
            <w:r>
              <w:rPr>
                <w:rFonts w:ascii="Times New Roman" w:eastAsia="Times New Roman" w:hAnsi="Times New Roman" w:cs="Times New Roman"/>
                <w:color w:val="000000"/>
                <w:spacing w:val="0"/>
                <w:w w:val="100"/>
                <w:position w:val="0"/>
              </w:rPr>
              <w:t>V1.x</w:t>
            </w:r>
            <w:r>
              <w:rPr>
                <w:color w:val="000000"/>
                <w:spacing w:val="0"/>
                <w:w w:val="100"/>
                <w:position w:val="0"/>
              </w:rPr>
              <w:t>，在 多地的项目中应 用，并延伸到城 管、校园等行业应 用；</w:t>
            </w:r>
            <w:r>
              <w:rPr>
                <w:rFonts w:ascii="Times New Roman" w:eastAsia="Times New Roman" w:hAnsi="Times New Roman" w:cs="Times New Roman"/>
                <w:color w:val="000000"/>
                <w:spacing w:val="0"/>
                <w:w w:val="100"/>
                <w:position w:val="0"/>
              </w:rPr>
              <w:t>V2.0</w:t>
            </w:r>
            <w:r>
              <w:rPr>
                <w:color w:val="000000"/>
                <w:spacing w:val="0"/>
                <w:w w:val="100"/>
                <w:position w:val="0"/>
              </w:rPr>
              <w:t>版本正 在研发中。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通过前端移动感知设备，使用</w:t>
            </w:r>
            <w:r>
              <w:rPr>
                <w:rFonts w:ascii="Times New Roman" w:eastAsia="Times New Roman" w:hAnsi="Times New Roman" w:cs="Times New Roman"/>
                <w:color w:val="000000"/>
                <w:spacing w:val="0"/>
                <w:w w:val="100"/>
                <w:position w:val="0"/>
              </w:rPr>
              <w:t xml:space="preserve">5G </w:t>
            </w:r>
            <w:r>
              <w:rPr>
                <w:color w:val="000000"/>
                <w:spacing w:val="0"/>
                <w:w w:val="100"/>
                <w:position w:val="0"/>
              </w:rPr>
              <w:t>等协议接入，结合</w:t>
            </w:r>
            <w:r>
              <w:rPr>
                <w:rFonts w:ascii="Times New Roman" w:eastAsia="Times New Roman" w:hAnsi="Times New Roman" w:cs="Times New Roman"/>
                <w:color w:val="000000"/>
                <w:spacing w:val="0"/>
                <w:w w:val="100"/>
                <w:position w:val="0"/>
              </w:rPr>
              <w:t>GIS</w:t>
            </w:r>
            <w:r>
              <w:rPr>
                <w:color w:val="000000"/>
                <w:spacing w:val="0"/>
                <w:w w:val="100"/>
                <w:position w:val="0"/>
              </w:rPr>
              <w:t>应用，在治 安防控重要站点，结合核查管控， 实现实时数据汇聚，多端融合的指 挥调度系统助力公安进行态势研 判，实战应用，打造和谐稳定的社 会环境，减少治安方面的安全隐 患。</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助力公司在警务、校园、 安保、城管等领域的公共 安全业务推动。加强公司 在</w:t>
            </w:r>
            <w:r>
              <w:rPr>
                <w:rFonts w:ascii="Times New Roman" w:eastAsia="Times New Roman" w:hAnsi="Times New Roman" w:cs="Times New Roman"/>
                <w:color w:val="000000"/>
                <w:spacing w:val="0"/>
                <w:w w:val="100"/>
                <w:position w:val="0"/>
              </w:rPr>
              <w:t>AI</w:t>
            </w:r>
            <w:r>
              <w:rPr>
                <w:color w:val="000000"/>
                <w:spacing w:val="0"/>
                <w:w w:val="100"/>
                <w:position w:val="0"/>
              </w:rPr>
              <w:t>识别以及数据清洗 方面的探索，积累典型案 例。</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智慧校园 安全管理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通过警务项目的基础架构延伸到 校园安全领域，实现对校园安全方 面的</w:t>
            </w:r>
            <w:r>
              <w:rPr>
                <w:rFonts w:ascii="Times New Roman" w:eastAsia="Times New Roman" w:hAnsi="Times New Roman" w:cs="Times New Roman"/>
                <w:color w:val="000000"/>
                <w:spacing w:val="0"/>
                <w:w w:val="100"/>
                <w:position w:val="0"/>
              </w:rPr>
              <w:t>4+N</w:t>
            </w:r>
            <w:r>
              <w:rPr>
                <w:color w:val="000000"/>
                <w:spacing w:val="0"/>
                <w:w w:val="100"/>
                <w:position w:val="0"/>
              </w:rPr>
              <w:t>建设、</w:t>
            </w:r>
            <w:r>
              <w:rPr>
                <w:rFonts w:ascii="Times New Roman" w:eastAsia="Times New Roman" w:hAnsi="Times New Roman" w:cs="Times New Roman"/>
                <w:color w:val="000000"/>
                <w:spacing w:val="0"/>
                <w:w w:val="100"/>
                <w:position w:val="0"/>
              </w:rPr>
              <w:t>"</w:t>
            </w:r>
            <w:r>
              <w:rPr>
                <w:color w:val="000000"/>
                <w:spacing w:val="0"/>
                <w:w w:val="100"/>
                <w:position w:val="0"/>
              </w:rPr>
              <w:t>三防</w:t>
            </w:r>
            <w:r>
              <w:rPr>
                <w:rFonts w:ascii="Times New Roman" w:eastAsia="Times New Roman" w:hAnsi="Times New Roman" w:cs="Times New Roman"/>
                <w:color w:val="000000"/>
                <w:spacing w:val="0"/>
                <w:w w:val="100"/>
                <w:position w:val="0"/>
              </w:rPr>
              <w:t>"</w:t>
            </w:r>
            <w:r>
              <w:rPr>
                <w:color w:val="000000"/>
                <w:spacing w:val="0"/>
                <w:w w:val="100"/>
                <w:position w:val="0"/>
              </w:rPr>
              <w:t>建设等的全 面管控，助力提升校园的整体管控 能力。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完成自主研发的 安园护校平台 </w:t>
            </w:r>
            <w:r>
              <w:rPr>
                <w:rFonts w:ascii="Times New Roman" w:eastAsia="Times New Roman" w:hAnsi="Times New Roman" w:cs="Times New Roman"/>
                <w:color w:val="000000"/>
                <w:spacing w:val="0"/>
                <w:w w:val="100"/>
                <w:position w:val="0"/>
              </w:rPr>
              <w:t>V2.0</w:t>
            </w:r>
            <w:r>
              <w:rPr>
                <w:color w:val="000000"/>
                <w:spacing w:val="0"/>
                <w:w w:val="100"/>
                <w:position w:val="0"/>
              </w:rPr>
              <w:t>版本，目前 已开始在各地进 行试点。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通过警务项目的基础架构延伸到 校园安全领域，实现对校园安全方 面的</w:t>
            </w:r>
            <w:r>
              <w:rPr>
                <w:rFonts w:ascii="Times New Roman" w:eastAsia="Times New Roman" w:hAnsi="Times New Roman" w:cs="Times New Roman"/>
                <w:color w:val="000000"/>
                <w:spacing w:val="0"/>
                <w:w w:val="100"/>
                <w:position w:val="0"/>
              </w:rPr>
              <w:t>4+N</w:t>
            </w:r>
            <w:r>
              <w:rPr>
                <w:color w:val="000000"/>
                <w:spacing w:val="0"/>
                <w:w w:val="100"/>
                <w:position w:val="0"/>
              </w:rPr>
              <w:t>建设、</w:t>
            </w:r>
            <w:r>
              <w:rPr>
                <w:rFonts w:ascii="Times New Roman" w:eastAsia="Times New Roman" w:hAnsi="Times New Roman" w:cs="Times New Roman"/>
                <w:color w:val="000000"/>
                <w:spacing w:val="0"/>
                <w:w w:val="100"/>
                <w:position w:val="0"/>
              </w:rPr>
              <w:t>"</w:t>
            </w:r>
            <w:r>
              <w:rPr>
                <w:color w:val="000000"/>
                <w:spacing w:val="0"/>
                <w:w w:val="100"/>
                <w:position w:val="0"/>
              </w:rPr>
              <w:t>三防</w:t>
            </w:r>
            <w:r>
              <w:rPr>
                <w:rFonts w:ascii="Times New Roman" w:eastAsia="Times New Roman" w:hAnsi="Times New Roman" w:cs="Times New Roman"/>
                <w:color w:val="000000"/>
                <w:spacing w:val="0"/>
                <w:w w:val="100"/>
                <w:position w:val="0"/>
              </w:rPr>
              <w:t>"</w:t>
            </w:r>
            <w:r>
              <w:rPr>
                <w:color w:val="000000"/>
                <w:spacing w:val="0"/>
                <w:w w:val="100"/>
                <w:position w:val="0"/>
              </w:rPr>
              <w:t>建设等的全 面管控，助力提升校园的整体管控 能力。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为公司结合运营商在校 园运营方面提供基础。</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大数据精</w:t>
            </w:r>
          </w:p>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准教学平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利用大数据、人工智能、</w:t>
            </w:r>
            <w:r>
              <w:rPr>
                <w:rFonts w:ascii="Times New Roman" w:eastAsia="Times New Roman" w:hAnsi="Times New Roman" w:cs="Times New Roman"/>
                <w:color w:val="000000"/>
                <w:spacing w:val="0"/>
                <w:w w:val="100"/>
                <w:position w:val="0"/>
              </w:rPr>
              <w:t>OCR</w:t>
            </w:r>
            <w:r>
              <w:rPr>
                <w:color w:val="000000"/>
                <w:spacing w:val="0"/>
                <w:w w:val="100"/>
                <w:position w:val="0"/>
              </w:rPr>
              <w:t>识 别等技术，通过全场景数据采集， 构建以学生为中心的学情分析体 系，精准诊断、分析并推荐优质资 源，帮助学校实现轻松备课、精准 教学、智能改卷、个性辅导、和高 效管理，提升学校精准化教学管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完成自主研发大 数据精准教学平 台</w:t>
            </w:r>
            <w:r>
              <w:rPr>
                <w:rFonts w:ascii="Times New Roman" w:eastAsia="Times New Roman" w:hAnsi="Times New Roman" w:cs="Times New Roman"/>
                <w:color w:val="000000"/>
                <w:spacing w:val="0"/>
                <w:w w:val="100"/>
                <w:position w:val="0"/>
              </w:rPr>
              <w:t>1.0</w:t>
            </w:r>
            <w:r>
              <w:rPr>
                <w:color w:val="000000"/>
                <w:spacing w:val="0"/>
                <w:w w:val="100"/>
                <w:position w:val="0"/>
              </w:rPr>
              <w:t>版本的研 发，以及</w:t>
            </w:r>
            <w:r>
              <w:rPr>
                <w:rFonts w:ascii="Times New Roman" w:eastAsia="Times New Roman" w:hAnsi="Times New Roman" w:cs="Times New Roman"/>
                <w:color w:val="000000"/>
                <w:spacing w:val="0"/>
                <w:w w:val="100"/>
                <w:position w:val="0"/>
              </w:rPr>
              <w:t>2.0</w:t>
            </w:r>
            <w:r>
              <w:rPr>
                <w:color w:val="000000"/>
                <w:spacing w:val="0"/>
                <w:w w:val="100"/>
                <w:position w:val="0"/>
              </w:rPr>
              <w:t>版本 的二次开发升级， 并在多个项目中 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利用大数据、人工智能、</w:t>
            </w:r>
            <w:r>
              <w:rPr>
                <w:rFonts w:ascii="Times New Roman" w:eastAsia="Times New Roman" w:hAnsi="Times New Roman" w:cs="Times New Roman"/>
                <w:color w:val="000000"/>
                <w:spacing w:val="0"/>
                <w:w w:val="100"/>
                <w:position w:val="0"/>
              </w:rPr>
              <w:t>OCR</w:t>
            </w:r>
            <w:r>
              <w:rPr>
                <w:color w:val="000000"/>
                <w:spacing w:val="0"/>
                <w:w w:val="100"/>
                <w:position w:val="0"/>
              </w:rPr>
              <w:t>识 别等技术，通过全场景数据采集， 构建以学生为中心的学情分析体 系，精准诊断、分析并推荐优质资 源，帮助学校实现轻松备课、精准 教学、智能改卷、个性辅导、和高 效管理，提升学校精准化教学管 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为公司在教育行业深耕、 细作打下坚实基础，有效 结合公司运维能力基因， 实现运营业务的长远发 展。</w:t>
            </w:r>
          </w:p>
        </w:tc>
      </w:tr>
      <w:tr>
        <w:trPr>
          <w:trHeight w:val="193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小博安全 平台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、解决传统安全教育培训需求痛 点，主动适应安全生产教育及职业 技能培训的新要求。</w:t>
            </w:r>
            <w:r>
              <w:rPr>
                <w:rFonts w:ascii="Times New Roman" w:eastAsia="Times New Roman" w:hAnsi="Times New Roman" w:cs="Times New Roman"/>
                <w:color w:val="000000"/>
                <w:spacing w:val="0"/>
                <w:w w:val="100"/>
                <w:position w:val="0"/>
              </w:rPr>
              <w:t>2</w:t>
            </w:r>
            <w:r>
              <w:rPr>
                <w:color w:val="000000"/>
                <w:spacing w:val="0"/>
                <w:w w:val="100"/>
                <w:position w:val="0"/>
              </w:rPr>
              <w:t>、运用人工 智能、互联网</w:t>
            </w:r>
            <w:r>
              <w:rPr>
                <w:rFonts w:ascii="Times New Roman" w:eastAsia="Times New Roman" w:hAnsi="Times New Roman" w:cs="Times New Roman"/>
                <w:color w:val="000000"/>
                <w:spacing w:val="0"/>
                <w:w w:val="100"/>
                <w:position w:val="0"/>
              </w:rPr>
              <w:t>+</w:t>
            </w:r>
            <w:r>
              <w:rPr>
                <w:color w:val="000000"/>
                <w:spacing w:val="0"/>
                <w:w w:val="100"/>
                <w:position w:val="0"/>
              </w:rPr>
              <w:t>、大数据技术，开 创''智能化、趣味化、精益化</w:t>
            </w:r>
            <w:r>
              <w:rPr>
                <w:rFonts w:ascii="Times New Roman" w:eastAsia="Times New Roman" w:hAnsi="Times New Roman" w:cs="Times New Roman"/>
                <w:color w:val="000000"/>
                <w:spacing w:val="0"/>
                <w:w w:val="100"/>
                <w:position w:val="0"/>
              </w:rPr>
              <w:t>"</w:t>
            </w:r>
            <w:r>
              <w:rPr>
                <w:color w:val="000000"/>
                <w:spacing w:val="0"/>
                <w:w w:val="100"/>
                <w:position w:val="0"/>
              </w:rPr>
              <w:t>的安 全教育及职业技能培训新生态。</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小博安全平台的 电力行业及通信 行业版本已完成 研发工作，于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月份上 线运行，现安装注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、解决传统安全教育培训需求痛 点，主动适应安全生产教育及职业 技能培训的新要求。</w:t>
            </w:r>
            <w:r>
              <w:rPr>
                <w:rFonts w:ascii="Times New Roman" w:eastAsia="Times New Roman" w:hAnsi="Times New Roman" w:cs="Times New Roman"/>
                <w:color w:val="000000"/>
                <w:spacing w:val="0"/>
                <w:w w:val="100"/>
                <w:position w:val="0"/>
              </w:rPr>
              <w:t>2</w:t>
            </w:r>
            <w:r>
              <w:rPr>
                <w:color w:val="000000"/>
                <w:spacing w:val="0"/>
                <w:w w:val="100"/>
                <w:position w:val="0"/>
              </w:rPr>
              <w:t>、运用人工 智能、互联网</w:t>
            </w:r>
            <w:r>
              <w:rPr>
                <w:rFonts w:ascii="Times New Roman" w:eastAsia="Times New Roman" w:hAnsi="Times New Roman" w:cs="Times New Roman"/>
                <w:color w:val="000000"/>
                <w:spacing w:val="0"/>
                <w:w w:val="100"/>
                <w:position w:val="0"/>
              </w:rPr>
              <w:t>+</w:t>
            </w:r>
            <w:r>
              <w:rPr>
                <w:color w:val="000000"/>
                <w:spacing w:val="0"/>
                <w:w w:val="100"/>
                <w:position w:val="0"/>
              </w:rPr>
              <w:t>、大数据技术，开 创''智能化、趣味化、精益化</w:t>
            </w:r>
            <w:r>
              <w:rPr>
                <w:rFonts w:ascii="Times New Roman" w:eastAsia="Times New Roman" w:hAnsi="Times New Roman" w:cs="Times New Roman"/>
                <w:color w:val="000000"/>
                <w:spacing w:val="0"/>
                <w:w w:val="100"/>
                <w:position w:val="0"/>
              </w:rPr>
              <w:t>"</w:t>
            </w:r>
            <w:r>
              <w:rPr>
                <w:color w:val="000000"/>
                <w:spacing w:val="0"/>
                <w:w w:val="100"/>
                <w:position w:val="0"/>
              </w:rPr>
              <w:t>的安 全教育及职业技能培训新生态。</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、安全守护者。确保人 本安全，实现作业零违 章、人身零伤亡，为公司 快速发展保驾护航。</w:t>
            </w:r>
            <w:r>
              <w:rPr>
                <w:rFonts w:ascii="Times New Roman" w:eastAsia="Times New Roman" w:hAnsi="Times New Roman" w:cs="Times New Roman"/>
                <w:color w:val="000000"/>
                <w:spacing w:val="0"/>
                <w:w w:val="100"/>
                <w:position w:val="0"/>
              </w:rPr>
              <w:t>2</w:t>
            </w:r>
            <w:r>
              <w:rPr>
                <w:color w:val="000000"/>
                <w:spacing w:val="0"/>
                <w:w w:val="100"/>
                <w:position w:val="0"/>
              </w:rPr>
              <w:t>、 市场桥头堡。以</w:t>
            </w:r>
            <w:r>
              <w:rPr>
                <w:rFonts w:ascii="Times New Roman" w:eastAsia="Times New Roman" w:hAnsi="Times New Roman" w:cs="Times New Roman"/>
                <w:color w:val="000000"/>
                <w:spacing w:val="0"/>
                <w:w w:val="100"/>
                <w:position w:val="0"/>
              </w:rPr>
              <w:t>"</w:t>
            </w:r>
            <w:r>
              <w:rPr>
                <w:color w:val="000000"/>
                <w:spacing w:val="0"/>
                <w:w w:val="100"/>
                <w:position w:val="0"/>
              </w:rPr>
              <w:t>小博安 全''为切入点，拓展带动</w:t>
            </w:r>
          </w:p>
        </w:tc>
      </w:tr>
    </w:tbl>
    <w:p>
      <w:pPr>
        <w:spacing w:lineRule="exact" w:line="1"/>
        <w:rPr>
          <w:sz w:val="2"/>
          <w:szCs w:val="2"/>
        </w:rPr>
      </w:pPr>
      <w:r>
        <w:br w:type="page"/>
      </w:r>
    </w:p>
    <w:tbl>
      <w:tblPr>
        <w:tblOverlap w:val="never"/>
        <w:jc w:val="center"/>
        <w:tblLayout w:type="fixed"/>
      </w:tblPr>
      <w:tblGrid>
        <w:gridCol w:w="859"/>
        <w:gridCol w:w="2693"/>
        <w:gridCol w:w="1416"/>
        <w:gridCol w:w="2693"/>
        <w:gridCol w:w="1997"/>
      </w:tblGrid>
      <w:tr>
        <w:trPr>
          <w:trHeight w:val="16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打造一支安全责任意识强、安全业 务技能精、安全工作水平高的本质 安全队伍。</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册人数达</w:t>
            </w:r>
            <w:r>
              <w:rPr>
                <w:rFonts w:ascii="Times New Roman" w:eastAsia="Times New Roman" w:hAnsi="Times New Roman" w:cs="Times New Roman"/>
                <w:color w:val="000000"/>
                <w:spacing w:val="0"/>
                <w:w w:val="100"/>
                <w:position w:val="0"/>
              </w:rPr>
              <w:t xml:space="preserve">63000 </w:t>
            </w:r>
            <w:r>
              <w:rPr>
                <w:color w:val="000000"/>
                <w:spacing w:val="0"/>
                <w:w w:val="100"/>
                <w:position w:val="0"/>
              </w:rPr>
              <w:t xml:space="preserve">人，日活跃人数达 </w:t>
            </w:r>
            <w:r>
              <w:rPr>
                <w:rFonts w:ascii="Times New Roman" w:eastAsia="Times New Roman" w:hAnsi="Times New Roman" w:cs="Times New Roman"/>
                <w:color w:val="000000"/>
                <w:spacing w:val="0"/>
                <w:w w:val="100"/>
                <w:position w:val="0"/>
              </w:rPr>
              <w:t>7000</w:t>
            </w:r>
            <w:r>
              <w:rPr>
                <w:color w:val="000000"/>
                <w:spacing w:val="0"/>
                <w:w w:val="100"/>
                <w:position w:val="0"/>
              </w:rPr>
              <w:t>余人。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打造一支安全责任意识强、安全业 务技能精、安全工作水平高的本质 安全队伍。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企业的智能化、数字化等 业务。</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B2C</w:t>
            </w:r>
            <w:r>
              <w:rPr>
                <w:color w:val="000000"/>
                <w:spacing w:val="0"/>
                <w:w w:val="100"/>
                <w:position w:val="0"/>
              </w:rPr>
              <w:t>先锋。</w:t>
            </w:r>
            <w:r>
              <w:rPr>
                <w:rFonts w:ascii="Times New Roman" w:eastAsia="Times New Roman" w:hAnsi="Times New Roman" w:cs="Times New Roman"/>
                <w:color w:val="000000"/>
                <w:spacing w:val="0"/>
                <w:w w:val="100"/>
                <w:position w:val="0"/>
              </w:rPr>
              <w:t xml:space="preserve">" </w:t>
            </w:r>
            <w:r>
              <w:rPr>
                <w:color w:val="000000"/>
                <w:spacing w:val="0"/>
                <w:w w:val="100"/>
                <w:position w:val="0"/>
              </w:rPr>
              <w:t>小博安全</w:t>
            </w:r>
            <w:r>
              <w:rPr>
                <w:rFonts w:ascii="Times New Roman" w:eastAsia="Times New Roman" w:hAnsi="Times New Roman" w:cs="Times New Roman"/>
                <w:color w:val="000000"/>
                <w:spacing w:val="0"/>
                <w:w w:val="100"/>
                <w:position w:val="0"/>
              </w:rPr>
              <w:t>"</w:t>
            </w:r>
            <w:r>
              <w:rPr>
                <w:color w:val="000000"/>
                <w:spacing w:val="0"/>
                <w:w w:val="100"/>
                <w:position w:val="0"/>
              </w:rPr>
              <w:t>将以知识付费 方式逐步开辟</w:t>
            </w:r>
            <w:r>
              <w:rPr>
                <w:rFonts w:ascii="Times New Roman" w:eastAsia="Times New Roman" w:hAnsi="Times New Roman" w:cs="Times New Roman"/>
                <w:color w:val="000000"/>
                <w:spacing w:val="0"/>
                <w:w w:val="100"/>
                <w:position w:val="0"/>
              </w:rPr>
              <w:t>B2C</w:t>
            </w:r>
            <w:r>
              <w:rPr>
                <w:color w:val="000000"/>
                <w:spacing w:val="0"/>
                <w:w w:val="100"/>
                <w:position w:val="0"/>
              </w:rPr>
              <w:t>商业 模式。</w:t>
            </w:r>
          </w:p>
        </w:tc>
      </w:tr>
      <w:tr>
        <w:trPr>
          <w:trHeight w:val="321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工业物联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集合</w:t>
            </w:r>
            <w:r>
              <w:rPr>
                <w:rFonts w:ascii="Times New Roman" w:eastAsia="Times New Roman" w:hAnsi="Times New Roman" w:cs="Times New Roman"/>
                <w:color w:val="000000"/>
                <w:spacing w:val="0"/>
                <w:w w:val="100"/>
                <w:position w:val="0"/>
              </w:rPr>
              <w:t>5G</w:t>
            </w:r>
            <w:r>
              <w:rPr>
                <w:color w:val="000000"/>
                <w:spacing w:val="0"/>
                <w:w w:val="100"/>
                <w:position w:val="0"/>
              </w:rPr>
              <w:t>工业网关、边缘智采网关、 数据保险箱、</w:t>
            </w:r>
            <w:r>
              <w:rPr>
                <w:rFonts w:ascii="Times New Roman" w:eastAsia="Times New Roman" w:hAnsi="Times New Roman" w:cs="Times New Roman"/>
                <w:color w:val="000000"/>
                <w:spacing w:val="0"/>
                <w:w w:val="100"/>
                <w:position w:val="0"/>
              </w:rPr>
              <w:t>QMS</w:t>
            </w:r>
            <w:r>
              <w:rPr>
                <w:color w:val="000000"/>
                <w:spacing w:val="0"/>
                <w:w w:val="100"/>
                <w:position w:val="0"/>
              </w:rPr>
              <w:t>等技术，构建 即插即用的品质管控数据工作站， 解决工业制造企业在生产过程中 无法看到设备状态、数据不准确不 及时、无工具进行辅助决策、生产 过程不可回溯等需求痛点，解决工 业标准化过程中定制化程度高、交 付周期长、第三方系统难集成、灵 活扩展难的难点。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工业互联网 </w:t>
            </w:r>
            <w:r>
              <w:rPr>
                <w:rFonts w:ascii="Times New Roman" w:eastAsia="Times New Roman" w:hAnsi="Times New Roman" w:cs="Times New Roman"/>
                <w:color w:val="000000"/>
                <w:spacing w:val="0"/>
                <w:w w:val="100"/>
                <w:position w:val="0"/>
              </w:rPr>
              <w:t>T-MES</w:t>
            </w:r>
            <w:r>
              <w:rPr>
                <w:color w:val="000000"/>
                <w:spacing w:val="0"/>
                <w:w w:val="100"/>
                <w:position w:val="0"/>
              </w:rPr>
              <w:t>工厂现场 应用平台</w:t>
            </w:r>
            <w:r>
              <w:rPr>
                <w:rFonts w:ascii="Times New Roman" w:eastAsia="Times New Roman" w:hAnsi="Times New Roman" w:cs="Times New Roman"/>
                <w:color w:val="000000"/>
                <w:spacing w:val="0"/>
                <w:w w:val="100"/>
                <w:position w:val="0"/>
              </w:rPr>
              <w:t>v1.2</w:t>
            </w:r>
            <w:r>
              <w:rPr>
                <w:color w:val="000000"/>
                <w:spacing w:val="0"/>
                <w:w w:val="100"/>
                <w:position w:val="0"/>
              </w:rPr>
              <w:t>己 发布，相关集成硬 件产品已完成系 统测试、产品试</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制、</w:t>
            </w:r>
            <w:r>
              <w:rPr>
                <w:rFonts w:ascii="Times New Roman" w:eastAsia="Times New Roman" w:hAnsi="Times New Roman" w:cs="Times New Roman"/>
                <w:color w:val="000000"/>
                <w:spacing w:val="0"/>
                <w:w w:val="100"/>
                <w:position w:val="0"/>
              </w:rPr>
              <w:t>3C</w:t>
            </w:r>
            <w:r>
              <w:rPr>
                <w:color w:val="000000"/>
                <w:spacing w:val="0"/>
                <w:w w:val="100"/>
                <w:position w:val="0"/>
              </w:rPr>
              <w:t>认证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集合</w:t>
            </w:r>
            <w:r>
              <w:rPr>
                <w:rFonts w:ascii="Times New Roman" w:eastAsia="Times New Roman" w:hAnsi="Times New Roman" w:cs="Times New Roman"/>
                <w:color w:val="000000"/>
                <w:spacing w:val="0"/>
                <w:w w:val="100"/>
                <w:position w:val="0"/>
              </w:rPr>
              <w:t>5G</w:t>
            </w:r>
            <w:r>
              <w:rPr>
                <w:color w:val="000000"/>
                <w:spacing w:val="0"/>
                <w:w w:val="100"/>
                <w:position w:val="0"/>
              </w:rPr>
              <w:t>工业网关、边缘智采网关、 数据保险箱、</w:t>
            </w:r>
            <w:r>
              <w:rPr>
                <w:rFonts w:ascii="Times New Roman" w:eastAsia="Times New Roman" w:hAnsi="Times New Roman" w:cs="Times New Roman"/>
                <w:color w:val="000000"/>
                <w:spacing w:val="0"/>
                <w:w w:val="100"/>
                <w:position w:val="0"/>
              </w:rPr>
              <w:t>QMS</w:t>
            </w:r>
            <w:r>
              <w:rPr>
                <w:color w:val="000000"/>
                <w:spacing w:val="0"/>
                <w:w w:val="100"/>
                <w:position w:val="0"/>
              </w:rPr>
              <w:t>等技术，构建 即插即用的品质管控数据工作站， 解决工业制造企业在生产过程中 无法看到设备状态、数据不准确不 及时、无工具进行辅助决策、生产 过程不可回溯等需求痛点，解决工 业标准化过程中定制化程度高、交 付周期长、第三方系统难集成、灵 活扩展难的难点。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在工业</w:t>
            </w:r>
            <w:r>
              <w:rPr>
                <w:rFonts w:ascii="Times New Roman" w:eastAsia="Times New Roman" w:hAnsi="Times New Roman" w:cs="Times New Roman"/>
                <w:color w:val="000000"/>
                <w:spacing w:val="0"/>
                <w:w w:val="100"/>
                <w:position w:val="0"/>
              </w:rPr>
              <w:t>4.0</w:t>
            </w:r>
            <w:r>
              <w:rPr>
                <w:color w:val="000000"/>
                <w:spacing w:val="0"/>
                <w:w w:val="100"/>
                <w:position w:val="0"/>
              </w:rPr>
              <w:t xml:space="preserve">和中国制造 </w:t>
            </w:r>
            <w:r>
              <w:rPr>
                <w:rFonts w:ascii="Times New Roman" w:eastAsia="Times New Roman" w:hAnsi="Times New Roman" w:cs="Times New Roman"/>
                <w:color w:val="000000"/>
                <w:spacing w:val="0"/>
                <w:w w:val="100"/>
                <w:position w:val="0"/>
              </w:rPr>
              <w:t>2025</w:t>
            </w:r>
            <w:r>
              <w:rPr>
                <w:color w:val="000000"/>
                <w:spacing w:val="0"/>
                <w:w w:val="100"/>
                <w:position w:val="0"/>
              </w:rPr>
              <w:t>背景下，作为工业 物联网互联网的重要战 略产品，公司将与运营商 强强联合，结合我们的技 术优势以及运营商强大 的市场资源和渠道资源 优势，拓展抢占面向工业 制造业的信息网络业务。</w:t>
            </w:r>
          </w:p>
        </w:tc>
      </w:tr>
      <w:tr>
        <w:trPr>
          <w:trHeight w:val="22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智慧消防 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建设工程消防全业务管理，实现建 设工程从设计到施工、竣工、验收 等生命周期中对消防所有手续的 统一受理、办结、合格，辅助住建 主管部门对建设工程的消防业务 监管以及行政许可发放工作。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已完成消防查验</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（消防设计审查、 消防验收、消防验 收备案）、现场评 定、消防查验、技 术服务机构管理、 诚信评价等模块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建设工程消防全业务管理，实现建 设工程从设计到施工、竣工、验收 等生命周期中对消防所有手续的 统一受理、办结、合格，辅助住建 主管部门对建设工程的消防业务 监管以及行政许可发放工作。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通过跨行业业务关联，开 拓新业务</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融媒体平 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、帮助传统媒体实现互联网转型， 实现融合生产、发布和运营；</w:t>
            </w:r>
            <w:r>
              <w:rPr>
                <w:rFonts w:ascii="Times New Roman" w:eastAsia="Times New Roman" w:hAnsi="Times New Roman" w:cs="Times New Roman"/>
                <w:color w:val="000000"/>
                <w:spacing w:val="0"/>
                <w:w w:val="100"/>
                <w:position w:val="0"/>
              </w:rPr>
              <w:t>2</w:t>
            </w:r>
            <w:r>
              <w:rPr>
                <w:color w:val="000000"/>
                <w:spacing w:val="0"/>
                <w:w w:val="100"/>
                <w:position w:val="0"/>
              </w:rPr>
              <w:t>、 帮助有宣传需求的政、企单位实现 互联网融媒体平台系统；</w:t>
            </w:r>
            <w:r>
              <w:rPr>
                <w:rFonts w:ascii="Times New Roman" w:eastAsia="Times New Roman" w:hAnsi="Times New Roman" w:cs="Times New Roman"/>
                <w:color w:val="000000"/>
                <w:spacing w:val="0"/>
                <w:w w:val="100"/>
                <w:position w:val="0"/>
              </w:rPr>
              <w:t>3</w:t>
            </w:r>
            <w:r>
              <w:rPr>
                <w:color w:val="000000"/>
                <w:spacing w:val="0"/>
                <w:w w:val="100"/>
                <w:position w:val="0"/>
              </w:rPr>
              <w:t>、延伸 建立本地生活</w:t>
            </w:r>
            <w:r>
              <w:rPr>
                <w:rFonts w:ascii="Times New Roman" w:eastAsia="Times New Roman" w:hAnsi="Times New Roman" w:cs="Times New Roman"/>
                <w:color w:val="000000"/>
                <w:spacing w:val="0"/>
                <w:w w:val="100"/>
                <w:position w:val="0"/>
              </w:rPr>
              <w:t>/</w:t>
            </w:r>
            <w:r>
              <w:rPr>
                <w:color w:val="000000"/>
                <w:spacing w:val="0"/>
                <w:w w:val="100"/>
                <w:position w:val="0"/>
              </w:rPr>
              <w:t>消费</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产业线 上服务互联网平台，运营服务业务 为切入点，实现</w:t>
            </w:r>
            <w:r>
              <w:rPr>
                <w:rFonts w:ascii="Times New Roman" w:eastAsia="Times New Roman" w:hAnsi="Times New Roman" w:cs="Times New Roman"/>
                <w:color w:val="000000"/>
                <w:spacing w:val="0"/>
                <w:w w:val="100"/>
                <w:position w:val="0"/>
              </w:rPr>
              <w:t>C</w:t>
            </w:r>
            <w:r>
              <w:rPr>
                <w:color w:val="000000"/>
                <w:spacing w:val="0"/>
                <w:w w:val="100"/>
                <w:position w:val="0"/>
              </w:rPr>
              <w:t>端长期盈利</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产品研发完成，已 使用到多个项目 中，迭代的</w:t>
            </w:r>
            <w:r>
              <w:rPr>
                <w:rFonts w:ascii="Times New Roman" w:eastAsia="Times New Roman" w:hAnsi="Times New Roman" w:cs="Times New Roman"/>
                <w:color w:val="000000"/>
                <w:spacing w:val="0"/>
                <w:w w:val="100"/>
                <w:position w:val="0"/>
              </w:rPr>
              <w:t>3.0</w:t>
            </w:r>
            <w:r>
              <w:rPr>
                <w:color w:val="000000"/>
                <w:spacing w:val="0"/>
                <w:w w:val="100"/>
                <w:position w:val="0"/>
              </w:rPr>
              <w:t>版 本</w:t>
            </w:r>
            <w:r>
              <w:rPr>
                <w:rFonts w:ascii="Times New Roman" w:eastAsia="Times New Roman" w:hAnsi="Times New Roman" w:cs="Times New Roman"/>
                <w:color w:val="000000"/>
                <w:spacing w:val="0"/>
                <w:w w:val="100"/>
                <w:position w:val="0"/>
              </w:rPr>
              <w:t>4</w:t>
            </w:r>
            <w:r>
              <w:rPr>
                <w:color w:val="000000"/>
                <w:spacing w:val="0"/>
                <w:w w:val="100"/>
                <w:position w:val="0"/>
              </w:rPr>
              <w:t>月份完成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、帮助传统媒体实现互联网转型， 实现融合生产、发布和运营；</w:t>
            </w:r>
            <w:r>
              <w:rPr>
                <w:rFonts w:ascii="Times New Roman" w:eastAsia="Times New Roman" w:hAnsi="Times New Roman" w:cs="Times New Roman"/>
                <w:color w:val="000000"/>
                <w:spacing w:val="0"/>
                <w:w w:val="100"/>
                <w:position w:val="0"/>
              </w:rPr>
              <w:t>2</w:t>
            </w:r>
            <w:r>
              <w:rPr>
                <w:color w:val="000000"/>
                <w:spacing w:val="0"/>
                <w:w w:val="100"/>
                <w:position w:val="0"/>
              </w:rPr>
              <w:t>、 帮助有宣传需求的政、企单位实现 互联网融媒体平台系统；</w:t>
            </w:r>
            <w:r>
              <w:rPr>
                <w:rFonts w:ascii="Times New Roman" w:eastAsia="Times New Roman" w:hAnsi="Times New Roman" w:cs="Times New Roman"/>
                <w:color w:val="000000"/>
                <w:spacing w:val="0"/>
                <w:w w:val="100"/>
                <w:position w:val="0"/>
              </w:rPr>
              <w:t>3</w:t>
            </w:r>
            <w:r>
              <w:rPr>
                <w:color w:val="000000"/>
                <w:spacing w:val="0"/>
                <w:w w:val="100"/>
                <w:position w:val="0"/>
              </w:rPr>
              <w:t>、延伸 建立本地生活</w:t>
            </w:r>
            <w:r>
              <w:rPr>
                <w:rFonts w:ascii="Times New Roman" w:eastAsia="Times New Roman" w:hAnsi="Times New Roman" w:cs="Times New Roman"/>
                <w:color w:val="000000"/>
                <w:spacing w:val="0"/>
                <w:w w:val="100"/>
                <w:position w:val="0"/>
              </w:rPr>
              <w:t>/</w:t>
            </w:r>
            <w:r>
              <w:rPr>
                <w:color w:val="000000"/>
                <w:spacing w:val="0"/>
                <w:w w:val="100"/>
                <w:position w:val="0"/>
              </w:rPr>
              <w:t>消费</w:t>
            </w:r>
            <w:r>
              <w:rPr>
                <w:rFonts w:ascii="Times New Roman" w:eastAsia="Times New Roman" w:hAnsi="Times New Roman" w:cs="Times New Roman"/>
                <w:color w:val="000000"/>
                <w:spacing w:val="0"/>
                <w:w w:val="100"/>
                <w:position w:val="0"/>
              </w:rPr>
              <w:t>/</w:t>
            </w:r>
            <w:r>
              <w:rPr>
                <w:color w:val="000000"/>
                <w:spacing w:val="0"/>
                <w:w w:val="100"/>
                <w:position w:val="0"/>
              </w:rPr>
              <w:t>旅游</w:t>
            </w:r>
            <w:r>
              <w:rPr>
                <w:rFonts w:ascii="Times New Roman" w:eastAsia="Times New Roman" w:hAnsi="Times New Roman" w:cs="Times New Roman"/>
                <w:color w:val="000000"/>
                <w:spacing w:val="0"/>
                <w:w w:val="100"/>
                <w:position w:val="0"/>
              </w:rPr>
              <w:t>/</w:t>
            </w:r>
            <w:r>
              <w:rPr>
                <w:color w:val="000000"/>
                <w:spacing w:val="0"/>
                <w:w w:val="100"/>
                <w:position w:val="0"/>
              </w:rPr>
              <w:t>产业线 上服务互联网平台，运营服务业务 为切入点，实现</w:t>
            </w:r>
            <w:r>
              <w:rPr>
                <w:rFonts w:ascii="Times New Roman" w:eastAsia="Times New Roman" w:hAnsi="Times New Roman" w:cs="Times New Roman"/>
                <w:color w:val="000000"/>
                <w:spacing w:val="0"/>
                <w:w w:val="100"/>
                <w:position w:val="0"/>
              </w:rPr>
              <w:t>C</w:t>
            </w:r>
            <w:r>
              <w:rPr>
                <w:color w:val="000000"/>
                <w:spacing w:val="0"/>
                <w:w w:val="100"/>
                <w:position w:val="0"/>
              </w:rPr>
              <w:t>端长期盈利</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、提升经济效益；</w:t>
            </w:r>
            <w:r>
              <w:rPr>
                <w:rFonts w:ascii="Times New Roman" w:eastAsia="Times New Roman" w:hAnsi="Times New Roman" w:cs="Times New Roman"/>
                <w:color w:val="000000"/>
                <w:spacing w:val="0"/>
                <w:w w:val="100"/>
                <w:position w:val="0"/>
              </w:rPr>
              <w:t>2</w:t>
            </w:r>
            <w:r>
              <w:rPr>
                <w:color w:val="000000"/>
                <w:spacing w:val="0"/>
                <w:w w:val="100"/>
                <w:position w:val="0"/>
              </w:rPr>
              <w:t>、提 升社会效益；</w:t>
            </w:r>
            <w:r>
              <w:rPr>
                <w:rFonts w:ascii="Times New Roman" w:eastAsia="Times New Roman" w:hAnsi="Times New Roman" w:cs="Times New Roman"/>
                <w:color w:val="000000"/>
                <w:spacing w:val="0"/>
                <w:w w:val="100"/>
                <w:position w:val="0"/>
              </w:rPr>
              <w:t>3</w:t>
            </w:r>
            <w:r>
              <w:rPr>
                <w:color w:val="000000"/>
                <w:spacing w:val="0"/>
                <w:w w:val="100"/>
                <w:position w:val="0"/>
              </w:rPr>
              <w:t>、增加公 司业务线，从单一的</w:t>
            </w:r>
            <w:r>
              <w:rPr>
                <w:rFonts w:ascii="Times New Roman" w:eastAsia="Times New Roman" w:hAnsi="Times New Roman" w:cs="Times New Roman"/>
                <w:color w:val="000000"/>
                <w:spacing w:val="0"/>
                <w:w w:val="100"/>
                <w:position w:val="0"/>
              </w:rPr>
              <w:t xml:space="preserve">toB </w:t>
            </w:r>
            <w:r>
              <w:rPr>
                <w:color w:val="000000"/>
                <w:spacing w:val="0"/>
                <w:w w:val="100"/>
                <w:position w:val="0"/>
              </w:rPr>
              <w:t xml:space="preserve">业务向拥有长期价值的 </w:t>
            </w:r>
            <w:r>
              <w:rPr>
                <w:rFonts w:ascii="Times New Roman" w:eastAsia="Times New Roman" w:hAnsi="Times New Roman" w:cs="Times New Roman"/>
                <w:color w:val="000000"/>
                <w:spacing w:val="0"/>
                <w:w w:val="100"/>
                <w:position w:val="0"/>
              </w:rPr>
              <w:t>toC</w:t>
            </w:r>
            <w:r>
              <w:rPr>
                <w:color w:val="000000"/>
                <w:spacing w:val="0"/>
                <w:w w:val="100"/>
                <w:position w:val="0"/>
              </w:rPr>
              <w:t>运营服务业务发展</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RunDo </w:t>
            </w:r>
            <w:r>
              <w:rPr>
                <w:color w:val="000000"/>
                <w:spacing w:val="0"/>
                <w:w w:val="100"/>
                <w:position w:val="0"/>
              </w:rPr>
              <w:t>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定位为公司的基础能力平台之一， 支撑公司的数字化、新能源和管维 业务，研发具备自主知识产权的物 联网平台，实现通信、能源、</w:t>
            </w:r>
            <w:r>
              <w:rPr>
                <w:rFonts w:ascii="Times New Roman" w:eastAsia="Times New Roman" w:hAnsi="Times New Roman" w:cs="Times New Roman"/>
                <w:color w:val="000000"/>
                <w:spacing w:val="0"/>
                <w:w w:val="100"/>
                <w:position w:val="0"/>
              </w:rPr>
              <w:t>IDC</w:t>
            </w:r>
            <w:r>
              <w:rPr>
                <w:color w:val="000000"/>
                <w:spacing w:val="0"/>
                <w:w w:val="100"/>
                <w:position w:val="0"/>
              </w:rPr>
              <w:t xml:space="preserve">、 </w:t>
            </w:r>
            <w:r>
              <w:rPr>
                <w:color w:val="000000"/>
                <w:spacing w:val="0"/>
                <w:w w:val="100"/>
                <w:position w:val="0"/>
              </w:rPr>
              <w:t>信息网络等物联网设备的万物互 联和万物智联。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完成自主研发</w:t>
            </w:r>
          </w:p>
          <w:p>
            <w:pPr>
              <w:pStyle w:val="Style20"/>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RunDo</w:t>
            </w:r>
            <w:r>
              <w:rPr>
                <w:color w:val="000000"/>
                <w:spacing w:val="0"/>
                <w:w w:val="100"/>
                <w:position w:val="0"/>
              </w:rPr>
              <w:t>物联网平 台</w:t>
            </w:r>
            <w:r>
              <w:rPr>
                <w:rFonts w:ascii="Times New Roman" w:eastAsia="Times New Roman" w:hAnsi="Times New Roman" w:cs="Times New Roman"/>
                <w:color w:val="000000"/>
                <w:spacing w:val="0"/>
                <w:w w:val="100"/>
                <w:position w:val="0"/>
              </w:rPr>
              <w:t>Beta</w:t>
            </w:r>
            <w:r>
              <w:rPr>
                <w:color w:val="000000"/>
                <w:spacing w:val="0"/>
                <w:w w:val="100"/>
                <w:position w:val="0"/>
              </w:rPr>
              <w:t>版的研 发，并在项目中应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定位为公司的基础能力平台之一， 支撑公司的数字化、新能源和管维 业务，研发具备自主知识产权的物 联网平台，实现通信、能源、</w:t>
            </w:r>
            <w:r>
              <w:rPr>
                <w:rFonts w:ascii="Times New Roman" w:eastAsia="Times New Roman" w:hAnsi="Times New Roman" w:cs="Times New Roman"/>
                <w:color w:val="000000"/>
                <w:spacing w:val="0"/>
                <w:w w:val="100"/>
                <w:position w:val="0"/>
              </w:rPr>
              <w:t>IDC</w:t>
            </w:r>
            <w:r>
              <w:rPr>
                <w:color w:val="000000"/>
                <w:spacing w:val="0"/>
                <w:w w:val="100"/>
                <w:position w:val="0"/>
              </w:rPr>
              <w:t xml:space="preserve">、 </w:t>
            </w:r>
            <w:r>
              <w:rPr>
                <w:color w:val="000000"/>
                <w:spacing w:val="0"/>
                <w:w w:val="100"/>
                <w:position w:val="0"/>
              </w:rPr>
              <w:t>信息网络等物联网设备的万物互 联和万物智联。</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助力公司打造万物互联 的智慧平台，增加公司资 产的数字化接入和管理 能力。</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RunDoWa</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re</w:t>
            </w:r>
            <w:r>
              <w:rPr>
                <w:color w:val="000000"/>
                <w:spacing w:val="0"/>
                <w:w w:val="100"/>
                <w:position w:val="0"/>
              </w:rPr>
              <w:t>边缘计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算平台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与</w:t>
            </w:r>
            <w:r>
              <w:rPr>
                <w:rFonts w:ascii="Times New Roman" w:eastAsia="Times New Roman" w:hAnsi="Times New Roman" w:cs="Times New Roman"/>
                <w:color w:val="000000"/>
                <w:spacing w:val="0"/>
                <w:w w:val="100"/>
                <w:position w:val="0"/>
              </w:rPr>
              <w:t>RunDo</w:t>
            </w:r>
            <w:r>
              <w:rPr>
                <w:color w:val="000000"/>
                <w:spacing w:val="0"/>
                <w:w w:val="100"/>
                <w:position w:val="0"/>
              </w:rPr>
              <w:t>物联网平台相结合，实 现</w:t>
            </w:r>
            <w:r>
              <w:rPr>
                <w:rFonts w:ascii="Times New Roman" w:eastAsia="Times New Roman" w:hAnsi="Times New Roman" w:cs="Times New Roman"/>
                <w:color w:val="000000"/>
                <w:spacing w:val="0"/>
                <w:w w:val="100"/>
                <w:position w:val="0"/>
              </w:rPr>
              <w:t>"</w:t>
            </w:r>
            <w:r>
              <w:rPr>
                <w:color w:val="000000"/>
                <w:spacing w:val="0"/>
                <w:w w:val="100"/>
                <w:position w:val="0"/>
              </w:rPr>
              <w:t>云、网、边、端</w:t>
            </w:r>
            <w:r>
              <w:rPr>
                <w:rFonts w:ascii="Times New Roman" w:eastAsia="Times New Roman" w:hAnsi="Times New Roman" w:cs="Times New Roman"/>
                <w:color w:val="000000"/>
                <w:spacing w:val="0"/>
                <w:w w:val="100"/>
                <w:position w:val="0"/>
              </w:rPr>
              <w:t>"</w:t>
            </w:r>
            <w:r>
              <w:rPr>
                <w:color w:val="000000"/>
                <w:spacing w:val="0"/>
                <w:w w:val="100"/>
                <w:position w:val="0"/>
              </w:rPr>
              <w:t>协同管理和一 体化能力。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完成自主研发</w:t>
            </w:r>
          </w:p>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RunDoWare </w:t>
            </w:r>
            <w:r>
              <w:rPr>
                <w:color w:val="000000"/>
                <w:spacing w:val="0"/>
                <w:w w:val="100"/>
                <w:position w:val="0"/>
              </w:rPr>
              <w:t>边缘 计算平台</w:t>
            </w:r>
            <w:r>
              <w:rPr>
                <w:rFonts w:ascii="Times New Roman" w:eastAsia="Times New Roman" w:hAnsi="Times New Roman" w:cs="Times New Roman"/>
                <w:color w:val="000000"/>
                <w:spacing w:val="0"/>
                <w:w w:val="100"/>
                <w:position w:val="0"/>
              </w:rPr>
              <w:t>Beta</w:t>
            </w:r>
            <w:r>
              <w:rPr>
                <w:color w:val="000000"/>
                <w:spacing w:val="0"/>
                <w:w w:val="100"/>
                <w:position w:val="0"/>
              </w:rPr>
              <w:t>版 的研发，并在项目 中应用。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与</w:t>
            </w:r>
            <w:r>
              <w:rPr>
                <w:rFonts w:ascii="Times New Roman" w:eastAsia="Times New Roman" w:hAnsi="Times New Roman" w:cs="Times New Roman"/>
                <w:color w:val="000000"/>
                <w:spacing w:val="0"/>
                <w:w w:val="100"/>
                <w:position w:val="0"/>
              </w:rPr>
              <w:t>RunDo</w:t>
            </w:r>
            <w:r>
              <w:rPr>
                <w:color w:val="000000"/>
                <w:spacing w:val="0"/>
                <w:w w:val="100"/>
                <w:position w:val="0"/>
              </w:rPr>
              <w:t>物联网平台相结合，实 现</w:t>
            </w:r>
            <w:r>
              <w:rPr>
                <w:rFonts w:ascii="Times New Roman" w:eastAsia="Times New Roman" w:hAnsi="Times New Roman" w:cs="Times New Roman"/>
                <w:color w:val="000000"/>
                <w:spacing w:val="0"/>
                <w:w w:val="100"/>
                <w:position w:val="0"/>
              </w:rPr>
              <w:t>"</w:t>
            </w:r>
            <w:r>
              <w:rPr>
                <w:color w:val="000000"/>
                <w:spacing w:val="0"/>
                <w:w w:val="100"/>
                <w:position w:val="0"/>
              </w:rPr>
              <w:t>云、网、边、端</w:t>
            </w:r>
            <w:r>
              <w:rPr>
                <w:rFonts w:ascii="Times New Roman" w:eastAsia="Times New Roman" w:hAnsi="Times New Roman" w:cs="Times New Roman"/>
                <w:color w:val="000000"/>
                <w:spacing w:val="0"/>
                <w:w w:val="100"/>
                <w:position w:val="0"/>
              </w:rPr>
              <w:t>"</w:t>
            </w:r>
            <w:r>
              <w:rPr>
                <w:color w:val="000000"/>
                <w:spacing w:val="0"/>
                <w:w w:val="100"/>
                <w:position w:val="0"/>
              </w:rPr>
              <w:t>协同管理和一 体化能力。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打造公司边缘侧产品线， 提供软硬一体化的边缘 侧产品解决方案，全面覆 盖客户的需求。</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RunDo </w:t>
            </w:r>
            <w:r>
              <w:rPr>
                <w:color w:val="000000"/>
                <w:spacing w:val="0"/>
                <w:w w:val="100"/>
                <w:position w:val="0"/>
              </w:rPr>
              <w:t>新</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能源管维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RunD</w:t>
            </w:r>
            <w:r>
              <w:rPr>
                <w:color w:val="000000"/>
                <w:spacing w:val="0"/>
                <w:w w:val="100"/>
                <w:position w:val="0"/>
              </w:rPr>
              <w:t>。</w:t>
            </w:r>
            <w:r>
              <w:rPr>
                <w:color w:val="000000"/>
                <w:spacing w:val="0"/>
                <w:w w:val="100"/>
                <w:position w:val="0"/>
              </w:rPr>
              <w:t>物联网平台，结合自</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研智能采控装置、组件快速关断装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上线</w:t>
            </w:r>
            <w:r>
              <w:rPr>
                <w:rFonts w:ascii="Times New Roman" w:eastAsia="Times New Roman" w:hAnsi="Times New Roman" w:cs="Times New Roman"/>
                <w:color w:val="000000"/>
                <w:spacing w:val="0"/>
                <w:w w:val="100"/>
                <w:position w:val="0"/>
              </w:rPr>
              <w:t>RunDo</w:t>
            </w:r>
            <w:r>
              <w:rPr>
                <w:color w:val="000000"/>
                <w:spacing w:val="0"/>
                <w:w w:val="100"/>
                <w:position w:val="0"/>
              </w:rPr>
              <w:t>新能</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源管维平台</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RunDo</w:t>
            </w:r>
            <w:r>
              <w:rPr>
                <w:color w:val="000000"/>
                <w:spacing w:val="0"/>
                <w:w w:val="100"/>
                <w:position w:val="0"/>
              </w:rPr>
              <w:t>物联网平台，结合自</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研智能采控装置、组件快速关断装</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面向能源网络的发电侧， 构建覆盖全周期和全要</w:t>
            </w:r>
          </w:p>
        </w:tc>
      </w:tr>
    </w:tbl>
    <w:p>
      <w:pPr>
        <w:spacing w:lineRule="exact" w:line="1"/>
        <w:rPr>
          <w:sz w:val="2"/>
          <w:szCs w:val="2"/>
        </w:rPr>
      </w:pPr>
      <w:r>
        <w:br w:type="page"/>
      </w:r>
    </w:p>
    <w:tbl>
      <w:tblPr>
        <w:tblOverlap w:val="never"/>
        <w:jc w:val="center"/>
        <w:tblLayout w:type="fixed"/>
      </w:tblPr>
      <w:tblGrid>
        <w:gridCol w:w="859"/>
        <w:gridCol w:w="2693"/>
        <w:gridCol w:w="1416"/>
        <w:gridCol w:w="2693"/>
        <w:gridCol w:w="1997"/>
      </w:tblGrid>
      <w:tr>
        <w:trPr>
          <w:trHeight w:val="25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置、发电功率预测以及组件智能清 洗机器人等关键技术，实现对大面 积光伏电站的组件、逆变器、汇流 箱等关键设备和系统的集中监控 和健康维护，保障光伏电站的安全 稳定运行，帮助新能源服务商、电 站业主获得可持续绿色发电收益， 降低运营成本。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并在项目中应用。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置、发电功率预测以及组件智能清 洗机器人等关键技术，实现对大面 积光伏电站的组件、逆变器、汇流 箱等关键设备和系统的集中监控 和健康维护，保障光伏电站的安全 稳定运行，帮助新能源服务商、电 站业主获得可持续绿色发电收益， 降低运营成本。</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素的新能源管维数字化 水平。</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RunDo </w:t>
            </w:r>
            <w:r>
              <w:rPr>
                <w:color w:val="000000"/>
                <w:spacing w:val="0"/>
                <w:w w:val="100"/>
                <w:position w:val="0"/>
              </w:rPr>
              <w:t>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型能效电</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RunD</w:t>
            </w:r>
            <w:r>
              <w:rPr>
                <w:color w:val="000000"/>
                <w:spacing w:val="0"/>
                <w:w w:val="100"/>
                <w:position w:val="0"/>
              </w:rPr>
              <w:t>。</w:t>
            </w:r>
            <w:r>
              <w:rPr>
                <w:color w:val="000000"/>
                <w:spacing w:val="0"/>
                <w:w w:val="100"/>
                <w:position w:val="0"/>
              </w:rPr>
              <w:t>物联网平台，聚合光 伏电源、电池储能、柔性负荷等分 散式能源资源，为综合能源服务商 （负荷聚合商）提供负荷预测、节 能智控、能效优化、零碳用电和能 量交易等电力需求侧管理服务。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完成</w:t>
            </w:r>
            <w:r>
              <w:rPr>
                <w:rFonts w:ascii="Times New Roman" w:eastAsia="Times New Roman" w:hAnsi="Times New Roman" w:cs="Times New Roman"/>
                <w:color w:val="000000"/>
                <w:spacing w:val="0"/>
                <w:w w:val="100"/>
                <w:position w:val="0"/>
              </w:rPr>
              <w:t>MVP</w:t>
            </w:r>
            <w:r>
              <w:rPr>
                <w:color w:val="000000"/>
                <w:spacing w:val="0"/>
                <w:w w:val="100"/>
                <w:position w:val="0"/>
              </w:rPr>
              <w:t>版本， 并进行</w:t>
            </w:r>
            <w:r>
              <w:rPr>
                <w:rFonts w:ascii="Times New Roman" w:eastAsia="Times New Roman" w:hAnsi="Times New Roman" w:cs="Times New Roman"/>
                <w:color w:val="000000"/>
                <w:spacing w:val="0"/>
                <w:w w:val="100"/>
                <w:position w:val="0"/>
              </w:rPr>
              <w:t>2</w:t>
            </w:r>
            <w:r>
              <w:rPr>
                <w:color w:val="000000"/>
                <w:spacing w:val="0"/>
                <w:w w:val="100"/>
                <w:position w:val="0"/>
              </w:rPr>
              <w:t>处试点 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RunDo</w:t>
            </w:r>
            <w:r>
              <w:rPr>
                <w:color w:val="000000"/>
                <w:spacing w:val="0"/>
                <w:w w:val="100"/>
                <w:position w:val="0"/>
              </w:rPr>
              <w:t>物联网平台，聚合光 伏电源、电池储能、柔性负荷等分 散式能源资源，为综合能源服务商 （负荷聚合商）提供负荷预测、节 能智控、能效优化、零碳用电和能 量交易等电力需求侧管理服务。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面向能源网络的用电侧， 构建公司在电力需求侧 管理方面的数据运营能 力，具备拓展能源数据应 用（能源交易、辅助服务） 的能力。</w:t>
            </w:r>
          </w:p>
        </w:tc>
      </w:tr>
      <w:tr>
        <w:trPr>
          <w:trHeight w:val="352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无人机飞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可实现变高、大爬升、仿地飞行等 功能，在高海拔地区大落差地形下 可以安全高效作业，并输出高质量 的激光点云数据成果。为电力、测 绘、林业等领域提供可靠安全高效 的飞行巡检解决方案，具有较高的 推广应用价值。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已完成激光雷达 巡检研发建设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可实现变高、大爬升、仿地飞行等 功能，在高海拔地区大落差地形下 可以安全高效作业，并输出高质量 的激光点云数据成果。为电力、测 绘、林业等领域提供可靠安全高效 的飞行巡检解决方案，具有较高的 推广应用价值。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无人直升机作为公司战 略产品，是无人机产品与 服务的重要一环，随着智 慧电网对数字化、智能化 水平要求的不断提高，其 长航时、高可靠、克服高 海拔大跨越大落差、变速 变高仿地飞行的特性预 计在电力巡检及大载重 特种作业等场景的应用 需求会持续强劲。</w:t>
            </w:r>
          </w:p>
        </w:tc>
      </w:tr>
      <w:tr>
        <w:trPr>
          <w:trHeight w:val="29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高精度位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置监测解</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决方案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集合多传感终端、低功耗、边缘计 算等技术，实现边坡地表沉降、深 部位移、视频等数据的统一转换、 边缘分析后上传至监测预警平台。 实时跟踪预警边坡沉降、位移等地 灾发展趋势，实现隐患区域实时监 测与预警，降低人工巡视频次，提 升运维效率。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版本已交付， 正在进行</w:t>
            </w:r>
            <w:r>
              <w:rPr>
                <w:rFonts w:ascii="Times New Roman" w:eastAsia="Times New Roman" w:hAnsi="Times New Roman" w:cs="Times New Roman"/>
                <w:color w:val="000000"/>
                <w:spacing w:val="0"/>
                <w:w w:val="100"/>
                <w:position w:val="0"/>
              </w:rPr>
              <w:t>2.0</w:t>
            </w:r>
            <w:r>
              <w:rPr>
                <w:color w:val="000000"/>
                <w:spacing w:val="0"/>
                <w:w w:val="100"/>
                <w:position w:val="0"/>
              </w:rPr>
              <w:t>版本 的优化改造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集合多传感终端、低功耗、边缘计 算等技术，实现边坡地表沉降、深 部位移、视频等数据的统一转换、 边缘分析后上传至监测预警平台。 实时跟踪预警边坡沉降、位移等地 灾发展趋势，实现隐患区域实时监 测与预警，降低人工巡视频次，提 升运维效率。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随着我国相关产业政策 的不断深入，以及防治保 障措施和技术的升级，地 质灾害监测与防治行业 仍将持续扩张，提升地质 灾害监测预警技术装备 标准化、智能化和工业化 水平，发展前景十分可 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275,991,187.81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165,396,527.57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5</w:t>
      </w:r>
      <w:bookmarkEnd w:id="134"/>
      <w:r>
        <w:rPr>
          <w:color w:val="000000"/>
          <w:spacing w:val="0"/>
          <w:w w:val="100"/>
          <w:position w:val="0"/>
        </w:rPr>
        <w:t>、现金流</w:t>
      </w:r>
      <w:bookmarkEnd w:id="132"/>
      <w:bookmarkEnd w:id="133"/>
      <w:bookmarkEnd w:id="1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6,504,814,936.19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4,708,731,655.13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6,119,814,837.84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4,377,074,317.18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385,000,098.35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331,657,337.95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171,745,046.95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513,752,787.23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929,702,395.72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1,300,753,755.22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-757,957,348.77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-787,000,967.99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1,242,236,668.12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1,590,693,101.20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561,430,305.04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281,021,073.72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680,806,363.08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1,309,672,027.48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307,695,740.42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854,134,634.23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-63.98%</w:t>
            </w:r>
          </w:p>
        </w:tc>
      </w:tr>
    </w:tbl>
    <w:p>
      <w:pPr>
        <w:pStyle w:val="Style18"/>
        <w:keepNext w:val="0"/>
        <w:keepLines w:val="0"/>
        <w:widowControl w:val="0"/>
        <w:shd w:val="clear" w:color="auto" w:fill="auto"/>
        <w:bidi w:val="0"/>
        <w:spacing w:before="0" w:after="120" w:line="331" w:lineRule="exact"/>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tabs>
          <w:tab w:pos="334" w:val="left"/>
        </w:tabs>
        <w:bidi w:val="0"/>
        <w:spacing w:before="0" w:after="0" w:line="331" w:lineRule="exact"/>
        <w:ind w:left="0" w:right="0" w:firstLine="0"/>
        <w:jc w:val="both"/>
      </w:pPr>
      <w:bookmarkStart w:id="136" w:name="bookmark136"/>
      <w:r>
        <w:rPr>
          <w:rFonts w:ascii="Times New Roman" w:eastAsia="Times New Roman" w:hAnsi="Times New Roman" w:cs="Times New Roman"/>
          <w:color w:val="000000"/>
          <w:spacing w:val="0"/>
          <w:w w:val="100"/>
          <w:position w:val="0"/>
        </w:rPr>
        <w:t>1</w:t>
      </w:r>
      <w:bookmarkEnd w:id="13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年经营活动现金流量净额较上年增加</w:t>
      </w:r>
      <w:r>
        <w:rPr>
          <w:rFonts w:ascii="Times New Roman" w:eastAsia="Times New Roman" w:hAnsi="Times New Roman" w:cs="Times New Roman"/>
          <w:color w:val="000000"/>
          <w:spacing w:val="0"/>
          <w:w w:val="100"/>
          <w:position w:val="0"/>
        </w:rPr>
        <w:t>5,334.28</w:t>
      </w:r>
      <w:r>
        <w:rPr>
          <w:color w:val="000000"/>
          <w:spacing w:val="0"/>
          <w:w w:val="100"/>
          <w:position w:val="0"/>
        </w:rPr>
        <w:t>万元，同比上升</w:t>
      </w:r>
      <w:r>
        <w:rPr>
          <w:rFonts w:ascii="Times New Roman" w:eastAsia="Times New Roman" w:hAnsi="Times New Roman" w:cs="Times New Roman"/>
          <w:color w:val="000000"/>
          <w:spacing w:val="0"/>
          <w:w w:val="100"/>
          <w:position w:val="0"/>
        </w:rPr>
        <w:t>16.08%</w:t>
      </w:r>
      <w:r>
        <w:rPr>
          <w:color w:val="000000"/>
          <w:spacing w:val="0"/>
          <w:w w:val="100"/>
          <w:position w:val="0"/>
        </w:rPr>
        <w:t>，主要系公司销售收入回款增加所致。</w:t>
      </w:r>
    </w:p>
    <w:p>
      <w:pPr>
        <w:pStyle w:val="Style18"/>
        <w:keepNext w:val="0"/>
        <w:keepLines w:val="0"/>
        <w:widowControl w:val="0"/>
        <w:shd w:val="clear" w:color="auto" w:fill="auto"/>
        <w:tabs>
          <w:tab w:pos="354" w:val="left"/>
        </w:tabs>
        <w:bidi w:val="0"/>
        <w:spacing w:before="0" w:after="0" w:line="331" w:lineRule="exact"/>
        <w:ind w:left="0" w:right="0" w:firstLine="0"/>
        <w:jc w:val="both"/>
      </w:pPr>
      <w:bookmarkStart w:id="137" w:name="bookmark137"/>
      <w:r>
        <w:rPr>
          <w:rFonts w:ascii="Times New Roman" w:eastAsia="Times New Roman" w:hAnsi="Times New Roman" w:cs="Times New Roman"/>
          <w:color w:val="000000"/>
          <w:spacing w:val="0"/>
          <w:w w:val="100"/>
          <w:position w:val="0"/>
        </w:rPr>
        <w:t>2</w:t>
      </w:r>
      <w:bookmarkEnd w:id="13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年筹资活动现金流量净额较上年减少</w:t>
      </w:r>
      <w:r>
        <w:rPr>
          <w:rFonts w:ascii="Times New Roman" w:eastAsia="Times New Roman" w:hAnsi="Times New Roman" w:cs="Times New Roman"/>
          <w:color w:val="000000"/>
          <w:spacing w:val="0"/>
          <w:w w:val="100"/>
          <w:position w:val="0"/>
        </w:rPr>
        <w:t>62,886.57</w:t>
      </w:r>
      <w:r>
        <w:rPr>
          <w:color w:val="000000"/>
          <w:spacing w:val="0"/>
          <w:w w:val="100"/>
          <w:position w:val="0"/>
        </w:rPr>
        <w:t>万元，同比下降</w:t>
      </w:r>
      <w:r>
        <w:rPr>
          <w:rFonts w:ascii="Times New Roman" w:eastAsia="Times New Roman" w:hAnsi="Times New Roman" w:cs="Times New Roman"/>
          <w:color w:val="000000"/>
          <w:spacing w:val="0"/>
          <w:w w:val="100"/>
          <w:position w:val="0"/>
        </w:rPr>
        <w:t>48.02%</w:t>
      </w:r>
      <w:r>
        <w:rPr>
          <w:color w:val="000000"/>
          <w:spacing w:val="0"/>
          <w:w w:val="100"/>
          <w:position w:val="0"/>
        </w:rPr>
        <w:t>，主要系公司</w:t>
      </w:r>
      <w:r>
        <w:rPr>
          <w:rFonts w:ascii="Times New Roman" w:eastAsia="Times New Roman" w:hAnsi="Times New Roman" w:cs="Times New Roman"/>
          <w:color w:val="000000"/>
          <w:spacing w:val="0"/>
          <w:w w:val="100"/>
          <w:position w:val="0"/>
        </w:rPr>
        <w:t>2020</w:t>
      </w:r>
      <w:r>
        <w:rPr>
          <w:color w:val="000000"/>
          <w:spacing w:val="0"/>
          <w:w w:val="100"/>
          <w:position w:val="0"/>
        </w:rPr>
        <w:t>年发行可转换公司债券所致。</w:t>
      </w:r>
    </w:p>
    <w:p>
      <w:pPr>
        <w:pStyle w:val="Style18"/>
        <w:keepNext w:val="0"/>
        <w:keepLines w:val="0"/>
        <w:widowControl w:val="0"/>
        <w:shd w:val="clear" w:color="auto" w:fill="auto"/>
        <w:tabs>
          <w:tab w:pos="358" w:val="left"/>
        </w:tabs>
        <w:bidi w:val="0"/>
        <w:spacing w:before="0" w:after="0" w:line="331" w:lineRule="exact"/>
        <w:ind w:left="0" w:right="0" w:firstLine="0"/>
        <w:jc w:val="both"/>
      </w:pPr>
      <w:bookmarkStart w:id="138" w:name="bookmark138"/>
      <w:r>
        <w:rPr>
          <w:rFonts w:ascii="Times New Roman" w:eastAsia="Times New Roman" w:hAnsi="Times New Roman" w:cs="Times New Roman"/>
          <w:color w:val="000000"/>
          <w:spacing w:val="0"/>
          <w:w w:val="100"/>
          <w:position w:val="0"/>
        </w:rPr>
        <w:t>3</w:t>
      </w:r>
      <w:bookmarkEnd w:id="13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年现金及现金等价物净增加额较上年减少</w:t>
      </w:r>
      <w:r>
        <w:rPr>
          <w:rFonts w:ascii="Times New Roman" w:eastAsia="Times New Roman" w:hAnsi="Times New Roman" w:cs="Times New Roman"/>
          <w:color w:val="000000"/>
          <w:spacing w:val="0"/>
          <w:w w:val="100"/>
          <w:position w:val="0"/>
        </w:rPr>
        <w:t>54,643.89</w:t>
      </w:r>
      <w:r>
        <w:rPr>
          <w:color w:val="000000"/>
          <w:spacing w:val="0"/>
          <w:w w:val="100"/>
          <w:position w:val="0"/>
        </w:rPr>
        <w:t>万元，同比下降</w:t>
      </w:r>
      <w:r>
        <w:rPr>
          <w:rFonts w:ascii="Times New Roman" w:eastAsia="Times New Roman" w:hAnsi="Times New Roman" w:cs="Times New Roman"/>
          <w:color w:val="000000"/>
          <w:spacing w:val="0"/>
          <w:w w:val="100"/>
          <w:position w:val="0"/>
        </w:rPr>
        <w:t>63.98%</w:t>
      </w:r>
      <w:r>
        <w:rPr>
          <w:color w:val="000000"/>
          <w:spacing w:val="0"/>
          <w:w w:val="100"/>
          <w:position w:val="0"/>
        </w:rPr>
        <w:t>，主要系公司</w:t>
      </w:r>
      <w:r>
        <w:rPr>
          <w:rFonts w:ascii="Times New Roman" w:eastAsia="Times New Roman" w:hAnsi="Times New Roman" w:cs="Times New Roman"/>
          <w:color w:val="000000"/>
          <w:spacing w:val="0"/>
          <w:w w:val="100"/>
          <w:position w:val="0"/>
        </w:rPr>
        <w:t>2020</w:t>
      </w:r>
      <w:r>
        <w:rPr>
          <w:color w:val="000000"/>
          <w:spacing w:val="0"/>
          <w:w w:val="100"/>
          <w:position w:val="0"/>
        </w:rPr>
        <w:t>年发行可转换公司债券 所致。</w:t>
      </w:r>
    </w:p>
    <w:p>
      <w:pPr>
        <w:pStyle w:val="Style18"/>
        <w:keepNext w:val="0"/>
        <w:keepLines w:val="0"/>
        <w:widowControl w:val="0"/>
        <w:shd w:val="clear" w:color="auto" w:fill="auto"/>
        <w:bidi w:val="0"/>
        <w:spacing w:before="0" w:after="120" w:line="331"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3"/>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五</w:t>
      </w:r>
      <w:bookmarkEnd w:id="141"/>
      <w:r>
        <w:rPr>
          <w:color w:val="000000"/>
          <w:spacing w:val="0"/>
          <w:w w:val="100"/>
          <w:position w:val="0"/>
          <w:sz w:val="24"/>
          <w:szCs w:val="24"/>
        </w:rPr>
        <w:t>、非主营业务分析</w:t>
      </w:r>
      <w:bookmarkEnd w:id="139"/>
      <w:bookmarkEnd w:id="140"/>
      <w:bookmarkEnd w:id="142"/>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736"/>
        <w:gridCol w:w="185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3,397,958.00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主要系报告期内按权益法确认的</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参股公司投资损益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2,883,309.61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主要系报告期内理财产品收益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-2,140,636.16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主要系报告期内计提的合同资产 减值损失及存货跌价准备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4,249,677.81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主要系报告期内政府补助及固定 资产报废变卖收入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6,462,816.47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主要系报告期内捐赠支出及固定 资产报废损失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-134,828,541.33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主要系公司业务规模持续扩大，且 第四季度业务收入较高，应收账款 相应增加，基于谨慎性原则计提坏 账准备对应的减值损失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sz w:val="24"/>
          <w:szCs w:val="24"/>
        </w:rPr>
        <w:t>六</w:t>
      </w:r>
      <w:bookmarkEnd w:id="145"/>
      <w:r>
        <w:rPr>
          <w:color w:val="000000"/>
          <w:spacing w:val="0"/>
          <w:w w:val="100"/>
          <w:position w:val="0"/>
          <w:sz w:val="24"/>
          <w:szCs w:val="24"/>
        </w:rPr>
        <w:t>、资产及负债状况分析</w:t>
      </w:r>
      <w:bookmarkEnd w:id="143"/>
      <w:bookmarkEnd w:id="144"/>
      <w:bookmarkEnd w:id="146"/>
    </w:p>
    <w:p>
      <w:pPr>
        <w:pStyle w:val="Style29"/>
        <w:keepNext/>
        <w:keepLines/>
        <w:widowControl w:val="0"/>
        <w:shd w:val="clear" w:color="auto" w:fill="auto"/>
        <w:bidi w:val="0"/>
        <w:spacing w:before="0" w:after="32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、资产构成重大变动情况</w:t>
      </w:r>
      <w:bookmarkEnd w:id="147"/>
      <w:bookmarkEnd w:id="148"/>
      <w:bookmarkEnd w:id="1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0"/>
        <w:gridCol w:w="850"/>
        <w:gridCol w:w="1416"/>
        <w:gridCol w:w="850"/>
        <w:gridCol w:w="797"/>
        <w:gridCol w:w="304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2,460,677,998.67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2,025,545,930.28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主要系公司业务规模持续扩大，货币资 金总额相应增加，但由于总资产增加， 货币资金占总资产比重较去年有略微 下降</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2,992,566,474.62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1,326,928,886.08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主要系公司业务规模持续扩大，且第四 季度业务收入较高，应收账款相应增加 所致</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628,174,383.78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698,408,580.93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主要系适用新收入准则确认合同资产， 报告期已完工额未结算项目同比减少 所致</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1,148,883,036.33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933,320,988.76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主要系公司业务规模持续扩大，收入呈 现快速增长趋势，存货周转率持续提 升，占总资产比例相应下降。</w:t>
            </w:r>
          </w:p>
        </w:tc>
      </w:tr>
    </w:tbl>
    <w:p>
      <w:pPr>
        <w:spacing w:lineRule="exact" w:line="1"/>
        <w:rPr>
          <w:sz w:val="2"/>
          <w:szCs w:val="2"/>
        </w:rPr>
      </w:pPr>
      <w:r>
        <w:br w:type="page"/>
      </w:r>
    </w:p>
    <w:tbl>
      <w:tblPr>
        <w:tblOverlap w:val="never"/>
        <w:jc w:val="center"/>
        <w:tblLayout w:type="fixed"/>
      </w:tblPr>
      <w:tblGrid>
        <w:gridCol w:w="1373"/>
        <w:gridCol w:w="1330"/>
        <w:gridCol w:w="850"/>
        <w:gridCol w:w="1416"/>
        <w:gridCol w:w="850"/>
        <w:gridCol w:w="797"/>
        <w:gridCol w:w="304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报告期内无发生额</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53,387,256.70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40,474,498.47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主要系增加对麦融高科、广西华能润建 新能源的投资，长期股权投资总额相应 增加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185,839,655.80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188,534,607.71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报告期内，公司固定资产无重大变动</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438,145,228.15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90,392,190.36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主要系公司建设五象云谷云计算中心， 持续投入所致</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81,947,545.87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24,835,847.41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主要系公司业务规模持续扩大，租赁资 产增加，适用新租赁准则确认的租赁付 款额现值相应增加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943,375,976.76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255,292,083.32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主要系公司业务量扩张，增加银行贷款 以满足经营需求所致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353,709,169.57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261,743,529.20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报告期内，公司合同负债无重大变动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报告期内，公司长期借款无重大变动</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44,810,017.65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16,312,424.06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主要系公司业务规模持续扩大，租赁资 产增加，适用新租赁准则确认的一年以 上租赁付款额相应增加</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2</w:t>
      </w:r>
      <w:bookmarkEnd w:id="153"/>
      <w:r>
        <w:rPr>
          <w:color w:val="000000"/>
          <w:spacing w:val="0"/>
          <w:w w:val="100"/>
          <w:position w:val="0"/>
        </w:rPr>
        <w:t>、以公允价值计量的资产和负债</w:t>
      </w:r>
      <w:bookmarkEnd w:id="151"/>
      <w:bookmarkEnd w:id="152"/>
      <w:bookmarkEnd w:id="15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4"/>
        <w:gridCol w:w="1085"/>
        <w:gridCol w:w="1090"/>
        <w:gridCol w:w="1094"/>
        <w:gridCol w:w="965"/>
        <w:gridCol w:w="974"/>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本期计提的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40,044,072.85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4,913,847.83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291,400,000.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149,307,449.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187,050,471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其他债权投 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40,419,072.85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4,913,847.83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291,400,000.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149,307,449.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187,425,471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bl>
    <w:p>
      <w:pPr>
        <w:spacing w:lineRule="exact" w:line="1"/>
        <w:rPr>
          <w:sz w:val="2"/>
          <w:szCs w:val="2"/>
        </w:rPr>
      </w:pPr>
      <w:r>
        <w:br w:type="page"/>
      </w:r>
    </w:p>
    <w:tbl>
      <w:tblPr>
        <w:tblOverlap w:val="never"/>
        <w:jc w:val="center"/>
        <w:tblLayout w:type="fixed"/>
      </w:tblPr>
      <w:tblGrid>
        <w:gridCol w:w="1104"/>
        <w:gridCol w:w="1090"/>
        <w:gridCol w:w="1090"/>
        <w:gridCol w:w="1094"/>
        <w:gridCol w:w="1085"/>
        <w:gridCol w:w="1090"/>
        <w:gridCol w:w="1094"/>
        <w:gridCol w:w="965"/>
        <w:gridCol w:w="974"/>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生产性生物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40,419,072.85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4,913,847.83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291,400,000.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149,307,449.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187,425,471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其他变动的内容</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4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、截至报告期末的资产权利受限情况</w:t>
      </w:r>
      <w:bookmarkEnd w:id="155"/>
      <w:bookmarkEnd w:id="156"/>
      <w:bookmarkEnd w:id="158"/>
    </w:p>
    <w:tbl>
      <w:tblPr>
        <w:tblOverlap w:val="never"/>
        <w:jc w:val="left"/>
        <w:tblLayout w:type="fixed"/>
      </w:tblPr>
      <w:tblGrid>
        <w:gridCol w:w="2520"/>
        <w:gridCol w:w="3202"/>
        <w:gridCol w:w="2928"/>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259,158,493.03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保函保证金等</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245,383,927.70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大额存单质押开立承兑汇票</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1,046,410,169.91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大额存单质押开立承兑汇票</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1,550,952,590.64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39" w:line="1" w:lineRule="exact"/>
      </w:pPr>
    </w:p>
    <w:p>
      <w:pPr>
        <w:pStyle w:val="Style23"/>
        <w:keepNext/>
        <w:keepLines/>
        <w:widowControl w:val="0"/>
        <w:shd w:val="clear" w:color="auto" w:fill="auto"/>
        <w:bidi w:val="0"/>
        <w:spacing w:before="0" w:after="340" w:line="240" w:lineRule="auto"/>
        <w:ind w:left="0" w:right="0" w:firstLine="0"/>
        <w:jc w:val="both"/>
      </w:pPr>
      <w:bookmarkStart w:id="159" w:name="bookmark159"/>
      <w:bookmarkStart w:id="160" w:name="bookmark160"/>
      <w:bookmarkStart w:id="161" w:name="bookmark161"/>
      <w:bookmarkStart w:id="162" w:name="bookmark162"/>
      <w:r>
        <w:rPr>
          <w:color w:val="000000"/>
          <w:spacing w:val="0"/>
          <w:w w:val="100"/>
          <w:position w:val="0"/>
          <w:sz w:val="24"/>
          <w:szCs w:val="24"/>
        </w:rPr>
        <w:t>七</w:t>
      </w:r>
      <w:bookmarkEnd w:id="161"/>
      <w:r>
        <w:rPr>
          <w:color w:val="000000"/>
          <w:spacing w:val="0"/>
          <w:w w:val="100"/>
          <w:position w:val="0"/>
          <w:sz w:val="24"/>
          <w:szCs w:val="24"/>
        </w:rPr>
        <w:t>、投资状况分析</w:t>
      </w:r>
      <w:bookmarkEnd w:id="159"/>
      <w:bookmarkEnd w:id="160"/>
      <w:bookmarkEnd w:id="162"/>
    </w:p>
    <w:p>
      <w:pPr>
        <w:pStyle w:val="Style29"/>
        <w:keepNext/>
        <w:keepLines/>
        <w:widowControl w:val="0"/>
        <w:shd w:val="clear" w:color="auto" w:fill="auto"/>
        <w:bidi w:val="0"/>
        <w:spacing w:before="0" w:after="34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、总体情况</w:t>
      </w:r>
      <w:bookmarkEnd w:id="163"/>
      <w:bookmarkEnd w:id="164"/>
      <w:bookmarkEnd w:id="166"/>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334,600,000.00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325,997,043.00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、报告期内获取的重大的股权投资情况</w:t>
      </w:r>
      <w:bookmarkEnd w:id="167"/>
      <w:bookmarkEnd w:id="168"/>
      <w:bookmarkEnd w:id="170"/>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782"/>
        <w:gridCol w:w="432"/>
        <w:gridCol w:w="634"/>
        <w:gridCol w:w="638"/>
        <w:gridCol w:w="571"/>
        <w:gridCol w:w="989"/>
        <w:gridCol w:w="566"/>
        <w:gridCol w:w="638"/>
        <w:gridCol w:w="643"/>
        <w:gridCol w:w="562"/>
        <w:gridCol w:w="638"/>
        <w:gridCol w:w="499"/>
        <w:gridCol w:w="634"/>
        <w:gridCol w:w="792"/>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截至资</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产负债 表日的 进展情 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涉诉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披露索引</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润建新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能源有</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限责任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新能源发 电的咨询 设计、建 设、运营、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10,200.</w:t>
            </w:r>
          </w:p>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广州奇健企 业管理合伙 企业（有限 合伙）、广州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能源数 字化、 电力运 维、工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已设立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详见公司</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刊登在巨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t>
            </w:r>
          </w:p>
        </w:tc>
      </w:tr>
    </w:tbl>
    <w:p>
      <w:pPr>
        <w:spacing w:lineRule="exact" w:line="1"/>
        <w:rPr>
          <w:sz w:val="2"/>
          <w:szCs w:val="2"/>
        </w:rPr>
      </w:pPr>
      <w:r>
        <w:br w:type="page"/>
      </w:r>
    </w:p>
    <w:tbl>
      <w:tblPr>
        <w:tblOverlap w:val="never"/>
        <w:jc w:val="center"/>
        <w:tblLayout w:type="fixed"/>
      </w:tblPr>
      <w:tblGrid>
        <w:gridCol w:w="643"/>
        <w:gridCol w:w="782"/>
        <w:gridCol w:w="432"/>
        <w:gridCol w:w="634"/>
        <w:gridCol w:w="638"/>
        <w:gridCol w:w="571"/>
        <w:gridCol w:w="989"/>
        <w:gridCol w:w="566"/>
        <w:gridCol w:w="638"/>
        <w:gridCol w:w="643"/>
        <w:gridCol w:w="562"/>
        <w:gridCol w:w="638"/>
        <w:gridCol w:w="499"/>
        <w:gridCol w:w="634"/>
        <w:gridCol w:w="792"/>
      </w:tblGrid>
      <w:tr>
        <w:trPr>
          <w:trHeight w:val="286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维护等， 以及用户 网络的咨 询设计、 建设、运 营、维护 和智慧电 能解决方 案等。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世纳企业管 理合伙企业</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w:t>
            </w:r>
          </w:p>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伙）、广州瑞 诚富冠企业 管理咨询合 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业数字</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化等软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硬件产</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5" w:lineRule="exact"/>
              <w:ind w:left="0" w:right="0" w:firstLine="0"/>
              <w:jc w:val="both"/>
            </w:pP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r>
              <w:rPr>
                <w:rFonts w:ascii="Times New Roman" w:eastAsia="Times New Roman" w:hAnsi="Times New Roman" w:cs="Times New Roman"/>
                <w:color w:val="000000"/>
                <w:spacing w:val="0"/>
                <w:w w:val="100"/>
                <w:position w:val="0"/>
              </w:rPr>
              <w:t xml:space="preserve"> nfo.com.c n</w:t>
            </w:r>
            <w:r>
              <w:rPr>
                <w:color w:val="000000"/>
                <w:spacing w:val="0"/>
                <w:w w:val="100"/>
                <w:position w:val="0"/>
              </w:rPr>
              <w:t>）</w:t>
            </w:r>
            <w:r>
              <w:rPr>
                <w:color w:val="000000"/>
                <w:spacing w:val="0"/>
                <w:w w:val="100"/>
                <w:position w:val="0"/>
              </w:rPr>
              <w:t>的《关 于对外投 资的公 告》</w:t>
            </w:r>
          </w:p>
        </w:tc>
      </w:tr>
      <w:tr>
        <w:trPr>
          <w:trHeight w:val="3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润建数 智教育 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智慧校园</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管维业务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谢树忠先</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生、曾丹女</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士、刘红梅 女士、梁姬 女士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智慧校 园产</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品、校 园数字 化等软 硬件产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已设立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 刊登在巨 潮资讯网</w:t>
            </w:r>
          </w:p>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t>
            </w:r>
            <w:r>
              <w:fldChar w:fldCharType="begin"/>
            </w:r>
            <w:r>
              <w:rPr/>
              <w:instrText> HYPERLINK "http://www.cni" </w:instrText>
            </w:r>
            <w:r>
              <w:fldChar w:fldCharType="separate"/>
            </w:r>
            <w:r>
              <w:rPr>
                <w:rFonts w:ascii="Times New Roman" w:eastAsia="Times New Roman" w:hAnsi="Times New Roman" w:cs="Times New Roman"/>
                <w:color w:val="000000"/>
                <w:spacing w:val="0"/>
                <w:w w:val="100"/>
                <w:position w:val="0"/>
              </w:rPr>
              <w:t>www.cni</w:t>
            </w:r>
            <w:r>
              <w:fldChar w:fldCharType="end"/>
            </w:r>
            <w:r>
              <w:rPr>
                <w:rFonts w:ascii="Times New Roman" w:eastAsia="Times New Roman" w:hAnsi="Times New Roman" w:cs="Times New Roman"/>
                <w:color w:val="000000"/>
                <w:spacing w:val="0"/>
                <w:w w:val="100"/>
                <w:position w:val="0"/>
              </w:rPr>
              <w:t xml:space="preserve"> nfo.com.c n</w:t>
            </w:r>
            <w:r>
              <w:rPr>
                <w:color w:val="000000"/>
                <w:spacing w:val="0"/>
                <w:w w:val="100"/>
                <w:position w:val="0"/>
              </w:rPr>
              <w:t>）</w:t>
            </w:r>
            <w:r>
              <w:rPr>
                <w:color w:val="000000"/>
                <w:spacing w:val="0"/>
                <w:w w:val="100"/>
                <w:position w:val="0"/>
              </w:rPr>
              <w:t>的《关 于对外投 资设立公 司暨关联 交易的公 告》</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、报告期内正在进行的重大的非股权投资情况</w:t>
      </w:r>
      <w:bookmarkEnd w:id="171"/>
      <w:bookmarkEnd w:id="172"/>
      <w:bookmarkEnd w:id="174"/>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4</w:t>
      </w:r>
      <w:bookmarkEnd w:id="177"/>
      <w:r>
        <w:rPr>
          <w:color w:val="000000"/>
          <w:spacing w:val="0"/>
          <w:w w:val="100"/>
          <w:position w:val="0"/>
        </w:rPr>
        <w:t>、</w:t>
        <w:tab/>
        <w:t>金融资产投资</w:t>
      </w:r>
      <w:bookmarkEnd w:id="175"/>
      <w:bookmarkEnd w:id="176"/>
      <w:bookmarkEnd w:id="178"/>
    </w:p>
    <w:p>
      <w:pPr>
        <w:pStyle w:val="Style40"/>
        <w:keepNext/>
        <w:keepLines/>
        <w:widowControl w:val="0"/>
        <w:shd w:val="clear" w:color="auto" w:fill="auto"/>
        <w:tabs>
          <w:tab w:pos="493" w:val="left"/>
        </w:tabs>
        <w:bidi w:val="0"/>
        <w:spacing w:before="0" w:after="34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9"/>
      <w:bookmarkEnd w:id="180"/>
      <w:bookmarkEnd w:id="182"/>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公司报告期不存在证券投资。</w:t>
      </w:r>
    </w:p>
    <w:p>
      <w:pPr>
        <w:pStyle w:val="Style40"/>
        <w:keepNext/>
        <w:keepLines/>
        <w:widowControl w:val="0"/>
        <w:shd w:val="clear" w:color="auto" w:fill="auto"/>
        <w:tabs>
          <w:tab w:pos="493" w:val="left"/>
        </w:tabs>
        <w:bidi w:val="0"/>
        <w:spacing w:before="0" w:after="3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3"/>
      <w:bookmarkEnd w:id="184"/>
      <w:bookmarkEnd w:id="186"/>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公司报告期不存在衍生品投资。</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w:t>
        <w:tab/>
        <w:t>募集资金使用情况</w:t>
      </w:r>
      <w:bookmarkEnd w:id="187"/>
      <w:bookmarkEnd w:id="188"/>
      <w:bookmarkEnd w:id="190"/>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40"/>
        <w:keepNext/>
        <w:keepLines/>
        <w:widowControl w:val="0"/>
        <w:numPr>
          <w:ilvl w:val="0"/>
          <w:numId w:val="1"/>
        </w:numPr>
        <w:shd w:val="clear" w:color="auto" w:fill="auto"/>
        <w:bidi w:val="0"/>
        <w:spacing w:before="0" w:after="34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募集资金总体使用情况</w:t>
      </w:r>
      <w:bookmarkEnd w:id="191"/>
      <w:bookmarkEnd w:id="192"/>
      <w:bookmarkEnd w:id="19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566"/>
        <w:gridCol w:w="850"/>
        <w:gridCol w:w="710"/>
        <w:gridCol w:w="710"/>
        <w:gridCol w:w="850"/>
        <w:gridCol w:w="850"/>
        <w:gridCol w:w="869"/>
        <w:gridCol w:w="686"/>
        <w:gridCol w:w="2131"/>
        <w:gridCol w:w="874"/>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尚未使用募集资金用途及 去向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77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125,596.0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121,799.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报告期内，公司首次公开发 行股票募集资金投资项目 均已按计划实施完毕，已达 到预定可使用状态，满足结 项条件，公司对相关项目进 行结项，并将结项后的实际 节余资金合计 </w:t>
            </w:r>
            <w:r>
              <w:rPr>
                <w:rFonts w:ascii="Times New Roman" w:eastAsia="Times New Roman" w:hAnsi="Times New Roman" w:cs="Times New Roman"/>
                <w:color w:val="000000"/>
                <w:spacing w:val="0"/>
                <w:w w:val="100"/>
                <w:position w:val="0"/>
              </w:rPr>
              <w:t>37,961,838.45</w:t>
            </w:r>
            <w:r>
              <w:rPr>
                <w:color w:val="000000"/>
                <w:spacing w:val="0"/>
                <w:w w:val="100"/>
                <w:position w:val="0"/>
              </w:rPr>
              <w:t>元永久补充 流动资金，相关募集资金专 项账户不再使用，公司已办 理募集资金专用账户注销 手续，专户注销后，公司与 保荐机构、开户银行签署的 募集资金监管协议随之终 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公开 发行 可转 换公 司债 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37,093.2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37,093.2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70,929.0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尚未使用的募集资金余额 为 </w:t>
            </w:r>
            <w:r>
              <w:rPr>
                <w:rFonts w:ascii="Times New Roman" w:eastAsia="Times New Roman" w:hAnsi="Times New Roman" w:cs="Times New Roman"/>
                <w:color w:val="000000"/>
                <w:spacing w:val="0"/>
                <w:w w:val="100"/>
                <w:position w:val="0"/>
              </w:rPr>
              <w:t xml:space="preserve">709,290,605.10 </w:t>
            </w:r>
            <w:r>
              <w:rPr>
                <w:color w:val="000000"/>
                <w:spacing w:val="0"/>
                <w:w w:val="100"/>
                <w:position w:val="0"/>
              </w:rPr>
              <w:t>元，尚未 使用的募集资金分别存放 于中国光大银行股份有限 公司南宁分行、中国建设银 行股份有限公司广西壮族 自治区分行、中国民生银行 股份有限公司南宁分行、中 国农业银行股份有限公司 南宁友爱支行、上海浦东发 展银行股份有限公司南宁 分行、兴业银行股份有限公 司南宁分行、招商银行股份 有限公司南宁分行、柳州银 行股份有限公司南宁分行、 桂林银行股份有限公司南 宁分行、广西北部湾银行股 份有限公司南宁市城北支 行十一个募集资金专户中，</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576"/>
        <w:gridCol w:w="566"/>
        <w:gridCol w:w="850"/>
        <w:gridCol w:w="710"/>
        <w:gridCol w:w="710"/>
        <w:gridCol w:w="850"/>
        <w:gridCol w:w="850"/>
        <w:gridCol w:w="869"/>
        <w:gridCol w:w="686"/>
        <w:gridCol w:w="2131"/>
        <w:gridCol w:w="874"/>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公司尚未使用的募集资金 将用于五象云谷云计算中 心项目。</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233,618.3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37,135.9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158,893.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74,725.2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581"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314" w:lineRule="exact"/>
              <w:ind w:left="0" w:right="0" w:firstLine="0"/>
              <w:jc w:val="both"/>
            </w:pPr>
            <w:r>
              <w:rPr>
                <w:color w:val="000000"/>
                <w:spacing w:val="0"/>
                <w:w w:val="100"/>
                <w:position w:val="0"/>
              </w:rPr>
              <w:t>经中国证券监督管理委员会证监发行字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2018]262</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月向社会公开发行人民币普通股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5,518.66 </w:t>
            </w:r>
            <w:r>
              <w:rPr>
                <w:color w:val="000000"/>
                <w:spacing w:val="0"/>
                <w:w w:val="100"/>
                <w:position w:val="0"/>
              </w:rPr>
              <w:t>万股，每股发行价为</w:t>
            </w:r>
            <w:r>
              <w:rPr>
                <w:rFonts w:ascii="Times New Roman" w:eastAsia="Times New Roman" w:hAnsi="Times New Roman" w:cs="Times New Roman"/>
                <w:color w:val="000000"/>
                <w:spacing w:val="0"/>
                <w:w w:val="100"/>
                <w:position w:val="0"/>
              </w:rPr>
              <w:t>23.95</w:t>
            </w:r>
            <w:r>
              <w:rPr>
                <w:color w:val="000000"/>
                <w:spacing w:val="0"/>
                <w:w w:val="100"/>
                <w:position w:val="0"/>
              </w:rPr>
              <w:t>元，应募集资金总额为人民币</w:t>
            </w:r>
            <w:r>
              <w:rPr>
                <w:rFonts w:ascii="Times New Roman" w:eastAsia="Times New Roman" w:hAnsi="Times New Roman" w:cs="Times New Roman"/>
                <w:color w:val="000000"/>
                <w:spacing w:val="0"/>
                <w:w w:val="100"/>
                <w:position w:val="0"/>
              </w:rPr>
              <w:t>132,171.9070</w:t>
            </w:r>
            <w:r>
              <w:rPr>
                <w:color w:val="000000"/>
                <w:spacing w:val="0"/>
                <w:w w:val="100"/>
                <w:position w:val="0"/>
              </w:rPr>
              <w:t>万元，根据有关规定扣除发行费用</w:t>
            </w:r>
            <w:r>
              <w:rPr>
                <w:rFonts w:ascii="Times New Roman" w:eastAsia="Times New Roman" w:hAnsi="Times New Roman" w:cs="Times New Roman"/>
                <w:color w:val="000000"/>
                <w:spacing w:val="0"/>
                <w:w w:val="100"/>
                <w:position w:val="0"/>
              </w:rPr>
              <w:t>6,575.8491</w:t>
            </w:r>
            <w:r>
              <w:rPr>
                <w:color w:val="000000"/>
                <w:spacing w:val="0"/>
                <w:w w:val="100"/>
                <w:position w:val="0"/>
              </w:rPr>
              <w:t>万元后， 实际募集资金净额为</w:t>
            </w:r>
            <w:r>
              <w:rPr>
                <w:rFonts w:ascii="Times New Roman" w:eastAsia="Times New Roman" w:hAnsi="Times New Roman" w:cs="Times New Roman"/>
                <w:color w:val="000000"/>
                <w:spacing w:val="0"/>
                <w:w w:val="100"/>
                <w:position w:val="0"/>
              </w:rPr>
              <w:t>125,596.0579</w:t>
            </w:r>
            <w:r>
              <w:rPr>
                <w:color w:val="000000"/>
                <w:spacing w:val="0"/>
                <w:w w:val="100"/>
                <w:position w:val="0"/>
              </w:rPr>
              <w:t>万元，该募集资金已于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月到账。上述资金到账情况业经大华会计师事务所(特 殊普通合伙)大华验字</w:t>
            </w:r>
            <w:r>
              <w:rPr>
                <w:rFonts w:ascii="Times New Roman" w:eastAsia="Times New Roman" w:hAnsi="Times New Roman" w:cs="Times New Roman"/>
                <w:color w:val="000000"/>
                <w:spacing w:val="0"/>
                <w:w w:val="100"/>
                <w:position w:val="0"/>
              </w:rPr>
              <w:t>[2018]000095</w:t>
            </w:r>
            <w:r>
              <w:rPr>
                <w:color w:val="000000"/>
                <w:spacing w:val="0"/>
                <w:w w:val="100"/>
                <w:position w:val="0"/>
              </w:rPr>
              <w:t>号《润建通信股份有限公司发行人民币普通股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5,518.66</w:t>
            </w:r>
            <w:r>
              <w:rPr>
                <w:color w:val="000000"/>
                <w:spacing w:val="0"/>
                <w:w w:val="100"/>
                <w:position w:val="0"/>
              </w:rPr>
              <w:t>万股后实收股本的验资 报告》验证。公司对募集资金采取了专户存储管理。</w:t>
            </w:r>
          </w:p>
          <w:p>
            <w:pPr>
              <w:pStyle w:val="Style20"/>
              <w:keepNext w:val="0"/>
              <w:keepLines w:val="0"/>
              <w:widowControl w:val="0"/>
              <w:shd w:val="clear" w:color="auto" w:fill="auto"/>
              <w:tabs>
                <w:tab w:pos="259"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首次公开发行募集资金：</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日，公司首次公开发行股票募投项目</w:t>
            </w:r>
            <w:r>
              <w:rPr>
                <w:rFonts w:ascii="Times New Roman" w:eastAsia="Times New Roman" w:hAnsi="Times New Roman" w:cs="Times New Roman"/>
                <w:color w:val="000000"/>
                <w:spacing w:val="0"/>
                <w:w w:val="100"/>
                <w:position w:val="0"/>
              </w:rPr>
              <w:t>“</w:t>
            </w:r>
            <w:r>
              <w:rPr>
                <w:color w:val="000000"/>
                <w:spacing w:val="0"/>
                <w:w w:val="100"/>
                <w:position w:val="0"/>
              </w:rPr>
              <w:t>区域服务网络和培训中心建设项目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补 充营运资金</w:t>
            </w:r>
            <w:r>
              <w:rPr>
                <w:rFonts w:ascii="Times New Roman" w:eastAsia="Times New Roman" w:hAnsi="Times New Roman" w:cs="Times New Roman"/>
                <w:color w:val="000000"/>
                <w:spacing w:val="0"/>
                <w:w w:val="100"/>
                <w:position w:val="0"/>
              </w:rPr>
              <w:t>”</w:t>
            </w:r>
            <w:r>
              <w:rPr>
                <w:color w:val="000000"/>
                <w:spacing w:val="0"/>
                <w:w w:val="100"/>
                <w:position w:val="0"/>
              </w:rPr>
              <w:t>已全部实施完毕并达到可使用状态，公司拟将上述募投项目全部结项，公司首次公开发行股票募投项目累计投 入募集资金</w:t>
            </w:r>
            <w:r>
              <w:rPr>
                <w:rFonts w:ascii="Times New Roman" w:eastAsia="Times New Roman" w:hAnsi="Times New Roman" w:cs="Times New Roman"/>
                <w:color w:val="000000"/>
                <w:spacing w:val="0"/>
                <w:w w:val="100"/>
                <w:position w:val="0"/>
              </w:rPr>
              <w:t>121,799.87</w:t>
            </w:r>
            <w:r>
              <w:rPr>
                <w:color w:val="000000"/>
                <w:spacing w:val="0"/>
                <w:w w:val="100"/>
                <w:position w:val="0"/>
              </w:rPr>
              <w:t>万元，结余募集资金</w:t>
            </w:r>
            <w:r>
              <w:rPr>
                <w:rFonts w:ascii="Times New Roman" w:eastAsia="Times New Roman" w:hAnsi="Times New Roman" w:cs="Times New Roman"/>
                <w:color w:val="000000"/>
                <w:spacing w:val="0"/>
                <w:w w:val="100"/>
                <w:position w:val="0"/>
              </w:rPr>
              <w:t>3,796.19</w:t>
            </w:r>
            <w:r>
              <w:rPr>
                <w:color w:val="000000"/>
                <w:spacing w:val="0"/>
                <w:w w:val="100"/>
                <w:position w:val="0"/>
              </w:rPr>
              <w:t>万元。</w:t>
            </w:r>
          </w:p>
          <w:p>
            <w:pPr>
              <w:pStyle w:val="Style20"/>
              <w:keepNext w:val="0"/>
              <w:keepLines w:val="0"/>
              <w:widowControl w:val="0"/>
              <w:shd w:val="clear" w:color="auto" w:fill="auto"/>
              <w:bidi w:val="0"/>
              <w:spacing w:before="0" w:after="120" w:line="322" w:lineRule="exact"/>
              <w:ind w:left="0" w:right="0" w:firstLine="0"/>
              <w:jc w:val="both"/>
            </w:pPr>
            <w:r>
              <w:rPr>
                <w:color w:val="000000"/>
                <w:spacing w:val="0"/>
                <w:w w:val="100"/>
                <w:position w:val="0"/>
              </w:rPr>
              <w:t>报告期内，公司首次公开发行股票募集资金投资项目均已按计划实施完毕，已达到预定可使用状态，满足结项条件，公司 对相关项目进行结项，并将结项后的实际节余资金合计</w:t>
            </w:r>
            <w:r>
              <w:rPr>
                <w:rFonts w:ascii="Times New Roman" w:eastAsia="Times New Roman" w:hAnsi="Times New Roman" w:cs="Times New Roman"/>
                <w:color w:val="000000"/>
                <w:spacing w:val="0"/>
                <w:w w:val="100"/>
                <w:position w:val="0"/>
              </w:rPr>
              <w:t>37,961,838.45</w:t>
            </w:r>
            <w:r>
              <w:rPr>
                <w:color w:val="000000"/>
                <w:spacing w:val="0"/>
                <w:w w:val="100"/>
                <w:position w:val="0"/>
              </w:rPr>
              <w:t>元永久补充流动资金，相关募集资金专项账户不再使 用，公司已办理募集资金专用账户注销手续，专户注销后，公司与保荐机构、开户银行签署的募集资金监管协议随之终止。 募集资金结余原因：公司在募投资金项目实施过程中，严格按照募集资金管理的有关规定谨慎使用募集资金。公司从项目 实际情况出发，严格管理，合理配备资源，控制采购成本，有效节约了开支。</w:t>
            </w:r>
          </w:p>
          <w:p>
            <w:pPr>
              <w:pStyle w:val="Style20"/>
              <w:keepNext w:val="0"/>
              <w:keepLines w:val="0"/>
              <w:widowControl w:val="0"/>
              <w:shd w:val="clear" w:color="auto" w:fill="auto"/>
              <w:tabs>
                <w:tab w:pos="278"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可转换公司债券发行募集资金</w:t>
            </w:r>
          </w:p>
          <w:p>
            <w:pPr>
              <w:pStyle w:val="Style20"/>
              <w:keepNext w:val="0"/>
              <w:keepLines w:val="0"/>
              <w:widowControl w:val="0"/>
              <w:shd w:val="clear" w:color="auto" w:fill="auto"/>
              <w:bidi w:val="0"/>
              <w:spacing w:before="0" w:after="120" w:line="31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日，尚未使用的募集资金余额为</w:t>
            </w:r>
            <w:r>
              <w:rPr>
                <w:rFonts w:ascii="Times New Roman" w:eastAsia="Times New Roman" w:hAnsi="Times New Roman" w:cs="Times New Roman"/>
                <w:color w:val="000000"/>
                <w:spacing w:val="0"/>
                <w:w w:val="100"/>
                <w:position w:val="0"/>
              </w:rPr>
              <w:t>709,290,605.10</w:t>
            </w:r>
            <w:r>
              <w:rPr>
                <w:color w:val="000000"/>
                <w:spacing w:val="0"/>
                <w:w w:val="100"/>
                <w:position w:val="0"/>
              </w:rPr>
              <w:t>元，尚未使用的募集资金分别存放于中国光大银行股 份有限公司南宁分行、中国建设银行股份有限公司广西壮族自治区分行、中国民生银行股份有限公司南宁分行、中国农业 银行股份有限公司南宁友爱支行、上海浦东发展银行股份有限公司南宁分行、兴业银行股份有限公司南宁分行、招商银行 股份有限公司南宁分行、柳州银行股份有限公司南宁分行、桂林银行股份有限公司南宁分行、广西北部湾银行股份有限公 司南宁市城北支行十一个募集资金专户中，公司尚未使用的募集资金将用于五象云谷云计算中心项目。</w:t>
            </w:r>
          </w:p>
        </w:tc>
      </w:tr>
    </w:tbl>
    <w:p>
      <w:pPr>
        <w:widowControl w:val="0"/>
        <w:spacing w:after="299" w:line="1" w:lineRule="exact"/>
      </w:pPr>
    </w:p>
    <w:p>
      <w:pPr>
        <w:pStyle w:val="Style40"/>
        <w:keepNext/>
        <w:keepLines/>
        <w:widowControl w:val="0"/>
        <w:numPr>
          <w:ilvl w:val="0"/>
          <w:numId w:val="1"/>
        </w:numPr>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募集资金承诺项目情况</w:t>
      </w:r>
      <w:bookmarkEnd w:id="195"/>
      <w:bookmarkEnd w:id="196"/>
      <w:bookmarkEnd w:id="198"/>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调整后投 资总额</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317" w:lineRule="exact"/>
              <w:ind w:left="0" w:right="0" w:firstLine="0"/>
              <w:jc w:val="right"/>
            </w:pPr>
            <w:r>
              <w:rPr>
                <w:color w:val="000000"/>
                <w:spacing w:val="0"/>
                <w:w w:val="100"/>
                <w:position w:val="0"/>
              </w:rPr>
              <w:t>截至期末 投资进度</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本报告期</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实现的效</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是否达到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0"/>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8,914.22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72,769.86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72,769.86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72,821.57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区域服务网络和培训 中心建设项目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40,064.08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26,581.07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五象云谷云计算中心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108,200.3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108,022.3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37,093.24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37,093.24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233,796.3</w:t>
            </w:r>
          </w:p>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233,618.3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37,135.93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158,893.1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26,581.07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233,796.3</w:t>
            </w:r>
          </w:p>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233,618.3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37,135.93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158,893.1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26,581.07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未达到计划进度或预</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计收益的情况和原因</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日，五象云谷云计算中心已完成土建施工和部分机电设备安装，正在整体调试， 尚无效益产生。</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超募资金的金额、用途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329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公司于第三届董事会第十五次会议、</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年第一次临时股东大会审议通过《关于调整部分募集资金 投资项目实施方案的议案》，审议通过根据公司实际业务发展需要，在不改变原募投项目性质、建设 目的的情况下，对募投项目</w:t>
            </w:r>
            <w:r>
              <w:rPr>
                <w:rFonts w:ascii="Times New Roman" w:eastAsia="Times New Roman" w:hAnsi="Times New Roman" w:cs="Times New Roman"/>
                <w:color w:val="000000"/>
                <w:spacing w:val="0"/>
                <w:w w:val="100"/>
                <w:position w:val="0"/>
              </w:rPr>
              <w:t>“</w:t>
            </w:r>
            <w:r>
              <w:rPr>
                <w:color w:val="000000"/>
                <w:spacing w:val="0"/>
                <w:w w:val="100"/>
                <w:position w:val="0"/>
              </w:rPr>
              <w:t>区域服务网络和培训中心建设项目</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培训中心建设</w:t>
            </w:r>
            <w:r>
              <w:rPr>
                <w:rFonts w:ascii="Times New Roman" w:eastAsia="Times New Roman" w:hAnsi="Times New Roman" w:cs="Times New Roman"/>
                <w:color w:val="000000"/>
                <w:spacing w:val="0"/>
                <w:w w:val="100"/>
                <w:position w:val="0"/>
              </w:rPr>
              <w:t>”</w:t>
            </w:r>
            <w:r>
              <w:rPr>
                <w:color w:val="000000"/>
                <w:spacing w:val="0"/>
                <w:w w:val="100"/>
                <w:position w:val="0"/>
              </w:rPr>
              <w:t>部分和</w:t>
            </w:r>
            <w:r>
              <w:rPr>
                <w:rFonts w:ascii="Times New Roman" w:eastAsia="Times New Roman" w:hAnsi="Times New Roman" w:cs="Times New Roman"/>
                <w:color w:val="000000"/>
                <w:spacing w:val="0"/>
                <w:w w:val="100"/>
                <w:position w:val="0"/>
              </w:rPr>
              <w:t>“</w:t>
            </w:r>
            <w:r>
              <w:rPr>
                <w:color w:val="000000"/>
                <w:spacing w:val="0"/>
                <w:w w:val="100"/>
                <w:position w:val="0"/>
              </w:rPr>
              <w:t>研发中心 建设项目</w:t>
            </w:r>
            <w:r>
              <w:rPr>
                <w:rFonts w:ascii="Times New Roman" w:eastAsia="Times New Roman" w:hAnsi="Times New Roman" w:cs="Times New Roman"/>
                <w:color w:val="000000"/>
                <w:spacing w:val="0"/>
                <w:w w:val="100"/>
                <w:position w:val="0"/>
              </w:rPr>
              <w:t>”</w:t>
            </w:r>
            <w:r>
              <w:rPr>
                <w:color w:val="000000"/>
                <w:spacing w:val="0"/>
                <w:w w:val="100"/>
                <w:position w:val="0"/>
              </w:rPr>
              <w:t>进行变更：</w:t>
            </w:r>
          </w:p>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培训中心建设项目原计划实施地点为南宁，投资构成主要用于场地购买和设备购置，实施期限为 </w:t>
            </w:r>
            <w:r>
              <w:rPr>
                <w:rFonts w:ascii="Times New Roman" w:eastAsia="Times New Roman" w:hAnsi="Times New Roman" w:cs="Times New Roman"/>
                <w:color w:val="000000"/>
                <w:spacing w:val="0"/>
                <w:w w:val="100"/>
                <w:position w:val="0"/>
              </w:rPr>
              <w:t>2018</w:t>
            </w:r>
            <w:r>
              <w:rPr>
                <w:color w:val="000000"/>
                <w:spacing w:val="0"/>
                <w:w w:val="100"/>
                <w:position w:val="0"/>
              </w:rPr>
              <w:t>年底实施完毕；调整后，该项目的实施地点为广州，投资构成主要用于场地购买、场地装修、 内部培训费用、外部培训费用、培训工作人员薪酬的支出，实施期限为</w:t>
            </w:r>
            <w:r>
              <w:rPr>
                <w:rFonts w:ascii="Times New Roman" w:eastAsia="Times New Roman" w:hAnsi="Times New Roman" w:cs="Times New Roman"/>
                <w:color w:val="000000"/>
                <w:spacing w:val="0"/>
                <w:w w:val="100"/>
                <w:position w:val="0"/>
              </w:rPr>
              <w:t>2019-2020</w:t>
            </w:r>
            <w:r>
              <w:rPr>
                <w:color w:val="000000"/>
                <w:spacing w:val="0"/>
                <w:w w:val="100"/>
                <w:position w:val="0"/>
              </w:rPr>
              <w:t xml:space="preserve">年； 研发中心建设项目原计划实施地点为南宁，投资构成主要用于场地购买和设备购置，实施期限为 </w:t>
            </w:r>
            <w:r>
              <w:rPr>
                <w:rFonts w:ascii="Times New Roman" w:eastAsia="Times New Roman" w:hAnsi="Times New Roman" w:cs="Times New Roman"/>
                <w:color w:val="000000"/>
                <w:spacing w:val="0"/>
                <w:w w:val="100"/>
                <w:position w:val="0"/>
              </w:rPr>
              <w:t>2018</w:t>
            </w:r>
            <w:r>
              <w:rPr>
                <w:color w:val="000000"/>
                <w:spacing w:val="0"/>
                <w:w w:val="100"/>
                <w:position w:val="0"/>
              </w:rPr>
              <w:t>年底实施完毕；调整后，该项目的实施地点为广州，投资构成主要用于场地购买、场地装修以 及研发人员薪酬的支出，实施期限为</w:t>
            </w:r>
            <w:r>
              <w:rPr>
                <w:rFonts w:ascii="Times New Roman" w:eastAsia="Times New Roman" w:hAnsi="Times New Roman" w:cs="Times New Roman"/>
                <w:color w:val="000000"/>
                <w:spacing w:val="0"/>
                <w:w w:val="100"/>
                <w:position w:val="0"/>
              </w:rPr>
              <w:t>2019-2020</w:t>
            </w:r>
            <w:r>
              <w:rPr>
                <w:color w:val="000000"/>
                <w:spacing w:val="0"/>
                <w:w w:val="100"/>
                <w:position w:val="0"/>
              </w:rPr>
              <w:t>年。</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w:t>
            </w:r>
            <w:r>
              <w:rPr>
                <w:rFonts w:ascii="Times New Roman" w:eastAsia="Times New Roman" w:hAnsi="Times New Roman" w:cs="Times New Roman"/>
                <w:color w:val="000000"/>
                <w:spacing w:val="0"/>
                <w:w w:val="100"/>
                <w:position w:val="0"/>
              </w:rPr>
              <w:t>“</w:t>
            </w:r>
            <w:r>
              <w:rPr>
                <w:color w:val="000000"/>
                <w:spacing w:val="0"/>
                <w:w w:val="100"/>
                <w:position w:val="0"/>
              </w:rPr>
              <w:t>募集资金投资项目实施地点变更情况</w:t>
            </w:r>
            <w:r>
              <w:rPr>
                <w:rFonts w:ascii="Times New Roman" w:eastAsia="Times New Roman" w:hAnsi="Times New Roman" w:cs="Times New Roman"/>
                <w:color w:val="000000"/>
                <w:spacing w:val="0"/>
                <w:w w:val="100"/>
                <w:position w:val="0"/>
              </w:rPr>
              <w:t>”</w:t>
            </w:r>
          </w:p>
        </w:tc>
      </w:tr>
      <w:tr>
        <w:trPr>
          <w:trHeight w:val="39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9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326"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日，公司第三届董事会第十二次会议、第三届监事会第一次会议，分别审议通过了 《关于以募集资金置换预先投入募集资金投资项目的自筹资金的议案》，同意公司用募集资金</w:t>
            </w:r>
          </w:p>
          <w:p>
            <w:pPr>
              <w:pStyle w:val="Style20"/>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329,281,567.20</w:t>
            </w:r>
            <w:r>
              <w:rPr>
                <w:color w:val="000000"/>
                <w:spacing w:val="0"/>
                <w:w w:val="100"/>
                <w:position w:val="0"/>
              </w:rPr>
              <w:t>元置换预先已投入募集资金投资项目的自筹资金。独立董事发表了同意的独立意见，</w:t>
            </w:r>
          </w:p>
        </w:tc>
      </w:tr>
    </w:tbl>
    <w:p>
      <w:pPr>
        <w:spacing w:lineRule="exact" w:line="1"/>
        <w:rPr>
          <w:sz w:val="2"/>
          <w:szCs w:val="2"/>
        </w:rPr>
      </w:pPr>
      <w:r>
        <w:br w:type="page"/>
      </w:r>
    </w:p>
    <w:tbl>
      <w:tblPr>
        <w:tblOverlap w:val="never"/>
        <w:jc w:val="center"/>
        <w:tblLayout w:type="fixed"/>
      </w:tblPr>
      <w:tblGrid>
        <w:gridCol w:w="1781"/>
        <w:gridCol w:w="7805"/>
      </w:tblGrid>
      <w:tr>
        <w:trPr>
          <w:trHeight w:val="384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中信建投证券股份有限公司发表了同意的核查意见，由华普天健会计师事务所（特殊普通合伙）对 公司预先已投入募集资金投资项目的自筹资金使用情况进行了审验，并出具了《关于润建通信股份 有限公司以自筹资金预先投入募集资金投资项目的鉴证报告》（会专字</w:t>
            </w:r>
            <w:r>
              <w:rPr>
                <w:rFonts w:ascii="Times New Roman" w:eastAsia="Times New Roman" w:hAnsi="Times New Roman" w:cs="Times New Roman"/>
                <w:color w:val="000000"/>
                <w:spacing w:val="0"/>
                <w:w w:val="100"/>
                <w:position w:val="0"/>
              </w:rPr>
              <w:t>[2018]5501</w:t>
            </w:r>
            <w:r>
              <w:rPr>
                <w:color w:val="000000"/>
                <w:spacing w:val="0"/>
                <w:w w:val="100"/>
                <w:position w:val="0"/>
              </w:rPr>
              <w:t>号），对公司募集 资金投资项目预先投入自筹资金的情况进行了核验和确认。公司已于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日完成了置换。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日，公司第四届董事会第十次会议、第四届监事会第九次会议，分别审议通过了《关 于使用募集资金置换先期投入的议案》，同意公司用募集资金</w:t>
            </w:r>
            <w:r>
              <w:rPr>
                <w:rFonts w:ascii="Times New Roman" w:eastAsia="Times New Roman" w:hAnsi="Times New Roman" w:cs="Times New Roman"/>
                <w:color w:val="000000"/>
                <w:spacing w:val="0"/>
                <w:w w:val="100"/>
                <w:position w:val="0"/>
              </w:rPr>
              <w:t>85,466,846.93</w:t>
            </w:r>
            <w:r>
              <w:rPr>
                <w:color w:val="000000"/>
                <w:spacing w:val="0"/>
                <w:w w:val="100"/>
                <w:position w:val="0"/>
              </w:rPr>
              <w:t>元置换在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日前由公司预先投入募集资金投资项目的自筹资金</w:t>
            </w:r>
            <w:r>
              <w:rPr>
                <w:rFonts w:ascii="Times New Roman" w:eastAsia="Times New Roman" w:hAnsi="Times New Roman" w:cs="Times New Roman"/>
                <w:color w:val="000000"/>
                <w:spacing w:val="0"/>
                <w:w w:val="100"/>
                <w:position w:val="0"/>
              </w:rPr>
              <w:t>84,094,549.77</w:t>
            </w:r>
            <w:r>
              <w:rPr>
                <w:color w:val="000000"/>
                <w:spacing w:val="0"/>
                <w:w w:val="100"/>
                <w:position w:val="0"/>
              </w:rPr>
              <w:t xml:space="preserve">元和已支付发行费用的自筹资金 </w:t>
            </w:r>
            <w:r>
              <w:rPr>
                <w:rFonts w:ascii="Times New Roman" w:eastAsia="Times New Roman" w:hAnsi="Times New Roman" w:cs="Times New Roman"/>
                <w:color w:val="000000"/>
                <w:spacing w:val="0"/>
                <w:w w:val="100"/>
                <w:position w:val="0"/>
              </w:rPr>
              <w:t>1,372,297.16</w:t>
            </w:r>
            <w:r>
              <w:rPr>
                <w:color w:val="000000"/>
                <w:spacing w:val="0"/>
                <w:w w:val="100"/>
                <w:position w:val="0"/>
              </w:rPr>
              <w:t>元。独立董事发表了同意的独立意见，中信建投证券股份有限公司发表了同意的核查意 见，由容诚会计师事务所（特殊普通合伙）对公司预先已投入募集资金投资项目的自筹资金使用情 况进行了审验，并出具了《关于润建股份有限公司以自筹资金预先投入募集资金投资项目的鉴证报 告》（容诚专字</w:t>
            </w:r>
            <w:r>
              <w:rPr>
                <w:rFonts w:ascii="Times New Roman" w:eastAsia="Times New Roman" w:hAnsi="Times New Roman" w:cs="Times New Roman"/>
                <w:color w:val="000000"/>
                <w:spacing w:val="0"/>
                <w:w w:val="100"/>
                <w:position w:val="0"/>
              </w:rPr>
              <w:t>[2021] 100Z0061</w:t>
            </w:r>
            <w:r>
              <w:rPr>
                <w:color w:val="000000"/>
                <w:spacing w:val="0"/>
                <w:w w:val="100"/>
                <w:position w:val="0"/>
              </w:rPr>
              <w:t>号），对公司募集资金投资项目预先投入自筹资金的情况进行了核验 和确认。公司已于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日完成了置换。</w:t>
            </w:r>
          </w:p>
        </w:tc>
      </w:tr>
      <w:tr>
        <w:trPr>
          <w:trHeight w:val="80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24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318" w:lineRule="exact"/>
              <w:ind w:left="0" w:right="0" w:firstLine="0"/>
              <w:jc w:val="both"/>
            </w:pPr>
            <w:r>
              <w:rPr>
                <w:color w:val="000000"/>
                <w:spacing w:val="0"/>
                <w:w w:val="100"/>
                <w:position w:val="0"/>
              </w:rPr>
              <w:t>适用</w:t>
            </w:r>
          </w:p>
          <w:p>
            <w:pPr>
              <w:pStyle w:val="Style20"/>
              <w:keepNext w:val="0"/>
              <w:keepLines w:val="0"/>
              <w:widowControl w:val="0"/>
              <w:shd w:val="clear" w:color="auto" w:fill="auto"/>
              <w:bidi w:val="0"/>
              <w:spacing w:before="0" w:after="40" w:line="318"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日，公司首次公开发行股票募投项目</w:t>
            </w:r>
            <w:r>
              <w:rPr>
                <w:rFonts w:ascii="Times New Roman" w:eastAsia="Times New Roman" w:hAnsi="Times New Roman" w:cs="Times New Roman"/>
                <w:color w:val="000000"/>
                <w:spacing w:val="0"/>
                <w:w w:val="100"/>
                <w:position w:val="0"/>
              </w:rPr>
              <w:t>“</w:t>
            </w:r>
            <w:r>
              <w:rPr>
                <w:color w:val="000000"/>
                <w:spacing w:val="0"/>
                <w:w w:val="100"/>
                <w:position w:val="0"/>
              </w:rPr>
              <w:t>区域服务网络和培训中心建设项目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研 发中心建设项目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补充营运资金</w:t>
            </w:r>
            <w:r>
              <w:rPr>
                <w:rFonts w:ascii="Times New Roman" w:eastAsia="Times New Roman" w:hAnsi="Times New Roman" w:cs="Times New Roman"/>
                <w:color w:val="000000"/>
                <w:spacing w:val="0"/>
                <w:w w:val="100"/>
                <w:position w:val="0"/>
              </w:rPr>
              <w:t>”</w:t>
            </w:r>
            <w:r>
              <w:rPr>
                <w:color w:val="000000"/>
                <w:spacing w:val="0"/>
                <w:w w:val="100"/>
                <w:position w:val="0"/>
              </w:rPr>
              <w:t>已全部实施完毕并达到可使用状态，公司拟将上述募投项目全部 结项，公司首次公开发行股票募投项目累计投入募集资金</w:t>
            </w:r>
            <w:r>
              <w:rPr>
                <w:rFonts w:ascii="Times New Roman" w:eastAsia="Times New Roman" w:hAnsi="Times New Roman" w:cs="Times New Roman"/>
                <w:color w:val="000000"/>
                <w:spacing w:val="0"/>
                <w:w w:val="100"/>
                <w:position w:val="0"/>
              </w:rPr>
              <w:t>121,799.87</w:t>
            </w:r>
            <w:r>
              <w:rPr>
                <w:color w:val="000000"/>
                <w:spacing w:val="0"/>
                <w:w w:val="100"/>
                <w:position w:val="0"/>
              </w:rPr>
              <w:t>万元，结余募集资金</w:t>
            </w:r>
            <w:r>
              <w:rPr>
                <w:rFonts w:ascii="Times New Roman" w:eastAsia="Times New Roman" w:hAnsi="Times New Roman" w:cs="Times New Roman"/>
                <w:color w:val="000000"/>
                <w:spacing w:val="0"/>
                <w:w w:val="100"/>
                <w:position w:val="0"/>
              </w:rPr>
              <w:t xml:space="preserve">3,796.19 </w:t>
            </w:r>
            <w:r>
              <w:rPr>
                <w:color w:val="000000"/>
                <w:spacing w:val="0"/>
                <w:w w:val="100"/>
                <w:position w:val="0"/>
              </w:rPr>
              <w:t>万元。</w:t>
            </w:r>
          </w:p>
          <w:p>
            <w:pPr>
              <w:pStyle w:val="Style20"/>
              <w:keepNext w:val="0"/>
              <w:keepLines w:val="0"/>
              <w:widowControl w:val="0"/>
              <w:shd w:val="clear" w:color="auto" w:fill="auto"/>
              <w:bidi w:val="0"/>
              <w:spacing w:before="0" w:after="40" w:line="307" w:lineRule="exact"/>
              <w:ind w:left="0" w:right="0" w:firstLine="0"/>
              <w:jc w:val="both"/>
            </w:pPr>
            <w:r>
              <w:rPr>
                <w:color w:val="000000"/>
                <w:spacing w:val="0"/>
                <w:w w:val="100"/>
                <w:position w:val="0"/>
              </w:rPr>
              <w:t>募集资金结余原因：公司在募投资金项目实施过程中，严格按照募集资金管理的有关规定谨慎使用 募集资金。公司从项目实际情况出发，严格管理，合理配备资源，控制采购成本，有效节约了开支。</w:t>
            </w:r>
          </w:p>
        </w:tc>
      </w:tr>
      <w:tr>
        <w:trPr>
          <w:trHeight w:val="422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40"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首次开发发行募集资金：报告期内，公司首次公开发行股票募集资金投资项目均已按计划实施完 毕，已达到预定可使用状态，满足结项条件，公司对相关项目进行结项，并将结项后的实际节余资 金合计</w:t>
            </w:r>
            <w:r>
              <w:rPr>
                <w:rFonts w:ascii="Times New Roman" w:eastAsia="Times New Roman" w:hAnsi="Times New Roman" w:cs="Times New Roman"/>
                <w:color w:val="000000"/>
                <w:spacing w:val="0"/>
                <w:w w:val="100"/>
                <w:position w:val="0"/>
              </w:rPr>
              <w:t>37,961,838.45</w:t>
            </w:r>
            <w:r>
              <w:rPr>
                <w:color w:val="000000"/>
                <w:spacing w:val="0"/>
                <w:w w:val="100"/>
                <w:position w:val="0"/>
              </w:rPr>
              <w:t>元永久补充流动资金，相关募集资金专项账户不再使用，公司已办理募集资金 专用账户注销手续，专户注销后，公司与保荐机构、开户银行签署的募集资金监管协议随之终止。 截止报告期末，公司已将资金余额划转至公司账户永久补充流动资金，并完成了募集资金专户的销 户工作。</w:t>
            </w:r>
          </w:p>
          <w:p>
            <w:pPr>
              <w:pStyle w:val="Style20"/>
              <w:keepNext w:val="0"/>
              <w:keepLines w:val="0"/>
              <w:widowControl w:val="0"/>
              <w:shd w:val="clear" w:color="auto" w:fill="auto"/>
              <w:tabs>
                <w:tab w:pos="25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可转换公司债券募集资金：截至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日，尚未使用的募集资金余额为</w:t>
            </w:r>
            <w:r>
              <w:rPr>
                <w:rFonts w:ascii="Times New Roman" w:eastAsia="Times New Roman" w:hAnsi="Times New Roman" w:cs="Times New Roman"/>
                <w:color w:val="000000"/>
                <w:spacing w:val="0"/>
                <w:w w:val="100"/>
                <w:position w:val="0"/>
              </w:rPr>
              <w:t xml:space="preserve">709,290,605.10 </w:t>
            </w:r>
            <w:r>
              <w:rPr>
                <w:color w:val="000000"/>
                <w:spacing w:val="0"/>
                <w:w w:val="100"/>
                <w:position w:val="0"/>
              </w:rPr>
              <w:t>元，尚未使用的募集资金分别存放于中国光大银行股份有限公司南宁分行、中国建设银行股份有限 公司广西壮族自治区分行、中国民生银行股份有限公司南宁分行、中国农业银行股份有限公司南宁 友爱支行、上海浦东发展银行股份有限公司南宁分行、兴业银行股份有限公司南宁分行、招商银行 股份有限公司南宁分行、柳州银行股份有限公司南宁分行、桂林银行股份有限公司南宁分行、广西 北部湾银行股份有限公司南宁市城北支行十一个募集资金专户中，公司尚未使用的募集资金将用于 五象云谷云计算中心项目。</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补充营运资金</w:t>
            </w:r>
            <w:r>
              <w:rPr>
                <w:rFonts w:ascii="Times New Roman" w:eastAsia="Times New Roman" w:hAnsi="Times New Roman" w:cs="Times New Roman"/>
                <w:color w:val="000000"/>
                <w:spacing w:val="0"/>
                <w:w w:val="100"/>
                <w:position w:val="0"/>
              </w:rPr>
              <w:t>”</w:t>
            </w:r>
            <w:r>
              <w:rPr>
                <w:color w:val="000000"/>
                <w:spacing w:val="0"/>
                <w:w w:val="100"/>
                <w:position w:val="0"/>
              </w:rPr>
              <w:t>项目募集资金产生的利息收入</w:t>
            </w:r>
            <w:r>
              <w:rPr>
                <w:rFonts w:ascii="Times New Roman" w:eastAsia="Times New Roman" w:hAnsi="Times New Roman" w:cs="Times New Roman"/>
                <w:color w:val="000000"/>
                <w:spacing w:val="0"/>
                <w:w w:val="100"/>
                <w:position w:val="0"/>
              </w:rPr>
              <w:t>51.84</w:t>
            </w:r>
            <w:r>
              <w:rPr>
                <w:color w:val="000000"/>
                <w:spacing w:val="0"/>
                <w:w w:val="100"/>
                <w:position w:val="0"/>
              </w:rPr>
              <w:t>万元也用于补充营运 资金，扣除利息收入，实际募集资金投入</w:t>
            </w:r>
            <w:r>
              <w:rPr>
                <w:rFonts w:ascii="Times New Roman" w:eastAsia="Times New Roman" w:hAnsi="Times New Roman" w:cs="Times New Roman"/>
                <w:color w:val="000000"/>
                <w:spacing w:val="0"/>
                <w:w w:val="100"/>
                <w:position w:val="0"/>
              </w:rPr>
              <w:t>72,769.86</w:t>
            </w:r>
            <w:r>
              <w:rPr>
                <w:color w:val="000000"/>
                <w:spacing w:val="0"/>
                <w:w w:val="100"/>
                <w:position w:val="0"/>
              </w:rPr>
              <w:t>万元，使用进度</w:t>
            </w:r>
            <w:r>
              <w:rPr>
                <w:rFonts w:ascii="Times New Roman" w:eastAsia="Times New Roman" w:hAnsi="Times New Roman" w:cs="Times New Roman"/>
                <w:color w:val="000000"/>
                <w:spacing w:val="0"/>
                <w:w w:val="100"/>
                <w:position w:val="0"/>
              </w:rPr>
              <w:t>100.00%</w:t>
            </w:r>
            <w:r>
              <w:rPr>
                <w:color w:val="000000"/>
                <w:spacing w:val="0"/>
                <w:w w:val="100"/>
                <w:position w:val="0"/>
              </w:rPr>
              <w:t>。</w:t>
            </w:r>
          </w:p>
        </w:tc>
      </w:tr>
    </w:tbl>
    <w:p>
      <w:pPr>
        <w:spacing w:lineRule="exact" w:line="1"/>
        <w:rPr>
          <w:sz w:val="2"/>
          <w:szCs w:val="2"/>
        </w:rPr>
      </w:pPr>
      <w:r>
        <w:br w:type="page"/>
      </w:r>
    </w:p>
    <w:p>
      <w:pPr>
        <w:pStyle w:val="Style40"/>
        <w:keepNext/>
        <w:keepLines/>
        <w:widowControl w:val="0"/>
        <w:numPr>
          <w:ilvl w:val="0"/>
          <w:numId w:val="1"/>
        </w:numPr>
        <w:shd w:val="clear" w:color="auto" w:fill="auto"/>
        <w:bidi w:val="0"/>
        <w:spacing w:before="0" w:after="340" w:line="240" w:lineRule="auto"/>
        <w:ind w:left="0" w:right="0" w:firstLine="0"/>
        <w:jc w:val="both"/>
      </w:pPr>
      <w:bookmarkStart w:id="199" w:name="bookmark199"/>
      <w:bookmarkStart w:id="200" w:name="bookmark200"/>
      <w:bookmarkStart w:id="201" w:name="bookmark201"/>
      <w:bookmarkStart w:id="202" w:name="bookmark202"/>
      <w:bookmarkEnd w:id="201"/>
      <w:r>
        <w:rPr>
          <w:color w:val="000000"/>
          <w:spacing w:val="0"/>
          <w:w w:val="100"/>
          <w:position w:val="0"/>
        </w:rPr>
        <w:t>募集资金变更项目情况</w:t>
      </w:r>
      <w:bookmarkEnd w:id="199"/>
      <w:bookmarkEnd w:id="200"/>
      <w:bookmarkEnd w:id="202"/>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60"/>
        <w:gridCol w:w="950"/>
        <w:gridCol w:w="960"/>
        <w:gridCol w:w="965"/>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变更后项目</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拟投入募集</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资金总额</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区域服务网 络和培训中 心建设项目 中的培训中 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区域服务网 络和培训中 心建设项目 中的培训中 心建设项目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研发中心建 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16,050.15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981"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随着公司业务发展考虑到公司的实际经营情况、未来发展战略以及布局核心城市利用 其产业集聚效应不断发展壮大的因素，公司对募投项目“区域服务网络和培训中心建 设项目”中的培训中心建设项目和''研发中心建设项目”适时做出调整，能够提升 公司的创新能力和核心市场竞争力，为公司未来发展提供强有力的技术支撑。</w:t>
            </w:r>
          </w:p>
          <w:p>
            <w:pPr>
              <w:pStyle w:val="Style20"/>
              <w:keepNext w:val="0"/>
              <w:keepLines w:val="0"/>
              <w:widowControl w:val="0"/>
              <w:shd w:val="clear" w:color="auto" w:fill="auto"/>
              <w:bidi w:val="0"/>
              <w:spacing w:before="0" w:after="0" w:line="323"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日公司第三届董事会第十五次会议，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 一次临时股东大会决议，审议通过《关于调整部分募集资金投资项目实施方案的议 案》。</w:t>
            </w:r>
          </w:p>
          <w:p>
            <w:pPr>
              <w:pStyle w:val="Style20"/>
              <w:keepNext w:val="0"/>
              <w:keepLines w:val="0"/>
              <w:widowControl w:val="0"/>
              <w:shd w:val="clear" w:color="auto" w:fill="auto"/>
              <w:bidi w:val="0"/>
              <w:spacing w:before="0" w:after="0" w:line="323"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日刊登在巨潮资讯网《关于调整部分募集资金投资项目实 施方案的公告》。</w:t>
            </w:r>
          </w:p>
        </w:tc>
      </w:tr>
      <w:tr>
        <w:trPr>
          <w:trHeight w:val="2314"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“区域服务网络和培训中心建设项目”中的培训中心建设项目原计划实施地点为南 宁，投资构成主要用于场地购买和设备购置，实施期限为</w:t>
            </w:r>
            <w:r>
              <w:rPr>
                <w:rFonts w:ascii="Times New Roman" w:eastAsia="Times New Roman" w:hAnsi="Times New Roman" w:cs="Times New Roman"/>
                <w:color w:val="000000"/>
                <w:spacing w:val="0"/>
                <w:w w:val="100"/>
                <w:position w:val="0"/>
              </w:rPr>
              <w:t>2018</w:t>
            </w:r>
            <w:r>
              <w:rPr>
                <w:color w:val="000000"/>
                <w:spacing w:val="0"/>
                <w:w w:val="100"/>
                <w:position w:val="0"/>
              </w:rPr>
              <w:t>年底实施完毕；调整 后，该项目的实施地点为广州，投资构成主要用于场地购买、场地装修、内部培训费 用、外部培训费用、培训工作人员薪酬的支出，实施期限为</w:t>
            </w:r>
            <w:r>
              <w:rPr>
                <w:rFonts w:ascii="Times New Roman" w:eastAsia="Times New Roman" w:hAnsi="Times New Roman" w:cs="Times New Roman"/>
                <w:color w:val="000000"/>
                <w:spacing w:val="0"/>
                <w:w w:val="100"/>
                <w:position w:val="0"/>
              </w:rPr>
              <w:t>2019-2020</w:t>
            </w:r>
            <w:r>
              <w:rPr>
                <w:color w:val="000000"/>
                <w:spacing w:val="0"/>
                <w:w w:val="100"/>
                <w:position w:val="0"/>
              </w:rPr>
              <w:t>年；</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“研发中心建设项目”原计划实施地点为南宁，投资构成主要用于场地购买和设备购 置，实施期限为</w:t>
            </w:r>
            <w:r>
              <w:rPr>
                <w:rFonts w:ascii="Times New Roman" w:eastAsia="Times New Roman" w:hAnsi="Times New Roman" w:cs="Times New Roman"/>
                <w:color w:val="000000"/>
                <w:spacing w:val="0"/>
                <w:w w:val="100"/>
                <w:position w:val="0"/>
              </w:rPr>
              <w:t>2018</w:t>
            </w:r>
            <w:r>
              <w:rPr>
                <w:color w:val="000000"/>
                <w:spacing w:val="0"/>
                <w:w w:val="100"/>
                <w:position w:val="0"/>
              </w:rPr>
              <w:t>年底实施完毕；调整后，该项目的实施地点为广州，投资构成 主要用于场地购买、场地装修以及研发人员薪酬的支出，实施期限为</w:t>
            </w:r>
            <w:r>
              <w:rPr>
                <w:rFonts w:ascii="Times New Roman" w:eastAsia="Times New Roman" w:hAnsi="Times New Roman" w:cs="Times New Roman"/>
                <w:color w:val="000000"/>
                <w:spacing w:val="0"/>
                <w:w w:val="100"/>
                <w:position w:val="0"/>
              </w:rPr>
              <w:t>2019-2020</w:t>
            </w:r>
            <w:r>
              <w:rPr>
                <w:color w:val="000000"/>
                <w:spacing w:val="0"/>
                <w:w w:val="100"/>
                <w:position w:val="0"/>
              </w:rPr>
              <w:t>年。</w:t>
            </w:r>
          </w:p>
        </w:tc>
      </w:tr>
      <w:tr>
        <w:trPr>
          <w:trHeight w:val="725"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both"/>
      </w:pPr>
      <w:bookmarkStart w:id="203" w:name="bookmark203"/>
      <w:bookmarkStart w:id="204" w:name="bookmark204"/>
      <w:bookmarkStart w:id="205" w:name="bookmark205"/>
      <w:bookmarkStart w:id="206" w:name="bookmark206"/>
      <w:r>
        <w:rPr>
          <w:color w:val="000000"/>
          <w:spacing w:val="0"/>
          <w:w w:val="100"/>
          <w:position w:val="0"/>
          <w:sz w:val="24"/>
          <w:szCs w:val="24"/>
        </w:rPr>
        <w:t>八</w:t>
      </w:r>
      <w:bookmarkEnd w:id="205"/>
      <w:r>
        <w:rPr>
          <w:color w:val="000000"/>
          <w:spacing w:val="0"/>
          <w:w w:val="100"/>
          <w:position w:val="0"/>
          <w:sz w:val="24"/>
          <w:szCs w:val="24"/>
        </w:rPr>
        <w:t>、重大资产和股权出售</w:t>
      </w:r>
      <w:bookmarkEnd w:id="203"/>
      <w:bookmarkEnd w:id="204"/>
      <w:bookmarkEnd w:id="206"/>
    </w:p>
    <w:p>
      <w:pPr>
        <w:pStyle w:val="Style29"/>
        <w:keepNext/>
        <w:keepLines/>
        <w:widowControl w:val="0"/>
        <w:shd w:val="clear" w:color="auto" w:fill="auto"/>
        <w:bidi w:val="0"/>
        <w:spacing w:before="0" w:after="340" w:line="240" w:lineRule="auto"/>
        <w:ind w:left="0" w:right="0" w:firstLine="0"/>
        <w:jc w:val="both"/>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、出售重大资产情况</w:t>
      </w:r>
      <w:bookmarkEnd w:id="207"/>
      <w:bookmarkEnd w:id="208"/>
      <w:bookmarkEnd w:id="210"/>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公司报告期未出售重大资产。</w:t>
      </w:r>
    </w:p>
    <w:p>
      <w:pPr>
        <w:pStyle w:val="Style29"/>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、出售重大股权情况</w:t>
      </w:r>
      <w:bookmarkEnd w:id="211"/>
      <w:bookmarkEnd w:id="212"/>
      <w:bookmarkEnd w:id="214"/>
    </w:p>
    <w:p>
      <w:pPr>
        <w:pStyle w:val="Style1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九</w:t>
      </w:r>
      <w:bookmarkEnd w:id="217"/>
      <w:r>
        <w:rPr>
          <w:color w:val="000000"/>
          <w:spacing w:val="0"/>
          <w:w w:val="100"/>
          <w:position w:val="0"/>
          <w:sz w:val="24"/>
          <w:szCs w:val="24"/>
        </w:rPr>
        <w:t>、主要控股参股公司分析</w:t>
      </w:r>
      <w:bookmarkEnd w:id="215"/>
      <w:bookmarkEnd w:id="216"/>
      <w:bookmarkEnd w:id="218"/>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公司报告期内无应当披露的重要控股参股公司信息。</w:t>
      </w:r>
    </w:p>
    <w:p>
      <w:pPr>
        <w:pStyle w:val="Style23"/>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r>
        <w:rPr>
          <w:color w:val="000000"/>
          <w:spacing w:val="0"/>
          <w:w w:val="100"/>
          <w:position w:val="0"/>
          <w:sz w:val="24"/>
          <w:szCs w:val="24"/>
        </w:rPr>
        <w:t>十、公司控制的结构化主体情况</w:t>
      </w:r>
      <w:bookmarkEnd w:id="219"/>
      <w:bookmarkEnd w:id="220"/>
      <w:bookmarkEnd w:id="221"/>
    </w:p>
    <w:p>
      <w:pPr>
        <w:pStyle w:val="Style1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十一、公司未来发展的展望</w:t>
      </w:r>
      <w:bookmarkEnd w:id="222"/>
      <w:bookmarkEnd w:id="223"/>
      <w:bookmarkEnd w:id="224"/>
    </w:p>
    <w:p>
      <w:pPr>
        <w:pStyle w:val="Style18"/>
        <w:keepNext w:val="0"/>
        <w:keepLines w:val="0"/>
        <w:widowControl w:val="0"/>
        <w:shd w:val="clear" w:color="auto" w:fill="auto"/>
        <w:tabs>
          <w:tab w:pos="719" w:val="left"/>
        </w:tabs>
        <w:bidi w:val="0"/>
        <w:spacing w:before="0" w:after="0"/>
        <w:ind w:left="0" w:right="0"/>
        <w:jc w:val="both"/>
      </w:pPr>
      <w:bookmarkStart w:id="225" w:name="bookmark225"/>
      <w:r>
        <w:rPr>
          <w:rFonts w:ascii="Times New Roman" w:eastAsia="Times New Roman" w:hAnsi="Times New Roman" w:cs="Times New Roman"/>
          <w:b/>
          <w:bCs/>
          <w:color w:val="000000"/>
          <w:spacing w:val="0"/>
          <w:w w:val="100"/>
          <w:position w:val="0"/>
        </w:rPr>
        <w:t>1</w:t>
      </w:r>
      <w:bookmarkEnd w:id="225"/>
      <w:r>
        <w:rPr>
          <w:b/>
          <w:bCs/>
          <w:color w:val="000000"/>
          <w:spacing w:val="0"/>
          <w:w w:val="100"/>
          <w:position w:val="0"/>
        </w:rPr>
        <w:t>、</w:t>
        <w:tab/>
        <w:t>未来发展规划</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润建股份将继续坚持通信信息网络和能源网络管理和运维者定位，继续践行</w:t>
      </w:r>
      <w:r>
        <w:rPr>
          <w:rFonts w:ascii="Times New Roman" w:eastAsia="Times New Roman" w:hAnsi="Times New Roman" w:cs="Times New Roman"/>
          <w:color w:val="000000"/>
          <w:spacing w:val="0"/>
          <w:w w:val="100"/>
          <w:position w:val="0"/>
        </w:rPr>
        <w:t>“</w:t>
      </w:r>
      <w:r>
        <w:rPr>
          <w:color w:val="000000"/>
          <w:spacing w:val="0"/>
          <w:w w:val="100"/>
          <w:position w:val="0"/>
        </w:rPr>
        <w:t>做万物互联的管维者，让天下没有难用的 网络</w:t>
      </w:r>
      <w:r>
        <w:rPr>
          <w:rFonts w:ascii="Times New Roman" w:eastAsia="Times New Roman" w:hAnsi="Times New Roman" w:cs="Times New Roman"/>
          <w:color w:val="000000"/>
          <w:spacing w:val="0"/>
          <w:w w:val="100"/>
          <w:position w:val="0"/>
        </w:rPr>
        <w:t>”</w:t>
      </w:r>
      <w:r>
        <w:rPr>
          <w:color w:val="000000"/>
          <w:spacing w:val="0"/>
          <w:w w:val="100"/>
          <w:position w:val="0"/>
        </w:rPr>
        <w:t>的企业使命，为通信网络、信息网络和能源网络等基础网络提供管维服务，以</w:t>
      </w:r>
      <w:r>
        <w:rPr>
          <w:rFonts w:ascii="Times New Roman" w:eastAsia="Times New Roman" w:hAnsi="Times New Roman" w:cs="Times New Roman"/>
          <w:color w:val="000000"/>
          <w:spacing w:val="0"/>
          <w:w w:val="100"/>
          <w:position w:val="0"/>
        </w:rPr>
        <w:t>“</w:t>
      </w:r>
      <w:r>
        <w:rPr>
          <w:color w:val="000000"/>
          <w:spacing w:val="0"/>
          <w:w w:val="100"/>
          <w:position w:val="0"/>
        </w:rPr>
        <w:t>上量、提质、增效、创新</w:t>
      </w:r>
      <w:r>
        <w:rPr>
          <w:rFonts w:ascii="Times New Roman" w:eastAsia="Times New Roman" w:hAnsi="Times New Roman" w:cs="Times New Roman"/>
          <w:color w:val="000000"/>
          <w:spacing w:val="0"/>
          <w:w w:val="100"/>
          <w:position w:val="0"/>
        </w:rPr>
        <w:t>”</w:t>
      </w:r>
      <w:r>
        <w:rPr>
          <w:color w:val="000000"/>
          <w:spacing w:val="0"/>
          <w:w w:val="100"/>
          <w:position w:val="0"/>
        </w:rPr>
        <w:t>为发展原则， 以技术创新、模式创新和管理创新驱动公司发展，落实公司快速发展战略目标。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在通信网络管维业务上，公司将继续依托</w:t>
      </w:r>
      <w:r>
        <w:rPr>
          <w:rFonts w:ascii="Times New Roman" w:eastAsia="Times New Roman" w:hAnsi="Times New Roman" w:cs="Times New Roman"/>
          <w:color w:val="000000"/>
          <w:spacing w:val="0"/>
          <w:w w:val="100"/>
          <w:position w:val="0"/>
        </w:rPr>
        <w:t>“</w:t>
      </w:r>
      <w:r>
        <w:rPr>
          <w:color w:val="000000"/>
          <w:spacing w:val="0"/>
          <w:w w:val="100"/>
          <w:position w:val="0"/>
        </w:rPr>
        <w:t>线上数字化平台</w:t>
      </w:r>
      <w:r>
        <w:rPr>
          <w:rFonts w:ascii="Times New Roman" w:eastAsia="Times New Roman" w:hAnsi="Times New Roman" w:cs="Times New Roman"/>
          <w:color w:val="000000"/>
          <w:spacing w:val="0"/>
          <w:w w:val="100"/>
          <w:position w:val="0"/>
        </w:rPr>
        <w:t>+</w:t>
      </w:r>
      <w:r>
        <w:rPr>
          <w:color w:val="000000"/>
          <w:spacing w:val="0"/>
          <w:w w:val="100"/>
          <w:position w:val="0"/>
        </w:rPr>
        <w:t>线下技术服务</w:t>
      </w:r>
      <w:r>
        <w:rPr>
          <w:rFonts w:ascii="Times New Roman" w:eastAsia="Times New Roman" w:hAnsi="Times New Roman" w:cs="Times New Roman"/>
          <w:color w:val="000000"/>
          <w:spacing w:val="0"/>
          <w:w w:val="100"/>
          <w:position w:val="0"/>
        </w:rPr>
        <w:t>”</w:t>
      </w:r>
      <w:r>
        <w:rPr>
          <w:color w:val="000000"/>
          <w:spacing w:val="0"/>
          <w:w w:val="100"/>
          <w:position w:val="0"/>
        </w:rPr>
        <w:t>模式，持续提升各地市场份额，拓展综合能 源管理等业务品类，提高管维效率，保持业务稳定快速增长。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在信息网络管维的数字化业务上，公司将持续加大研发投入，满足客户数字化转型需要，聚焦重点客户、重点渠道、重 点区域和重点产品，推动业务高速增长。在</w:t>
      </w:r>
      <w:r>
        <w:rPr>
          <w:rFonts w:ascii="Times New Roman" w:eastAsia="Times New Roman" w:hAnsi="Times New Roman" w:cs="Times New Roman"/>
          <w:color w:val="000000"/>
          <w:spacing w:val="0"/>
          <w:w w:val="100"/>
          <w:position w:val="0"/>
        </w:rPr>
        <w:t>IDC</w:t>
      </w:r>
      <w:r>
        <w:rPr>
          <w:color w:val="000000"/>
          <w:spacing w:val="0"/>
          <w:w w:val="100"/>
          <w:position w:val="0"/>
        </w:rPr>
        <w:t>服务上，公司将把握</w:t>
      </w:r>
      <w:r>
        <w:rPr>
          <w:rFonts w:ascii="Times New Roman" w:eastAsia="Times New Roman" w:hAnsi="Times New Roman" w:cs="Times New Roman"/>
          <w:color w:val="000000"/>
          <w:spacing w:val="0"/>
          <w:w w:val="100"/>
          <w:position w:val="0"/>
        </w:rPr>
        <w:t>“</w:t>
      </w:r>
      <w:r>
        <w:rPr>
          <w:color w:val="000000"/>
          <w:spacing w:val="0"/>
          <w:w w:val="100"/>
          <w:position w:val="0"/>
        </w:rPr>
        <w:t>东数西算</w:t>
      </w:r>
      <w:r>
        <w:rPr>
          <w:rFonts w:ascii="Times New Roman" w:eastAsia="Times New Roman" w:hAnsi="Times New Roman" w:cs="Times New Roman"/>
          <w:color w:val="000000"/>
          <w:spacing w:val="0"/>
          <w:w w:val="100"/>
          <w:position w:val="0"/>
        </w:rPr>
        <w:t>”</w:t>
      </w:r>
      <w:r>
        <w:rPr>
          <w:color w:val="000000"/>
          <w:spacing w:val="0"/>
          <w:w w:val="100"/>
          <w:position w:val="0"/>
        </w:rPr>
        <w:t>国家战略推行契机，以运营商数据中心、数 据机房等为切入点，深入拓展</w:t>
      </w:r>
      <w:r>
        <w:rPr>
          <w:rFonts w:ascii="Times New Roman" w:eastAsia="Times New Roman" w:hAnsi="Times New Roman" w:cs="Times New Roman"/>
          <w:color w:val="000000"/>
          <w:spacing w:val="0"/>
          <w:w w:val="100"/>
          <w:position w:val="0"/>
        </w:rPr>
        <w:t>IDC</w:t>
      </w:r>
      <w:r>
        <w:rPr>
          <w:color w:val="000000"/>
          <w:spacing w:val="0"/>
          <w:w w:val="100"/>
          <w:position w:val="0"/>
        </w:rPr>
        <w:t>全生命周期服务，为客户提供综合能源管理解决方案，推动业务高速增长；五象云谷云计 算中心项目将于</w:t>
      </w:r>
      <w:r>
        <w:rPr>
          <w:rFonts w:ascii="Times New Roman" w:eastAsia="Times New Roman" w:hAnsi="Times New Roman" w:cs="Times New Roman"/>
          <w:color w:val="000000"/>
          <w:spacing w:val="0"/>
          <w:w w:val="100"/>
          <w:position w:val="0"/>
        </w:rPr>
        <w:t>2022</w:t>
      </w:r>
      <w:r>
        <w:rPr>
          <w:color w:val="000000"/>
          <w:spacing w:val="0"/>
          <w:w w:val="100"/>
          <w:position w:val="0"/>
        </w:rPr>
        <w:t>年开始投产运营，公司已快速进行客户拓展，可为公司带来良好经济效益。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在能源网络管维业务上，公司将充分发挥线上数字化平台优势，持续提升管维能力和产品能力；发挥线下服务优势，迅 速进行业务拓展；把握</w:t>
      </w:r>
      <w:r>
        <w:rPr>
          <w:rFonts w:ascii="Times New Roman" w:eastAsia="Times New Roman" w:hAnsi="Times New Roman" w:cs="Times New Roman"/>
          <w:color w:val="000000"/>
          <w:spacing w:val="0"/>
          <w:w w:val="100"/>
          <w:position w:val="0"/>
        </w:rPr>
        <w:t>“</w:t>
      </w:r>
      <w:r>
        <w:rPr>
          <w:color w:val="000000"/>
          <w:spacing w:val="0"/>
          <w:w w:val="100"/>
          <w:position w:val="0"/>
        </w:rPr>
        <w:t>节能降碳</w:t>
      </w:r>
      <w:r>
        <w:rPr>
          <w:rFonts w:ascii="Times New Roman" w:eastAsia="Times New Roman" w:hAnsi="Times New Roman" w:cs="Times New Roman"/>
          <w:color w:val="000000"/>
          <w:spacing w:val="0"/>
          <w:w w:val="100"/>
          <w:position w:val="0"/>
        </w:rPr>
        <w:t>”</w:t>
      </w:r>
      <w:r>
        <w:rPr>
          <w:color w:val="000000"/>
          <w:spacing w:val="0"/>
          <w:w w:val="100"/>
          <w:position w:val="0"/>
        </w:rPr>
        <w:t>需求爆发期，加速推进</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通信机房基站、产业园区、楼宇建筑、充电桩等的综合能源 解决方案和管维业务推进；把握</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战略推行和</w:t>
      </w:r>
      <w:r>
        <w:rPr>
          <w:rFonts w:ascii="Times New Roman" w:eastAsia="Times New Roman" w:hAnsi="Times New Roman" w:cs="Times New Roman"/>
          <w:color w:val="000000"/>
          <w:spacing w:val="0"/>
          <w:w w:val="100"/>
          <w:position w:val="0"/>
        </w:rPr>
        <w:t>“</w:t>
      </w:r>
      <w:r>
        <w:rPr>
          <w:color w:val="000000"/>
          <w:spacing w:val="0"/>
          <w:w w:val="100"/>
          <w:position w:val="0"/>
        </w:rPr>
        <w:t>以新能源为主体的新型电力系统</w:t>
      </w:r>
      <w:r>
        <w:rPr>
          <w:rFonts w:ascii="Times New Roman" w:eastAsia="Times New Roman" w:hAnsi="Times New Roman" w:cs="Times New Roman"/>
          <w:color w:val="000000"/>
          <w:spacing w:val="0"/>
          <w:w w:val="100"/>
          <w:position w:val="0"/>
        </w:rPr>
        <w:t>”</w:t>
      </w:r>
      <w:r>
        <w:rPr>
          <w:color w:val="000000"/>
          <w:spacing w:val="0"/>
          <w:w w:val="100"/>
          <w:position w:val="0"/>
        </w:rPr>
        <w:t>建设契机，加速新能源电站和电网管维 业务拓展；聚焦重点区域，形成竞争优势，推进业务不断实现突破。</w:t>
      </w:r>
    </w:p>
    <w:p>
      <w:pPr>
        <w:pStyle w:val="Style18"/>
        <w:keepNext w:val="0"/>
        <w:keepLines w:val="0"/>
        <w:widowControl w:val="0"/>
        <w:shd w:val="clear" w:color="auto" w:fill="auto"/>
        <w:tabs>
          <w:tab w:pos="734" w:val="left"/>
        </w:tabs>
        <w:bidi w:val="0"/>
        <w:spacing w:before="0" w:after="0" w:line="312" w:lineRule="exact"/>
        <w:ind w:left="0" w:right="0"/>
        <w:jc w:val="both"/>
      </w:pPr>
      <w:bookmarkStart w:id="226" w:name="bookmark226"/>
      <w:r>
        <w:rPr>
          <w:rFonts w:ascii="Times New Roman" w:eastAsia="Times New Roman" w:hAnsi="Times New Roman" w:cs="Times New Roman"/>
          <w:b/>
          <w:bCs/>
          <w:color w:val="000000"/>
          <w:spacing w:val="0"/>
          <w:w w:val="100"/>
          <w:position w:val="0"/>
        </w:rPr>
        <w:t>2</w:t>
      </w:r>
      <w:bookmarkEnd w:id="226"/>
      <w:r>
        <w:rPr>
          <w:b/>
          <w:bCs/>
          <w:color w:val="000000"/>
          <w:spacing w:val="0"/>
          <w:w w:val="100"/>
          <w:position w:val="0"/>
        </w:rPr>
        <w:t>、</w:t>
        <w:tab/>
        <w:t>公司面临的风险和应对措施</w:t>
      </w:r>
    </w:p>
    <w:p>
      <w:pPr>
        <w:pStyle w:val="Style18"/>
        <w:keepNext w:val="0"/>
        <w:keepLines w:val="0"/>
        <w:widowControl w:val="0"/>
        <w:shd w:val="clear" w:color="auto" w:fill="auto"/>
        <w:tabs>
          <w:tab w:pos="825" w:val="left"/>
        </w:tabs>
        <w:bidi w:val="0"/>
        <w:spacing w:before="0" w:after="0" w:line="312" w:lineRule="exact"/>
        <w:ind w:left="0" w:right="0"/>
        <w:jc w:val="both"/>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w:t>
        <w:tab/>
        <w:t>市场竞争的风险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公司管维业务涉及通信、信息、能源等多个专业，企业众多，竞争激烈，存在因行业竞争激烈影响公司盈利水平的风险。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解决措施：公司将充分发挥技术研发、线上数字化平台、多专业多层次多区域的综合管维能力等优势，加快业务拓展， 提升管维效率，提升经营管理水平和技术实力，持续提升公司整体盈利水平。</w:t>
      </w:r>
    </w:p>
    <w:p>
      <w:pPr>
        <w:pStyle w:val="Style18"/>
        <w:keepNext w:val="0"/>
        <w:keepLines w:val="0"/>
        <w:widowControl w:val="0"/>
        <w:shd w:val="clear" w:color="auto" w:fill="auto"/>
        <w:tabs>
          <w:tab w:pos="825" w:val="left"/>
        </w:tabs>
        <w:bidi w:val="0"/>
        <w:spacing w:before="0" w:after="0" w:line="312" w:lineRule="exact"/>
        <w:ind w:left="0" w:right="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rPr>
        <w:t>2</w:t>
      </w:r>
      <w:r>
        <w:rPr>
          <w:color w:val="000000"/>
          <w:spacing w:val="0"/>
          <w:w w:val="100"/>
          <w:position w:val="0"/>
        </w:rPr>
        <w:t>）</w:t>
        <w:tab/>
        <w:t>对大客户依赖的风险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中国移动及其下属分、子公司是公司主要的客户，主要客户的经营策略、服务商准入条件、盈利水平等情况发生重大不 利变化，都有可能对包括公司在内的通信网络管维企业造成不利影响。</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解决措施：公司通过拓展不同网络管维业务类型来降低对大客户依赖的风险。目前公司已为通信网络、信息网络、能源 网络提供管维服务，客户类型多样化，随着信息网络管维、能源网络管维业务高速发展，通信网络管维业务占比持续下降， 对大客户依赖风险下降。</w:t>
      </w:r>
    </w:p>
    <w:p>
      <w:pPr>
        <w:pStyle w:val="Style18"/>
        <w:keepNext w:val="0"/>
        <w:keepLines w:val="0"/>
        <w:widowControl w:val="0"/>
        <w:shd w:val="clear" w:color="auto" w:fill="auto"/>
        <w:tabs>
          <w:tab w:pos="825" w:val="left"/>
        </w:tabs>
        <w:bidi w:val="0"/>
        <w:spacing w:before="0" w:after="0" w:line="312" w:lineRule="exact"/>
        <w:ind w:left="0" w:right="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3</w:t>
      </w:r>
      <w:r>
        <w:rPr>
          <w:color w:val="000000"/>
          <w:spacing w:val="0"/>
          <w:w w:val="100"/>
          <w:position w:val="0"/>
        </w:rPr>
        <w:t>）</w:t>
        <w:tab/>
        <w:t>公司快速发展带来的管理风险</w:t>
      </w:r>
    </w:p>
    <w:p>
      <w:pPr>
        <w:pStyle w:val="Style18"/>
        <w:keepNext w:val="0"/>
        <w:keepLines w:val="0"/>
        <w:widowControl w:val="0"/>
        <w:shd w:val="clear" w:color="auto" w:fill="auto"/>
        <w:bidi w:val="0"/>
        <w:spacing w:before="0" w:after="240" w:line="312" w:lineRule="exact"/>
        <w:ind w:left="0" w:right="0"/>
        <w:jc w:val="both"/>
      </w:pPr>
      <w:r>
        <w:rPr>
          <w:color w:val="000000"/>
          <w:spacing w:val="0"/>
          <w:w w:val="100"/>
          <w:position w:val="0"/>
        </w:rPr>
        <w:t>公司业务种类多、服务范围遍布全国，对经营决策、业务实施、人力资源管理、风险控制等方面的管理要求越来越高。 公司若不能进一步提高管理水平，统筹人员和业务规模，将可能面临快速发展带来的管理风险。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解决措施：公司将标准化、规范化、流程化的管理理念进一步通过数字化平台充分拓展和应用，从而实现管维业务智能 化，对系统和设备的运行情况的数据分析、分析判断、辅助决策、效率提升、隐患诊断、故障预判等，同时实现对线下管维 人员和资源的智能调度。数字化平台和智能管维设备的使用，提升了公司的管理能力和经营效率，降低了管理风险。</w:t>
      </w:r>
    </w:p>
    <w:p>
      <w:pPr>
        <w:pStyle w:val="Style18"/>
        <w:keepNext w:val="0"/>
        <w:keepLines w:val="0"/>
        <w:widowControl w:val="0"/>
        <w:shd w:val="clear" w:color="auto" w:fill="auto"/>
        <w:tabs>
          <w:tab w:pos="807" w:val="left"/>
        </w:tabs>
        <w:bidi w:val="0"/>
        <w:spacing w:before="0" w:after="0" w:line="313" w:lineRule="exact"/>
        <w:ind w:left="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4</w:t>
      </w:r>
      <w:r>
        <w:rPr>
          <w:color w:val="000000"/>
          <w:spacing w:val="0"/>
          <w:w w:val="100"/>
          <w:position w:val="0"/>
        </w:rPr>
        <w:t>）</w:t>
        <w:tab/>
        <w:t>技术和产品更新的风险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公司管维业务涉及通信、信息、能源等多个专业，各个专业的技术和产品不断升级，公司原有技术和产品也存在更新的 需要，如果公司的技术和产品没有跟上专业技术的发展，无法保持适用性和先进性，则影响公司的市场竞争能力和盈利能力。</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解决措施：目前公司已在全球设立</w:t>
      </w:r>
      <w:r>
        <w:rPr>
          <w:rFonts w:ascii="Times New Roman" w:eastAsia="Times New Roman" w:hAnsi="Times New Roman" w:cs="Times New Roman"/>
          <w:color w:val="000000"/>
          <w:spacing w:val="0"/>
          <w:w w:val="100"/>
          <w:position w:val="0"/>
        </w:rPr>
        <w:t>6</w:t>
      </w:r>
      <w:r>
        <w:rPr>
          <w:color w:val="000000"/>
          <w:spacing w:val="0"/>
          <w:w w:val="100"/>
          <w:position w:val="0"/>
        </w:rPr>
        <w:t>大研发中心，</w:t>
      </w:r>
      <w:r>
        <w:rPr>
          <w:rFonts w:ascii="Times New Roman" w:eastAsia="Times New Roman" w:hAnsi="Times New Roman" w:cs="Times New Roman"/>
          <w:color w:val="000000"/>
          <w:spacing w:val="0"/>
          <w:w w:val="100"/>
          <w:position w:val="0"/>
        </w:rPr>
        <w:t>14</w:t>
      </w:r>
      <w:r>
        <w:rPr>
          <w:color w:val="000000"/>
          <w:spacing w:val="0"/>
          <w:w w:val="100"/>
          <w:position w:val="0"/>
        </w:rPr>
        <w:t>大研发基地，研发人员超过</w:t>
      </w:r>
      <w:r>
        <w:rPr>
          <w:rFonts w:ascii="Times New Roman" w:eastAsia="Times New Roman" w:hAnsi="Times New Roman" w:cs="Times New Roman"/>
          <w:color w:val="000000"/>
          <w:spacing w:val="0"/>
          <w:w w:val="100"/>
          <w:position w:val="0"/>
        </w:rPr>
        <w:t>1000</w:t>
      </w:r>
      <w:r>
        <w:rPr>
          <w:color w:val="000000"/>
          <w:spacing w:val="0"/>
          <w:w w:val="100"/>
          <w:position w:val="0"/>
        </w:rPr>
        <w:t>名，近三年年均研发投入占营业收 入比重超过</w:t>
      </w:r>
      <w:r>
        <w:rPr>
          <w:rFonts w:ascii="Times New Roman" w:eastAsia="Times New Roman" w:hAnsi="Times New Roman" w:cs="Times New Roman"/>
          <w:color w:val="000000"/>
          <w:spacing w:val="0"/>
          <w:w w:val="100"/>
          <w:position w:val="0"/>
        </w:rPr>
        <w:t>3.8%</w:t>
      </w:r>
      <w:r>
        <w:rPr>
          <w:color w:val="000000"/>
          <w:spacing w:val="0"/>
          <w:w w:val="100"/>
          <w:position w:val="0"/>
        </w:rPr>
        <w:t>，目前已获得专利、软著等知识产权超过</w:t>
      </w:r>
      <w:r>
        <w:rPr>
          <w:rFonts w:ascii="Times New Roman" w:eastAsia="Times New Roman" w:hAnsi="Times New Roman" w:cs="Times New Roman"/>
          <w:color w:val="000000"/>
          <w:spacing w:val="0"/>
          <w:w w:val="100"/>
          <w:position w:val="0"/>
        </w:rPr>
        <w:t>360</w:t>
      </w:r>
      <w:r>
        <w:rPr>
          <w:color w:val="000000"/>
          <w:spacing w:val="0"/>
          <w:w w:val="100"/>
          <w:position w:val="0"/>
        </w:rPr>
        <w:t>项。强大的创新研发能力使公司在</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时代，具有的强 大的业务创新能力和拓展能力，迅速提升公司网络管维能力，特别是信息网络和能源网络管维能力，提高公司效率，提升了 公司竞争力。</w:t>
      </w:r>
    </w:p>
    <w:p>
      <w:pPr>
        <w:pStyle w:val="Style18"/>
        <w:keepNext w:val="0"/>
        <w:keepLines w:val="0"/>
        <w:widowControl w:val="0"/>
        <w:shd w:val="clear" w:color="auto" w:fill="auto"/>
        <w:tabs>
          <w:tab w:pos="807" w:val="left"/>
        </w:tabs>
        <w:bidi w:val="0"/>
        <w:spacing w:before="0" w:after="0" w:line="313" w:lineRule="exact"/>
        <w:ind w:left="0" w:right="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5</w:t>
      </w:r>
      <w:r>
        <w:rPr>
          <w:color w:val="000000"/>
          <w:spacing w:val="0"/>
          <w:w w:val="100"/>
          <w:position w:val="0"/>
        </w:rPr>
        <w:t>）</w:t>
        <w:tab/>
        <w:t>商誉减值风险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公司在开展各类并购时会形成商誉，随着公司并购项目的不断增多，因并购形成的商誉存在计提减值的风险。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解决措施：公司一方面强化收购成本的控制，避免产生过高的商誉；一方面加强投后管理，努力提高并购效益，减轻商 誉减值压力。</w:t>
      </w:r>
    </w:p>
    <w:p>
      <w:pPr>
        <w:pStyle w:val="Style18"/>
        <w:keepNext w:val="0"/>
        <w:keepLines w:val="0"/>
        <w:widowControl w:val="0"/>
        <w:shd w:val="clear" w:color="auto" w:fill="auto"/>
        <w:tabs>
          <w:tab w:pos="807" w:val="left"/>
        </w:tabs>
        <w:bidi w:val="0"/>
        <w:spacing w:before="0" w:after="0" w:line="313" w:lineRule="exact"/>
        <w:ind w:left="0" w:right="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6</w:t>
      </w:r>
      <w:r>
        <w:rPr>
          <w:color w:val="000000"/>
          <w:spacing w:val="0"/>
          <w:w w:val="100"/>
          <w:position w:val="0"/>
        </w:rPr>
        <w:t>）</w:t>
        <w:tab/>
        <w:t>新型冠状病毒疫情造成的风险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虽然新型冠状病毒疫情在中国已经得到较好的控制，新型冠状病毒疫苗也在迅速推广接种，但是仍然具有小规模爆发的 风险，如公司经营区域爆发新型冠状病毒疫情，将对公司员工的身心健康以及公司的生产经营造成不良影响。</w:t>
      </w:r>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解决措施：公司肩负保障通信畅通和电力安全的重任，将以高度责任感和无私奉献的精神，全力以赴保障通信和电力畅 通，维护通信和电力安全。同时公司将紧跟国家政策，持续加强市场营销和业务拓展，提升市场份额与经营业绩，减少疫情 对公司造成的不良影响。</w:t>
      </w:r>
    </w:p>
    <w:p>
      <w:pPr>
        <w:pStyle w:val="Style23"/>
        <w:keepNext/>
        <w:keepLines/>
        <w:widowControl w:val="0"/>
        <w:shd w:val="clear" w:color="auto" w:fill="auto"/>
        <w:bidi w:val="0"/>
        <w:spacing w:before="0" w:after="360" w:line="240" w:lineRule="auto"/>
        <w:ind w:left="0" w:right="0" w:firstLine="0"/>
        <w:jc w:val="left"/>
      </w:pPr>
      <w:bookmarkStart w:id="233" w:name="bookmark233"/>
      <w:bookmarkStart w:id="234" w:name="bookmark234"/>
      <w:bookmarkStart w:id="235" w:name="bookmark235"/>
      <w:r>
        <w:rPr>
          <w:color w:val="000000"/>
          <w:spacing w:val="0"/>
          <w:w w:val="100"/>
          <w:position w:val="0"/>
          <w:sz w:val="24"/>
          <w:szCs w:val="24"/>
        </w:rPr>
        <w:t>十二、报告期内接待调研、沟通、采访等活动</w:t>
      </w:r>
      <w:bookmarkEnd w:id="233"/>
      <w:bookmarkEnd w:id="234"/>
      <w:bookmarkEnd w:id="235"/>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58"/>
        <w:gridCol w:w="994"/>
        <w:gridCol w:w="710"/>
        <w:gridCol w:w="1982"/>
        <w:gridCol w:w="1416"/>
        <w:gridCol w:w="199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接待对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调研的基本情况索引</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深圳东海朗廷 酒店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东北证券、信达澳银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20210112</w:t>
            </w:r>
            <w:r>
              <w:rPr>
                <w:color w:val="000000"/>
                <w:spacing w:val="0"/>
                <w:w w:val="100"/>
                <w:position w:val="0"/>
              </w:rPr>
              <w:t>）</w:t>
            </w:r>
          </w:p>
        </w:tc>
      </w:tr>
      <w:tr>
        <w:trPr>
          <w:trHeight w:val="16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广东省广州市 珠江新城华夏 路</w:t>
            </w:r>
            <w:r>
              <w:rPr>
                <w:rFonts w:ascii="Times New Roman" w:eastAsia="Times New Roman" w:hAnsi="Times New Roman" w:cs="Times New Roman"/>
                <w:color w:val="000000"/>
                <w:spacing w:val="0"/>
                <w:w w:val="100"/>
                <w:position w:val="0"/>
              </w:rPr>
              <w:t>16</w:t>
            </w:r>
            <w:r>
              <w:rPr>
                <w:color w:val="000000"/>
                <w:spacing w:val="0"/>
                <w:w w:val="100"/>
                <w:position w:val="0"/>
              </w:rPr>
              <w:t>号富力 盈凯广场</w:t>
            </w:r>
            <w:r>
              <w:rPr>
                <w:rFonts w:ascii="Times New Roman" w:eastAsia="Times New Roman" w:hAnsi="Times New Roman" w:cs="Times New Roman"/>
                <w:color w:val="000000"/>
                <w:spacing w:val="0"/>
                <w:w w:val="100"/>
                <w:position w:val="0"/>
              </w:rPr>
              <w:t xml:space="preserve">4501 </w:t>
            </w:r>
            <w:r>
              <w:rPr>
                <w:color w:val="000000"/>
                <w:spacing w:val="0"/>
                <w:w w:val="100"/>
                <w:position w:val="0"/>
              </w:rPr>
              <w:t>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上海周济同历资产管理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20210203</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广东省广州市 珠江新城华夏 路</w:t>
            </w:r>
            <w:r>
              <w:rPr>
                <w:rFonts w:ascii="Times New Roman" w:eastAsia="Times New Roman" w:hAnsi="Times New Roman" w:cs="Times New Roman"/>
                <w:color w:val="000000"/>
                <w:spacing w:val="0"/>
                <w:w w:val="100"/>
                <w:position w:val="0"/>
              </w:rPr>
              <w:t>16</w:t>
            </w:r>
            <w:r>
              <w:rPr>
                <w:color w:val="000000"/>
                <w:spacing w:val="0"/>
                <w:w w:val="100"/>
                <w:position w:val="0"/>
              </w:rPr>
              <w:t>号富力 盈凯广场</w:t>
            </w:r>
            <w:r>
              <w:rPr>
                <w:rFonts w:ascii="Times New Roman" w:eastAsia="Times New Roman" w:hAnsi="Times New Roman" w:cs="Times New Roman"/>
                <w:color w:val="000000"/>
                <w:spacing w:val="0"/>
                <w:w w:val="100"/>
                <w:position w:val="0"/>
              </w:rPr>
              <w:t xml:space="preserve">4501 </w:t>
            </w:r>
            <w:r>
              <w:rPr>
                <w:color w:val="000000"/>
                <w:spacing w:val="0"/>
                <w:w w:val="100"/>
                <w:position w:val="0"/>
              </w:rPr>
              <w:t>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天风证券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20210301</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下</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fldChar w:fldCharType="begin"/>
            </w:r>
            <w:r>
              <w:rPr/>
              <w:instrText> HYPERLINK "http://rs.p5w" </w:instrText>
            </w:r>
            <w:r>
              <w:fldChar w:fldCharType="separate"/>
            </w:r>
            <w:r>
              <w:rPr>
                <w:rFonts w:ascii="Times New Roman" w:eastAsia="Times New Roman" w:hAnsi="Times New Roman" w:cs="Times New Roman"/>
                <w:color w:val="000000"/>
                <w:spacing w:val="0"/>
                <w:w w:val="100"/>
                <w:position w:val="0"/>
              </w:rPr>
              <w:t>http://rs.p5w</w:t>
            </w:r>
            <w:r>
              <w:fldChar w:fldCharType="end"/>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网上平台</w:t>
            </w: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 下</w:t>
            </w:r>
            <w:r>
              <w:rPr>
                <w:rFonts w:ascii="Times New Roman" w:eastAsia="Times New Roman" w:hAnsi="Times New Roman" w:cs="Times New Roman"/>
                <w:color w:val="000000"/>
                <w:spacing w:val="0"/>
                <w:w w:val="100"/>
                <w:position w:val="0"/>
              </w:rPr>
              <w:t>”</w:t>
            </w:r>
            <w:r>
              <w:rPr>
                <w:color w:val="000000"/>
                <w:spacing w:val="0"/>
                <w:w w:val="100"/>
                <w:position w:val="0"/>
              </w:rPr>
              <w:t>参与润建股份</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年度网上业绩说明会的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公司的经营情况 和发展的战略方 向；未提供资料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投资者关系活动记录表</w:t>
            </w:r>
          </w:p>
        </w:tc>
      </w:tr>
    </w:tbl>
    <w:p>
      <w:pPr>
        <w:spacing w:lineRule="exact" w:line="1"/>
        <w:rPr>
          <w:sz w:val="2"/>
          <w:szCs w:val="2"/>
        </w:rPr>
      </w:pPr>
      <w:r>
        <w:br w:type="page"/>
      </w:r>
    </w:p>
    <w:tbl>
      <w:tblPr>
        <w:tblOverlap w:val="never"/>
        <w:jc w:val="center"/>
        <w:tblLayout w:type="fixed"/>
      </w:tblPr>
      <w:tblGrid>
        <w:gridCol w:w="1301"/>
        <w:gridCol w:w="1258"/>
        <w:gridCol w:w="994"/>
        <w:gridCol w:w="710"/>
        <w:gridCol w:w="1982"/>
        <w:gridCol w:w="1416"/>
        <w:gridCol w:w="199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广大投资者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20210510</w:t>
            </w:r>
            <w:r>
              <w:rPr>
                <w:color w:val="000000"/>
                <w:spacing w:val="0"/>
                <w:w w:val="100"/>
                <w:position w:val="0"/>
              </w:rPr>
              <w:t>）</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下</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w:t>
            </w:r>
            <w:r>
              <w:fldChar w:fldCharType="begin"/>
            </w:r>
            <w:r>
              <w:rPr/>
              <w:instrText> HYPERLINK "http://rs.p5w" </w:instrText>
            </w:r>
            <w:r>
              <w:fldChar w:fldCharType="separate"/>
            </w:r>
            <w:r>
              <w:rPr>
                <w:rFonts w:ascii="Times New Roman" w:eastAsia="Times New Roman" w:hAnsi="Times New Roman" w:cs="Times New Roman"/>
                <w:color w:val="000000"/>
                <w:spacing w:val="0"/>
                <w:w w:val="100"/>
                <w:position w:val="0"/>
              </w:rPr>
              <w:t>http://rs.p5w</w:t>
            </w:r>
            <w:r>
              <w:fldChar w:fldCharType="end"/>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net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网上平台</w:t>
            </w:r>
            <w:r>
              <w:rPr>
                <w:rFonts w:ascii="Times New Roman" w:eastAsia="Times New Roman" w:hAnsi="Times New Roman" w:cs="Times New Roman"/>
                <w:color w:val="000000"/>
                <w:spacing w:val="0"/>
                <w:w w:val="100"/>
                <w:position w:val="0"/>
              </w:rPr>
              <w:t>“</w:t>
            </w: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 下</w:t>
            </w:r>
            <w:r>
              <w:rPr>
                <w:rFonts w:ascii="Times New Roman" w:eastAsia="Times New Roman" w:hAnsi="Times New Roman" w:cs="Times New Roman"/>
                <w:color w:val="000000"/>
                <w:spacing w:val="0"/>
                <w:w w:val="100"/>
                <w:position w:val="0"/>
              </w:rPr>
              <w:t>”</w:t>
            </w:r>
            <w:r>
              <w:rPr>
                <w:color w:val="000000"/>
                <w:spacing w:val="0"/>
                <w:w w:val="100"/>
                <w:position w:val="0"/>
              </w:rPr>
              <w:t>参与润建股份</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年广西辖区上市公司投 资者网上集体接待日暨 </w:t>
            </w:r>
            <w:r>
              <w:rPr>
                <w:rFonts w:ascii="Times New Roman" w:eastAsia="Times New Roman" w:hAnsi="Times New Roman" w:cs="Times New Roman"/>
                <w:color w:val="000000"/>
                <w:spacing w:val="0"/>
                <w:w w:val="100"/>
                <w:position w:val="0"/>
              </w:rPr>
              <w:t>2020</w:t>
            </w:r>
            <w:r>
              <w:rPr>
                <w:color w:val="000000"/>
                <w:spacing w:val="0"/>
                <w:w w:val="100"/>
                <w:position w:val="0"/>
              </w:rPr>
              <w:t>年度业绩说明会的 广大投资者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20210521</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西部利得基金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202106028</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20210716</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天风证券、长信基金、长 江钜派、英睿财富、兴全 基金、新华资管、神通能 源、源乘投资、禾永投资、 国泰财险、广州金控、广 发基金、博时基金、安信 基金、中移资本、中信建 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20210824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广东省广州市 珠江新城华夏 路</w:t>
            </w:r>
            <w:r>
              <w:rPr>
                <w:rFonts w:ascii="Times New Roman" w:eastAsia="Times New Roman" w:hAnsi="Times New Roman" w:cs="Times New Roman"/>
                <w:color w:val="000000"/>
                <w:spacing w:val="0"/>
                <w:w w:val="100"/>
                <w:position w:val="0"/>
              </w:rPr>
              <w:t>16</w:t>
            </w:r>
            <w:r>
              <w:rPr>
                <w:color w:val="000000"/>
                <w:spacing w:val="0"/>
                <w:w w:val="100"/>
                <w:position w:val="0"/>
              </w:rPr>
              <w:t>号富力 盈凯广场</w:t>
            </w:r>
            <w:r>
              <w:rPr>
                <w:rFonts w:ascii="Times New Roman" w:eastAsia="Times New Roman" w:hAnsi="Times New Roman" w:cs="Times New Roman"/>
                <w:color w:val="000000"/>
                <w:spacing w:val="0"/>
                <w:w w:val="100"/>
                <w:position w:val="0"/>
              </w:rPr>
              <w:t xml:space="preserve">4501 </w:t>
            </w:r>
            <w:r>
              <w:rPr>
                <w:color w:val="000000"/>
                <w:spacing w:val="0"/>
                <w:w w:val="100"/>
                <w:position w:val="0"/>
              </w:rPr>
              <w:t>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中银国际证券，浙商证 券，光大保德信基金，西 部利得基金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20210927</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广东省广州市 珠江新城华夏 路</w:t>
            </w:r>
            <w:r>
              <w:rPr>
                <w:rFonts w:ascii="Times New Roman" w:eastAsia="Times New Roman" w:hAnsi="Times New Roman" w:cs="Times New Roman"/>
                <w:color w:val="000000"/>
                <w:spacing w:val="0"/>
                <w:w w:val="100"/>
                <w:position w:val="0"/>
              </w:rPr>
              <w:t>16</w:t>
            </w:r>
            <w:r>
              <w:rPr>
                <w:color w:val="000000"/>
                <w:spacing w:val="0"/>
                <w:w w:val="100"/>
                <w:position w:val="0"/>
              </w:rPr>
              <w:t>号富力 盈凯广场</w:t>
            </w:r>
            <w:r>
              <w:rPr>
                <w:rFonts w:ascii="Times New Roman" w:eastAsia="Times New Roman" w:hAnsi="Times New Roman" w:cs="Times New Roman"/>
                <w:color w:val="000000"/>
                <w:spacing w:val="0"/>
                <w:w w:val="100"/>
                <w:position w:val="0"/>
              </w:rPr>
              <w:t xml:space="preserve">4501 </w:t>
            </w:r>
            <w:r>
              <w:rPr>
                <w:color w:val="000000"/>
                <w:spacing w:val="0"/>
                <w:w w:val="100"/>
                <w:position w:val="0"/>
              </w:rPr>
              <w:t>办公室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德邦证券，信达证券，广 发证券，金信基金，广发 基金，招商证券，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20211102</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国金证券、聚鸣投资、颐 和久富投资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公司的经营情况 和发展的战略方 向；未提供资料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cninfo.com）</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投资者关系活动记录表</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（编号：</w:t>
            </w:r>
            <w:r>
              <w:rPr>
                <w:rFonts w:ascii="Times New Roman" w:eastAsia="Times New Roman" w:hAnsi="Times New Roman" w:cs="Times New Roman"/>
                <w:color w:val="000000"/>
                <w:spacing w:val="0"/>
                <w:w w:val="100"/>
                <w:position w:val="0"/>
              </w:rPr>
              <w:t>20211111</w:t>
            </w:r>
            <w:r>
              <w:rPr>
                <w:color w:val="000000"/>
                <w:spacing w:val="0"/>
                <w:w w:val="100"/>
                <w:position w:val="0"/>
              </w:rPr>
              <w:t>）</w:t>
            </w:r>
          </w:p>
        </w:tc>
      </w:tr>
    </w:tbl>
    <w:p>
      <w:pPr>
        <w:pStyle w:val="Style10"/>
        <w:keepNext/>
        <w:keepLines/>
        <w:widowControl w:val="0"/>
        <w:shd w:val="clear" w:color="auto" w:fill="auto"/>
        <w:bidi w:val="0"/>
        <w:spacing w:before="0" w:after="560" w:line="240" w:lineRule="auto"/>
        <w:ind w:left="0" w:right="0" w:firstLine="0"/>
        <w:jc w:val="center"/>
      </w:pPr>
      <w:bookmarkStart w:id="236" w:name="bookmark236"/>
      <w:bookmarkStart w:id="237" w:name="bookmark237"/>
      <w:bookmarkStart w:id="238" w:name="bookmark238"/>
      <w:r>
        <w:rPr>
          <w:color w:val="000000"/>
          <w:spacing w:val="0"/>
          <w:w w:val="100"/>
          <w:position w:val="0"/>
        </w:rPr>
        <w:t>第四节公司治理</w:t>
      </w:r>
      <w:bookmarkEnd w:id="236"/>
      <w:bookmarkEnd w:id="237"/>
      <w:bookmarkEnd w:id="238"/>
    </w:p>
    <w:p>
      <w:pPr>
        <w:pStyle w:val="Style23"/>
        <w:keepNext/>
        <w:keepLines/>
        <w:widowControl w:val="0"/>
        <w:shd w:val="clear" w:color="auto" w:fill="auto"/>
        <w:bidi w:val="0"/>
        <w:spacing w:before="0" w:after="260" w:line="240" w:lineRule="auto"/>
        <w:ind w:left="0" w:right="0" w:firstLine="0"/>
        <w:jc w:val="left"/>
      </w:pPr>
      <w:bookmarkStart w:id="239" w:name="bookmark239"/>
      <w:bookmarkStart w:id="240" w:name="bookmark240"/>
      <w:bookmarkStart w:id="241" w:name="bookmark241"/>
      <w:bookmarkStart w:id="242" w:name="bookmark242"/>
      <w:bookmarkStart w:id="243" w:name="bookmark243"/>
      <w:r>
        <w:rPr>
          <w:color w:val="000000"/>
          <w:spacing w:val="0"/>
          <w:w w:val="100"/>
          <w:position w:val="0"/>
          <w:sz w:val="24"/>
          <w:szCs w:val="24"/>
        </w:rPr>
        <w:t>一</w:t>
      </w:r>
      <w:bookmarkEnd w:id="242"/>
      <w:r>
        <w:rPr>
          <w:color w:val="000000"/>
          <w:spacing w:val="0"/>
          <w:w w:val="100"/>
          <w:position w:val="0"/>
          <w:sz w:val="24"/>
          <w:szCs w:val="24"/>
        </w:rPr>
        <w:t>、公司治理的基本状况</w:t>
      </w:r>
      <w:bookmarkEnd w:id="240"/>
      <w:bookmarkEnd w:id="241"/>
      <w:bookmarkEnd w:id="243"/>
      <w:bookmarkEnd w:id="239"/>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公司严格按照《公司法》《证券法》《上市公司治理准则》《深圳证券交易所上市公司自律监管指引第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 市公司规范运作》《深圳证券交易所股票上市规则》等有关法律法规的要求，不断完善公司治理结构，健全内部控制制度， 进一步加强公司信息披露工作，积极开展投资者关系管理，提升公司治理水平，确保公司规范、健康发展。截至报告期末， 公司整体运作较为规范，公司治理实际状况基本符合中国证监会发布的有关上市公司治理的规范性文件要求。</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报告期内，公司治理具体情况如下：</w:t>
      </w:r>
    </w:p>
    <w:p>
      <w:pPr>
        <w:pStyle w:val="Style18"/>
        <w:keepNext w:val="0"/>
        <w:keepLines w:val="0"/>
        <w:widowControl w:val="0"/>
        <w:shd w:val="clear" w:color="auto" w:fill="auto"/>
        <w:tabs>
          <w:tab w:pos="680" w:val="left"/>
        </w:tabs>
        <w:bidi w:val="0"/>
        <w:spacing w:before="0" w:after="0" w:line="312" w:lineRule="exact"/>
        <w:ind w:left="0" w:right="0"/>
        <w:jc w:val="both"/>
      </w:pPr>
      <w:bookmarkStart w:id="244" w:name="bookmark244"/>
      <w:r>
        <w:rPr>
          <w:color w:val="000000"/>
          <w:spacing w:val="0"/>
          <w:w w:val="100"/>
          <w:position w:val="0"/>
          <w:sz w:val="18"/>
          <w:szCs w:val="18"/>
        </w:rPr>
        <w:t>1</w:t>
      </w:r>
      <w:bookmarkEnd w:id="244"/>
      <w:r>
        <w:rPr>
          <w:color w:val="000000"/>
          <w:spacing w:val="0"/>
          <w:w w:val="100"/>
          <w:position w:val="0"/>
        </w:rPr>
        <w:t>、</w:t>
        <w:tab/>
        <w:t>股东和股东大会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公司严格按照《公司法》《证券法》《深圳证券交易所股票上市规则》《深圳证券交易所上市公司自律监管指引第</w:t>
      </w:r>
      <w:r>
        <w:rPr>
          <w:color w:val="000000"/>
          <w:spacing w:val="0"/>
          <w:w w:val="100"/>
          <w:position w:val="0"/>
          <w:sz w:val="18"/>
          <w:szCs w:val="18"/>
        </w:rPr>
        <w:t>1</w:t>
      </w:r>
      <w:r>
        <w:rPr>
          <w:color w:val="000000"/>
          <w:spacing w:val="0"/>
          <w:w w:val="100"/>
          <w:position w:val="0"/>
        </w:rPr>
        <w:t xml:space="preserve">号 </w:t>
      </w:r>
      <w:r>
        <w:rPr>
          <w:color w:val="000000"/>
          <w:spacing w:val="0"/>
          <w:w w:val="100"/>
          <w:position w:val="0"/>
        </w:rPr>
        <w:t>——</w:t>
      </w:r>
      <w:r>
        <w:rPr>
          <w:color w:val="000000"/>
          <w:spacing w:val="0"/>
          <w:w w:val="100"/>
          <w:position w:val="0"/>
        </w:rPr>
        <w:t>主板上市公司规范运作》《公司章程》和《股东大会议事规则》等相关法律法规要求，规范公司股东大会的召集、召开、 表决程序，平等对待所有股东，特别是确保中小股东享有平等地位，保证股东对公司重大事项享有知情权与参与权。</w:t>
      </w:r>
    </w:p>
    <w:p>
      <w:pPr>
        <w:pStyle w:val="Style18"/>
        <w:keepNext w:val="0"/>
        <w:keepLines w:val="0"/>
        <w:widowControl w:val="0"/>
        <w:shd w:val="clear" w:color="auto" w:fill="auto"/>
        <w:tabs>
          <w:tab w:pos="690" w:val="left"/>
        </w:tabs>
        <w:bidi w:val="0"/>
        <w:spacing w:before="0" w:after="0" w:line="312" w:lineRule="exact"/>
        <w:ind w:left="0" w:right="0"/>
        <w:jc w:val="both"/>
      </w:pPr>
      <w:bookmarkStart w:id="245" w:name="bookmark245"/>
      <w:r>
        <w:rPr>
          <w:color w:val="000000"/>
          <w:spacing w:val="0"/>
          <w:w w:val="100"/>
          <w:position w:val="0"/>
          <w:sz w:val="18"/>
          <w:szCs w:val="18"/>
        </w:rPr>
        <w:t>2</w:t>
      </w:r>
      <w:bookmarkEnd w:id="245"/>
      <w:r>
        <w:rPr>
          <w:color w:val="000000"/>
          <w:spacing w:val="0"/>
          <w:w w:val="100"/>
          <w:position w:val="0"/>
        </w:rPr>
        <w:t>、</w:t>
        <w:tab/>
        <w:t>公司与公司控股股东</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公司能够严格按照《公司法》《证券法》《深圳证券交易所股票上市规则》《深圳证券交易所上市公司自律监管指引第 </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主板上市公司规范运作》《公司章程》的规定和要求，规范股东行为。公司控股股东通过股东大会行使股东权利， 并承担相应义务，没有超越公司股东大会直接或间接干预公司的决策和经营活动的行为，不存在损害公司及其他股东利益的 情况。报告期内，控股股东严格遵守相关承诺，没有与公司开展同业竞争，不存在控股股东非经营性占用上市公司资金的情 况。</w:t>
      </w:r>
    </w:p>
    <w:p>
      <w:pPr>
        <w:pStyle w:val="Style18"/>
        <w:keepNext w:val="0"/>
        <w:keepLines w:val="0"/>
        <w:widowControl w:val="0"/>
        <w:shd w:val="clear" w:color="auto" w:fill="auto"/>
        <w:tabs>
          <w:tab w:pos="690" w:val="left"/>
        </w:tabs>
        <w:bidi w:val="0"/>
        <w:spacing w:before="0" w:after="0" w:line="312" w:lineRule="exact"/>
        <w:ind w:left="0" w:right="0"/>
        <w:jc w:val="both"/>
      </w:pPr>
      <w:bookmarkStart w:id="246" w:name="bookmark246"/>
      <w:r>
        <w:rPr>
          <w:color w:val="000000"/>
          <w:spacing w:val="0"/>
          <w:w w:val="100"/>
          <w:position w:val="0"/>
          <w:sz w:val="18"/>
          <w:szCs w:val="18"/>
        </w:rPr>
        <w:t>3</w:t>
      </w:r>
      <w:bookmarkEnd w:id="246"/>
      <w:r>
        <w:rPr>
          <w:color w:val="000000"/>
          <w:spacing w:val="0"/>
          <w:w w:val="100"/>
          <w:position w:val="0"/>
        </w:rPr>
        <w:t>、</w:t>
        <w:tab/>
        <w:t>董事与董事会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公司董事会设董事九名，其中独立董事三名（一名为会计专业人员），占全体董事的三分之一，董事会的人数及人员构 成符合法律法规和《公司章程》等的要求。报告期内，董事会严格按照《公司章程》《独立董事工作制度》和《董事会议事 规则》等规定召集、召开董事会会议和股东大会会议，执行股东大会决议；全体董事以认真、严谨的态度出席董事会、列席 股东大会，能够勤勉尽责地履行义务和责任。</w:t>
      </w:r>
    </w:p>
    <w:p>
      <w:pPr>
        <w:pStyle w:val="Style18"/>
        <w:keepNext w:val="0"/>
        <w:keepLines w:val="0"/>
        <w:widowControl w:val="0"/>
        <w:shd w:val="clear" w:color="auto" w:fill="auto"/>
        <w:tabs>
          <w:tab w:pos="694" w:val="left"/>
        </w:tabs>
        <w:bidi w:val="0"/>
        <w:spacing w:before="0" w:after="0" w:line="315" w:lineRule="exact"/>
        <w:ind w:left="0" w:right="0"/>
        <w:jc w:val="both"/>
      </w:pPr>
      <w:bookmarkStart w:id="247" w:name="bookmark247"/>
      <w:r>
        <w:rPr>
          <w:color w:val="000000"/>
          <w:spacing w:val="0"/>
          <w:w w:val="100"/>
          <w:position w:val="0"/>
          <w:sz w:val="18"/>
          <w:szCs w:val="18"/>
        </w:rPr>
        <w:t>4</w:t>
      </w:r>
      <w:bookmarkEnd w:id="247"/>
      <w:r>
        <w:rPr>
          <w:color w:val="000000"/>
          <w:spacing w:val="0"/>
          <w:w w:val="100"/>
          <w:position w:val="0"/>
        </w:rPr>
        <w:t>、</w:t>
        <w:tab/>
        <w:t>监事与监事会</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公司严格规范监事会的召集、召开和表决，全体监事认真履行职责，诚信、勤勉地对公司财务以及董事、高级管理人员 履行职责的合法、合规性进行监督，全体监事认真审议监事会各项议案，有效维护了公司及股东的合法权益。</w:t>
      </w:r>
    </w:p>
    <w:p>
      <w:pPr>
        <w:pStyle w:val="Style18"/>
        <w:keepNext w:val="0"/>
        <w:keepLines w:val="0"/>
        <w:widowControl w:val="0"/>
        <w:shd w:val="clear" w:color="auto" w:fill="auto"/>
        <w:tabs>
          <w:tab w:pos="694" w:val="left"/>
        </w:tabs>
        <w:bidi w:val="0"/>
        <w:spacing w:before="0" w:after="0" w:line="315" w:lineRule="exact"/>
        <w:ind w:left="0" w:right="0"/>
        <w:jc w:val="both"/>
      </w:pPr>
      <w:bookmarkStart w:id="248" w:name="bookmark248"/>
      <w:r>
        <w:rPr>
          <w:color w:val="000000"/>
          <w:spacing w:val="0"/>
          <w:w w:val="100"/>
          <w:position w:val="0"/>
          <w:sz w:val="18"/>
          <w:szCs w:val="18"/>
        </w:rPr>
        <w:t>5</w:t>
      </w:r>
      <w:bookmarkEnd w:id="248"/>
      <w:r>
        <w:rPr>
          <w:color w:val="000000"/>
          <w:spacing w:val="0"/>
          <w:w w:val="100"/>
          <w:position w:val="0"/>
        </w:rPr>
        <w:t>、</w:t>
        <w:tab/>
        <w:t>信息披露与投资者关系管理</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公司严格按照有关法律法规的规定和《信息披露管理制度》的规定，加强信息披露事务管理，履行信息披露义务，公司 在中国证监会指定的媒体范围内指定报刊和网站作为刊登公司公告和其他需要披露信息的媒体，真实、准确、及时、完整地 披露信息，确保所有投资者公平获取公司信息；严格做好未公开信息的保密工作，在重大事项公布前未出现内幕信息泄露情 况，保证信息披露的公开、公平。公司一直重视投资者关系管理工作，采取了多种形式实施投资者关系管理，加强与投资者 的沟通，通过投资者电话专线、专用电子信箱、接待投资者来访等多种方式，充分保证广大投资者的知情权。</w:t>
      </w:r>
    </w:p>
    <w:p>
      <w:pPr>
        <w:pStyle w:val="Style18"/>
        <w:keepNext w:val="0"/>
        <w:keepLines w:val="0"/>
        <w:widowControl w:val="0"/>
        <w:shd w:val="clear" w:color="auto" w:fill="auto"/>
        <w:tabs>
          <w:tab w:pos="694" w:val="left"/>
        </w:tabs>
        <w:bidi w:val="0"/>
        <w:spacing w:before="0" w:after="0" w:line="315" w:lineRule="exact"/>
        <w:ind w:left="0" w:right="0"/>
        <w:jc w:val="both"/>
      </w:pPr>
      <w:bookmarkStart w:id="249" w:name="bookmark249"/>
      <w:r>
        <w:rPr>
          <w:color w:val="000000"/>
          <w:spacing w:val="0"/>
          <w:w w:val="100"/>
          <w:position w:val="0"/>
          <w:sz w:val="18"/>
          <w:szCs w:val="18"/>
        </w:rPr>
        <w:t>6</w:t>
      </w:r>
      <w:bookmarkEnd w:id="249"/>
      <w:r>
        <w:rPr>
          <w:color w:val="000000"/>
          <w:spacing w:val="0"/>
          <w:w w:val="100"/>
          <w:position w:val="0"/>
        </w:rPr>
        <w:t>、</w:t>
        <w:tab/>
        <w:t>相关利益者</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公司充分尊重和维护股东、客户、员工、公司及社会等其它利益相关者的合法权益，始终坚持诚信经营，加强与各方的 沟通和交流，努力实现股东、客户、员工、公司及社会等各方利益的和谐发展，坚持与相关利益者互利共赢的原则，共同推 动公司持续、稳健发展。</w:t>
      </w:r>
    </w:p>
    <w:p>
      <w:pPr>
        <w:pStyle w:val="Style18"/>
        <w:keepNext w:val="0"/>
        <w:keepLines w:val="0"/>
        <w:widowControl w:val="0"/>
        <w:shd w:val="clear" w:color="auto" w:fill="auto"/>
        <w:tabs>
          <w:tab w:pos="694" w:val="left"/>
        </w:tabs>
        <w:bidi w:val="0"/>
        <w:spacing w:before="0" w:after="0" w:line="315" w:lineRule="exact"/>
        <w:ind w:left="0" w:right="0"/>
        <w:jc w:val="both"/>
      </w:pPr>
      <w:bookmarkStart w:id="250" w:name="bookmark250"/>
      <w:r>
        <w:rPr>
          <w:color w:val="000000"/>
          <w:spacing w:val="0"/>
          <w:w w:val="100"/>
          <w:position w:val="0"/>
          <w:sz w:val="18"/>
          <w:szCs w:val="18"/>
        </w:rPr>
        <w:t>7</w:t>
      </w:r>
      <w:bookmarkEnd w:id="250"/>
      <w:r>
        <w:rPr>
          <w:color w:val="000000"/>
          <w:spacing w:val="0"/>
          <w:w w:val="100"/>
          <w:position w:val="0"/>
        </w:rPr>
        <w:t>、</w:t>
        <w:tab/>
        <w:t>内部审计制度</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公司已建立较为完善的内部审计制度，设立了内部审计机构，聘任审计机构负责人。内部审计机构向董事会审计委员会 负责并报告工作，不受其他部门或者个人的干涉。</w:t>
      </w:r>
    </w:p>
    <w:p>
      <w:pPr>
        <w:pStyle w:val="Style18"/>
        <w:keepNext w:val="0"/>
        <w:keepLines w:val="0"/>
        <w:widowControl w:val="0"/>
        <w:shd w:val="clear" w:color="auto" w:fill="auto"/>
        <w:bidi w:val="0"/>
        <w:spacing w:before="0" w:after="0" w:line="346" w:lineRule="exact"/>
        <w:ind w:left="0" w:right="0"/>
        <w:jc w:val="both"/>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20" w:line="314"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93" w:val="left"/>
        </w:tabs>
        <w:bidi w:val="0"/>
        <w:spacing w:before="0" w:after="240" w:line="326" w:lineRule="exact"/>
        <w:ind w:left="0" w:right="0" w:firstLine="0"/>
        <w:jc w:val="both"/>
      </w:pPr>
      <w:bookmarkStart w:id="251" w:name="bookmark251"/>
      <w:bookmarkStart w:id="252" w:name="bookmark252"/>
      <w:bookmarkStart w:id="253" w:name="bookmark253"/>
      <w:bookmarkStart w:id="254" w:name="bookmark254"/>
      <w:r>
        <w:rPr>
          <w:color w:val="000000"/>
          <w:spacing w:val="0"/>
          <w:w w:val="100"/>
          <w:position w:val="0"/>
          <w:sz w:val="24"/>
          <w:szCs w:val="24"/>
        </w:rPr>
        <w:t>二</w:t>
      </w:r>
      <w:bookmarkEnd w:id="253"/>
      <w:r>
        <w:rPr>
          <w:color w:val="000000"/>
          <w:spacing w:val="0"/>
          <w:w w:val="100"/>
          <w:position w:val="0"/>
          <w:sz w:val="24"/>
          <w:szCs w:val="24"/>
        </w:rPr>
        <w:t>、</w:t>
        <w:tab/>
        <w:t>公司相对于控股股东、实际控制人在保证公司资产、人员、财务、机构、业务等方面的 独立情况</w:t>
      </w:r>
      <w:bookmarkEnd w:id="251"/>
      <w:bookmarkEnd w:id="252"/>
      <w:bookmarkEnd w:id="254"/>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公司在业务、资产、人员、机构、财务等方面与控股股东完全独立，严格按照《公司法》和《公司章程》的要求规范运 作，公司生产经营稳定，具有独立完整的业务体系及自主经营能力，所有的生产经营或重大事项均根据《公司章程》及相关 制度的规定由经营管理层、董事会、股东大会讨论确定，不存在不能保证独立性、不能保持自主经营能力的情形。</w:t>
      </w:r>
    </w:p>
    <w:p>
      <w:pPr>
        <w:pStyle w:val="Style18"/>
        <w:keepNext w:val="0"/>
        <w:keepLines w:val="0"/>
        <w:widowControl w:val="0"/>
        <w:shd w:val="clear" w:color="auto" w:fill="auto"/>
        <w:tabs>
          <w:tab w:pos="714" w:val="left"/>
        </w:tabs>
        <w:bidi w:val="0"/>
        <w:spacing w:before="0" w:after="0"/>
        <w:ind w:left="0" w:right="0"/>
        <w:jc w:val="both"/>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业务独立</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公司拥有独立的研发、生产、采购及销售系统，具备自主经营管理能力，与控股股东、实际控制人及其控制的企业之间 不存在同业竞争，不存在依赖于控股股东或其他任何关联方的情形，也不存在控股股东直接或间接干预公司经营运作的情形。</w:t>
      </w:r>
    </w:p>
    <w:p>
      <w:pPr>
        <w:pStyle w:val="Style18"/>
        <w:keepNext w:val="0"/>
        <w:keepLines w:val="0"/>
        <w:widowControl w:val="0"/>
        <w:shd w:val="clear" w:color="auto" w:fill="auto"/>
        <w:tabs>
          <w:tab w:pos="734" w:val="left"/>
        </w:tabs>
        <w:bidi w:val="0"/>
        <w:spacing w:before="0" w:after="0"/>
        <w:ind w:left="0" w:right="0"/>
        <w:jc w:val="both"/>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资产完整</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公司拥有独立的生产系统、辅助系统及配套设施，生产经营场所独立，与控股股东产权关系清晰。公司合法完整拥有房 产、土地使用权、专利、商标等资产，不存在资产被控股股东及其关联方违规控制和占用的情况。</w:t>
      </w:r>
    </w:p>
    <w:p>
      <w:pPr>
        <w:pStyle w:val="Style18"/>
        <w:keepNext w:val="0"/>
        <w:keepLines w:val="0"/>
        <w:widowControl w:val="0"/>
        <w:shd w:val="clear" w:color="auto" w:fill="auto"/>
        <w:tabs>
          <w:tab w:pos="734" w:val="left"/>
        </w:tabs>
        <w:bidi w:val="0"/>
        <w:spacing w:before="0" w:after="0"/>
        <w:ind w:left="0" w:right="0"/>
        <w:jc w:val="both"/>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w:t>
        <w:tab/>
        <w:t>人员独立</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公司设有独立的人事管理体系，劳动、人事及工资管理与控股股东完全分离。公司的董事、监事、高级管理人员的任职， 严格按照《公司法》及其他法律、法规、规范性文件、《公司章程》的规定选举产生。公司高级管理人员均属专职，在公司 领取薪酬，没有在控股股东或其他关联单位兼职，未在控股股东及其下属公司担任除董事、监事以外的任何职务和领取报酬。</w:t>
      </w:r>
    </w:p>
    <w:p>
      <w:pPr>
        <w:pStyle w:val="Style18"/>
        <w:keepNext w:val="0"/>
        <w:keepLines w:val="0"/>
        <w:widowControl w:val="0"/>
        <w:shd w:val="clear" w:color="auto" w:fill="auto"/>
        <w:tabs>
          <w:tab w:pos="734" w:val="left"/>
        </w:tabs>
        <w:bidi w:val="0"/>
        <w:spacing w:before="0" w:after="0"/>
        <w:ind w:left="0" w:right="0"/>
        <w:jc w:val="both"/>
      </w:pPr>
      <w:bookmarkStart w:id="258" w:name="bookmark258"/>
      <w:r>
        <w:rPr>
          <w:rFonts w:ascii="Times New Roman" w:eastAsia="Times New Roman" w:hAnsi="Times New Roman" w:cs="Times New Roman"/>
          <w:color w:val="000000"/>
          <w:spacing w:val="0"/>
          <w:w w:val="100"/>
          <w:position w:val="0"/>
        </w:rPr>
        <w:t>4</w:t>
      </w:r>
      <w:bookmarkEnd w:id="258"/>
      <w:r>
        <w:rPr>
          <w:color w:val="000000"/>
          <w:spacing w:val="0"/>
          <w:w w:val="100"/>
          <w:position w:val="0"/>
        </w:rPr>
        <w:t>、</w:t>
        <w:tab/>
        <w:t>机构独立</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公司设有股东大会、董事会、监事会、总经理等决策机构，强化了公司的分权制衡和相互监督，建立了有效的法人治理 结构。公司已经建立健全了符合公司实际情况的经营管理机构，制定了相应的内部管理与控制制度，独立行使管理职权。公 司与控股股东及其控制的其他企业不存在机构混同或混合经营的情形。</w:t>
      </w:r>
    </w:p>
    <w:p>
      <w:pPr>
        <w:pStyle w:val="Style18"/>
        <w:keepNext w:val="0"/>
        <w:keepLines w:val="0"/>
        <w:widowControl w:val="0"/>
        <w:shd w:val="clear" w:color="auto" w:fill="auto"/>
        <w:tabs>
          <w:tab w:pos="734" w:val="left"/>
        </w:tabs>
        <w:bidi w:val="0"/>
        <w:spacing w:before="0" w:after="0"/>
        <w:ind w:left="0" w:right="0"/>
        <w:jc w:val="both"/>
      </w:pPr>
      <w:bookmarkStart w:id="259" w:name="bookmark259"/>
      <w:r>
        <w:rPr>
          <w:rFonts w:ascii="Times New Roman" w:eastAsia="Times New Roman" w:hAnsi="Times New Roman" w:cs="Times New Roman"/>
          <w:color w:val="000000"/>
          <w:spacing w:val="0"/>
          <w:w w:val="100"/>
          <w:position w:val="0"/>
        </w:rPr>
        <w:t>5</w:t>
      </w:r>
      <w:bookmarkEnd w:id="259"/>
      <w:r>
        <w:rPr>
          <w:color w:val="000000"/>
          <w:spacing w:val="0"/>
          <w:w w:val="100"/>
          <w:position w:val="0"/>
        </w:rPr>
        <w:t>、</w:t>
        <w:tab/>
        <w:t>财务独立</w:t>
      </w:r>
    </w:p>
    <w:p>
      <w:pPr>
        <w:pStyle w:val="Style18"/>
        <w:keepNext w:val="0"/>
        <w:keepLines w:val="0"/>
        <w:widowControl w:val="0"/>
        <w:shd w:val="clear" w:color="auto" w:fill="auto"/>
        <w:bidi w:val="0"/>
        <w:spacing w:before="0" w:after="320" w:line="314" w:lineRule="exact"/>
        <w:ind w:left="0" w:right="0"/>
        <w:jc w:val="both"/>
      </w:pPr>
      <w:r>
        <w:rPr>
          <w:color w:val="000000"/>
          <w:spacing w:val="0"/>
          <w:w w:val="100"/>
          <w:position w:val="0"/>
        </w:rPr>
        <w:t>公司设有独立的财务会计部门和内部审计部门，并配备专职财务管理人员及内部审计人员，建立了独立的会计核算体系 和财务管理制度，开设独立银行账户，独立纳税，能够独立进行财务决策，财务管理制度规范。公司不存在货币资金或其他 资产被股东或其他关联方占用的情况，也不存在为股东及其下属单位、其他关联企业提供担保的情况。</w:t>
      </w:r>
    </w:p>
    <w:p>
      <w:pPr>
        <w:pStyle w:val="Style23"/>
        <w:keepNext/>
        <w:keepLines/>
        <w:widowControl w:val="0"/>
        <w:shd w:val="clear" w:color="auto" w:fill="auto"/>
        <w:tabs>
          <w:tab w:pos="593" w:val="left"/>
        </w:tabs>
        <w:bidi w:val="0"/>
        <w:spacing w:before="0" w:line="326" w:lineRule="exact"/>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三</w:t>
      </w:r>
      <w:bookmarkEnd w:id="262"/>
      <w:r>
        <w:rPr>
          <w:color w:val="000000"/>
          <w:spacing w:val="0"/>
          <w:w w:val="100"/>
          <w:position w:val="0"/>
          <w:sz w:val="24"/>
          <w:szCs w:val="24"/>
        </w:rPr>
        <w:t>、</w:t>
        <w:tab/>
        <w:t>同业竞争情况</w:t>
      </w:r>
      <w:bookmarkEnd w:id="260"/>
      <w:bookmarkEnd w:id="261"/>
      <w:bookmarkEnd w:id="263"/>
    </w:p>
    <w:p>
      <w:pPr>
        <w:pStyle w:val="Style18"/>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93" w:val="left"/>
        </w:tabs>
        <w:bidi w:val="0"/>
        <w:spacing w:before="0" w:line="326"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四</w:t>
      </w:r>
      <w:bookmarkEnd w:id="266"/>
      <w:r>
        <w:rPr>
          <w:color w:val="000000"/>
          <w:spacing w:val="0"/>
          <w:w w:val="100"/>
          <w:position w:val="0"/>
          <w:sz w:val="24"/>
          <w:szCs w:val="24"/>
        </w:rPr>
        <w:t>、</w:t>
        <w:tab/>
        <w:t>报告期内召开的年度股东大会和临时股东大会的有关情况</w:t>
      </w:r>
      <w:bookmarkEnd w:id="264"/>
      <w:bookmarkEnd w:id="265"/>
      <w:bookmarkEnd w:id="267"/>
    </w:p>
    <w:p>
      <w:pPr>
        <w:pStyle w:val="Style29"/>
        <w:keepNext/>
        <w:keepLines/>
        <w:widowControl w:val="0"/>
        <w:shd w:val="clear" w:color="auto" w:fill="auto"/>
        <w:bidi w:val="0"/>
        <w:spacing w:before="0" w:after="320" w:line="240" w:lineRule="auto"/>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、本报告期股东大会情况</w:t>
      </w:r>
      <w:bookmarkEnd w:id="268"/>
      <w:bookmarkEnd w:id="269"/>
      <w:bookmarkEnd w:id="271"/>
    </w:p>
    <w:tbl>
      <w:tblPr>
        <w:tblOverlap w:val="never"/>
        <w:jc w:val="center"/>
        <w:tblLayout w:type="fixed"/>
      </w:tblPr>
      <w:tblGrid>
        <w:gridCol w:w="1282"/>
        <w:gridCol w:w="1277"/>
        <w:gridCol w:w="1416"/>
        <w:gridCol w:w="1598"/>
        <w:gridCol w:w="1594"/>
        <w:gridCol w:w="249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本次股东大会无出现否决议案 的情形。</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股东大会决议公告（</w:t>
            </w:r>
            <w:r>
              <w:rPr>
                <w:rFonts w:ascii="Times New Roman" w:eastAsia="Times New Roman" w:hAnsi="Times New Roman" w:cs="Times New Roman"/>
                <w:color w:val="000000"/>
                <w:spacing w:val="0"/>
                <w:w w:val="100"/>
                <w:position w:val="0"/>
              </w:rPr>
              <w:t>2021-023</w:t>
            </w:r>
            <w:r>
              <w:rPr>
                <w:color w:val="000000"/>
                <w:spacing w:val="0"/>
                <w:w w:val="100"/>
                <w:position w:val="0"/>
              </w:rPr>
              <w:t xml:space="preserve">） </w:t>
            </w:r>
            <w:r>
              <w:rPr>
                <w:color w:val="000000"/>
                <w:spacing w:val="0"/>
                <w:w w:val="100"/>
                <w:position w:val="0"/>
              </w:rPr>
              <w:t>刊登于巨潮资讯网</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cninfo.com.cn</w:t>
            </w:r>
            <w:r>
              <w:rPr>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 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本次股东大会无出现否决议案 的情形。</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年度股东大会决 议公告</w:t>
            </w:r>
            <w:r>
              <w:rPr>
                <w:color w:val="000000"/>
                <w:spacing w:val="0"/>
                <w:w w:val="100"/>
                <w:position w:val="0"/>
              </w:rPr>
              <w:t>（</w:t>
            </w:r>
            <w:r>
              <w:rPr>
                <w:rFonts w:ascii="Times New Roman" w:eastAsia="Times New Roman" w:hAnsi="Times New Roman" w:cs="Times New Roman"/>
                <w:color w:val="000000"/>
                <w:spacing w:val="0"/>
                <w:w w:val="100"/>
                <w:position w:val="0"/>
              </w:rPr>
              <w:t>2021-049</w:t>
            </w:r>
            <w:r>
              <w:rPr>
                <w:color w:val="000000"/>
                <w:spacing w:val="0"/>
                <w:w w:val="100"/>
                <w:position w:val="0"/>
              </w:rPr>
              <w:t>）</w:t>
            </w:r>
            <w:r>
              <w:rPr>
                <w:color w:val="000000"/>
                <w:spacing w:val="0"/>
                <w:w w:val="100"/>
                <w:position w:val="0"/>
              </w:rPr>
              <w:t>刊登于巨潮</w:t>
            </w:r>
          </w:p>
        </w:tc>
      </w:tr>
    </w:tbl>
    <w:p>
      <w:pPr>
        <w:spacing w:lineRule="exact" w:line="1"/>
        <w:rPr>
          <w:sz w:val="2"/>
          <w:szCs w:val="2"/>
        </w:rPr>
      </w:pPr>
      <w:r>
        <w:br w:type="page"/>
      </w:r>
    </w:p>
    <w:tbl>
      <w:tblPr>
        <w:tblOverlap w:val="never"/>
        <w:jc w:val="center"/>
        <w:tblLayout w:type="fixed"/>
      </w:tblPr>
      <w:tblGrid>
        <w:gridCol w:w="1282"/>
        <w:gridCol w:w="1277"/>
        <w:gridCol w:w="1416"/>
        <w:gridCol w:w="1598"/>
        <w:gridCol w:w="1594"/>
        <w:gridCol w:w="2491"/>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资讯网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http://www. </w:t>
            </w:r>
            <w:r>
              <w:rPr>
                <w:rFonts w:ascii="Times New Roman" w:eastAsia="Times New Roman" w:hAnsi="Times New Roman" w:cs="Times New Roman"/>
                <w:color w:val="000000"/>
                <w:spacing w:val="0"/>
                <w:w w:val="100"/>
                <w:position w:val="0"/>
              </w:rPr>
              <w:t>cninfo.com</w:t>
            </w:r>
            <w:r>
              <w:rPr>
                <w:rFonts w:ascii="Times New Roman" w:eastAsia="Times New Roman" w:hAnsi="Times New Roman" w:cs="Times New Roman"/>
                <w:color w:val="000000"/>
                <w:spacing w:val="0"/>
                <w:w w:val="100"/>
                <w:position w:val="0"/>
              </w:rPr>
              <w:t>. cn</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本次股东大会无出现否决议案 的情形。</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2021-075</w:t>
            </w:r>
            <w:r>
              <w:rPr>
                <w:color w:val="000000"/>
                <w:spacing w:val="0"/>
                <w:w w:val="100"/>
                <w:position w:val="0"/>
              </w:rPr>
              <w:t xml:space="preserve">） </w:t>
            </w:r>
            <w:r>
              <w:rPr>
                <w:color w:val="000000"/>
                <w:spacing w:val="0"/>
                <w:w w:val="100"/>
                <w:position w:val="0"/>
              </w:rPr>
              <w:t>刊登于巨潮资讯网</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cninfo.com.cn</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本次股东大会无出现否决议案 的情形。</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 股东大会决议公告</w:t>
            </w:r>
            <w:r>
              <w:rPr>
                <w:color w:val="000000"/>
                <w:spacing w:val="0"/>
                <w:w w:val="100"/>
                <w:position w:val="0"/>
              </w:rPr>
              <w:t>（</w:t>
            </w:r>
            <w:r>
              <w:rPr>
                <w:rFonts w:ascii="Times New Roman" w:eastAsia="Times New Roman" w:hAnsi="Times New Roman" w:cs="Times New Roman"/>
                <w:color w:val="000000"/>
                <w:spacing w:val="0"/>
                <w:w w:val="100"/>
                <w:position w:val="0"/>
              </w:rPr>
              <w:t>2021-102</w:t>
            </w:r>
            <w:r>
              <w:rPr>
                <w:color w:val="000000"/>
                <w:spacing w:val="0"/>
                <w:w w:val="100"/>
                <w:position w:val="0"/>
              </w:rPr>
              <w:t xml:space="preserve">） </w:t>
            </w:r>
            <w:r>
              <w:rPr>
                <w:color w:val="000000"/>
                <w:spacing w:val="0"/>
                <w:w w:val="100"/>
                <w:position w:val="0"/>
              </w:rPr>
              <w:t>刊登于巨潮资讯网</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 cninfo.com.cn</w:t>
            </w:r>
            <w:r>
              <w:rPr>
                <w:color w:val="000000"/>
                <w:spacing w:val="0"/>
                <w:w w:val="100"/>
                <w:position w:val="0"/>
              </w:rPr>
              <w:t>）</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、表决权恢复的优先股股东请求召开临时股东大会</w:t>
      </w:r>
      <w:bookmarkEnd w:id="272"/>
      <w:bookmarkEnd w:id="273"/>
      <w:bookmarkEnd w:id="275"/>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五</w:t>
      </w:r>
      <w:bookmarkEnd w:id="278"/>
      <w:r>
        <w:rPr>
          <w:color w:val="000000"/>
          <w:spacing w:val="0"/>
          <w:w w:val="100"/>
          <w:position w:val="0"/>
          <w:sz w:val="24"/>
          <w:szCs w:val="24"/>
        </w:rPr>
        <w:t>、董事、监事和高级管理人员情况</w:t>
      </w:r>
      <w:bookmarkEnd w:id="276"/>
      <w:bookmarkEnd w:id="277"/>
      <w:bookmarkEnd w:id="279"/>
    </w:p>
    <w:p>
      <w:pPr>
        <w:pStyle w:val="Style29"/>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1</w:t>
      </w:r>
      <w:bookmarkEnd w:id="282"/>
      <w:r>
        <w:rPr>
          <w:color w:val="000000"/>
          <w:spacing w:val="0"/>
          <w:w w:val="100"/>
          <w:position w:val="0"/>
        </w:rPr>
        <w:t>、基本情况</w:t>
      </w:r>
      <w:bookmarkEnd w:id="280"/>
      <w:bookmarkEnd w:id="281"/>
      <w:bookmarkEnd w:id="283"/>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0"/>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数量</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20"/>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股数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78,415,6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78,415,6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副董事</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长、总经</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 权</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 权</w:t>
            </w:r>
          </w:p>
        </w:tc>
      </w:tr>
      <w:tr>
        <w:trPr>
          <w:trHeight w:val="13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 权</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452,720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 权</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陶秋鸿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欧宇菲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 权</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0"/>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u w:val="single"/>
              </w:rPr>
              <w:t>n~n.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股票期 权激励 计划行 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78,415,7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1,880,32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80,296,0 86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、任职情况</w:t>
      </w:r>
      <w:bookmarkEnd w:id="284"/>
      <w:bookmarkEnd w:id="285"/>
      <w:bookmarkEnd w:id="287"/>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7" w:lineRule="exact"/>
        <w:ind w:left="0" w:right="0" w:firstLine="24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李建国先生：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月出生，中国国籍，无境外永久居留权，本科学历，高级工程师。曾任在海南军区守备</w:t>
      </w:r>
      <w:r>
        <w:rPr>
          <w:rFonts w:ascii="Times New Roman" w:eastAsia="Times New Roman" w:hAnsi="Times New Roman" w:cs="Times New Roman"/>
          <w:color w:val="000000"/>
          <w:spacing w:val="0"/>
          <w:w w:val="100"/>
          <w:position w:val="0"/>
        </w:rPr>
        <w:t>121</w:t>
      </w:r>
      <w:r>
        <w:rPr>
          <w:color w:val="000000"/>
          <w:spacing w:val="0"/>
          <w:w w:val="100"/>
          <w:position w:val="0"/>
        </w:rPr>
        <w:t>师战 士，桂林陆军学院学员，广州军区第二通信总站军官，广东中人企业（集团）有限公司项目经理，广东中人集团建设有限公 司项目经理，广西润建通信发展有限公司（以下简称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润建有限</w:t>
      </w:r>
      <w:r>
        <w:rPr>
          <w:rFonts w:ascii="Times New Roman" w:eastAsia="Times New Roman" w:hAnsi="Times New Roman" w:cs="Times New Roman"/>
          <w:color w:val="000000"/>
          <w:spacing w:val="0"/>
          <w:w w:val="100"/>
          <w:position w:val="0"/>
        </w:rPr>
        <w:t>”</w:t>
      </w:r>
      <w:r>
        <w:rPr>
          <w:color w:val="000000"/>
          <w:spacing w:val="0"/>
          <w:w w:val="100"/>
          <w:position w:val="0"/>
        </w:rPr>
        <w:t>）执行董事、董事长；现任公司董事长。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许文杰先生：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月出生，中国国籍，无境外永久居留权，研究生学历，高级工程师。曾任广州环信信息有限公司 项目经理，润建有限执行董事、总经理；现任公司副董事长、总经理。</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梁姬女士： </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月出生，中国国籍，无境外永久居留权，研究生学历。曾任南宁市钢精厂工业会计，广东中人润建 发展有限公司财务经理，润建有限财务部经理、审计结算部经理、财务总监；现任公司董事。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方培豪先生：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月出生，中国国籍，无境外永久居留权，本科学历，工程师。曾任广东邮电学院教师，广东粤讯 工程有限公司经理，惠州邮电工程有限公司经理，广州逸信电子科技有限公司董事长、总经理；现任公司董事、副总裁。</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胡永乐先生：</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月出生，中国国籍，无境外永久居留权，研究生学历，高级工程师。曾任</w:t>
      </w:r>
      <w:r>
        <w:rPr>
          <w:rFonts w:ascii="Times New Roman" w:eastAsia="Times New Roman" w:hAnsi="Times New Roman" w:cs="Times New Roman"/>
          <w:color w:val="000000"/>
          <w:spacing w:val="0"/>
          <w:w w:val="100"/>
          <w:position w:val="0"/>
        </w:rPr>
        <w:t>Shinki Coiporation of Hong Kong Limited</w:t>
      </w:r>
      <w:r>
        <w:rPr>
          <w:color w:val="000000"/>
          <w:spacing w:val="0"/>
          <w:w w:val="100"/>
          <w:position w:val="0"/>
        </w:rPr>
        <w:t>工程师，华为技术有限公司工程师，润建有限网络部、研发部总经理；现任公司董事、副总经理、创新研发院 院长。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周冠宇先生：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月出生，中国国籍，无境外永久居留权，大学本科学历。曾任中国电科第七研究所移动通信网核 心网设计工程师，广州杰赛科技股份有限公司通信规划设计院专业总工程师、云计算中心副总工程师兼公司专家、政企事业 部总工程师，现任公司董事、副总裁、数字平台研发院院长。</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李胜兰女士： </w:t>
      </w: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月出生，中国国籍，无境外永久居留权，博士研究生学历，教授。曾任兰州市公交公司四车队文 书，西北师范大学政治系讲师，兰州大学管理科学系担任系副主任（主持工作），中山大学岭南学院经济学系担任系主任， 中山大学岭南学院担任副院长；现任任中山大学岭南学院经济学教授、博士生导师，中山大学自贸区综合研究院副院长，广 弘股份有限公司独立董事，广西粤桂广业控股股份有限公司独立董事，箭牌家居集团股份有限公司独立董事，广州好莱客创 意家居股份有限公司独立董事，公司独立董事。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马英华女士： </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月出生，中国国籍，无境外永久居留权，本科学历，教授。曾任哈尔滨财贸大学教师，广西财经 学院会计系副主任；现任广西财经学院会计与审计学院教授，公司独立董事。</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万海斌先生：</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月出生，中国国籍，无境外永久居留权，博士研究生学历，副教授。曾任广西大学电子科学与技 术系助教、讲师，广西大学通信工程系教师；现任广西大学通信工程系副教授，公司独立董事。</w:t>
      </w:r>
    </w:p>
    <w:p>
      <w:pPr>
        <w:pStyle w:val="Style18"/>
        <w:keepNext w:val="0"/>
        <w:keepLines w:val="0"/>
        <w:widowControl w:val="0"/>
        <w:shd w:val="clear" w:color="auto" w:fill="auto"/>
        <w:tabs>
          <w:tab w:pos="812" w:val="left"/>
        </w:tabs>
        <w:bidi w:val="0"/>
        <w:spacing w:before="0" w:after="0" w:line="317" w:lineRule="exact"/>
        <w:ind w:left="0" w:right="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rPr>
        <w:t>2</w:t>
      </w:r>
      <w:r>
        <w:rPr>
          <w:color w:val="000000"/>
          <w:spacing w:val="0"/>
          <w:w w:val="100"/>
          <w:position w:val="0"/>
        </w:rPr>
        <w:t>）</w:t>
        <w:tab/>
        <w:t>监事会成员</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唐敏女士： </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月出生，中国国籍，无境外永久居留权，本科学历。曾任广西鑫辉通讯有限公司市场部职员，广西 东冠投资有限公司市场部职员，润建有限审计部客户经理、线路工程部客户经理、工程建设部主管、工程建设部副主任、审 计部主管，公司审计部总经理助理、广西公司经管部副经理、经管部副总经理、综合管理部总经理；现任公司监事会主席。</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 xml:space="preserve">陶秋鸿女士： </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月出生，中国国籍，无境外永久居留权，本科学历。曾任中铁寻呼有限公司，广东怡创科技有限 公司无线工程项目部综合支撑经理，润建有限工程建设部主管，公司工程建设部主管、工程建设部总经理助理、工程建设部 经理、交付管理部总经理；现任公司监事。</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 xml:space="preserve">欧宇菲女士： </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月出生，中国国籍，无境外永久居留权，本科学历。曾任公司人事专员、人事主管；现任公司职 工代表监事。</w:t>
      </w:r>
    </w:p>
    <w:p>
      <w:pPr>
        <w:pStyle w:val="Style18"/>
        <w:keepNext w:val="0"/>
        <w:keepLines w:val="0"/>
        <w:widowControl w:val="0"/>
        <w:shd w:val="clear" w:color="auto" w:fill="auto"/>
        <w:tabs>
          <w:tab w:pos="812" w:val="left"/>
        </w:tabs>
        <w:bidi w:val="0"/>
        <w:spacing w:before="0" w:after="0" w:line="317" w:lineRule="exact"/>
        <w:ind w:left="0" w:right="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3</w:t>
      </w:r>
      <w:r>
        <w:rPr>
          <w:color w:val="000000"/>
          <w:spacing w:val="0"/>
          <w:w w:val="100"/>
          <w:position w:val="0"/>
        </w:rPr>
        <w:t>）</w:t>
        <w:tab/>
        <w:t>高级管理人员</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许文杰先生：公司总经理，简历参阅本年度报告</w:t>
      </w:r>
      <w:r>
        <w:rPr>
          <w:rFonts w:ascii="Times New Roman" w:eastAsia="Times New Roman" w:hAnsi="Times New Roman" w:cs="Times New Roman"/>
          <w:color w:val="000000"/>
          <w:spacing w:val="0"/>
          <w:w w:val="100"/>
          <w:position w:val="0"/>
        </w:rPr>
        <w:t>“</w:t>
      </w:r>
      <w:r>
        <w:rPr>
          <w:color w:val="000000"/>
          <w:spacing w:val="0"/>
          <w:w w:val="100"/>
          <w:position w:val="0"/>
        </w:rPr>
        <w:t>第四节、五、</w:t>
      </w:r>
      <w:r>
        <w:rPr>
          <w:rFonts w:ascii="Times New Roman" w:eastAsia="Times New Roman" w:hAnsi="Times New Roman" w:cs="Times New Roman"/>
          <w:color w:val="000000"/>
          <w:spacing w:val="0"/>
          <w:w w:val="100"/>
          <w:position w:val="0"/>
        </w:rPr>
        <w:t>1</w:t>
      </w:r>
      <w:r>
        <w:rPr>
          <w:color w:val="000000"/>
          <w:spacing w:val="0"/>
          <w:w w:val="100"/>
          <w:position w:val="0"/>
        </w:rPr>
        <w:t>、董事会成员匚</w:t>
      </w:r>
      <w:r>
        <w:br w:type="page"/>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胡永乐先生：公司副总经理，简历参阅本年度报告</w:t>
      </w:r>
      <w:r>
        <w:rPr>
          <w:rFonts w:ascii="Times New Roman" w:eastAsia="Times New Roman" w:hAnsi="Times New Roman" w:cs="Times New Roman"/>
          <w:color w:val="000000"/>
          <w:spacing w:val="0"/>
          <w:w w:val="100"/>
          <w:position w:val="0"/>
        </w:rPr>
        <w:t>“</w:t>
      </w:r>
      <w:r>
        <w:rPr>
          <w:color w:val="000000"/>
          <w:spacing w:val="0"/>
          <w:w w:val="100"/>
          <w:position w:val="0"/>
        </w:rPr>
        <w:t>第四节、五、</w:t>
      </w:r>
      <w:r>
        <w:rPr>
          <w:rFonts w:ascii="Times New Roman" w:eastAsia="Times New Roman" w:hAnsi="Times New Roman" w:cs="Times New Roman"/>
          <w:color w:val="000000"/>
          <w:spacing w:val="0"/>
          <w:w w:val="100"/>
          <w:position w:val="0"/>
        </w:rPr>
        <w:t>1</w:t>
      </w:r>
      <w:r>
        <w:rPr>
          <w:color w:val="000000"/>
          <w:spacing w:val="0"/>
          <w:w w:val="100"/>
          <w:position w:val="0"/>
        </w:rPr>
        <w:t>、董事会成员七</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黄宇先生：公司财务总监，</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月出生，中国国籍，无境外永久居留权，硕士研究生学历，高级会计师。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月在中国联合网络通信有限公司广西壮族自治区分公司工作，先后担任财务部财务运营室经理、税务管理室经 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月至今在润建股份有限公司先后担任计划财务部副总经理、计划财务部总经理，现任润建股份有限公司财务总 监职务。。</w:t>
      </w:r>
    </w:p>
    <w:p>
      <w:pPr>
        <w:pStyle w:val="Style18"/>
        <w:keepNext w:val="0"/>
        <w:keepLines w:val="0"/>
        <w:widowControl w:val="0"/>
        <w:shd w:val="clear" w:color="auto" w:fill="auto"/>
        <w:bidi w:val="0"/>
        <w:spacing w:before="0" w:after="100" w:line="338" w:lineRule="exact"/>
        <w:ind w:left="0" w:right="0" w:firstLine="360"/>
        <w:jc w:val="left"/>
      </w:pPr>
      <w:r>
        <w:rPr>
          <w:color w:val="000000"/>
          <w:spacing w:val="0"/>
          <w:w w:val="100"/>
          <w:position w:val="0"/>
        </w:rPr>
        <w:t>罗剑涛先生：</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月出生，中国国籍，无境外永久居留权，硕士研究生学历，工程师，中级经济师，取得董事会秘 书资格证书。历任公司综合部负责人，市场部副总经理、证券与公共事务部总经理、证券事务代表，现任公司董事会秘书。 在股东单位任职情况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张家界威克企业管理中心（有限合伙）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平潭盛欧投资管理中心（有限合伙）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均为合伙企业执行事务合伙人。</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3259"/>
        <w:gridCol w:w="1843"/>
        <w:gridCol w:w="1555"/>
        <w:gridCol w:w="710"/>
        <w:gridCol w:w="1358"/>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在其他单位担任的职 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任期终</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在其他单位是否 领取报酬津贴</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润建阈隙有限公司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R&amp;J INTERNATIONAL (SINGAPORE)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R&amp;J INTERNATIONAL (SINGAPORE) PTE.LTD.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3259"/>
        <w:gridCol w:w="1843"/>
        <w:gridCol w:w="1555"/>
        <w:gridCol w:w="710"/>
        <w:gridCol w:w="1358"/>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 Technologies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 RJGF International 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PT.RJI International 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广州市明锐电气技术有限公司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执行董事兼总经理、法 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执行董事兼总经理、法 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方培豪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广西大学计算机与电子信息学院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广西润投新能源开发有限公司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宾阳润投新能源开发有限公司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贺州润投新能源开发有限公司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广西亿万智能科技有限公司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中山大学岭南学院经济学系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广东广弘控股股份有限公司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广西粤桂广业控股股份有限公司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箭牌家居集团股份有限公司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惠州农村商业银行股份有限公司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广州好莱客创意家居股份有限公司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马英华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南宁市信华财务信息咨询工作室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59"/>
        <w:gridCol w:w="3259"/>
        <w:gridCol w:w="1843"/>
        <w:gridCol w:w="1555"/>
        <w:gridCol w:w="710"/>
        <w:gridCol w:w="135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定代表人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执行董事兼法定代表 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润建智慧能源有限责任公司深圳分公司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3</w:t>
      </w:r>
      <w:bookmarkEnd w:id="293"/>
      <w:r>
        <w:rPr>
          <w:color w:val="000000"/>
          <w:spacing w:val="0"/>
          <w:w w:val="100"/>
          <w:position w:val="0"/>
        </w:rPr>
        <w:t>、董事、监事、高级管理人员报酬情况</w:t>
      </w:r>
      <w:bookmarkEnd w:id="291"/>
      <w:bookmarkEnd w:id="292"/>
      <w:bookmarkEnd w:id="294"/>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董事、监事、高级管理人员报酬的决策程序：董事、监事的薪酬在年度报告中列示并提交由公司股东大会审议，高级管 理人员报酬由公司董事会决定。公司董事会薪酬与考核委员会按照《董事会薪酬与考核委员会实施细则》认真履行职责，对 公司年度报告中董事和高管人员所披露薪酬事项进行了审核，核查意见如下：</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年度公司董事、监事及高管人员披露的薪酬情况符合公司薪酬管理制度，未有违反公司薪酬管理制度及与公司薪酬 管理制度不一致的情形发生。独立董事对公司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年年度报告中关于董事、高级管理人员薪酬进行了审核，并发表了同意的 独立董事意见，认为公司能严格按照公司董事和高级管理人员薪酬和有关业绩考核制度执行，薪酬发放的程序符合有关法律 法规及《公司章程》的规定，不存在损害公司和全体股东利益的情形，</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年年度报告中关于董事、高级管理人员薪酬的披 露内容与实际情况一致。</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董事、监事、高级管理人员报酬确定依据：董事长、副董事长、董事、监事薪酬按其在公司担任的实际工作岗位领取薪 酬，不领取董事、监事津贴；实际报酬依据公司盈利水平及各董事、监事、高级管理人员的分工及履职情况、绩效考核情况 确定。</w:t>
      </w:r>
    </w:p>
    <w:p>
      <w:pPr>
        <w:pStyle w:val="Style18"/>
        <w:keepNext w:val="0"/>
        <w:keepLines w:val="0"/>
        <w:widowControl w:val="0"/>
        <w:shd w:val="clear" w:color="auto" w:fill="auto"/>
        <w:bidi w:val="0"/>
        <w:spacing w:before="0" w:after="100" w:line="346" w:lineRule="exact"/>
        <w:ind w:left="0" w:right="0"/>
        <w:jc w:val="both"/>
      </w:pPr>
      <w:r>
        <w:rPr>
          <w:color w:val="000000"/>
          <w:spacing w:val="0"/>
          <w:w w:val="100"/>
          <w:position w:val="0"/>
        </w:rPr>
        <w:t>董事、监事和高级管理人员报酬的实际支付情况：</w:t>
      </w:r>
      <w:r>
        <w:rPr>
          <w:rFonts w:ascii="Times New Roman" w:eastAsia="Times New Roman" w:hAnsi="Times New Roman" w:cs="Times New Roman"/>
          <w:color w:val="000000"/>
          <w:spacing w:val="0"/>
          <w:w w:val="100"/>
          <w:position w:val="0"/>
        </w:rPr>
        <w:t>2021</w:t>
      </w:r>
      <w:r>
        <w:rPr>
          <w:color w:val="000000"/>
          <w:spacing w:val="0"/>
          <w:w w:val="100"/>
          <w:position w:val="0"/>
        </w:rPr>
        <w:t>年度公司实际支付董事、监事、高级管理人员报酬共计</w:t>
      </w:r>
      <w:r>
        <w:rPr>
          <w:rFonts w:ascii="Times New Roman" w:eastAsia="Times New Roman" w:hAnsi="Times New Roman" w:cs="Times New Roman"/>
          <w:color w:val="000000"/>
          <w:spacing w:val="0"/>
          <w:w w:val="100"/>
          <w:position w:val="0"/>
        </w:rPr>
        <w:t xml:space="preserve">618.60 </w:t>
      </w:r>
      <w:r>
        <w:rPr>
          <w:color w:val="000000"/>
          <w:spacing w:val="0"/>
          <w:w w:val="100"/>
          <w:position w:val="0"/>
        </w:rPr>
        <w:t>万元。</w:t>
      </w: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副董事长兼总经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陶秋鸿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欧宇菲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六</w:t>
      </w:r>
      <w:bookmarkEnd w:id="297"/>
      <w:r>
        <w:rPr>
          <w:color w:val="000000"/>
          <w:spacing w:val="0"/>
          <w:w w:val="100"/>
          <w:position w:val="0"/>
          <w:sz w:val="24"/>
          <w:szCs w:val="24"/>
        </w:rPr>
        <w:t>、报告期内董事履行职责的情况</w:t>
      </w:r>
      <w:bookmarkEnd w:id="295"/>
      <w:bookmarkEnd w:id="296"/>
      <w:bookmarkEnd w:id="298"/>
    </w:p>
    <w:p>
      <w:pPr>
        <w:pStyle w:val="Style29"/>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、本报告期董事会情况</w:t>
      </w:r>
      <w:bookmarkEnd w:id="299"/>
      <w:bookmarkEnd w:id="300"/>
      <w:bookmarkEnd w:id="302"/>
    </w:p>
    <w:tbl>
      <w:tblPr>
        <w:tblOverlap w:val="never"/>
        <w:jc w:val="center"/>
        <w:tblLayout w:type="fixed"/>
      </w:tblPr>
      <w:tblGrid>
        <w:gridCol w:w="2400"/>
        <w:gridCol w:w="1862"/>
        <w:gridCol w:w="1843"/>
        <w:gridCol w:w="348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2021-004</w:t>
            </w:r>
            <w:r>
              <w:rPr>
                <w:color w:val="000000"/>
                <w:spacing w:val="0"/>
                <w:w w:val="100"/>
                <w:position w:val="0"/>
              </w:rPr>
              <w:t>第四届董 事会第八次会议决议公告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2021-009</w:t>
            </w:r>
            <w:r>
              <w:rPr>
                <w:color w:val="000000"/>
                <w:spacing w:val="0"/>
                <w:w w:val="100"/>
                <w:position w:val="0"/>
              </w:rPr>
              <w:t>第四届董 事会第九次会议决议公告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2021-016</w:t>
            </w:r>
            <w:r>
              <w:rPr>
                <w:color w:val="000000"/>
                <w:spacing w:val="0"/>
                <w:w w:val="100"/>
                <w:position w:val="0"/>
              </w:rPr>
              <w:t>第四届董 事会第十次会议决议公告</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第四届董事会第十一次会议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2021-034</w:t>
            </w:r>
            <w:r>
              <w:rPr>
                <w:color w:val="000000"/>
                <w:spacing w:val="0"/>
                <w:w w:val="100"/>
                <w:position w:val="0"/>
              </w:rPr>
              <w:t>董事会决 议公告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第四届董事会第十二次会议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2021-052</w:t>
            </w:r>
            <w:r>
              <w:rPr>
                <w:color w:val="000000"/>
                <w:spacing w:val="0"/>
                <w:w w:val="100"/>
                <w:position w:val="0"/>
              </w:rPr>
              <w:t>第四届董 事会第十二次会议决议公告</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第四届董事会第十三次会议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2021-055</w:t>
            </w:r>
            <w:r>
              <w:rPr>
                <w:color w:val="000000"/>
                <w:spacing w:val="0"/>
                <w:w w:val="100"/>
                <w:position w:val="0"/>
              </w:rPr>
              <w:t>第四届董</w:t>
            </w:r>
          </w:p>
        </w:tc>
      </w:tr>
    </w:tbl>
    <w:p>
      <w:pPr>
        <w:spacing w:lineRule="exact" w:line="1"/>
        <w:rPr>
          <w:sz w:val="2"/>
          <w:szCs w:val="2"/>
        </w:rPr>
      </w:pPr>
      <w:r>
        <w:br w:type="page"/>
      </w:r>
    </w:p>
    <w:tbl>
      <w:tblPr>
        <w:tblOverlap w:val="never"/>
        <w:jc w:val="center"/>
        <w:tblLayout w:type="fixed"/>
      </w:tblPr>
      <w:tblGrid>
        <w:gridCol w:w="2400"/>
        <w:gridCol w:w="1862"/>
        <w:gridCol w:w="1843"/>
        <w:gridCol w:w="348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事会第十三次会议决议公告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第四届董事会第十四次会议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2021-067</w:t>
            </w:r>
            <w:r>
              <w:rPr>
                <w:color w:val="000000"/>
                <w:spacing w:val="0"/>
                <w:w w:val="100"/>
                <w:position w:val="0"/>
              </w:rPr>
              <w:t>第四届董 事会第十四次会议决议公告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第四届董事会第十五次会议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 公告编号：</w:t>
            </w:r>
            <w:r>
              <w:rPr>
                <w:rFonts w:ascii="Times New Roman" w:eastAsia="Times New Roman" w:hAnsi="Times New Roman" w:cs="Times New Roman"/>
                <w:color w:val="000000"/>
                <w:spacing w:val="0"/>
                <w:w w:val="100"/>
                <w:position w:val="0"/>
              </w:rPr>
              <w:t>2021-076</w:t>
            </w:r>
            <w:r>
              <w:rPr>
                <w:color w:val="000000"/>
                <w:spacing w:val="0"/>
                <w:w w:val="100"/>
                <w:position w:val="0"/>
              </w:rPr>
              <w:t>半年报董 事会决议公告</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2021-084</w:t>
            </w:r>
            <w:r>
              <w:rPr>
                <w:color w:val="000000"/>
                <w:spacing w:val="0"/>
                <w:w w:val="100"/>
                <w:position w:val="0"/>
              </w:rPr>
              <w:t>第四届董 事会第十六次会议决议公告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第四届董事会第十七次会议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2021-093</w:t>
            </w:r>
            <w:r>
              <w:rPr>
                <w:color w:val="000000"/>
                <w:spacing w:val="0"/>
                <w:w w:val="100"/>
                <w:position w:val="0"/>
              </w:rPr>
              <w:t>第四届董 事会第十七次会议决议公告</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审议通过所有会议议案。因仅审议</w:t>
            </w:r>
            <w:r>
              <w:rPr>
                <w:rFonts w:ascii="Times New Roman" w:eastAsia="Times New Roman" w:hAnsi="Times New Roman" w:cs="Times New Roman"/>
                <w:color w:val="000000"/>
                <w:spacing w:val="0"/>
                <w:w w:val="100"/>
                <w:position w:val="0"/>
              </w:rPr>
              <w:t>2021</w:t>
            </w:r>
            <w:r>
              <w:rPr>
                <w:color w:val="000000"/>
                <w:spacing w:val="0"/>
                <w:w w:val="100"/>
                <w:position w:val="0"/>
              </w:rPr>
              <w:t>年 三季报一项议案且无反对票或弃权票，免于 公告。</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2021-108</w:t>
            </w:r>
            <w:r>
              <w:rPr>
                <w:color w:val="000000"/>
                <w:spacing w:val="0"/>
                <w:w w:val="100"/>
                <w:position w:val="0"/>
              </w:rPr>
              <w:t>第四届董 事会第十九次会议决议公告</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第四届董事会第二十次会议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2021-112</w:t>
            </w:r>
            <w:r>
              <w:rPr>
                <w:color w:val="000000"/>
                <w:spacing w:val="0"/>
                <w:w w:val="100"/>
                <w:position w:val="0"/>
              </w:rPr>
              <w:t>第四届董 事会第二十次会议决议公告</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第四届董事会第二十一次会 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巨潮资讯网公告编号:</w:t>
            </w:r>
            <w:r>
              <w:rPr>
                <w:rFonts w:ascii="Times New Roman" w:eastAsia="Times New Roman" w:hAnsi="Times New Roman" w:cs="Times New Roman"/>
                <w:color w:val="000000"/>
                <w:spacing w:val="0"/>
                <w:w w:val="100"/>
                <w:position w:val="0"/>
              </w:rPr>
              <w:t>2021-114</w:t>
            </w:r>
            <w:r>
              <w:rPr>
                <w:color w:val="000000"/>
                <w:spacing w:val="0"/>
                <w:w w:val="100"/>
                <w:position w:val="0"/>
              </w:rPr>
              <w:t>第四届董 事会第二十一次会议决议公告</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、董事出席董事会及股东大会的情况</w:t>
      </w:r>
      <w:bookmarkEnd w:id="303"/>
      <w:bookmarkEnd w:id="304"/>
      <w:bookmarkEnd w:id="306"/>
    </w:p>
    <w:tbl>
      <w:tblPr>
        <w:tblOverlap w:val="never"/>
        <w:jc w:val="center"/>
        <w:tblLayout w:type="fixed"/>
      </w:tblPr>
      <w:tblGrid>
        <w:gridCol w:w="1435"/>
        <w:gridCol w:w="1162"/>
        <w:gridCol w:w="1166"/>
        <w:gridCol w:w="1162"/>
        <w:gridCol w:w="1166"/>
        <w:gridCol w:w="1157"/>
        <w:gridCol w:w="1166"/>
        <w:gridCol w:w="1171"/>
      </w:tblGrid>
      <w:tr>
        <w:trPr>
          <w:trHeight w:val="408"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0"/>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万海斌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98" w:val="left"/>
        </w:tabs>
        <w:bidi w:val="0"/>
        <w:spacing w:before="0" w:after="260" w:line="240" w:lineRule="auto"/>
        <w:ind w:left="0" w:right="0" w:firstLine="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w:t>
        <w:tab/>
        <w:t>董事对公司有关事项提出异议的情况</w:t>
      </w:r>
      <w:bookmarkEnd w:id="307"/>
      <w:bookmarkEnd w:id="308"/>
      <w:bookmarkEnd w:id="310"/>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报告期内董事对公司有关事项未提出异议。</w:t>
      </w:r>
    </w:p>
    <w:p>
      <w:pPr>
        <w:pStyle w:val="Style29"/>
        <w:keepNext/>
        <w:keepLines/>
        <w:widowControl w:val="0"/>
        <w:shd w:val="clear" w:color="auto" w:fill="auto"/>
        <w:tabs>
          <w:tab w:pos="398" w:val="left"/>
        </w:tabs>
        <w:bidi w:val="0"/>
        <w:spacing w:before="0" w:after="260" w:line="240" w:lineRule="auto"/>
        <w:ind w:left="0" w:right="0" w:firstLine="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4</w:t>
      </w:r>
      <w:bookmarkEnd w:id="313"/>
      <w:r>
        <w:rPr>
          <w:color w:val="000000"/>
          <w:spacing w:val="0"/>
          <w:w w:val="100"/>
          <w:position w:val="0"/>
        </w:rPr>
        <w:t>、</w:t>
        <w:tab/>
        <w:t>董事履行职责的其他说明</w:t>
      </w:r>
      <w:bookmarkEnd w:id="311"/>
      <w:bookmarkEnd w:id="312"/>
      <w:bookmarkEnd w:id="314"/>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报告期内，公司董事勤勉尽责，严格按照法律法规、中国证监会及深交所的相关规定及《公司章程》和《董事会议事规则》 开展工作：</w:t>
      </w:r>
    </w:p>
    <w:p>
      <w:pPr>
        <w:pStyle w:val="Style18"/>
        <w:keepNext w:val="0"/>
        <w:keepLines w:val="0"/>
        <w:widowControl w:val="0"/>
        <w:shd w:val="clear" w:color="auto" w:fill="auto"/>
        <w:tabs>
          <w:tab w:pos="546" w:val="left"/>
        </w:tabs>
        <w:bidi w:val="0"/>
        <w:spacing w:before="0" w:after="0" w:line="315" w:lineRule="exact"/>
        <w:ind w:left="0" w:right="0" w:firstLine="0"/>
        <w:jc w:val="both"/>
      </w:pPr>
      <w:bookmarkStart w:id="315" w:name="bookmark315"/>
      <w:r>
        <w:rPr>
          <w:color w:val="000000"/>
          <w:spacing w:val="0"/>
          <w:w w:val="100"/>
          <w:position w:val="0"/>
        </w:rPr>
        <w:t>（</w:t>
      </w:r>
      <w:bookmarkEnd w:id="315"/>
      <w:r>
        <w:rPr>
          <w:rFonts w:ascii="Times New Roman" w:eastAsia="Times New Roman" w:hAnsi="Times New Roman" w:cs="Times New Roman"/>
          <w:color w:val="000000"/>
          <w:spacing w:val="0"/>
          <w:w w:val="100"/>
          <w:position w:val="0"/>
        </w:rPr>
        <w:t>1</w:t>
      </w:r>
      <w:r>
        <w:rPr>
          <w:color w:val="000000"/>
          <w:spacing w:val="0"/>
          <w:w w:val="100"/>
          <w:position w:val="0"/>
        </w:rPr>
        <w:t>）</w:t>
        <w:tab/>
        <w:t>有效地履行了董事的职责，对公司董事会审议决策的重大事项均要求公司事先提供相关资料进行认真审核，必要时向 公司相关部门和人员询问，在此基础上利用自身的专业知识，客观、审慎地行使表决权，促进了董事会决策的科学性和客 观性，切实维护公司和股东的合法权益。</w:t>
      </w:r>
    </w:p>
    <w:p>
      <w:pPr>
        <w:pStyle w:val="Style18"/>
        <w:keepNext w:val="0"/>
        <w:keepLines w:val="0"/>
        <w:widowControl w:val="0"/>
        <w:shd w:val="clear" w:color="auto" w:fill="auto"/>
        <w:tabs>
          <w:tab w:pos="541" w:val="left"/>
        </w:tabs>
        <w:bidi w:val="0"/>
        <w:spacing w:before="0" w:after="0" w:line="315" w:lineRule="exact"/>
        <w:ind w:left="0" w:right="0" w:firstLine="0"/>
        <w:jc w:val="both"/>
      </w:pPr>
      <w:bookmarkStart w:id="316" w:name="bookmark316"/>
      <w:r>
        <w:rPr>
          <w:color w:val="000000"/>
          <w:spacing w:val="0"/>
          <w:w w:val="100"/>
          <w:position w:val="0"/>
        </w:rPr>
        <w:t>（</w:t>
      </w:r>
      <w:bookmarkEnd w:id="316"/>
      <w:r>
        <w:rPr>
          <w:rFonts w:ascii="Times New Roman" w:eastAsia="Times New Roman" w:hAnsi="Times New Roman" w:cs="Times New Roman"/>
          <w:color w:val="000000"/>
          <w:spacing w:val="0"/>
          <w:w w:val="100"/>
          <w:position w:val="0"/>
        </w:rPr>
        <w:t>2</w:t>
      </w:r>
      <w:r>
        <w:rPr>
          <w:color w:val="000000"/>
          <w:spacing w:val="0"/>
          <w:w w:val="100"/>
          <w:position w:val="0"/>
        </w:rPr>
        <w:t>）</w:t>
        <w:tab/>
        <w:t>对公司治理结构及经营管理的调查，认真审核了公司提供的相关资料，在此基础上，客观、审慎地行使表决权；深入 了解公司的生产经营、管理和内部控制等制度的完善及执行情况，财务管理、募集资金使用、关联交易、业务发展和投资项 目的进度等相关事项，查阅有关资料与相关人员沟通，了解掌握了公司的生产经营和法人治理情况，充分履行了董事的职责， 促进了董事会决策的科学性和客观性，切实地维护了公司和广大投资者的利益。</w:t>
      </w:r>
    </w:p>
    <w:p>
      <w:pPr>
        <w:pStyle w:val="Style18"/>
        <w:keepNext w:val="0"/>
        <w:keepLines w:val="0"/>
        <w:widowControl w:val="0"/>
        <w:shd w:val="clear" w:color="auto" w:fill="auto"/>
        <w:tabs>
          <w:tab w:pos="536" w:val="left"/>
        </w:tabs>
        <w:bidi w:val="0"/>
        <w:spacing w:before="0" w:after="360" w:line="315" w:lineRule="exact"/>
        <w:ind w:left="0" w:right="0" w:firstLine="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3</w:t>
      </w:r>
      <w:r>
        <w:rPr>
          <w:color w:val="000000"/>
          <w:spacing w:val="0"/>
          <w:w w:val="100"/>
          <w:position w:val="0"/>
        </w:rPr>
        <w:t>）</w:t>
        <w:tab/>
        <w:t>持续关注公司的信息披露工作，督促公司严格按照《深圳证券交易所股票上市规则》等法律、法规和《信息披露管理 办法》的要求完善公司信息披露管理制度；要求公司严格执行信息披露的有关规定，保证公司信息披露的真实、准确。</w:t>
      </w:r>
    </w:p>
    <w:p>
      <w:pPr>
        <w:pStyle w:val="Style23"/>
        <w:keepNext/>
        <w:keepLines/>
        <w:widowControl w:val="0"/>
        <w:shd w:val="clear" w:color="auto" w:fill="auto"/>
        <w:bidi w:val="0"/>
        <w:spacing w:before="0" w:after="300" w:line="240" w:lineRule="auto"/>
        <w:ind w:left="0" w:right="0" w:firstLine="0"/>
        <w:jc w:val="both"/>
      </w:pPr>
      <w:bookmarkStart w:id="318" w:name="bookmark318"/>
      <w:bookmarkStart w:id="319" w:name="bookmark319"/>
      <w:bookmarkStart w:id="320" w:name="bookmark320"/>
      <w:bookmarkStart w:id="321" w:name="bookmark321"/>
      <w:r>
        <w:rPr>
          <w:color w:val="000000"/>
          <w:spacing w:val="0"/>
          <w:w w:val="100"/>
          <w:position w:val="0"/>
          <w:sz w:val="24"/>
          <w:szCs w:val="24"/>
        </w:rPr>
        <w:t>七</w:t>
      </w:r>
      <w:bookmarkEnd w:id="320"/>
      <w:r>
        <w:rPr>
          <w:color w:val="000000"/>
          <w:spacing w:val="0"/>
          <w:w w:val="100"/>
          <w:position w:val="0"/>
          <w:sz w:val="24"/>
          <w:szCs w:val="24"/>
        </w:rPr>
        <w:t>、董事会下设专门委员会在报告期内的情况</w:t>
      </w:r>
      <w:bookmarkEnd w:id="318"/>
      <w:bookmarkEnd w:id="319"/>
      <w:bookmarkEnd w:id="321"/>
    </w:p>
    <w:tbl>
      <w:tblPr>
        <w:tblOverlap w:val="never"/>
        <w:jc w:val="center"/>
        <w:tblLayout w:type="fixed"/>
      </w:tblPr>
      <w:tblGrid>
        <w:gridCol w:w="715"/>
        <w:gridCol w:w="854"/>
        <w:gridCol w:w="706"/>
        <w:gridCol w:w="1195"/>
        <w:gridCol w:w="1925"/>
        <w:gridCol w:w="2122"/>
        <w:gridCol w:w="994"/>
        <w:gridCol w:w="1003"/>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异议事项具</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体情况（如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231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both"/>
            </w:pPr>
            <w:r>
              <w:rPr>
                <w:color w:val="000000"/>
                <w:spacing w:val="0"/>
                <w:w w:val="100"/>
                <w:position w:val="0"/>
              </w:rPr>
              <w:t>第四届 董事会 审计委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马英华、</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李胜兰、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梁姬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360" w:val="left"/>
              </w:tabs>
              <w:bidi w:val="0"/>
              <w:spacing w:before="0" w:after="0" w:line="318" w:lineRule="exact"/>
              <w:ind w:left="0" w:right="0" w:firstLine="0"/>
              <w:jc w:val="both"/>
            </w:pPr>
            <w:r>
              <w:rPr>
                <w:color w:val="000000"/>
                <w:spacing w:val="0"/>
                <w:w w:val="100"/>
                <w:position w:val="0"/>
              </w:rPr>
              <w:t>一、</w:t>
              <w:tab/>
              <w:t>关于润建股份有限 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年度业绩快报 的审计报告</w:t>
            </w:r>
          </w:p>
          <w:p>
            <w:pPr>
              <w:pStyle w:val="Style20"/>
              <w:keepNext w:val="0"/>
              <w:keepLines w:val="0"/>
              <w:widowControl w:val="0"/>
              <w:shd w:val="clear" w:color="auto" w:fill="auto"/>
              <w:tabs>
                <w:tab w:pos="341" w:val="left"/>
              </w:tabs>
              <w:bidi w:val="0"/>
              <w:spacing w:before="0" w:after="0" w:line="318" w:lineRule="exact"/>
              <w:ind w:left="0" w:right="0" w:firstLine="0"/>
              <w:jc w:val="both"/>
            </w:pPr>
            <w:r>
              <w:rPr>
                <w:color w:val="000000"/>
                <w:spacing w:val="0"/>
                <w:w w:val="100"/>
                <w:position w:val="0"/>
              </w:rPr>
              <w:t>二、</w:t>
              <w:tab/>
              <w:t>关于</w:t>
            </w:r>
            <w:r>
              <w:rPr>
                <w:rFonts w:ascii="Times New Roman" w:eastAsia="Times New Roman" w:hAnsi="Times New Roman" w:cs="Times New Roman"/>
                <w:color w:val="000000"/>
                <w:spacing w:val="0"/>
                <w:w w:val="100"/>
                <w:position w:val="0"/>
              </w:rPr>
              <w:t>2020</w:t>
            </w:r>
            <w:r>
              <w:rPr>
                <w:color w:val="000000"/>
                <w:spacing w:val="0"/>
                <w:w w:val="100"/>
                <w:position w:val="0"/>
              </w:rPr>
              <w:t>年度内部 审计工作报告的议案</w:t>
            </w:r>
          </w:p>
          <w:p>
            <w:pPr>
              <w:pStyle w:val="Style20"/>
              <w:keepNext w:val="0"/>
              <w:keepLines w:val="0"/>
              <w:widowControl w:val="0"/>
              <w:shd w:val="clear" w:color="auto" w:fill="auto"/>
              <w:tabs>
                <w:tab w:pos="341" w:val="left"/>
              </w:tabs>
              <w:bidi w:val="0"/>
              <w:spacing w:before="0" w:after="0" w:line="331" w:lineRule="exact"/>
              <w:ind w:left="0" w:right="0" w:firstLine="0"/>
              <w:jc w:val="both"/>
            </w:pPr>
            <w:r>
              <w:rPr>
                <w:color w:val="000000"/>
                <w:spacing w:val="0"/>
                <w:w w:val="100"/>
                <w:position w:val="0"/>
              </w:rPr>
              <w:t>三、</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年度内部 审计工作计划的议案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3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一、</w:t>
              <w:tab/>
              <w:t>关于《</w:t>
            </w:r>
            <w:r>
              <w:rPr>
                <w:rFonts w:ascii="Times New Roman" w:eastAsia="Times New Roman" w:hAnsi="Times New Roman" w:cs="Times New Roman"/>
                <w:color w:val="000000"/>
                <w:spacing w:val="0"/>
                <w:w w:val="100"/>
                <w:position w:val="0"/>
              </w:rPr>
              <w:t>2020</w:t>
            </w:r>
            <w:r>
              <w:rPr>
                <w:color w:val="000000"/>
                <w:spacing w:val="0"/>
                <w:w w:val="100"/>
                <w:position w:val="0"/>
              </w:rPr>
              <w:t>年年度 报告》的议案</w:t>
            </w:r>
          </w:p>
          <w:p>
            <w:pPr>
              <w:pStyle w:val="Style20"/>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二、</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年第一</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季度报告》的议案</w:t>
            </w:r>
          </w:p>
          <w:p>
            <w:pPr>
              <w:pStyle w:val="Style20"/>
              <w:keepNext w:val="0"/>
              <w:keepLines w:val="0"/>
              <w:widowControl w:val="0"/>
              <w:shd w:val="clear" w:color="auto" w:fill="auto"/>
              <w:tabs>
                <w:tab w:pos="360" w:val="left"/>
              </w:tabs>
              <w:bidi w:val="0"/>
              <w:spacing w:before="0" w:after="0" w:line="326" w:lineRule="exact"/>
              <w:ind w:left="0" w:right="0" w:firstLine="0"/>
              <w:jc w:val="both"/>
            </w:pPr>
            <w:r>
              <w:rPr>
                <w:color w:val="000000"/>
                <w:spacing w:val="0"/>
                <w:w w:val="100"/>
                <w:position w:val="0"/>
              </w:rPr>
              <w:t>三、</w:t>
              <w:tab/>
              <w:t>关于聘请会计师事</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务所事项的议案</w:t>
            </w:r>
          </w:p>
          <w:p>
            <w:pPr>
              <w:pStyle w:val="Style20"/>
              <w:keepNext w:val="0"/>
              <w:keepLines w:val="0"/>
              <w:widowControl w:val="0"/>
              <w:shd w:val="clear" w:color="auto" w:fill="auto"/>
              <w:tabs>
                <w:tab w:pos="326" w:val="left"/>
              </w:tabs>
              <w:bidi w:val="0"/>
              <w:spacing w:before="0" w:after="0" w:line="326" w:lineRule="exact"/>
              <w:ind w:left="0" w:right="0" w:firstLine="0"/>
              <w:jc w:val="both"/>
            </w:pPr>
            <w:r>
              <w:rPr>
                <w:color w:val="000000"/>
                <w:spacing w:val="0"/>
                <w:w w:val="100"/>
                <w:position w:val="0"/>
              </w:rPr>
              <w:t>四、</w:t>
              <w:tab/>
              <w:t>关于</w:t>
            </w:r>
            <w:r>
              <w:rPr>
                <w:rFonts w:ascii="Times New Roman" w:eastAsia="Times New Roman" w:hAnsi="Times New Roman" w:cs="Times New Roman"/>
                <w:color w:val="000000"/>
                <w:spacing w:val="0"/>
                <w:w w:val="100"/>
                <w:position w:val="0"/>
              </w:rPr>
              <w:t>2020</w:t>
            </w:r>
            <w:r>
              <w:rPr>
                <w:color w:val="000000"/>
                <w:spacing w:val="0"/>
                <w:w w:val="100"/>
                <w:position w:val="0"/>
              </w:rPr>
              <w:t>年度募集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一致通过相关议案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4"/>
        <w:gridCol w:w="706"/>
        <w:gridCol w:w="1195"/>
        <w:gridCol w:w="1925"/>
        <w:gridCol w:w="2122"/>
        <w:gridCol w:w="994"/>
        <w:gridCol w:w="1003"/>
      </w:tblGrid>
      <w:tr>
        <w:trPr>
          <w:trHeight w:val="298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资金存放与使用情况的 专项报告的议案</w:t>
            </w:r>
          </w:p>
          <w:p>
            <w:pPr>
              <w:pStyle w:val="Style20"/>
              <w:keepNext w:val="0"/>
              <w:keepLines w:val="0"/>
              <w:widowControl w:val="0"/>
              <w:shd w:val="clear" w:color="auto" w:fill="auto"/>
              <w:tabs>
                <w:tab w:pos="346" w:val="left"/>
              </w:tabs>
              <w:bidi w:val="0"/>
              <w:spacing w:before="0" w:after="0" w:line="319" w:lineRule="exact"/>
              <w:ind w:left="0" w:right="0" w:firstLine="0"/>
              <w:jc w:val="left"/>
            </w:pPr>
            <w:r>
              <w:rPr>
                <w:color w:val="000000"/>
                <w:spacing w:val="0"/>
                <w:w w:val="100"/>
                <w:position w:val="0"/>
              </w:rPr>
              <w:t>五、</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年第一季 度募集资金存放与使用 情况的专项报告的议案</w:t>
            </w:r>
          </w:p>
          <w:p>
            <w:pPr>
              <w:pStyle w:val="Style20"/>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六、</w:t>
              <w:tab/>
              <w:t>关于会计政策变更 的议案</w:t>
            </w:r>
          </w:p>
          <w:p>
            <w:pPr>
              <w:pStyle w:val="Style20"/>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七、</w:t>
              <w:tab/>
              <w:t>关于《内控自我评 价报告》的议案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0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365" w:val="left"/>
              </w:tabs>
              <w:bidi w:val="0"/>
              <w:spacing w:before="0" w:after="0" w:line="320" w:lineRule="exact"/>
              <w:ind w:left="0" w:right="0" w:firstLine="0"/>
              <w:jc w:val="left"/>
            </w:pPr>
            <w:r>
              <w:rPr>
                <w:color w:val="000000"/>
                <w:spacing w:val="0"/>
                <w:w w:val="100"/>
                <w:position w:val="0"/>
              </w:rPr>
              <w:t>一、</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度报告及摘要》议案</w:t>
            </w:r>
          </w:p>
          <w:p>
            <w:pPr>
              <w:pStyle w:val="Style20"/>
              <w:keepNext w:val="0"/>
              <w:keepLines w:val="0"/>
              <w:widowControl w:val="0"/>
              <w:shd w:val="clear" w:color="auto" w:fill="auto"/>
              <w:tabs>
                <w:tab w:pos="365" w:val="left"/>
              </w:tabs>
              <w:bidi w:val="0"/>
              <w:spacing w:before="0" w:after="0" w:line="320" w:lineRule="exact"/>
              <w:ind w:left="0" w:right="0" w:firstLine="0"/>
              <w:jc w:val="left"/>
            </w:pPr>
            <w:r>
              <w:rPr>
                <w:color w:val="000000"/>
                <w:spacing w:val="0"/>
                <w:w w:val="100"/>
                <w:position w:val="0"/>
              </w:rPr>
              <w:t>二、</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年半年 度募集资金存放与使用 情况的专项报告》的议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360" w:val="left"/>
              </w:tabs>
              <w:bidi w:val="0"/>
              <w:spacing w:before="0" w:after="0" w:line="322" w:lineRule="exact"/>
              <w:ind w:left="0" w:right="0" w:firstLine="0"/>
              <w:jc w:val="left"/>
            </w:pPr>
            <w:r>
              <w:rPr>
                <w:color w:val="000000"/>
                <w:spacing w:val="0"/>
                <w:w w:val="100"/>
                <w:position w:val="0"/>
              </w:rPr>
              <w:t>一、</w:t>
              <w:tab/>
              <w:t>关于《</w:t>
            </w:r>
            <w:r>
              <w:rPr>
                <w:rFonts w:ascii="Times New Roman" w:eastAsia="Times New Roman" w:hAnsi="Times New Roman" w:cs="Times New Roman"/>
                <w:color w:val="000000"/>
                <w:spacing w:val="0"/>
                <w:w w:val="100"/>
                <w:position w:val="0"/>
              </w:rPr>
              <w:t>2021</w:t>
            </w:r>
            <w:r>
              <w:rPr>
                <w:color w:val="000000"/>
                <w:spacing w:val="0"/>
                <w:w w:val="100"/>
                <w:position w:val="0"/>
              </w:rPr>
              <w:t>年第三 季度报告》议案</w:t>
            </w:r>
          </w:p>
          <w:p>
            <w:pPr>
              <w:pStyle w:val="Style20"/>
              <w:keepNext w:val="0"/>
              <w:keepLines w:val="0"/>
              <w:widowControl w:val="0"/>
              <w:shd w:val="clear" w:color="auto" w:fill="auto"/>
              <w:tabs>
                <w:tab w:pos="346" w:val="left"/>
              </w:tabs>
              <w:bidi w:val="0"/>
              <w:spacing w:before="0" w:after="0" w:line="322" w:lineRule="exact"/>
              <w:ind w:left="0" w:right="0" w:firstLine="0"/>
              <w:jc w:val="left"/>
            </w:pPr>
            <w:r>
              <w:rPr>
                <w:color w:val="000000"/>
                <w:spacing w:val="0"/>
                <w:w w:val="100"/>
                <w:position w:val="0"/>
              </w:rPr>
              <w:t>二、</w:t>
              <w:tab/>
              <w:t>关于</w:t>
            </w:r>
            <w:r>
              <w:rPr>
                <w:rFonts w:ascii="Times New Roman" w:eastAsia="Times New Roman" w:hAnsi="Times New Roman" w:cs="Times New Roman"/>
                <w:color w:val="000000"/>
                <w:spacing w:val="0"/>
                <w:w w:val="100"/>
                <w:position w:val="0"/>
              </w:rPr>
              <w:t>2020</w:t>
            </w:r>
            <w:r>
              <w:rPr>
                <w:color w:val="000000"/>
                <w:spacing w:val="0"/>
                <w:w w:val="100"/>
                <w:position w:val="0"/>
              </w:rPr>
              <w:t>年第三季 度募集资金存放与使用 情况的专项报告的议案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审计委员会严格按照《公司 法》、中国证监会监管规则 以及《公司章程》《董事会 议事规则》开展工作，勤勉 尽责，经过充分沟通讨论， 一致通过相关议案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 董事会 战略与 决策委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李建国、</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许文杰、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万海斌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一、关于公司</w:t>
            </w:r>
            <w:r>
              <w:rPr>
                <w:color w:val="000000"/>
                <w:spacing w:val="0"/>
                <w:w w:val="100"/>
                <w:position w:val="0"/>
              </w:rPr>
              <w:t>〈</w:t>
            </w:r>
            <w:r>
              <w:rPr>
                <w:color w:val="000000"/>
                <w:spacing w:val="0"/>
                <w:w w:val="100"/>
                <w:position w:val="0"/>
              </w:rPr>
              <w:t>认购长沙 麦融高科股份有限公司 新增股份暨关联交易</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战略委员会严格按照《公司 法》、中国证监会监管规则 以及《公司章程》《董事会 议事规则》开展工作，勤勉 尽责，根据公司的实际情 况，一致通过所有议案。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一、关于公司《修订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年股票期权激励计划公 司层面业绩考核指标》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战略委员会严格按照《公司 法》、中国证监会监管规则 以及《公司章程》《董事会 议事规则》开展工作，勤勉 尽责，根据公司的实际情 况，一致通过所有议案。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一、关于对外投资设立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公司暨关联交易的议案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战略委员会严格按照《公司 法》、中国证监会监管规则 以及《公司章程》《董事会 议事规则》开展工作，勤勉 尽责，根据公司的实际情 况，一致通过所有议案。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一、关于成立全资子公 司的议案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战略委员会严格按照《公司 法》、中国证监会监管规则 以及《公司章程》《董事会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854"/>
        <w:gridCol w:w="706"/>
        <w:gridCol w:w="1195"/>
        <w:gridCol w:w="1925"/>
        <w:gridCol w:w="2122"/>
        <w:gridCol w:w="994"/>
        <w:gridCol w:w="1003"/>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议事规则》开展工作，勤勉 尽责，根据公司的实际情 况，一致通过所有议案。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第四届 董事会 薪酬与 考核委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李建国、</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万海斌、</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李胜兰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一、关于《修订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年股票期权激励计划公 司层面业绩考核指标》 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薪酬与考核委员会严格按 照《公司法》、中国证监会 监管规则以及《公司章程》 《董事会议事规则》开展工 作，勤勉尽责，根据公司的 实际情况，经过充分沟通讨 论，一致通过所有议案。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一、关于董事及高级管 理人员</w:t>
            </w:r>
            <w:r>
              <w:rPr>
                <w:rFonts w:ascii="Times New Roman" w:eastAsia="Times New Roman" w:hAnsi="Times New Roman" w:cs="Times New Roman"/>
                <w:color w:val="000000"/>
                <w:spacing w:val="0"/>
                <w:w w:val="100"/>
                <w:position w:val="0"/>
              </w:rPr>
              <w:t>2020</w:t>
            </w:r>
            <w:r>
              <w:rPr>
                <w:color w:val="000000"/>
                <w:spacing w:val="0"/>
                <w:w w:val="100"/>
                <w:position w:val="0"/>
              </w:rPr>
              <w:t>年度薪酬考 核和</w:t>
            </w:r>
            <w:r>
              <w:rPr>
                <w:rFonts w:ascii="Times New Roman" w:eastAsia="Times New Roman" w:hAnsi="Times New Roman" w:cs="Times New Roman"/>
                <w:color w:val="000000"/>
                <w:spacing w:val="0"/>
                <w:w w:val="100"/>
                <w:position w:val="0"/>
              </w:rPr>
              <w:t>2021</w:t>
            </w:r>
            <w:r>
              <w:rPr>
                <w:color w:val="000000"/>
                <w:spacing w:val="0"/>
                <w:w w:val="100"/>
                <w:position w:val="0"/>
              </w:rPr>
              <w:t>年度业绩考核 目标的议案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薪酬与考核委员会严格按 照《公司法》、中国证监会 监管规则以及《公司章程》 《董事会议事规则》开展工 作，勤勉尽责，根据公司的 实际情况，经过充分沟通讨 论，一致通过所有议案。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8" w:lineRule="exact"/>
              <w:ind w:left="0" w:right="0" w:firstLine="0"/>
              <w:jc w:val="left"/>
            </w:pPr>
            <w:r>
              <w:rPr>
                <w:color w:val="000000"/>
                <w:spacing w:val="0"/>
                <w:w w:val="100"/>
                <w:position w:val="0"/>
              </w:rPr>
              <w:t>一、关于《</w:t>
            </w:r>
            <w:r>
              <w:rPr>
                <w:rFonts w:ascii="Times New Roman" w:eastAsia="Times New Roman" w:hAnsi="Times New Roman" w:cs="Times New Roman"/>
                <w:color w:val="000000"/>
                <w:spacing w:val="0"/>
                <w:w w:val="100"/>
                <w:position w:val="0"/>
              </w:rPr>
              <w:t>2020</w:t>
            </w:r>
            <w:r>
              <w:rPr>
                <w:color w:val="000000"/>
                <w:spacing w:val="0"/>
                <w:w w:val="100"/>
                <w:position w:val="0"/>
              </w:rPr>
              <w:t>年股票 期权激励计划第一个行 权期行权条件成就》的 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薪酬与考核委员会严格按 照《公司法》、中国证监会 监管规则以及《公司章程》 《董事会议事规则》开展工 作，勤勉尽责，根据公司的 实际情况，经过充分沟通讨 论，一致通过所有议案。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 董事会 提名委 员会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许文杰、 李胜兰、 马英华</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一、关于《董事、高级 管理人员无需变更》议 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提名委员会会严格按照《公 司法》、中国证监会监管规 则以及《公司章程》《董事 会议事规则》开展工作，勤 勉尽责，根据公司的实际情 况，经过充分沟通讨论，一 致通过所有议案。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一、审议《关于公司变 更及聘任财务总监的议 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提名委员会会严格按照《公 司法》、中国证监会监管规 则以及《公司章程》《董事 会议事规则》开展工作，勤 勉尽责，根据公司的实际情 况，经过充分沟通讨论，一 致通过所有议案。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sz w:val="24"/>
          <w:szCs w:val="24"/>
        </w:rPr>
        <w:t>八</w:t>
      </w:r>
      <w:bookmarkEnd w:id="324"/>
      <w:r>
        <w:rPr>
          <w:color w:val="000000"/>
          <w:spacing w:val="0"/>
          <w:w w:val="100"/>
          <w:position w:val="0"/>
          <w:sz w:val="24"/>
          <w:szCs w:val="24"/>
        </w:rPr>
        <w:t>、监事会工作情况</w:t>
      </w:r>
      <w:bookmarkEnd w:id="322"/>
      <w:bookmarkEnd w:id="323"/>
      <w:bookmarkEnd w:id="325"/>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监事会在报告期内的监督活动中发现公司是否存在风险</w:t>
      </w:r>
      <w:r>
        <w:br w:type="page"/>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6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九</w:t>
      </w:r>
      <w:bookmarkEnd w:id="328"/>
      <w:r>
        <w:rPr>
          <w:color w:val="000000"/>
          <w:spacing w:val="0"/>
          <w:w w:val="100"/>
          <w:position w:val="0"/>
          <w:sz w:val="24"/>
          <w:szCs w:val="24"/>
        </w:rPr>
        <w:t>、公司员工情况</w:t>
      </w:r>
      <w:bookmarkEnd w:id="326"/>
      <w:bookmarkEnd w:id="327"/>
      <w:bookmarkEnd w:id="329"/>
    </w:p>
    <w:p>
      <w:pPr>
        <w:pStyle w:val="Style29"/>
        <w:keepNext/>
        <w:keepLines/>
        <w:widowControl w:val="0"/>
        <w:shd w:val="clear" w:color="auto" w:fill="auto"/>
        <w:bidi w:val="0"/>
        <w:spacing w:before="0" w:after="28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、员工数量、专业构成及教育程度</w:t>
      </w:r>
      <w:bookmarkEnd w:id="330"/>
      <w:bookmarkEnd w:id="331"/>
      <w:bookmarkEnd w:id="33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4,119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both"/>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5,067</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1,988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1,997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left"/>
            </w:pPr>
            <w:r>
              <w:rPr>
                <w:rFonts w:ascii="Times New Roman" w:eastAsia="Times New Roman" w:hAnsi="Times New Roman" w:cs="Times New Roman"/>
                <w:color w:val="000000"/>
                <w:spacing w:val="0"/>
                <w:w w:val="100"/>
                <w:position w:val="0"/>
              </w:rPr>
              <w:t>5,067</w:t>
            </w:r>
          </w:p>
        </w:tc>
      </w:tr>
    </w:tbl>
    <w:p>
      <w:pPr>
        <w:widowControl w:val="0"/>
        <w:spacing w:after="279" w:line="1" w:lineRule="exact"/>
      </w:pPr>
    </w:p>
    <w:p>
      <w:pPr>
        <w:pStyle w:val="Style29"/>
        <w:keepNext/>
        <w:keepLines/>
        <w:widowControl w:val="0"/>
        <w:shd w:val="clear" w:color="auto" w:fill="auto"/>
        <w:tabs>
          <w:tab w:pos="378" w:val="left"/>
        </w:tabs>
        <w:bidi w:val="0"/>
        <w:spacing w:before="0" w:after="28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2</w:t>
      </w:r>
      <w:bookmarkEnd w:id="336"/>
      <w:r>
        <w:rPr>
          <w:color w:val="000000"/>
          <w:spacing w:val="0"/>
          <w:w w:val="100"/>
          <w:position w:val="0"/>
        </w:rPr>
        <w:t>、</w:t>
        <w:tab/>
        <w:t>薪酬政策</w:t>
      </w:r>
      <w:bookmarkEnd w:id="334"/>
      <w:bookmarkEnd w:id="335"/>
      <w:bookmarkEnd w:id="337"/>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公司任职人员按其岗位、职务及能力评估，根据现行的薪酬制度和经营业绩领取工资，秉承公司的经营哲学</w:t>
      </w:r>
      <w:r>
        <w:rPr>
          <w:rFonts w:ascii="Times New Roman" w:eastAsia="Times New Roman" w:hAnsi="Times New Roman" w:cs="Times New Roman"/>
          <w:color w:val="000000"/>
          <w:spacing w:val="0"/>
          <w:w w:val="100"/>
          <w:position w:val="0"/>
        </w:rPr>
        <w:t>“</w:t>
      </w:r>
      <w:r>
        <w:rPr>
          <w:color w:val="000000"/>
          <w:spacing w:val="0"/>
          <w:w w:val="100"/>
          <w:position w:val="0"/>
        </w:rPr>
        <w:t>情义</w:t>
      </w:r>
      <w:r>
        <w:rPr>
          <w:rFonts w:ascii="Times New Roman" w:eastAsia="Times New Roman" w:hAnsi="Times New Roman" w:cs="Times New Roman"/>
          <w:color w:val="000000"/>
          <w:spacing w:val="0"/>
          <w:w w:val="100"/>
          <w:position w:val="0"/>
        </w:rPr>
        <w:t>•</w:t>
      </w:r>
      <w:r>
        <w:rPr>
          <w:color w:val="000000"/>
          <w:spacing w:val="0"/>
          <w:w w:val="100"/>
          <w:position w:val="0"/>
        </w:rPr>
        <w:t>共享</w:t>
      </w:r>
      <w:r>
        <w:rPr>
          <w:rFonts w:ascii="Times New Roman" w:eastAsia="Times New Roman" w:hAnsi="Times New Roman" w:cs="Times New Roman"/>
          <w:color w:val="000000"/>
          <w:spacing w:val="0"/>
          <w:w w:val="100"/>
          <w:position w:val="0"/>
        </w:rPr>
        <w:t>•</w:t>
      </w:r>
      <w:r>
        <w:rPr>
          <w:color w:val="000000"/>
          <w:spacing w:val="0"/>
          <w:w w:val="100"/>
          <w:position w:val="0"/>
        </w:rPr>
        <w:t>凭 良心</w:t>
      </w:r>
      <w:r>
        <w:rPr>
          <w:rFonts w:ascii="Times New Roman" w:eastAsia="Times New Roman" w:hAnsi="Times New Roman" w:cs="Times New Roman"/>
          <w:color w:val="000000"/>
          <w:spacing w:val="0"/>
          <w:w w:val="100"/>
          <w:position w:val="0"/>
        </w:rPr>
        <w:t>”</w:t>
      </w:r>
      <w:r>
        <w:rPr>
          <w:color w:val="000000"/>
          <w:spacing w:val="0"/>
          <w:w w:val="100"/>
          <w:position w:val="0"/>
        </w:rPr>
        <w:t>，构建了合理、有效的激励机制。继续改善公司的工作生活环境，增强员工对企业的认同感和满意度，为员工提供越 来越多的晋升平台，激发员工工作热情及工作积极性，实现公司与员工的共同发展。</w:t>
      </w:r>
    </w:p>
    <w:p>
      <w:pPr>
        <w:pStyle w:val="Style18"/>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本报告期，职工薪酬总额计入成本金额</w:t>
      </w:r>
      <w:r>
        <w:rPr>
          <w:rFonts w:ascii="Times New Roman" w:eastAsia="Times New Roman" w:hAnsi="Times New Roman" w:cs="Times New Roman"/>
          <w:color w:val="000000"/>
          <w:spacing w:val="0"/>
          <w:w w:val="100"/>
          <w:position w:val="0"/>
        </w:rPr>
        <w:t>19,904.16</w:t>
      </w:r>
      <w:r>
        <w:rPr>
          <w:color w:val="000000"/>
          <w:spacing w:val="0"/>
          <w:w w:val="100"/>
          <w:position w:val="0"/>
        </w:rPr>
        <w:t>万元，占公司成本总额比例</w:t>
      </w:r>
      <w:r>
        <w:rPr>
          <w:rFonts w:ascii="Times New Roman" w:eastAsia="Times New Roman" w:hAnsi="Times New Roman" w:cs="Times New Roman"/>
          <w:color w:val="000000"/>
          <w:spacing w:val="0"/>
          <w:w w:val="100"/>
          <w:position w:val="0"/>
        </w:rPr>
        <w:t>3.78%</w:t>
      </w:r>
      <w:r>
        <w:rPr>
          <w:color w:val="000000"/>
          <w:spacing w:val="0"/>
          <w:w w:val="100"/>
          <w:position w:val="0"/>
        </w:rPr>
        <w:t>；核心技术人员职工薪酬支出</w:t>
      </w:r>
      <w:r>
        <w:rPr>
          <w:rFonts w:ascii="Times New Roman" w:eastAsia="Times New Roman" w:hAnsi="Times New Roman" w:cs="Times New Roman"/>
          <w:color w:val="000000"/>
          <w:spacing w:val="0"/>
          <w:w w:val="100"/>
          <w:position w:val="0"/>
        </w:rPr>
        <w:t>223.42</w:t>
      </w:r>
      <w:r>
        <w:rPr>
          <w:color w:val="000000"/>
          <w:spacing w:val="0"/>
          <w:w w:val="100"/>
          <w:position w:val="0"/>
        </w:rPr>
        <w:t>万元， 占本报告期职工薪酬总额比</w:t>
      </w:r>
      <w:r>
        <w:rPr>
          <w:rFonts w:ascii="Times New Roman" w:eastAsia="Times New Roman" w:hAnsi="Times New Roman" w:cs="Times New Roman"/>
          <w:color w:val="000000"/>
          <w:spacing w:val="0"/>
          <w:w w:val="100"/>
          <w:position w:val="0"/>
        </w:rPr>
        <w:t>1.12%</w:t>
      </w:r>
      <w:r>
        <w:rPr>
          <w:color w:val="000000"/>
          <w:spacing w:val="0"/>
          <w:w w:val="100"/>
          <w:position w:val="0"/>
        </w:rPr>
        <w:t>。</w:t>
      </w:r>
    </w:p>
    <w:p>
      <w:pPr>
        <w:pStyle w:val="Style29"/>
        <w:keepNext/>
        <w:keepLines/>
        <w:widowControl w:val="0"/>
        <w:shd w:val="clear" w:color="auto" w:fill="auto"/>
        <w:tabs>
          <w:tab w:pos="378" w:val="left"/>
        </w:tabs>
        <w:bidi w:val="0"/>
        <w:spacing w:before="0" w:after="280" w:line="240" w:lineRule="auto"/>
        <w:ind w:left="0" w:right="0" w:firstLine="0"/>
        <w:jc w:val="both"/>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培训计划</w:t>
      </w:r>
      <w:bookmarkEnd w:id="338"/>
      <w:bookmarkEnd w:id="339"/>
      <w:bookmarkEnd w:id="341"/>
    </w:p>
    <w:p>
      <w:pPr>
        <w:pStyle w:val="Style18"/>
        <w:keepNext w:val="0"/>
        <w:keepLines w:val="0"/>
        <w:widowControl w:val="0"/>
        <w:shd w:val="clear" w:color="auto" w:fill="auto"/>
        <w:bidi w:val="0"/>
        <w:spacing w:before="0" w:after="360" w:line="318" w:lineRule="exact"/>
        <w:ind w:left="0" w:right="0" w:firstLine="0"/>
        <w:jc w:val="both"/>
      </w:pPr>
      <w:r>
        <w:rPr>
          <w:color w:val="000000"/>
          <w:spacing w:val="0"/>
          <w:w w:val="100"/>
          <w:position w:val="0"/>
        </w:rPr>
        <w:t xml:space="preserve">根据公司战略目标和发展的需要，以及员工多样化培训需求，分层次、分类别地开展内容丰富、形式灵活的培训，增强培训 </w:t>
      </w:r>
      <w:r>
        <w:rPr>
          <w:color w:val="000000"/>
          <w:spacing w:val="0"/>
          <w:w w:val="100"/>
          <w:position w:val="0"/>
        </w:rPr>
        <w:t>的针对性和实效性，确保培训质量。以素质提升与能力培养为核心，理论与实践相结合、学习与总结相结合的原则。自主培 训为主，外部培训为辅的原则。整合培训资源，建立健全以公司培训中心为主要培训基地，立足自主培训做好基础培训和常 规培训，通过外部培训机构做好相关专业培训。</w:t>
      </w:r>
    </w:p>
    <w:p>
      <w:pPr>
        <w:pStyle w:val="Style29"/>
        <w:keepNext/>
        <w:keepLines/>
        <w:widowControl w:val="0"/>
        <w:shd w:val="clear" w:color="auto" w:fill="auto"/>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4</w:t>
      </w:r>
      <w:bookmarkEnd w:id="344"/>
      <w:r>
        <w:rPr>
          <w:color w:val="000000"/>
          <w:spacing w:val="0"/>
          <w:w w:val="100"/>
          <w:position w:val="0"/>
        </w:rPr>
        <w:t>、劳务外包情况</w:t>
      </w:r>
      <w:bookmarkEnd w:id="342"/>
      <w:bookmarkEnd w:id="343"/>
      <w:bookmarkEnd w:id="345"/>
    </w:p>
    <w:p>
      <w:pPr>
        <w:pStyle w:val="Style1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346" w:name="bookmark346"/>
      <w:bookmarkStart w:id="347" w:name="bookmark347"/>
      <w:bookmarkStart w:id="348" w:name="bookmark348"/>
      <w:r>
        <w:rPr>
          <w:color w:val="000000"/>
          <w:spacing w:val="0"/>
          <w:w w:val="100"/>
          <w:position w:val="0"/>
          <w:sz w:val="24"/>
          <w:szCs w:val="24"/>
        </w:rPr>
        <w:t>十、公司利润分配及资本公积金转增股本情况</w:t>
      </w:r>
      <w:bookmarkEnd w:id="346"/>
      <w:bookmarkEnd w:id="347"/>
      <w:bookmarkEnd w:id="348"/>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公司根据《中华人民共和国公司法》、《中华人民共和国证券法》、《上市公司章程指引》、《关于进一步落实上市公司现 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号——上市公司现金分红》等法律、法规、规章及《公司章程》的要求， 制订了未来三年（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年）股东回报规划。</w:t>
      </w:r>
    </w:p>
    <w:p>
      <w:pPr>
        <w:pStyle w:val="Style18"/>
        <w:keepNext w:val="0"/>
        <w:keepLines w:val="0"/>
        <w:widowControl w:val="0"/>
        <w:shd w:val="clear" w:color="auto" w:fill="auto"/>
        <w:tabs>
          <w:tab w:pos="344" w:val="left"/>
        </w:tabs>
        <w:bidi w:val="0"/>
        <w:spacing w:before="0" w:after="0" w:line="314" w:lineRule="exact"/>
        <w:ind w:left="0" w:right="0" w:firstLine="0"/>
        <w:jc w:val="left"/>
      </w:pPr>
      <w:bookmarkStart w:id="349" w:name="bookmark349"/>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日，公司第四届董事会第十一次会议审议通过了《关于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年度利润分配预案的议案》，同意公司：以公司 未来实施分配方案时股权登记日的总股本为基数，向全体股东每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1.5</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 以公积金转增股本。若董事会审议本次利润分配预案后股本发生变动的，将按照分配总额不变的</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原则对分配比例进行调整。</w:t>
      </w:r>
    </w:p>
    <w:p>
      <w:pPr>
        <w:pStyle w:val="Style18"/>
        <w:keepNext w:val="0"/>
        <w:keepLines w:val="0"/>
        <w:widowControl w:val="0"/>
        <w:shd w:val="clear" w:color="auto" w:fill="auto"/>
        <w:tabs>
          <w:tab w:pos="354" w:val="left"/>
        </w:tabs>
        <w:bidi w:val="0"/>
        <w:spacing w:before="0" w:after="0"/>
        <w:ind w:left="0" w:right="0" w:firstLine="0"/>
        <w:jc w:val="left"/>
      </w:pPr>
      <w:bookmarkStart w:id="350" w:name="bookmark350"/>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w:t>
      </w:r>
    </w:p>
    <w:p>
      <w:pPr>
        <w:pStyle w:val="Style18"/>
        <w:keepNext w:val="0"/>
        <w:keepLines w:val="0"/>
        <w:widowControl w:val="0"/>
        <w:shd w:val="clear" w:color="auto" w:fill="auto"/>
        <w:tabs>
          <w:tab w:pos="354" w:val="left"/>
        </w:tabs>
        <w:bidi w:val="0"/>
        <w:spacing w:before="0" w:after="0" w:line="314" w:lineRule="exact"/>
        <w:ind w:left="0" w:right="0" w:firstLine="0"/>
        <w:jc w:val="left"/>
      </w:pPr>
      <w:bookmarkStart w:id="351" w:name="bookmark351"/>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日，公司披露了《</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年年度权益分派实施公告》，权益分派股权登记日为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日，除权除息日为</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18"/>
        <w:keepNext w:val="0"/>
        <w:keepLines w:val="0"/>
        <w:widowControl w:val="0"/>
        <w:shd w:val="clear" w:color="auto" w:fill="auto"/>
        <w:tabs>
          <w:tab w:pos="354" w:val="left"/>
        </w:tabs>
        <w:bidi w:val="0"/>
        <w:spacing w:before="0" w:after="0" w:line="314" w:lineRule="exact"/>
        <w:ind w:left="0" w:right="0" w:firstLine="0"/>
        <w:jc w:val="left"/>
      </w:pPr>
      <w:bookmarkStart w:id="352" w:name="bookmark352"/>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日，公司第四届董事会第二十五会议审议通过了《关于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年度利润分配预案的议案》，同意公司：以截至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日公司总股本</w:t>
      </w:r>
      <w:r>
        <w:rPr>
          <w:rFonts w:ascii="Times New Roman" w:eastAsia="Times New Roman" w:hAnsi="Times New Roman" w:cs="Times New Roman"/>
          <w:color w:val="000000"/>
          <w:spacing w:val="0"/>
          <w:w w:val="100"/>
          <w:position w:val="0"/>
        </w:rPr>
        <w:t>228,748,462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 xml:space="preserve">元（含税），合计派发现金股利人民币 </w:t>
      </w:r>
      <w:r>
        <w:rPr>
          <w:rFonts w:ascii="Times New Roman" w:eastAsia="Times New Roman" w:hAnsi="Times New Roman" w:cs="Times New Roman"/>
          <w:color w:val="000000"/>
          <w:spacing w:val="0"/>
          <w:w w:val="100"/>
          <w:position w:val="0"/>
        </w:rPr>
        <w:t>45,749,692.40</w:t>
      </w:r>
      <w:r>
        <w:rPr>
          <w:color w:val="000000"/>
          <w:spacing w:val="0"/>
          <w:w w:val="100"/>
          <w:position w:val="0"/>
        </w:rPr>
        <w:t>元（含税），不送红股，不以公积金转增股本。在本利润分配预案经公司股东大会审议通过之日至公司权益分 派实施日期间，如公司总股本发生变化，公司将按照</w:t>
      </w:r>
      <w:r>
        <w:rPr>
          <w:rFonts w:ascii="Times New Roman" w:eastAsia="Times New Roman" w:hAnsi="Times New Roman" w:cs="Times New Roman"/>
          <w:color w:val="000000"/>
          <w:spacing w:val="0"/>
          <w:w w:val="100"/>
          <w:position w:val="0"/>
        </w:rPr>
        <w:t>“</w:t>
      </w:r>
      <w:r>
        <w:rPr>
          <w:color w:val="000000"/>
          <w:spacing w:val="0"/>
          <w:w w:val="100"/>
          <w:position w:val="0"/>
        </w:rPr>
        <w:t>分配比例不变</w:t>
      </w:r>
      <w:r>
        <w:rPr>
          <w:rFonts w:ascii="Times New Roman" w:eastAsia="Times New Roman" w:hAnsi="Times New Roman" w:cs="Times New Roman"/>
          <w:color w:val="000000"/>
          <w:spacing w:val="0"/>
          <w:w w:val="100"/>
          <w:position w:val="0"/>
        </w:rPr>
        <w:t>”</w:t>
      </w:r>
      <w:r>
        <w:rPr>
          <w:color w:val="000000"/>
          <w:spacing w:val="0"/>
          <w:w w:val="100"/>
          <w:position w:val="0"/>
        </w:rPr>
        <w:t>的原则，对分红总金额进行调整。</w:t>
      </w:r>
    </w:p>
    <w:tbl>
      <w:tblPr>
        <w:tblOverlap w:val="never"/>
        <w:jc w:val="center"/>
        <w:tblLayout w:type="fixed"/>
      </w:tblPr>
      <w:tblGrid>
        <w:gridCol w:w="4790"/>
        <w:gridCol w:w="4795"/>
      </w:tblGrid>
      <w:tr>
        <w:trPr>
          <w:trHeight w:val="41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bl>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228,748,462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45,749,692.40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45,749,692.40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1,587,000,176.54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color w:val="000000"/>
                <w:spacing w:val="0"/>
                <w:w w:val="100"/>
                <w:position w:val="0"/>
              </w:rPr>
              <w:t>同意公司：以截至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日公司总股本</w:t>
            </w:r>
            <w:r>
              <w:rPr>
                <w:rFonts w:ascii="Times New Roman" w:eastAsia="Times New Roman" w:hAnsi="Times New Roman" w:cs="Times New Roman"/>
                <w:color w:val="000000"/>
                <w:spacing w:val="0"/>
                <w:w w:val="100"/>
                <w:position w:val="0"/>
              </w:rPr>
              <w:t>228,748,462</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 合计派发现金股利人民币</w:t>
            </w:r>
            <w:r>
              <w:rPr>
                <w:rFonts w:ascii="Times New Roman" w:eastAsia="Times New Roman" w:hAnsi="Times New Roman" w:cs="Times New Roman"/>
                <w:color w:val="000000"/>
                <w:spacing w:val="0"/>
                <w:w w:val="100"/>
                <w:position w:val="0"/>
              </w:rPr>
              <w:t>45,749,692.40</w:t>
            </w:r>
            <w:r>
              <w:rPr>
                <w:color w:val="000000"/>
                <w:spacing w:val="0"/>
                <w:w w:val="100"/>
                <w:position w:val="0"/>
              </w:rPr>
              <w:t>元（含税），不送红股，不以公积金转增股本。在本利润分配预案经公司股东大会 审议通过之日至公司权益分派实施日期间，如公司总股本发生变化，公司将按照</w:t>
            </w:r>
            <w:r>
              <w:rPr>
                <w:rFonts w:ascii="Times New Roman" w:eastAsia="Times New Roman" w:hAnsi="Times New Roman" w:cs="Times New Roman"/>
                <w:color w:val="000000"/>
                <w:spacing w:val="0"/>
                <w:w w:val="100"/>
                <w:position w:val="0"/>
              </w:rPr>
              <w:t>“</w:t>
            </w:r>
            <w:r>
              <w:rPr>
                <w:color w:val="000000"/>
                <w:spacing w:val="0"/>
                <w:w w:val="100"/>
                <w:position w:val="0"/>
              </w:rPr>
              <w:t>分配比例不变</w:t>
            </w:r>
            <w:r>
              <w:rPr>
                <w:rFonts w:ascii="Times New Roman" w:eastAsia="Times New Roman" w:hAnsi="Times New Roman" w:cs="Times New Roman"/>
                <w:color w:val="000000"/>
                <w:spacing w:val="0"/>
                <w:w w:val="100"/>
                <w:position w:val="0"/>
              </w:rPr>
              <w:t>”</w:t>
            </w:r>
            <w:r>
              <w:rPr>
                <w:color w:val="000000"/>
                <w:spacing w:val="0"/>
                <w:w w:val="100"/>
                <w:position w:val="0"/>
              </w:rPr>
              <w:t>的原则，对分红总金额进 行调整。</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353" w:name="bookmark353"/>
      <w:bookmarkStart w:id="354" w:name="bookmark354"/>
      <w:bookmarkStart w:id="355" w:name="bookmark355"/>
      <w:r>
        <w:rPr>
          <w:color w:val="000000"/>
          <w:spacing w:val="0"/>
          <w:w w:val="100"/>
          <w:position w:val="0"/>
          <w:sz w:val="24"/>
          <w:szCs w:val="24"/>
        </w:rPr>
        <w:t>十一、公司股权激励计划、员工持股计划或其他员工激励措施的实施情况</w:t>
      </w:r>
      <w:bookmarkEnd w:id="353"/>
      <w:bookmarkEnd w:id="354"/>
      <w:bookmarkEnd w:id="355"/>
    </w:p>
    <w:p>
      <w:pPr>
        <w:pStyle w:val="Style18"/>
        <w:keepNext w:val="0"/>
        <w:keepLines w:val="0"/>
        <w:widowControl w:val="0"/>
        <w:shd w:val="clear" w:color="auto" w:fill="auto"/>
        <w:bidi w:val="0"/>
        <w:spacing w:before="0" w:after="36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after="28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、股权激励</w:t>
      </w:r>
      <w:bookmarkEnd w:id="356"/>
      <w:bookmarkEnd w:id="357"/>
      <w:bookmarkEnd w:id="359"/>
    </w:p>
    <w:p>
      <w:pPr>
        <w:pStyle w:val="Style1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日，公司召开第四届董事会第三次会议、第四届监事会第三次会议，审议通过了《关于公司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 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年第三次临时股东大会，审议通过了《关于公 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日股票期权授予登记完成。本次股票期权实际授予激励对象为</w:t>
      </w:r>
      <w:r>
        <w:rPr>
          <w:rFonts w:ascii="Times New Roman" w:eastAsia="Times New Roman" w:hAnsi="Times New Roman" w:cs="Times New Roman"/>
          <w:color w:val="000000"/>
          <w:spacing w:val="0"/>
          <w:w w:val="100"/>
          <w:position w:val="0"/>
        </w:rPr>
        <w:t xml:space="preserve">185 </w:t>
      </w:r>
      <w:r>
        <w:rPr>
          <w:color w:val="000000"/>
          <w:spacing w:val="0"/>
          <w:w w:val="100"/>
          <w:position w:val="0"/>
        </w:rPr>
        <w:t>人，实际授予股票期权数量</w:t>
      </w:r>
      <w:r>
        <w:rPr>
          <w:rFonts w:ascii="Times New Roman" w:eastAsia="Times New Roman" w:hAnsi="Times New Roman" w:cs="Times New Roman"/>
          <w:color w:val="000000"/>
          <w:spacing w:val="0"/>
          <w:w w:val="100"/>
          <w:position w:val="0"/>
        </w:rPr>
        <w:t>2,111.80</w:t>
      </w:r>
      <w:r>
        <w:rPr>
          <w:color w:val="000000"/>
          <w:spacing w:val="0"/>
          <w:w w:val="100"/>
          <w:position w:val="0"/>
        </w:rPr>
        <w:t>万份，股票期权授予日是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日，本激励计划股票期权的行权价格为</w:t>
      </w:r>
      <w:r>
        <w:rPr>
          <w:rFonts w:ascii="Times New Roman" w:eastAsia="Times New Roman" w:hAnsi="Times New Roman" w:cs="Times New Roman"/>
          <w:color w:val="000000"/>
          <w:spacing w:val="0"/>
          <w:w w:val="100"/>
          <w:position w:val="0"/>
        </w:rPr>
        <w:t>21.69</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日，公司召开第四届董事会第九次会议、第四届监事会第八次会议，审议通过了《关于修订</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权激励计划公司层面业绩考核指标的议案》，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年第一次临时股东大会审议通过了《关于修订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年股票期权激励计划公司层面业绩考核指标的议案》，同意公司修订</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年股票期权激励计划公司层面业绩考核指标。修订 后：激励计划在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年会计年度中，分年度对公司的业绩指标进行考核，以达到业绩考核目标作为激励对象当年度 的行权条件之一。考核目标如下所示：</w:t>
      </w:r>
    </w:p>
    <w:p>
      <w:pPr>
        <w:pStyle w:val="Style18"/>
        <w:keepNext w:val="0"/>
        <w:keepLines w:val="0"/>
        <w:widowControl w:val="0"/>
        <w:shd w:val="clear" w:color="auto" w:fill="auto"/>
        <w:tabs>
          <w:tab w:pos="696" w:val="left"/>
        </w:tabs>
        <w:bidi w:val="0"/>
        <w:spacing w:before="0" w:after="0" w:line="315" w:lineRule="exact"/>
        <w:ind w:left="0" w:right="0"/>
        <w:jc w:val="both"/>
      </w:pPr>
      <w:bookmarkStart w:id="360" w:name="bookmark360"/>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t>第一个行权期业绩考核目标：以</w:t>
      </w:r>
      <w:r>
        <w:rPr>
          <w:rFonts w:ascii="Times New Roman" w:eastAsia="Times New Roman" w:hAnsi="Times New Roman" w:cs="Times New Roman"/>
          <w:color w:val="000000"/>
          <w:spacing w:val="0"/>
          <w:w w:val="100"/>
          <w:position w:val="0"/>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2020</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8"/>
        <w:keepNext w:val="0"/>
        <w:keepLines w:val="0"/>
        <w:widowControl w:val="0"/>
        <w:shd w:val="clear" w:color="auto" w:fill="auto"/>
        <w:tabs>
          <w:tab w:pos="681" w:val="left"/>
        </w:tabs>
        <w:bidi w:val="0"/>
        <w:spacing w:before="0" w:after="0" w:line="315" w:lineRule="exact"/>
        <w:ind w:left="0" w:right="0"/>
        <w:jc w:val="both"/>
      </w:pPr>
      <w:bookmarkStart w:id="361" w:name="bookmark361"/>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第二个行权期业绩考核目标：以</w:t>
      </w:r>
      <w:r>
        <w:rPr>
          <w:rFonts w:ascii="Times New Roman" w:eastAsia="Times New Roman" w:hAnsi="Times New Roman" w:cs="Times New Roman"/>
          <w:color w:val="000000"/>
          <w:spacing w:val="0"/>
          <w:w w:val="100"/>
          <w:position w:val="0"/>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2021</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40%</w:t>
      </w:r>
      <w:r>
        <w:rPr>
          <w:color w:val="000000"/>
          <w:spacing w:val="0"/>
          <w:w w:val="100"/>
          <w:position w:val="0"/>
        </w:rPr>
        <w:t>；且以</w:t>
      </w:r>
      <w:r>
        <w:rPr>
          <w:rFonts w:ascii="Times New Roman" w:eastAsia="Times New Roman" w:hAnsi="Times New Roman" w:cs="Times New Roman"/>
          <w:color w:val="000000"/>
          <w:spacing w:val="0"/>
          <w:w w:val="100"/>
          <w:position w:val="0"/>
        </w:rPr>
        <w:t>2019</w:t>
      </w:r>
      <w:r>
        <w:rPr>
          <w:color w:val="000000"/>
          <w:spacing w:val="0"/>
          <w:w w:val="100"/>
          <w:position w:val="0"/>
        </w:rPr>
        <w:t>年归属于上 市公司股东的净利润为基数，</w:t>
      </w:r>
      <w:r>
        <w:rPr>
          <w:rFonts w:ascii="Times New Roman" w:eastAsia="Times New Roman" w:hAnsi="Times New Roman" w:cs="Times New Roman"/>
          <w:color w:val="000000"/>
          <w:spacing w:val="0"/>
          <w:w w:val="100"/>
          <w:position w:val="0"/>
        </w:rPr>
        <w:t>2021</w:t>
      </w:r>
      <w:r>
        <w:rPr>
          <w:color w:val="000000"/>
          <w:spacing w:val="0"/>
          <w:w w:val="100"/>
          <w:position w:val="0"/>
        </w:rPr>
        <w:t>年归属于上市公司股东的净利润增长率不低于</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18"/>
        <w:keepNext w:val="0"/>
        <w:keepLines w:val="0"/>
        <w:widowControl w:val="0"/>
        <w:shd w:val="clear" w:color="auto" w:fill="auto"/>
        <w:tabs>
          <w:tab w:pos="690" w:val="left"/>
        </w:tabs>
        <w:bidi w:val="0"/>
        <w:spacing w:before="0" w:after="0" w:line="315" w:lineRule="exact"/>
        <w:ind w:left="0" w:right="0"/>
        <w:jc w:val="both"/>
      </w:pPr>
      <w:bookmarkStart w:id="362" w:name="bookmark362"/>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第三个行权期业绩考核目标：以</w:t>
      </w:r>
      <w:r>
        <w:rPr>
          <w:rFonts w:ascii="Times New Roman" w:eastAsia="Times New Roman" w:hAnsi="Times New Roman" w:cs="Times New Roman"/>
          <w:color w:val="000000"/>
          <w:spacing w:val="0"/>
          <w:w w:val="100"/>
          <w:position w:val="0"/>
        </w:rPr>
        <w:t>2019</w:t>
      </w:r>
      <w:r>
        <w:rPr>
          <w:color w:val="000000"/>
          <w:spacing w:val="0"/>
          <w:w w:val="100"/>
          <w:position w:val="0"/>
        </w:rPr>
        <w:t>年营业收入为基数，</w:t>
      </w:r>
      <w:r>
        <w:rPr>
          <w:rFonts w:ascii="Times New Roman" w:eastAsia="Times New Roman" w:hAnsi="Times New Roman" w:cs="Times New Roman"/>
          <w:color w:val="000000"/>
          <w:spacing w:val="0"/>
          <w:w w:val="100"/>
          <w:position w:val="0"/>
        </w:rPr>
        <w:t>2022</w:t>
      </w:r>
      <w:r>
        <w:rPr>
          <w:color w:val="000000"/>
          <w:spacing w:val="0"/>
          <w:w w:val="100"/>
          <w:position w:val="0"/>
        </w:rPr>
        <w:t>年营业收入增长率不低于</w:t>
      </w:r>
      <w:r>
        <w:rPr>
          <w:rFonts w:ascii="Times New Roman" w:eastAsia="Times New Roman" w:hAnsi="Times New Roman" w:cs="Times New Roman"/>
          <w:color w:val="000000"/>
          <w:spacing w:val="0"/>
          <w:w w:val="100"/>
          <w:position w:val="0"/>
        </w:rPr>
        <w:t>80%</w:t>
      </w:r>
      <w:r>
        <w:rPr>
          <w:color w:val="000000"/>
          <w:spacing w:val="0"/>
          <w:w w:val="100"/>
          <w:position w:val="0"/>
        </w:rPr>
        <w:t>；且以</w:t>
      </w:r>
      <w:r>
        <w:rPr>
          <w:rFonts w:ascii="Times New Roman" w:eastAsia="Times New Roman" w:hAnsi="Times New Roman" w:cs="Times New Roman"/>
          <w:color w:val="000000"/>
          <w:spacing w:val="0"/>
          <w:w w:val="100"/>
          <w:position w:val="0"/>
        </w:rPr>
        <w:t>2019</w:t>
      </w:r>
      <w:r>
        <w:rPr>
          <w:color w:val="000000"/>
          <w:spacing w:val="0"/>
          <w:w w:val="100"/>
          <w:position w:val="0"/>
        </w:rPr>
        <w:t>年归属于上 市公司股东的净利润为基数，</w:t>
      </w:r>
      <w:r>
        <w:rPr>
          <w:rFonts w:ascii="Times New Roman" w:eastAsia="Times New Roman" w:hAnsi="Times New Roman" w:cs="Times New Roman"/>
          <w:color w:val="000000"/>
          <w:spacing w:val="0"/>
          <w:w w:val="100"/>
          <w:position w:val="0"/>
        </w:rPr>
        <w:t>2022</w:t>
      </w:r>
      <w:r>
        <w:rPr>
          <w:color w:val="000000"/>
          <w:spacing w:val="0"/>
          <w:w w:val="100"/>
          <w:position w:val="0"/>
        </w:rPr>
        <w:t>年归属于上市公司股东的净利润增长率不低于</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日，公司召开第四届董事会第十三次会议、第四届监事会第十二次会议，审议通过了《关于调整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年股 票期权激励计划行权价格的议案》，鉴于公司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日实施完成，根据公司《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 激励计划（草案修订稿）》（以下简称</w:t>
      </w:r>
      <w:r>
        <w:rPr>
          <w:rFonts w:ascii="Times New Roman" w:eastAsia="Times New Roman" w:hAnsi="Times New Roman" w:cs="Times New Roman"/>
          <w:color w:val="000000"/>
          <w:spacing w:val="0"/>
          <w:w w:val="100"/>
          <w:position w:val="0"/>
        </w:rPr>
        <w:t>“</w:t>
      </w:r>
      <w:r>
        <w:rPr>
          <w:color w:val="000000"/>
          <w:spacing w:val="0"/>
          <w:w w:val="100"/>
          <w:position w:val="0"/>
        </w:rPr>
        <w:t>激励计划</w:t>
      </w:r>
      <w:r>
        <w:rPr>
          <w:rFonts w:ascii="Times New Roman" w:eastAsia="Times New Roman" w:hAnsi="Times New Roman" w:cs="Times New Roman"/>
          <w:color w:val="000000"/>
          <w:spacing w:val="0"/>
          <w:w w:val="100"/>
          <w:position w:val="0"/>
        </w:rPr>
        <w:t>”</w:t>
      </w:r>
      <w:r>
        <w:rPr>
          <w:color w:val="000000"/>
          <w:spacing w:val="0"/>
          <w:w w:val="100"/>
          <w:position w:val="0"/>
        </w:rPr>
        <w:t>）的相关规定，公司董事会将激励计划的股票期权行权价格由</w:t>
      </w:r>
      <w:r>
        <w:rPr>
          <w:rFonts w:ascii="Times New Roman" w:eastAsia="Times New Roman" w:hAnsi="Times New Roman" w:cs="Times New Roman"/>
          <w:color w:val="000000"/>
          <w:spacing w:val="0"/>
          <w:w w:val="100"/>
          <w:position w:val="0"/>
        </w:rPr>
        <w:t>21.69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份 </w:t>
      </w:r>
      <w:r>
        <w:rPr>
          <w:color w:val="000000"/>
          <w:spacing w:val="0"/>
          <w:w w:val="100"/>
          <w:position w:val="0"/>
        </w:rPr>
        <w:t>调整为</w:t>
      </w:r>
      <w:r>
        <w:rPr>
          <w:rFonts w:ascii="Times New Roman" w:eastAsia="Times New Roman" w:hAnsi="Times New Roman" w:cs="Times New Roman"/>
          <w:color w:val="000000"/>
          <w:spacing w:val="0"/>
          <w:w w:val="100"/>
          <w:position w:val="0"/>
        </w:rPr>
        <w:t>21.54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1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日，公司召开第四届董事会第十七次会议、第四届监事会第十五次会议，审议通过了《关于注销</w:t>
      </w:r>
      <w:r>
        <w:rPr>
          <w:rFonts w:ascii="Times New Roman" w:eastAsia="Times New Roman" w:hAnsi="Times New Roman" w:cs="Times New Roman"/>
          <w:color w:val="000000"/>
          <w:spacing w:val="0"/>
          <w:w w:val="100"/>
          <w:position w:val="0"/>
        </w:rPr>
        <w:t>2020</w:t>
      </w:r>
      <w:r>
        <w:rPr>
          <w:color w:val="000000"/>
          <w:spacing w:val="0"/>
          <w:w w:val="100"/>
          <w:position w:val="0"/>
        </w:rPr>
        <w:t>年股 票期权激励计划部分股票期权的议案》，鉴于公司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w:t>
      </w:r>
      <w:r>
        <w:rPr>
          <w:rFonts w:ascii="Times New Roman" w:eastAsia="Times New Roman" w:hAnsi="Times New Roman" w:cs="Times New Roman"/>
          <w:color w:val="000000"/>
          <w:spacing w:val="0"/>
          <w:w w:val="100"/>
          <w:position w:val="0"/>
        </w:rPr>
        <w:t>7</w:t>
      </w:r>
      <w:r>
        <w:rPr>
          <w:color w:val="000000"/>
          <w:spacing w:val="0"/>
          <w:w w:val="100"/>
          <w:position w:val="0"/>
        </w:rPr>
        <w:t>名原激励对象因离职已不具备激励对象资格，</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名激励对象</w:t>
      </w:r>
      <w:r>
        <w:rPr>
          <w:rFonts w:ascii="Times New Roman" w:eastAsia="Times New Roman" w:hAnsi="Times New Roman" w:cs="Times New Roman"/>
          <w:color w:val="000000"/>
          <w:spacing w:val="0"/>
          <w:w w:val="100"/>
          <w:position w:val="0"/>
        </w:rPr>
        <w:t>2020</w:t>
      </w:r>
      <w:r>
        <w:rPr>
          <w:color w:val="000000"/>
          <w:spacing w:val="0"/>
          <w:w w:val="100"/>
          <w:position w:val="0"/>
        </w:rPr>
        <w:t>年度个人绩效考核结果为不合格，根据公司《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年股票期权激励计划（草案修订稿）（更新后）》的相关 规定及</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年第三次临时股东大会的授权，公司董事会同意上述人员已获授但尚未行权的股票期权合计</w:t>
      </w:r>
      <w:r>
        <w:rPr>
          <w:rFonts w:ascii="Times New Roman" w:eastAsia="Times New Roman" w:hAnsi="Times New Roman" w:cs="Times New Roman"/>
          <w:color w:val="000000"/>
          <w:spacing w:val="0"/>
          <w:w w:val="100"/>
          <w:position w:val="0"/>
        </w:rPr>
        <w:t>94.726</w:t>
      </w:r>
      <w:r>
        <w:rPr>
          <w:color w:val="000000"/>
          <w:spacing w:val="0"/>
          <w:w w:val="100"/>
          <w:position w:val="0"/>
        </w:rPr>
        <w:t>万份予以注销。 注销完成后，本次激励计划授予的股票期权数量由</w:t>
      </w:r>
      <w:r>
        <w:rPr>
          <w:rFonts w:ascii="Times New Roman" w:eastAsia="Times New Roman" w:hAnsi="Times New Roman" w:cs="Times New Roman"/>
          <w:color w:val="000000"/>
          <w:spacing w:val="0"/>
          <w:w w:val="100"/>
          <w:position w:val="0"/>
        </w:rPr>
        <w:t xml:space="preserve">2,111.8 </w:t>
      </w:r>
      <w:r>
        <w:rPr>
          <w:rFonts w:ascii="Times New Roman" w:eastAsia="Times New Roman" w:hAnsi="Times New Roman" w:cs="Times New Roman"/>
          <w:color w:val="000000"/>
          <w:spacing w:val="0"/>
          <w:w w:val="100"/>
          <w:position w:val="0"/>
        </w:rPr>
        <w:t>0</w:t>
      </w:r>
      <w:r>
        <w:rPr>
          <w:color w:val="000000"/>
          <w:spacing w:val="0"/>
          <w:w w:val="100"/>
          <w:position w:val="0"/>
        </w:rPr>
        <w:t>万份调整为</w:t>
      </w:r>
      <w:r>
        <w:rPr>
          <w:rFonts w:ascii="Times New Roman" w:eastAsia="Times New Roman" w:hAnsi="Times New Roman" w:cs="Times New Roman"/>
          <w:color w:val="000000"/>
          <w:spacing w:val="0"/>
          <w:w w:val="100"/>
          <w:position w:val="0"/>
        </w:rPr>
        <w:t>2,017.074</w:t>
      </w:r>
      <w:r>
        <w:rPr>
          <w:color w:val="000000"/>
          <w:spacing w:val="0"/>
          <w:w w:val="100"/>
          <w:position w:val="0"/>
        </w:rPr>
        <w:t>万份，激励对象人数由</w:t>
      </w:r>
      <w:r>
        <w:rPr>
          <w:rFonts w:ascii="Times New Roman" w:eastAsia="Times New Roman" w:hAnsi="Times New Roman" w:cs="Times New Roman"/>
          <w:color w:val="000000"/>
          <w:spacing w:val="0"/>
          <w:w w:val="100"/>
          <w:position w:val="0"/>
        </w:rPr>
        <w:t>185</w:t>
      </w:r>
      <w:r>
        <w:rPr>
          <w:color w:val="000000"/>
          <w:spacing w:val="0"/>
          <w:w w:val="100"/>
          <w:position w:val="0"/>
        </w:rPr>
        <w:t>人调整为</w:t>
      </w:r>
      <w:r>
        <w:rPr>
          <w:rFonts w:ascii="Times New Roman" w:eastAsia="Times New Roman" w:hAnsi="Times New Roman" w:cs="Times New Roman"/>
          <w:color w:val="000000"/>
          <w:spacing w:val="0"/>
          <w:w w:val="100"/>
          <w:position w:val="0"/>
        </w:rPr>
        <w:t>178</w:t>
      </w:r>
      <w:r>
        <w:rPr>
          <w:color w:val="000000"/>
          <w:spacing w:val="0"/>
          <w:w w:val="100"/>
          <w:position w:val="0"/>
        </w:rPr>
        <w:t>人。</w:t>
      </w:r>
    </w:p>
    <w:p>
      <w:pPr>
        <w:pStyle w:val="Style1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日，公司召开第四届董事会第十七次会议、第四届监事会第十五次会议，审议通过了《关于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权激励计划第一个行权期行权条件成就的议案》，根据公司《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年股票期权激励计划（草案修订稿）（更新后）》的相关 规定，本激励计划第一个行权期的行权条件已经成就，同意符合行权条件的</w:t>
      </w:r>
      <w:r>
        <w:rPr>
          <w:rFonts w:ascii="Times New Roman" w:eastAsia="Times New Roman" w:hAnsi="Times New Roman" w:cs="Times New Roman"/>
          <w:color w:val="000000"/>
          <w:spacing w:val="0"/>
          <w:w w:val="100"/>
          <w:position w:val="0"/>
        </w:rPr>
        <w:t>17 7</w:t>
      </w:r>
      <w:r>
        <w:rPr>
          <w:color w:val="000000"/>
          <w:spacing w:val="0"/>
          <w:w w:val="100"/>
          <w:position w:val="0"/>
        </w:rPr>
        <w:t>名激励对象在第一个行权期可行权</w:t>
      </w:r>
      <w:r>
        <w:rPr>
          <w:rFonts w:ascii="Times New Roman" w:eastAsia="Times New Roman" w:hAnsi="Times New Roman" w:cs="Times New Roman"/>
          <w:color w:val="000000"/>
          <w:spacing w:val="0"/>
          <w:w w:val="100"/>
          <w:position w:val="0"/>
        </w:rPr>
        <w:t xml:space="preserve">805.5480 </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21.54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8"/>
        <w:keepNext w:val="0"/>
        <w:keepLines w:val="0"/>
        <w:widowControl w:val="0"/>
        <w:shd w:val="clear" w:color="auto" w:fill="auto"/>
        <w:bidi w:val="0"/>
        <w:spacing w:before="0" w:after="0" w:line="317" w:lineRule="exact"/>
        <w:ind w:left="0" w:right="0" w:firstLine="30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 在《证券时报》、《中国证券报》、《上海证券报》和《证券日报》及巨潮资讯网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上的相关公告。</w:t>
      </w:r>
    </w:p>
    <w:p>
      <w:pPr>
        <w:pStyle w:val="Style18"/>
        <w:keepNext w:val="0"/>
        <w:keepLines w:val="0"/>
        <w:widowControl w:val="0"/>
        <w:shd w:val="clear" w:color="auto" w:fill="auto"/>
        <w:bidi w:val="0"/>
        <w:spacing w:before="0" w:after="60" w:line="311" w:lineRule="exact"/>
        <w:ind w:left="0" w:right="0" w:firstLine="0"/>
        <w:jc w:val="both"/>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120" w:line="31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898"/>
        <w:gridCol w:w="682"/>
        <w:gridCol w:w="878"/>
        <w:gridCol w:w="850"/>
        <w:gridCol w:w="686"/>
        <w:gridCol w:w="806"/>
        <w:gridCol w:w="710"/>
        <w:gridCol w:w="586"/>
        <w:gridCol w:w="562"/>
        <w:gridCol w:w="528"/>
        <w:gridCol w:w="566"/>
        <w:gridCol w:w="576"/>
      </w:tblGrid>
      <w:tr>
        <w:trPr>
          <w:trHeight w:val="22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年初持有</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股票期权</w:t>
            </w:r>
          </w:p>
          <w:p>
            <w:pPr>
              <w:pStyle w:val="Style20"/>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0"/>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期末持有</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股票期权</w:t>
            </w:r>
          </w:p>
          <w:p>
            <w:pPr>
              <w:pStyle w:val="Style20"/>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末市价 （元</w:t>
            </w:r>
            <w:r>
              <w:rPr>
                <w:rFonts w:ascii="Times New Roman" w:eastAsia="Times New Roman" w:hAnsi="Times New Roman" w:cs="Times New Roman"/>
                <w:color w:val="000000"/>
                <w:spacing w:val="0"/>
                <w:w w:val="100"/>
                <w:position w:val="0"/>
              </w:rPr>
              <w:t>/</w:t>
            </w:r>
          </w:p>
          <w:p>
            <w:pPr>
              <w:pStyle w:val="Style20"/>
              <w:keepNext w:val="0"/>
              <w:keepLines w:val="0"/>
              <w:widowControl w:val="0"/>
              <w:shd w:val="clear" w:color="auto" w:fill="auto"/>
              <w:bidi w:val="0"/>
              <w:spacing w:before="0" w:after="0" w:line="307" w:lineRule="exact"/>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已解 锁股 份数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限制 性股 票的 授予 价格</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 持有 限制 性股 票数 量</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副董事</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长兼总</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1,621,900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648,760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1,276,700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510,680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副总经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1,131,800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452,720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财务总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20"/>
              <w:keepNext w:val="0"/>
              <w:keepLines w:val="0"/>
              <w:widowControl w:val="0"/>
              <w:shd w:val="clear" w:color="auto" w:fill="auto"/>
              <w:bidi w:val="0"/>
              <w:spacing w:before="0" w:after="0" w:line="180" w:lineRule="auto"/>
              <w:ind w:left="0" w:right="0" w:firstLine="0"/>
              <w:jc w:val="left"/>
            </w:pPr>
            <w:r>
              <w:rPr>
                <w:rFonts w:ascii="Times New Roman" w:eastAsia="Times New Roman" w:hAnsi="Times New Roman" w:cs="Times New Roman"/>
                <w:color w:val="000000"/>
                <w:spacing w:val="0"/>
                <w:w w:val="100"/>
                <w:position w:val="0"/>
                <w:u w:val="single"/>
              </w:rPr>
              <w:t>n~n.</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124,100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4,700,800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1,880,320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2,820,480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26"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9" w:lineRule="exact"/>
              <w:ind w:left="0" w:right="0" w:firstLine="0"/>
              <w:jc w:val="left"/>
            </w:pPr>
            <w:r>
              <w:rPr>
                <w:color w:val="000000"/>
                <w:spacing w:val="0"/>
                <w:w w:val="100"/>
                <w:position w:val="0"/>
              </w:rPr>
              <w:t>截止报告期末，许文杰、梁姬、胡永乐、方培豪、周冠宇、黄宇、罗剑涛等</w:t>
            </w:r>
            <w:r>
              <w:rPr>
                <w:rFonts w:ascii="Times New Roman" w:eastAsia="Times New Roman" w:hAnsi="Times New Roman" w:cs="Times New Roman"/>
                <w:color w:val="000000"/>
                <w:spacing w:val="0"/>
                <w:w w:val="100"/>
                <w:position w:val="0"/>
              </w:rPr>
              <w:t>7</w:t>
            </w:r>
            <w:r>
              <w:rPr>
                <w:color w:val="000000"/>
                <w:spacing w:val="0"/>
                <w:w w:val="100"/>
                <w:position w:val="0"/>
              </w:rPr>
              <w:t>位董事、高级管理人员，持 有公司《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年股票期权激励计划》授予的尚未达到行权条件的股票期权，具体情况如下所示： 许文杰持有已授予尚未达到可行权条件的股票期权数量</w:t>
            </w:r>
            <w:r>
              <w:rPr>
                <w:rFonts w:ascii="Times New Roman" w:eastAsia="Times New Roman" w:hAnsi="Times New Roman" w:cs="Times New Roman"/>
                <w:color w:val="000000"/>
                <w:spacing w:val="0"/>
                <w:w w:val="100"/>
                <w:position w:val="0"/>
              </w:rPr>
              <w:t>973,140</w:t>
            </w:r>
            <w:r>
              <w:rPr>
                <w:color w:val="000000"/>
                <w:spacing w:val="0"/>
                <w:w w:val="100"/>
                <w:position w:val="0"/>
              </w:rPr>
              <w:t>股</w:t>
            </w:r>
          </w:p>
          <w:p>
            <w:pPr>
              <w:pStyle w:val="Style20"/>
              <w:keepNext w:val="0"/>
              <w:keepLines w:val="0"/>
              <w:widowControl w:val="0"/>
              <w:shd w:val="clear" w:color="auto" w:fill="auto"/>
              <w:bidi w:val="0"/>
              <w:spacing w:before="0" w:after="0" w:line="329" w:lineRule="exact"/>
              <w:ind w:left="0" w:right="0" w:firstLine="0"/>
              <w:jc w:val="left"/>
            </w:pPr>
            <w:r>
              <w:rPr>
                <w:color w:val="000000"/>
                <w:spacing w:val="0"/>
                <w:w w:val="100"/>
                <w:position w:val="0"/>
              </w:rPr>
              <w:t>梁姬持有已授予尚未达到可行权条件的股票期权数量</w:t>
            </w:r>
            <w:r>
              <w:rPr>
                <w:rFonts w:ascii="Times New Roman" w:eastAsia="Times New Roman" w:hAnsi="Times New Roman" w:cs="Times New Roman"/>
                <w:color w:val="000000"/>
                <w:spacing w:val="0"/>
                <w:w w:val="100"/>
                <w:position w:val="0"/>
              </w:rPr>
              <w:t>766,020</w:t>
            </w:r>
            <w:r>
              <w:rPr>
                <w:color w:val="000000"/>
                <w:spacing w:val="0"/>
                <w:w w:val="100"/>
                <w:position w:val="0"/>
              </w:rPr>
              <w:t>股</w:t>
            </w:r>
          </w:p>
        </w:tc>
      </w:tr>
    </w:tbl>
    <w:tbl>
      <w:tblPr>
        <w:tblOverlap w:val="never"/>
        <w:jc w:val="center"/>
        <w:tblLayout w:type="fixed"/>
      </w:tblPr>
      <w:tblGrid>
        <w:gridCol w:w="1402"/>
        <w:gridCol w:w="8328"/>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178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52" w:lineRule="exact"/>
              <w:ind w:left="0" w:right="0" w:firstLine="0"/>
              <w:jc w:val="left"/>
            </w:pPr>
            <w:r>
              <w:rPr>
                <w:color w:val="000000"/>
                <w:spacing w:val="0"/>
                <w:w w:val="100"/>
                <w:position w:val="0"/>
              </w:rPr>
              <w:t>胡永乐持有已授予尚未达到可行权条件的股票期权数量</w:t>
            </w:r>
            <w:r>
              <w:rPr>
                <w:rFonts w:ascii="Times New Roman" w:eastAsia="Times New Roman" w:hAnsi="Times New Roman" w:cs="Times New Roman"/>
                <w:color w:val="000000"/>
                <w:spacing w:val="0"/>
                <w:w w:val="100"/>
                <w:position w:val="0"/>
              </w:rPr>
              <w:t>679,080</w:t>
            </w:r>
            <w:r>
              <w:rPr>
                <w:color w:val="000000"/>
                <w:spacing w:val="0"/>
                <w:w w:val="100"/>
                <w:position w:val="0"/>
              </w:rPr>
              <w:t>股 方培豪持有已授予尚未达到可行权条件的股票期权数量</w:t>
            </w:r>
            <w:r>
              <w:rPr>
                <w:rFonts w:ascii="Times New Roman" w:eastAsia="Times New Roman" w:hAnsi="Times New Roman" w:cs="Times New Roman"/>
                <w:color w:val="000000"/>
                <w:spacing w:val="0"/>
                <w:w w:val="100"/>
                <w:position w:val="0"/>
              </w:rPr>
              <w:t>120,000</w:t>
            </w:r>
            <w:r>
              <w:rPr>
                <w:color w:val="000000"/>
                <w:spacing w:val="0"/>
                <w:w w:val="100"/>
                <w:position w:val="0"/>
              </w:rPr>
              <w:t>股 周冠宇持有已授予尚未达到可行权条件的股票期权数量</w:t>
            </w:r>
            <w:r>
              <w:rPr>
                <w:rFonts w:ascii="Times New Roman" w:eastAsia="Times New Roman" w:hAnsi="Times New Roman" w:cs="Times New Roman"/>
                <w:color w:val="000000"/>
                <w:spacing w:val="0"/>
                <w:w w:val="100"/>
                <w:position w:val="0"/>
              </w:rPr>
              <w:t>30,000</w:t>
            </w:r>
            <w:r>
              <w:rPr>
                <w:color w:val="000000"/>
                <w:spacing w:val="0"/>
                <w:w w:val="100"/>
                <w:position w:val="0"/>
              </w:rPr>
              <w:t>股 黄宇持有已授予尚未达到可行权条件的股票期权数量</w:t>
            </w:r>
            <w:r>
              <w:rPr>
                <w:rFonts w:ascii="Times New Roman" w:eastAsia="Times New Roman" w:hAnsi="Times New Roman" w:cs="Times New Roman"/>
                <w:color w:val="000000"/>
                <w:spacing w:val="0"/>
                <w:w w:val="100"/>
                <w:position w:val="0"/>
              </w:rPr>
              <w:t>74,460</w:t>
            </w:r>
            <w:r>
              <w:rPr>
                <w:color w:val="000000"/>
                <w:spacing w:val="0"/>
                <w:w w:val="100"/>
                <w:position w:val="0"/>
              </w:rPr>
              <w:t>股 罗剑涛持有已授予尚未达到可行权条件的股票期权数量</w:t>
            </w:r>
            <w:r>
              <w:rPr>
                <w:rFonts w:ascii="Times New Roman" w:eastAsia="Times New Roman" w:hAnsi="Times New Roman" w:cs="Times New Roman"/>
                <w:color w:val="000000"/>
                <w:spacing w:val="0"/>
                <w:w w:val="100"/>
                <w:position w:val="0"/>
              </w:rPr>
              <w:t>177,780</w:t>
            </w:r>
            <w:r>
              <w:rPr>
                <w:color w:val="000000"/>
                <w:spacing w:val="0"/>
                <w:w w:val="100"/>
                <w:position w:val="0"/>
              </w:rPr>
              <w:t>股</w:t>
            </w:r>
          </w:p>
        </w:tc>
      </w:tr>
    </w:tbl>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年股票期权激励计划实施考核管理办法（修订稿）（更新后）》的规定，激励对象个人层面的考核根据公司绩效 考核相关制度组织实施。根据年度绩效考核结果，激励对象的绩效评价结果划分为优秀、良好、合格、不合格四个档次。若 各年度公司层面业绩考核达标，激励对象个人当年实际可行权额度</w:t>
      </w:r>
      <w:r>
        <w:rPr>
          <w:rFonts w:ascii="Times New Roman" w:eastAsia="Times New Roman" w:hAnsi="Times New Roman" w:cs="Times New Roman"/>
          <w:color w:val="000000"/>
          <w:spacing w:val="0"/>
          <w:w w:val="100"/>
          <w:position w:val="0"/>
        </w:rPr>
        <w:t>=</w:t>
      </w:r>
      <w:r>
        <w:rPr>
          <w:color w:val="000000"/>
          <w:spacing w:val="0"/>
          <w:w w:val="100"/>
          <w:position w:val="0"/>
        </w:rPr>
        <w:t>个人当年计划行权额度</w:t>
      </w:r>
      <w:r>
        <w:rPr>
          <w:rFonts w:ascii="Times New Roman" w:eastAsia="Times New Roman" w:hAnsi="Times New Roman" w:cs="Times New Roman"/>
          <w:color w:val="000000"/>
          <w:spacing w:val="0"/>
          <w:w w:val="100"/>
          <w:position w:val="0"/>
        </w:rPr>
        <w:t>x</w:t>
      </w:r>
      <w:r>
        <w:rPr>
          <w:color w:val="000000"/>
          <w:spacing w:val="0"/>
          <w:w w:val="100"/>
          <w:position w:val="0"/>
        </w:rPr>
        <w:t>行权比例，激励对象考核当年 不能行权的股票期权，由公司注销。如激励对象个人当年考核结果为优秀、良好，行权比例为</w:t>
      </w:r>
      <w:r>
        <w:rPr>
          <w:rFonts w:ascii="Times New Roman" w:eastAsia="Times New Roman" w:hAnsi="Times New Roman" w:cs="Times New Roman"/>
          <w:color w:val="000000"/>
          <w:spacing w:val="0"/>
          <w:w w:val="100"/>
          <w:position w:val="0"/>
        </w:rPr>
        <w:t>100%</w:t>
      </w:r>
      <w:r>
        <w:rPr>
          <w:color w:val="000000"/>
          <w:spacing w:val="0"/>
          <w:w w:val="100"/>
          <w:position w:val="0"/>
        </w:rPr>
        <w:t>；如激励对象个人当年 考核结果为合格，行权比例为</w:t>
      </w:r>
      <w:r>
        <w:rPr>
          <w:rFonts w:ascii="Times New Roman" w:eastAsia="Times New Roman" w:hAnsi="Times New Roman" w:cs="Times New Roman"/>
          <w:color w:val="000000"/>
          <w:spacing w:val="0"/>
          <w:w w:val="100"/>
          <w:position w:val="0"/>
        </w:rPr>
        <w:t>80%</w:t>
      </w:r>
      <w:r>
        <w:rPr>
          <w:color w:val="000000"/>
          <w:spacing w:val="0"/>
          <w:w w:val="100"/>
          <w:position w:val="0"/>
        </w:rPr>
        <w:t>，其余部分由公司注销；如激励对象个人当年考核结果为不合格，则当年行权比例为</w:t>
      </w:r>
      <w:r>
        <w:rPr>
          <w:rFonts w:ascii="Times New Roman" w:eastAsia="Times New Roman" w:hAnsi="Times New Roman" w:cs="Times New Roman"/>
          <w:color w:val="000000"/>
          <w:spacing w:val="0"/>
          <w:w w:val="100"/>
          <w:position w:val="0"/>
        </w:rPr>
        <w:t>0%</w:t>
      </w:r>
      <w:r>
        <w:rPr>
          <w:color w:val="000000"/>
          <w:spacing w:val="0"/>
          <w:w w:val="100"/>
          <w:position w:val="0"/>
        </w:rPr>
        <w:t>， 当年计划行权股份由公司注销。</w:t>
      </w:r>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报告期内，许文杰、梁姬、胡永乐、方培豪、周冠宇、黄宇、罗剑涛等</w:t>
      </w:r>
      <w:r>
        <w:rPr>
          <w:rFonts w:ascii="Times New Roman" w:eastAsia="Times New Roman" w:hAnsi="Times New Roman" w:cs="Times New Roman"/>
          <w:color w:val="000000"/>
          <w:spacing w:val="0"/>
          <w:w w:val="100"/>
          <w:position w:val="0"/>
        </w:rPr>
        <w:t>7</w:t>
      </w:r>
      <w:r>
        <w:rPr>
          <w:color w:val="000000"/>
          <w:spacing w:val="0"/>
          <w:w w:val="100"/>
          <w:position w:val="0"/>
        </w:rPr>
        <w:t>位董事、高级管理人员，年度绩效考核结果均为优 秀，行权比例均为</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w:t>
        <w:tab/>
        <w:t>员工持股计划的实施情况</w:t>
      </w:r>
      <w:bookmarkEnd w:id="363"/>
      <w:bookmarkEnd w:id="364"/>
      <w:bookmarkEnd w:id="366"/>
    </w:p>
    <w:p>
      <w:pPr>
        <w:pStyle w:val="Style18"/>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w:t>
        <w:tab/>
        <w:t>其他员工激励措施</w:t>
      </w:r>
      <w:bookmarkEnd w:id="367"/>
      <w:bookmarkEnd w:id="368"/>
      <w:bookmarkEnd w:id="370"/>
    </w:p>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本公司依据《企业会计准则第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股份支付》的相关规定，选择</w:t>
      </w:r>
      <w:r>
        <w:rPr>
          <w:rFonts w:ascii="Times New Roman" w:eastAsia="Times New Roman" w:hAnsi="Times New Roman" w:cs="Times New Roman"/>
          <w:color w:val="000000"/>
          <w:spacing w:val="0"/>
          <w:w w:val="100"/>
          <w:position w:val="0"/>
        </w:rPr>
        <w:t>Black-Scholes</w:t>
      </w:r>
      <w:r>
        <w:rPr>
          <w:color w:val="000000"/>
          <w:spacing w:val="0"/>
          <w:w w:val="100"/>
          <w:position w:val="0"/>
        </w:rPr>
        <w:t>模型来计算期权的公允价值，在报告期 内确认的费用总额为</w:t>
      </w:r>
      <w:r>
        <w:rPr>
          <w:rFonts w:ascii="Times New Roman" w:eastAsia="Times New Roman" w:hAnsi="Times New Roman" w:cs="Times New Roman"/>
          <w:color w:val="000000"/>
          <w:spacing w:val="0"/>
          <w:w w:val="100"/>
          <w:position w:val="0"/>
        </w:rPr>
        <w:t>7619.03</w:t>
      </w:r>
      <w:r>
        <w:rPr>
          <w:color w:val="000000"/>
          <w:spacing w:val="0"/>
          <w:w w:val="100"/>
          <w:position w:val="0"/>
        </w:rPr>
        <w:t>万元，本激励计划的成本将依据授予人员成本归属，分别在管理费用、销售费用、研发费用和 营业成本中列支，其中核心研发人员费用</w:t>
      </w:r>
      <w:r>
        <w:rPr>
          <w:rFonts w:ascii="Times New Roman" w:eastAsia="Times New Roman" w:hAnsi="Times New Roman" w:cs="Times New Roman"/>
          <w:color w:val="000000"/>
          <w:spacing w:val="0"/>
          <w:w w:val="100"/>
          <w:position w:val="0"/>
        </w:rPr>
        <w:t>3433.69</w:t>
      </w:r>
      <w:r>
        <w:rPr>
          <w:color w:val="000000"/>
          <w:spacing w:val="0"/>
          <w:w w:val="100"/>
          <w:position w:val="0"/>
        </w:rPr>
        <w:t>万元约占当期股权激励费用</w:t>
      </w:r>
      <w:r>
        <w:rPr>
          <w:rFonts w:ascii="Times New Roman" w:eastAsia="Times New Roman" w:hAnsi="Times New Roman" w:cs="Times New Roman"/>
          <w:color w:val="000000"/>
          <w:spacing w:val="0"/>
          <w:w w:val="100"/>
          <w:position w:val="0"/>
        </w:rPr>
        <w:t>45.07%</w:t>
      </w:r>
      <w:r>
        <w:rPr>
          <w:color w:val="000000"/>
          <w:spacing w:val="0"/>
          <w:w w:val="100"/>
          <w:position w:val="0"/>
        </w:rPr>
        <w:t>；</w:t>
      </w:r>
    </w:p>
    <w:p>
      <w:pPr>
        <w:pStyle w:val="Style18"/>
        <w:keepNext w:val="0"/>
        <w:keepLines w:val="0"/>
        <w:widowControl w:val="0"/>
        <w:shd w:val="clear" w:color="auto" w:fill="auto"/>
        <w:bidi w:val="0"/>
        <w:spacing w:before="0" w:after="660" w:line="312" w:lineRule="exact"/>
        <w:ind w:left="0" w:right="0"/>
        <w:jc w:val="both"/>
      </w:pPr>
      <w:r>
        <w:rPr>
          <w:color w:val="000000"/>
          <w:spacing w:val="0"/>
          <w:w w:val="100"/>
          <w:position w:val="0"/>
        </w:rPr>
        <w:t>以目前情况估计，在不考虑本激励计划对公司业绩的刺激作用情况下，本激励计划费用的摊销对有效期内各年净利润有 所影响，但影响程度不大。考虑本计划对公司发展产生的正向作用，由此激发管理团队的积极性，提高经营效率，降低代理 人成本，本激励计划带来的业绩提升将远高于因其带来的费用增加。</w:t>
      </w:r>
    </w:p>
    <w:p>
      <w:pPr>
        <w:pStyle w:val="Style23"/>
        <w:keepNext/>
        <w:keepLines/>
        <w:widowControl w:val="0"/>
        <w:shd w:val="clear" w:color="auto" w:fill="auto"/>
        <w:bidi w:val="0"/>
        <w:spacing w:before="0" w:after="340" w:line="240" w:lineRule="auto"/>
        <w:ind w:left="0" w:right="0" w:firstLine="0"/>
        <w:jc w:val="left"/>
      </w:pPr>
      <w:bookmarkStart w:id="371" w:name="bookmark371"/>
      <w:bookmarkStart w:id="372" w:name="bookmark372"/>
      <w:bookmarkStart w:id="373" w:name="bookmark373"/>
      <w:r>
        <w:rPr>
          <w:color w:val="000000"/>
          <w:spacing w:val="0"/>
          <w:w w:val="100"/>
          <w:position w:val="0"/>
          <w:sz w:val="24"/>
          <w:szCs w:val="24"/>
        </w:rPr>
        <w:t>十二、报告期内的内部控制制度建设及实施情况</w:t>
      </w:r>
      <w:bookmarkEnd w:id="371"/>
      <w:bookmarkEnd w:id="372"/>
      <w:bookmarkEnd w:id="373"/>
    </w:p>
    <w:p>
      <w:pPr>
        <w:pStyle w:val="Style29"/>
        <w:keepNext/>
        <w:keepLines/>
        <w:widowControl w:val="0"/>
        <w:shd w:val="clear" w:color="auto" w:fill="auto"/>
        <w:tabs>
          <w:tab w:pos="368" w:val="left"/>
        </w:tabs>
        <w:bidi w:val="0"/>
        <w:spacing w:before="0" w:after="260" w:line="240" w:lineRule="auto"/>
        <w:ind w:left="0" w:right="0" w:firstLine="0"/>
        <w:jc w:val="left"/>
      </w:pPr>
      <w:bookmarkStart w:id="374" w:name="bookmark374"/>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bookmarkEnd w:id="376"/>
      <w:r>
        <w:rPr>
          <w:color w:val="000000"/>
          <w:spacing w:val="0"/>
          <w:w w:val="100"/>
          <w:position w:val="0"/>
        </w:rPr>
        <w:t>、</w:t>
        <w:tab/>
        <w:t>内部控制建设及实施情况</w:t>
      </w:r>
      <w:bookmarkEnd w:id="374"/>
      <w:bookmarkEnd w:id="375"/>
      <w:bookmarkEnd w:id="377"/>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公司已按照《公司法》、《证券法》、《上市公司治理准则》等法律法规和规范性文件的要求，根据公司实际情况，建立健 全了较为完善的内部控制制度管理体系。公司已制定了包括公司治理、采购、销售、人力资源、投资等各个方面在内的一系 列的内部管理制度，并定期对各项制度进行检查和评估，根据执行反馈情况进行合理修改。</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w:t>
        <w:tab/>
        <w:t>报告期内发现的内部控制重大缺陷的具体情况</w:t>
      </w:r>
      <w:bookmarkEnd w:id="378"/>
      <w:bookmarkEnd w:id="379"/>
      <w:bookmarkEnd w:id="381"/>
    </w:p>
    <w:p>
      <w:pPr>
        <w:pStyle w:val="Style18"/>
        <w:keepNext w:val="0"/>
        <w:keepLines w:val="0"/>
        <w:widowControl w:val="0"/>
        <w:shd w:val="clear" w:color="auto" w:fill="auto"/>
        <w:bidi w:val="0"/>
        <w:spacing w:before="0" w:after="260" w:line="314"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3"/>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十三、公司报告期内对子公司的管理控制情况</w:t>
      </w:r>
      <w:bookmarkEnd w:id="382"/>
      <w:bookmarkEnd w:id="383"/>
      <w:bookmarkEnd w:id="384"/>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十四、内部控制自我评价报告或内部控制审计报告</w:t>
      </w:r>
      <w:bookmarkEnd w:id="385"/>
      <w:bookmarkEnd w:id="386"/>
      <w:bookmarkEnd w:id="387"/>
    </w:p>
    <w:p>
      <w:pPr>
        <w:pStyle w:val="Style29"/>
        <w:keepNext/>
        <w:keepLines/>
        <w:widowControl w:val="0"/>
        <w:shd w:val="clear" w:color="auto" w:fill="auto"/>
        <w:bidi w:val="0"/>
        <w:spacing w:before="0" w:after="32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、内控自我评价报告</w:t>
      </w:r>
      <w:bookmarkEnd w:id="388"/>
      <w:bookmarkEnd w:id="389"/>
      <w:bookmarkEnd w:id="39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日刊登在巨潮资讯网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5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财务报告重大缺陷的迹象包括：不采取任 何行动导致潜在错报或造成经济损失、经 营目标无法实现的可能性。财务报告重要 缺陷的迹象包括：不采取任何行动导致潜 在错报或造成经济损失、经营目标无法实 现的可能性不大。一般缺陷是指除上述重 大缺陷、重要缺陷之外的其他控制缺陷。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非财务报告重大缺陷的迹象包括：不采 取任何行动导致潜在错报或造成经济 损失、经营目标无法实现的可能性。财 务报告重要缺陷的迹象包括：不采取任 何行动导致潜在错报或造成经济损失、 经营目标无法实现的可能性不大。一般 缺陷是指除上述重大缺陷、重要缺陷之 外的其他控制缺陷。</w:t>
            </w:r>
          </w:p>
        </w:tc>
      </w:tr>
      <w:tr>
        <w:trPr>
          <w:trHeight w:val="321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指标。①如果该缺陷单独或连同其他缺陷 可能导致的财务报告错报金额小于营业收 入的</w:t>
            </w:r>
            <w:r>
              <w:rPr>
                <w:rFonts w:ascii="Times New Roman" w:eastAsia="Times New Roman" w:hAnsi="Times New Roman" w:cs="Times New Roman"/>
                <w:color w:val="000000"/>
                <w:spacing w:val="0"/>
                <w:w w:val="100"/>
                <w:position w:val="0"/>
              </w:rPr>
              <w:t>0.5%</w:t>
            </w:r>
            <w:r>
              <w:rPr>
                <w:color w:val="000000"/>
                <w:spacing w:val="0"/>
                <w:w w:val="100"/>
                <w:position w:val="0"/>
              </w:rPr>
              <w:t>，小于总资产的</w:t>
            </w:r>
            <w:r>
              <w:rPr>
                <w:rFonts w:ascii="Times New Roman" w:eastAsia="Times New Roman" w:hAnsi="Times New Roman" w:cs="Times New Roman"/>
                <w:color w:val="000000"/>
                <w:spacing w:val="0"/>
                <w:w w:val="100"/>
                <w:position w:val="0"/>
              </w:rPr>
              <w:t>0.25%</w:t>
            </w:r>
            <w:r>
              <w:rPr>
                <w:color w:val="000000"/>
                <w:spacing w:val="0"/>
                <w:w w:val="100"/>
                <w:position w:val="0"/>
              </w:rPr>
              <w:t>，则认定 为一般缺陷;②如果超过营业收入的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rPr>
              <w:t>1.5%</w:t>
            </w:r>
            <w:r>
              <w:rPr>
                <w:color w:val="000000"/>
                <w:spacing w:val="0"/>
                <w:w w:val="100"/>
                <w:position w:val="0"/>
              </w:rPr>
              <w:t>，超过总资产的</w:t>
            </w:r>
            <w:r>
              <w:rPr>
                <w:rFonts w:ascii="Times New Roman" w:eastAsia="Times New Roman" w:hAnsi="Times New Roman" w:cs="Times New Roman"/>
                <w:color w:val="000000"/>
                <w:spacing w:val="0"/>
                <w:w w:val="100"/>
                <w:position w:val="0"/>
              </w:rPr>
              <w:t>0.25%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，则认定为重要缺陷；③如果超过营业 收入的</w:t>
            </w:r>
            <w:r>
              <w:rPr>
                <w:rFonts w:ascii="Times New Roman" w:eastAsia="Times New Roman" w:hAnsi="Times New Roman" w:cs="Times New Roman"/>
                <w:color w:val="000000"/>
                <w:spacing w:val="0"/>
                <w:w w:val="100"/>
                <w:position w:val="0"/>
              </w:rPr>
              <w:t>1.5%</w:t>
            </w:r>
            <w:r>
              <w:rPr>
                <w:color w:val="000000"/>
                <w:spacing w:val="0"/>
                <w:w w:val="100"/>
                <w:position w:val="0"/>
              </w:rPr>
              <w:t>，超过总资产的</w:t>
            </w:r>
            <w:r>
              <w:rPr>
                <w:rFonts w:ascii="Times New Roman" w:eastAsia="Times New Roman" w:hAnsi="Times New Roman" w:cs="Times New Roman"/>
                <w:color w:val="000000"/>
                <w:spacing w:val="0"/>
                <w:w w:val="100"/>
                <w:position w:val="0"/>
              </w:rPr>
              <w:t>1%</w:t>
            </w:r>
            <w:r>
              <w:rPr>
                <w:color w:val="000000"/>
                <w:spacing w:val="0"/>
                <w:w w:val="100"/>
                <w:position w:val="0"/>
              </w:rPr>
              <w:t>，则认定 为重大缺陷。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量指标。①如果该缺陷单独或连同其他 缺陷可能导致的财务报告错报金额小 于营业收入的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，小于总资产的 </w:t>
            </w:r>
            <w:r>
              <w:rPr>
                <w:rFonts w:ascii="Times New Roman" w:eastAsia="Times New Roman" w:hAnsi="Times New Roman" w:cs="Times New Roman"/>
                <w:color w:val="000000"/>
                <w:spacing w:val="0"/>
                <w:w w:val="100"/>
                <w:position w:val="0"/>
              </w:rPr>
              <w:t>0.25%</w:t>
            </w:r>
            <w:r>
              <w:rPr>
                <w:color w:val="000000"/>
                <w:spacing w:val="0"/>
                <w:w w:val="100"/>
                <w:position w:val="0"/>
              </w:rPr>
              <w:t>，则认定为一般缺陷；②如果超 过营业收入的</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1.5%</w:t>
            </w:r>
            <w:r>
              <w:rPr>
                <w:color w:val="000000"/>
                <w:spacing w:val="0"/>
                <w:w w:val="100"/>
                <w:position w:val="0"/>
              </w:rPr>
              <w:t>，超过 总资产的</w:t>
            </w:r>
            <w:r>
              <w:rPr>
                <w:rFonts w:ascii="Times New Roman" w:eastAsia="Times New Roman" w:hAnsi="Times New Roman" w:cs="Times New Roman"/>
                <w:color w:val="000000"/>
                <w:spacing w:val="0"/>
                <w:w w:val="100"/>
                <w:position w:val="0"/>
              </w:rPr>
              <w:t>0.25%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 xml:space="preserve">，则认定为 重要缺陷；③如果超过营业收入的 </w:t>
            </w:r>
            <w:r>
              <w:rPr>
                <w:rFonts w:ascii="Times New Roman" w:eastAsia="Times New Roman" w:hAnsi="Times New Roman" w:cs="Times New Roman"/>
                <w:color w:val="000000"/>
                <w:spacing w:val="0"/>
                <w:w w:val="100"/>
                <w:position w:val="0"/>
              </w:rPr>
              <w:t>1.5%</w:t>
            </w:r>
            <w:r>
              <w:rPr>
                <w:color w:val="000000"/>
                <w:spacing w:val="0"/>
                <w:w w:val="100"/>
                <w:position w:val="0"/>
              </w:rPr>
              <w:t>，超过总资产的</w:t>
            </w:r>
            <w:r>
              <w:rPr>
                <w:rFonts w:ascii="Times New Roman" w:eastAsia="Times New Roman" w:hAnsi="Times New Roman" w:cs="Times New Roman"/>
                <w:color w:val="000000"/>
                <w:spacing w:val="0"/>
                <w:w w:val="100"/>
                <w:position w:val="0"/>
              </w:rPr>
              <w:t>1%</w:t>
            </w:r>
            <w:r>
              <w:rPr>
                <w:color w:val="000000"/>
                <w:spacing w:val="0"/>
                <w:w w:val="100"/>
                <w:position w:val="0"/>
              </w:rPr>
              <w:t>，则认定为重 大缺陷。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2</w:t>
      </w:r>
      <w:bookmarkEnd w:id="394"/>
      <w:r>
        <w:rPr>
          <w:color w:val="000000"/>
          <w:spacing w:val="0"/>
          <w:w w:val="100"/>
          <w:position w:val="0"/>
        </w:rPr>
        <w:t>、内部控制审计报告</w:t>
      </w:r>
      <w:bookmarkEnd w:id="392"/>
      <w:bookmarkEnd w:id="393"/>
      <w:bookmarkEnd w:id="395"/>
    </w:p>
    <w:p>
      <w:pPr>
        <w:pStyle w:val="Style18"/>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26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十五、上市公司治理专项行动自查问题整改情况</w:t>
      </w:r>
      <w:bookmarkEnd w:id="396"/>
      <w:bookmarkEnd w:id="397"/>
      <w:bookmarkEnd w:id="398"/>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根据监管部门要求，公司开展了治理专项自查活动，对公司治理进行了全面的回顾，对照监管规则和《公司章程》等规 范文件，多个方面进行了逐项自查。经内部自查，存在公司关于征集投票的制度不符合法律法规规定的情形。</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公司已完成上述情况整改：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日，公司召开第四届董事会第十一次会议审议通过了《关于修改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 议案》、《关于修改</w:t>
      </w:r>
      <w:r>
        <w:rPr>
          <w:color w:val="000000"/>
          <w:spacing w:val="0"/>
          <w:w w:val="100"/>
          <w:position w:val="0"/>
        </w:rPr>
        <w:t>〈</w:t>
      </w:r>
      <w:r>
        <w:rPr>
          <w:color w:val="000000"/>
          <w:spacing w:val="0"/>
          <w:w w:val="100"/>
          <w:position w:val="0"/>
        </w:rPr>
        <w:t>股东大会议事规则</w:t>
      </w:r>
      <w:r>
        <w:rPr>
          <w:rFonts w:ascii="Times New Roman" w:eastAsia="Times New Roman" w:hAnsi="Times New Roman" w:cs="Times New Roman"/>
          <w:color w:val="000000"/>
          <w:spacing w:val="0"/>
          <w:w w:val="100"/>
          <w:position w:val="0"/>
        </w:rPr>
        <w:t>＞</w:t>
      </w:r>
      <w:r>
        <w:rPr>
          <w:color w:val="000000"/>
          <w:spacing w:val="0"/>
          <w:w w:val="100"/>
          <w:position w:val="0"/>
        </w:rPr>
        <w:t>的议案》等议案，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日，公司召开了</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 《关于修改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的议案》、《关于修改</w:t>
      </w:r>
      <w:r>
        <w:rPr>
          <w:color w:val="000000"/>
          <w:spacing w:val="0"/>
          <w:w w:val="100"/>
          <w:position w:val="0"/>
        </w:rPr>
        <w:t>〈</w:t>
      </w:r>
      <w:r>
        <w:rPr>
          <w:color w:val="000000"/>
          <w:spacing w:val="0"/>
          <w:w w:val="100"/>
          <w:position w:val="0"/>
        </w:rPr>
        <w:t xml:space="preserve">股东大会议事规则 </w:t>
      </w:r>
      <w:r>
        <w:rPr>
          <w:rFonts w:ascii="Times New Roman" w:eastAsia="Times New Roman" w:hAnsi="Times New Roman" w:cs="Times New Roman"/>
          <w:color w:val="000000"/>
          <w:spacing w:val="0"/>
          <w:w w:val="100"/>
          <w:position w:val="0"/>
        </w:rPr>
        <w:t>＞</w:t>
      </w:r>
      <w:r>
        <w:rPr>
          <w:color w:val="000000"/>
          <w:spacing w:val="0"/>
          <w:w w:val="100"/>
          <w:position w:val="0"/>
        </w:rPr>
        <w:t>的议案》等议案，对公司章程进行修订，完善了公司关 于征集投票制度的规定，以符合相关法律法规要求。</w:t>
      </w:r>
    </w:p>
    <w:p>
      <w:pPr>
        <w:pStyle w:val="Style18"/>
        <w:keepNext w:val="0"/>
        <w:keepLines w:val="0"/>
        <w:widowControl w:val="0"/>
        <w:shd w:val="clear" w:color="auto" w:fill="auto"/>
        <w:bidi w:val="0"/>
        <w:spacing w:before="0" w:after="280" w:line="316" w:lineRule="exact"/>
        <w:ind w:left="0" w:right="0"/>
        <w:jc w:val="both"/>
        <w:sectPr>
          <w:footnotePr>
            <w:pos w:val="pageBottom"/>
            <w:numFmt w:val="decimal"/>
            <w:numRestart w:val="continuous"/>
          </w:footnotePr>
          <w:pgSz w:w="11900" w:h="16840"/>
          <w:pgMar w:top="1145" w:right="1018" w:bottom="1415" w:left="1023" w:header="0" w:footer="3" w:gutter="0"/>
          <w:cols w:space="720"/>
          <w:noEndnote/>
          <w:rtlGutter w:val="0"/>
          <w:docGrid w:linePitch="360"/>
        </w:sectPr>
      </w:pPr>
      <w:r>
        <w:rPr>
          <w:color w:val="000000"/>
          <w:spacing w:val="0"/>
          <w:w w:val="100"/>
          <w:position w:val="0"/>
        </w:rPr>
        <w:t>公司已按照《公司法》、《证券法》、《上市公司治理准则》等要求，建立了公司治理的各项基础制度框架并能够有效 执行，公司治理较规范，股东大会、董事会、监事会运作规范有效，董事、监事和高级管理人员勤勉尽职，按照法律法规和 公司章程的规定履行职权。</w:t>
      </w:r>
    </w:p>
    <w:p>
      <w:pPr>
        <w:pStyle w:val="Style10"/>
        <w:keepNext/>
        <w:keepLines/>
        <w:widowControl w:val="0"/>
        <w:shd w:val="clear" w:color="auto" w:fill="auto"/>
        <w:bidi w:val="0"/>
        <w:spacing w:before="580" w:line="240" w:lineRule="auto"/>
        <w:ind w:left="0" w:right="0" w:firstLine="0"/>
        <w:jc w:val="center"/>
      </w:pPr>
      <w:bookmarkStart w:id="399" w:name="bookmark399"/>
      <w:bookmarkStart w:id="400" w:name="bookmark400"/>
      <w:bookmarkStart w:id="401" w:name="bookmark401"/>
      <w:r>
        <w:rPr>
          <w:color w:val="000000"/>
          <w:spacing w:val="0"/>
          <w:w w:val="100"/>
          <w:position w:val="0"/>
        </w:rPr>
        <w:t>第五节环境和社会责任</w:t>
      </w:r>
      <w:bookmarkEnd w:id="399"/>
      <w:bookmarkEnd w:id="400"/>
      <w:bookmarkEnd w:id="401"/>
    </w:p>
    <w:p>
      <w:pPr>
        <w:pStyle w:val="Style23"/>
        <w:keepNext/>
        <w:keepLines/>
        <w:widowControl w:val="0"/>
        <w:shd w:val="clear" w:color="auto" w:fill="auto"/>
        <w:bidi w:val="0"/>
        <w:spacing w:before="0" w:after="380" w:line="240" w:lineRule="auto"/>
        <w:ind w:left="0" w:right="0" w:firstLine="240"/>
        <w:jc w:val="left"/>
      </w:pPr>
      <w:bookmarkStart w:id="402" w:name="bookmark402"/>
      <w:bookmarkStart w:id="403" w:name="bookmark403"/>
      <w:bookmarkStart w:id="404" w:name="bookmark404"/>
      <w:bookmarkStart w:id="405" w:name="bookmark405"/>
      <w:r>
        <w:rPr>
          <w:color w:val="000000"/>
          <w:spacing w:val="0"/>
          <w:w w:val="100"/>
          <w:position w:val="0"/>
          <w:sz w:val="24"/>
          <w:szCs w:val="24"/>
        </w:rPr>
        <w:t>、重大环保问题</w:t>
      </w:r>
      <w:bookmarkEnd w:id="403"/>
      <w:bookmarkEnd w:id="404"/>
      <w:bookmarkEnd w:id="405"/>
      <w:bookmarkEnd w:id="40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公司及其控股子公司不属于重点排污单位。</w:t>
      </w:r>
    </w:p>
    <w:p>
      <w:pPr>
        <w:pStyle w:val="Style1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公司及其子公司在日常生产经营中认真执行《中华人民共和国环境保护法》、《中华人民共和国水污染防治法》、《中 华人民共和国大气污染防治法》、《中华人民共和国环境噪声污染防治法》、《中华人民共和国固体废物污染防治法》等环 保方面的法律法规，报告期内未出现因违法违规而受到处罚的情况。</w:t>
      </w:r>
    </w:p>
    <w:p>
      <w:pPr>
        <w:pStyle w:val="Style23"/>
        <w:keepNext/>
        <w:keepLines/>
        <w:widowControl w:val="0"/>
        <w:shd w:val="clear" w:color="auto" w:fill="auto"/>
        <w:bidi w:val="0"/>
        <w:spacing w:before="0" w:after="24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sz w:val="24"/>
          <w:szCs w:val="24"/>
        </w:rPr>
        <w:t>二</w:t>
      </w:r>
      <w:bookmarkEnd w:id="408"/>
      <w:r>
        <w:rPr>
          <w:color w:val="000000"/>
          <w:spacing w:val="0"/>
          <w:w w:val="100"/>
          <w:position w:val="0"/>
          <w:sz w:val="24"/>
          <w:szCs w:val="24"/>
        </w:rPr>
        <w:t>、社会责任情况</w:t>
      </w:r>
      <w:bookmarkEnd w:id="406"/>
      <w:bookmarkEnd w:id="407"/>
      <w:bookmarkEnd w:id="409"/>
    </w:p>
    <w:p>
      <w:pPr>
        <w:pStyle w:val="Style1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润建股份秉承高度的责任感，注重在经济、社会、环境三大层面的绩效与均衡，持续保持与利益相关方的友好交流， 在公司合规治理、新能源发展、节能减排、股东及职工权益保护、社会公益等各方面切实履行社会责任。</w:t>
      </w:r>
    </w:p>
    <w:p>
      <w:pPr>
        <w:pStyle w:val="Style18"/>
        <w:keepNext w:val="0"/>
        <w:keepLines w:val="0"/>
        <w:widowControl w:val="0"/>
        <w:shd w:val="clear" w:color="auto" w:fill="auto"/>
        <w:tabs>
          <w:tab w:pos="771" w:val="left"/>
        </w:tabs>
        <w:bidi w:val="0"/>
        <w:spacing w:before="0" w:after="0" w:line="316" w:lineRule="exact"/>
        <w:ind w:left="0" w:right="0" w:firstLine="440"/>
        <w:jc w:val="left"/>
      </w:pPr>
      <w:bookmarkStart w:id="410" w:name="bookmark410"/>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坚持合规治理，维护股东及债权人权益。公司在完善治理结构的同时形成了完整的内控制度，切实保障全体股东和 债权人的合法权益。严格遵守中国证监会和深交所相关规定，建立多样化的投资者沟通渠道，确保信息披露的真实、准确、 完整、及时、公平，充分保障全体股东和债权人的知情权，构建透明、友好、活跃的投资者关系。</w:t>
      </w:r>
    </w:p>
    <w:p>
      <w:pPr>
        <w:pStyle w:val="Style18"/>
        <w:keepNext w:val="0"/>
        <w:keepLines w:val="0"/>
        <w:widowControl w:val="0"/>
        <w:shd w:val="clear" w:color="auto" w:fill="auto"/>
        <w:tabs>
          <w:tab w:pos="771" w:val="left"/>
        </w:tabs>
        <w:bidi w:val="0"/>
        <w:spacing w:before="0" w:after="0" w:line="316" w:lineRule="exact"/>
        <w:ind w:left="0" w:right="0" w:firstLine="440"/>
        <w:jc w:val="left"/>
      </w:pPr>
      <w:bookmarkStart w:id="411" w:name="bookmark411"/>
      <w:r>
        <w:rPr>
          <w:rFonts w:ascii="Times New Roman" w:eastAsia="Times New Roman" w:hAnsi="Times New Roman" w:cs="Times New Roman"/>
          <w:color w:val="000000"/>
          <w:spacing w:val="0"/>
          <w:w w:val="100"/>
          <w:position w:val="0"/>
        </w:rPr>
        <w:t>2</w:t>
      </w:r>
      <w:bookmarkEnd w:id="411"/>
      <w:r>
        <w:rPr>
          <w:color w:val="000000"/>
          <w:spacing w:val="0"/>
          <w:w w:val="100"/>
          <w:position w:val="0"/>
        </w:rPr>
        <w:t>、</w:t>
        <w:tab/>
        <w:t>绿色发展，朝</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目标迈进。公司积极践行</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国家发展战略，以最真诚的意愿、最坚定的决心和最 有利的执行举措，助力绿色能源新发展，将传统自动化技术及</w:t>
      </w:r>
      <w:r>
        <w:rPr>
          <w:rFonts w:ascii="Times New Roman" w:eastAsia="Times New Roman" w:hAnsi="Times New Roman" w:cs="Times New Roman"/>
          <w:color w:val="000000"/>
          <w:spacing w:val="0"/>
          <w:w w:val="100"/>
          <w:position w:val="0"/>
        </w:rPr>
        <w:t>5G</w:t>
      </w:r>
      <w:r>
        <w:rPr>
          <w:color w:val="000000"/>
          <w:spacing w:val="0"/>
          <w:w w:val="100"/>
          <w:position w:val="0"/>
        </w:rPr>
        <w:t>、</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物联网、大数据、云计算等现代新技术融合，全面 布局公司能源网络，更高质高效的实现可持续发展目标。</w:t>
      </w:r>
    </w:p>
    <w:p>
      <w:pPr>
        <w:pStyle w:val="Style18"/>
        <w:keepNext w:val="0"/>
        <w:keepLines w:val="0"/>
        <w:widowControl w:val="0"/>
        <w:shd w:val="clear" w:color="auto" w:fill="auto"/>
        <w:tabs>
          <w:tab w:pos="781" w:val="left"/>
        </w:tabs>
        <w:bidi w:val="0"/>
        <w:spacing w:before="0" w:after="0" w:line="316" w:lineRule="exact"/>
        <w:ind w:left="0" w:right="0" w:firstLine="440"/>
        <w:jc w:val="left"/>
      </w:pPr>
      <w:bookmarkStart w:id="412" w:name="bookmark412"/>
      <w:r>
        <w:rPr>
          <w:rFonts w:ascii="Times New Roman" w:eastAsia="Times New Roman" w:hAnsi="Times New Roman" w:cs="Times New Roman"/>
          <w:color w:val="000000"/>
          <w:spacing w:val="0"/>
          <w:w w:val="100"/>
          <w:position w:val="0"/>
        </w:rPr>
        <w:t>3</w:t>
      </w:r>
      <w:bookmarkEnd w:id="412"/>
      <w:r>
        <w:rPr>
          <w:color w:val="000000"/>
          <w:spacing w:val="0"/>
          <w:w w:val="100"/>
          <w:position w:val="0"/>
        </w:rPr>
        <w:t>、</w:t>
        <w:tab/>
        <w:t>节能减排与可持续发展。公司认真落实国家节能减排工作总体部署，有效进行节能减排工作，实现节能减排同企业 经营发展有机融合、相互促进。同时积极研发节能新产品和新技术，加大环保投入，提高资源综合利用效率，坚持和倡导可 持续发展理念，建设资源节约型和环境友好型企业。</w:t>
      </w:r>
    </w:p>
    <w:p>
      <w:pPr>
        <w:pStyle w:val="Style18"/>
        <w:keepNext w:val="0"/>
        <w:keepLines w:val="0"/>
        <w:widowControl w:val="0"/>
        <w:shd w:val="clear" w:color="auto" w:fill="auto"/>
        <w:tabs>
          <w:tab w:pos="771" w:val="left"/>
        </w:tabs>
        <w:bidi w:val="0"/>
        <w:spacing w:before="0" w:after="0" w:line="316" w:lineRule="exact"/>
        <w:ind w:left="0" w:right="0" w:firstLine="440"/>
        <w:jc w:val="left"/>
      </w:pPr>
      <w:bookmarkStart w:id="413" w:name="bookmark413"/>
      <w:r>
        <w:rPr>
          <w:rFonts w:ascii="Times New Roman" w:eastAsia="Times New Roman" w:hAnsi="Times New Roman" w:cs="Times New Roman"/>
          <w:color w:val="000000"/>
          <w:spacing w:val="0"/>
          <w:w w:val="100"/>
          <w:position w:val="0"/>
        </w:rPr>
        <w:t>4</w:t>
      </w:r>
      <w:bookmarkEnd w:id="413"/>
      <w:r>
        <w:rPr>
          <w:color w:val="000000"/>
          <w:spacing w:val="0"/>
          <w:w w:val="100"/>
          <w:position w:val="0"/>
        </w:rPr>
        <w:t>、</w:t>
        <w:tab/>
        <w:t>以人为本，维护员工合法权益。公司严格按照《劳动法》《劳动合同法》等相关法律法规，坚持劳动合同用工，确 保员工个人权益得到保障，并持续优化人力资源管理体系和科学完善绩效考核体系，充分调动员工的工作积极性和主动性， 使公司价值最大化与个人价值最大化达到统一。</w:t>
      </w:r>
    </w:p>
    <w:p>
      <w:pPr>
        <w:pStyle w:val="Style18"/>
        <w:keepNext w:val="0"/>
        <w:keepLines w:val="0"/>
        <w:widowControl w:val="0"/>
        <w:shd w:val="clear" w:color="auto" w:fill="auto"/>
        <w:tabs>
          <w:tab w:pos="781" w:val="left"/>
        </w:tabs>
        <w:bidi w:val="0"/>
        <w:spacing w:before="0" w:after="120" w:line="316" w:lineRule="exact"/>
        <w:ind w:left="0" w:right="0" w:firstLine="440"/>
        <w:jc w:val="left"/>
      </w:pPr>
      <w:bookmarkStart w:id="414" w:name="bookmark414"/>
      <w:r>
        <w:rPr>
          <w:rFonts w:ascii="Times New Roman" w:eastAsia="Times New Roman" w:hAnsi="Times New Roman" w:cs="Times New Roman"/>
          <w:color w:val="000000"/>
          <w:spacing w:val="0"/>
          <w:w w:val="100"/>
          <w:position w:val="0"/>
        </w:rPr>
        <w:t>5</w:t>
      </w:r>
      <w:bookmarkEnd w:id="414"/>
      <w:r>
        <w:rPr>
          <w:color w:val="000000"/>
          <w:spacing w:val="0"/>
          <w:w w:val="100"/>
          <w:position w:val="0"/>
        </w:rPr>
        <w:t>、</w:t>
        <w:tab/>
        <w:t>回馈社会，肩负社会责任使命。公司在实现稳步发展的同时，时刻不忘回馈社会，积极参与社会公益事业，建设和 谐公共关系。</w:t>
      </w:r>
      <w:r>
        <w:rPr>
          <w:rFonts w:ascii="Times New Roman" w:eastAsia="Times New Roman" w:hAnsi="Times New Roman" w:cs="Times New Roman"/>
          <w:color w:val="000000"/>
          <w:spacing w:val="0"/>
          <w:w w:val="100"/>
          <w:position w:val="0"/>
        </w:rPr>
        <w:t>2021</w:t>
      </w:r>
      <w:r>
        <w:rPr>
          <w:color w:val="000000"/>
          <w:spacing w:val="0"/>
          <w:w w:val="100"/>
          <w:position w:val="0"/>
        </w:rPr>
        <w:t>年，公司支持乡村振兴、巩固脱贫攻坚成果工作共计投入总时长</w:t>
      </w:r>
      <w:r>
        <w:rPr>
          <w:rFonts w:ascii="Times New Roman" w:eastAsia="Times New Roman" w:hAnsi="Times New Roman" w:cs="Times New Roman"/>
          <w:color w:val="000000"/>
          <w:spacing w:val="0"/>
          <w:w w:val="100"/>
          <w:position w:val="0"/>
        </w:rPr>
        <w:t>31,058</w:t>
      </w:r>
      <w:r>
        <w:rPr>
          <w:color w:val="000000"/>
          <w:spacing w:val="0"/>
          <w:w w:val="100"/>
          <w:position w:val="0"/>
        </w:rPr>
        <w:t>小时，投入资金</w:t>
      </w:r>
      <w:r>
        <w:rPr>
          <w:rFonts w:ascii="Times New Roman" w:eastAsia="Times New Roman" w:hAnsi="Times New Roman" w:cs="Times New Roman"/>
          <w:color w:val="000000"/>
          <w:spacing w:val="0"/>
          <w:w w:val="100"/>
          <w:position w:val="0"/>
        </w:rPr>
        <w:t>52.69</w:t>
      </w:r>
      <w:r>
        <w:rPr>
          <w:color w:val="000000"/>
          <w:spacing w:val="0"/>
          <w:w w:val="100"/>
          <w:position w:val="0"/>
        </w:rPr>
        <w:t>万元；助学圆 梦、支持教育事业共计投入总时长</w:t>
      </w:r>
      <w:r>
        <w:rPr>
          <w:rFonts w:ascii="Times New Roman" w:eastAsia="Times New Roman" w:hAnsi="Times New Roman" w:cs="Times New Roman"/>
          <w:color w:val="000000"/>
          <w:spacing w:val="0"/>
          <w:w w:val="100"/>
          <w:position w:val="0"/>
        </w:rPr>
        <w:t>624</w:t>
      </w:r>
      <w:r>
        <w:rPr>
          <w:color w:val="000000"/>
          <w:spacing w:val="0"/>
          <w:w w:val="100"/>
          <w:position w:val="0"/>
        </w:rPr>
        <w:t>小时，捐赠物资</w:t>
      </w:r>
      <w:r>
        <w:rPr>
          <w:rFonts w:ascii="Times New Roman" w:eastAsia="Times New Roman" w:hAnsi="Times New Roman" w:cs="Times New Roman"/>
          <w:color w:val="000000"/>
          <w:spacing w:val="0"/>
          <w:w w:val="100"/>
          <w:position w:val="0"/>
        </w:rPr>
        <w:t>204.8</w:t>
      </w:r>
      <w:r>
        <w:rPr>
          <w:rFonts w:ascii="Times New Roman" w:eastAsia="Times New Roman" w:hAnsi="Times New Roman" w:cs="Times New Roman"/>
          <w:color w:val="000000"/>
          <w:spacing w:val="0"/>
          <w:w w:val="100"/>
          <w:position w:val="0"/>
        </w:rPr>
        <w:t>2</w:t>
      </w:r>
      <w:r>
        <w:rPr>
          <w:color w:val="000000"/>
          <w:spacing w:val="0"/>
          <w:w w:val="100"/>
          <w:position w:val="0"/>
        </w:rPr>
        <w:t>万元。河南遭遇暴雨灾害之际公司伸出援助之手，充分发挥全 国网络服务优势，各分公司调派增援力量，迅速完成抢修并恢复灾区通信能力。</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此外，公司积极响应新冠疫情防控工作，成立专项应急保障队伍在各疫情重点区域开展信号保障，</w:t>
      </w:r>
      <w:r>
        <w:rPr>
          <w:rFonts w:ascii="Times New Roman" w:eastAsia="Times New Roman" w:hAnsi="Times New Roman" w:cs="Times New Roman"/>
          <w:color w:val="000000"/>
          <w:spacing w:val="0"/>
          <w:w w:val="100"/>
          <w:position w:val="0"/>
        </w:rPr>
        <w:t>24</w:t>
      </w:r>
      <w:r>
        <w:rPr>
          <w:color w:val="000000"/>
          <w:spacing w:val="0"/>
          <w:w w:val="100"/>
          <w:position w:val="0"/>
        </w:rPr>
        <w:t>小时坚守防控第 一线，全力保障重要站址和重要场景的网络覆盖。</w:t>
      </w:r>
    </w:p>
    <w:p>
      <w:pPr>
        <w:pStyle w:val="Style1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具体内容请查阅公司于指定信息披露媒体披露的《润建股份</w:t>
      </w:r>
      <w:r>
        <w:rPr>
          <w:rFonts w:ascii="Times New Roman" w:eastAsia="Times New Roman" w:hAnsi="Times New Roman" w:cs="Times New Roman"/>
          <w:color w:val="000000"/>
          <w:spacing w:val="0"/>
          <w:w w:val="100"/>
          <w:position w:val="0"/>
        </w:rPr>
        <w:t>2021</w:t>
      </w:r>
      <w:r>
        <w:rPr>
          <w:color w:val="000000"/>
          <w:spacing w:val="0"/>
          <w:w w:val="100"/>
          <w:position w:val="0"/>
        </w:rPr>
        <w:t>年度环境、社会及管治</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）报告》。</w:t>
      </w:r>
    </w:p>
    <w:p>
      <w:pPr>
        <w:pStyle w:val="Style23"/>
        <w:keepNext/>
        <w:keepLines/>
        <w:widowControl w:val="0"/>
        <w:shd w:val="clear" w:color="auto" w:fill="auto"/>
        <w:bidi w:val="0"/>
        <w:spacing w:before="0" w:after="24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sz w:val="24"/>
          <w:szCs w:val="24"/>
        </w:rPr>
        <w:t>三</w:t>
      </w:r>
      <w:bookmarkEnd w:id="417"/>
      <w:r>
        <w:rPr>
          <w:color w:val="000000"/>
          <w:spacing w:val="0"/>
          <w:w w:val="100"/>
          <w:position w:val="0"/>
          <w:sz w:val="24"/>
          <w:szCs w:val="24"/>
        </w:rPr>
        <w:t>、巩固拓展脱贫攻坚成果、乡村振兴的情况</w:t>
      </w:r>
      <w:bookmarkEnd w:id="415"/>
      <w:bookmarkEnd w:id="416"/>
      <w:bookmarkEnd w:id="418"/>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公司以数字乡村发展纲要和乡村振兴战略规划为指导，依托</w:t>
      </w:r>
      <w:r>
        <w:rPr>
          <w:color w:val="000000"/>
          <w:spacing w:val="0"/>
          <w:w w:val="100"/>
          <w:position w:val="0"/>
          <w:sz w:val="18"/>
          <w:szCs w:val="18"/>
        </w:rPr>
        <w:t>5G</w:t>
      </w:r>
      <w:r>
        <w:rPr>
          <w:color w:val="000000"/>
          <w:spacing w:val="0"/>
          <w:w w:val="100"/>
          <w:position w:val="0"/>
        </w:rPr>
        <w:t>、</w:t>
      </w:r>
      <w:r>
        <w:rPr>
          <w:color w:val="000000"/>
          <w:spacing w:val="0"/>
          <w:w w:val="100"/>
          <w:position w:val="0"/>
        </w:rPr>
        <w:t>物联网、云计算、人工智能、大数据等新一代信息技术 为支撑，利用公司贴地服务优势，配备专业团队对项目开展实地调研，以目标、问题、结果为导向，为乡村量身定制“一村 一问一策”综合性解决方案，涵盖乡村基础设施建设、党政建设、科技兴农、增值产业、创新方案、治安防控、科技在线、 人文关怀、医疗教育等内容，致力于让数字化、智能化的能力真正为农业产品服务，让农业更有价值。</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日，广西壮族自治区数字乡村研究院成立，公司作为副理事长单位联合编制并发布了全国首部省级《广西 壮族自治区数字乡村白皮书》。</w:t>
      </w:r>
    </w:p>
    <w:p>
      <w:pPr>
        <w:pStyle w:val="Style18"/>
        <w:keepNext w:val="0"/>
        <w:keepLines w:val="0"/>
        <w:widowControl w:val="0"/>
        <w:shd w:val="clear" w:color="auto" w:fill="auto"/>
        <w:bidi w:val="0"/>
        <w:spacing w:before="0" w:after="300" w:line="317" w:lineRule="exact"/>
        <w:ind w:left="0" w:right="0"/>
        <w:jc w:val="both"/>
      </w:pPr>
      <w:r>
        <w:rPr>
          <w:color w:val="000000"/>
          <w:spacing w:val="0"/>
          <w:w w:val="100"/>
          <w:position w:val="0"/>
        </w:rPr>
        <w:t>具体内容请查阅公司于指定信息披露媒体披露的《润建股份</w:t>
      </w:r>
      <w:r>
        <w:rPr>
          <w:color w:val="000000"/>
          <w:spacing w:val="0"/>
          <w:w w:val="100"/>
          <w:position w:val="0"/>
          <w:sz w:val="18"/>
          <w:szCs w:val="18"/>
        </w:rPr>
        <w:t>2021</w:t>
      </w:r>
      <w:r>
        <w:rPr>
          <w:color w:val="000000"/>
          <w:spacing w:val="0"/>
          <w:w w:val="100"/>
          <w:position w:val="0"/>
        </w:rPr>
        <w:t>年度环境、社会及管治</w:t>
      </w:r>
      <w:r>
        <w:rPr>
          <w:color w:val="000000"/>
          <w:spacing w:val="0"/>
          <w:w w:val="100"/>
          <w:position w:val="0"/>
          <w:sz w:val="18"/>
          <w:szCs w:val="18"/>
        </w:rPr>
        <w:t>（ESG</w:t>
      </w:r>
      <w:r>
        <w:rPr>
          <w:color w:val="000000"/>
          <w:spacing w:val="0"/>
          <w:w w:val="100"/>
          <w:position w:val="0"/>
        </w:rPr>
        <w:t>）报告》。</w:t>
      </w:r>
      <w:r>
        <w:br w:type="page"/>
      </w:r>
    </w:p>
    <w:p>
      <w:pPr>
        <w:pStyle w:val="Style10"/>
        <w:keepNext/>
        <w:keepLines/>
        <w:widowControl w:val="0"/>
        <w:shd w:val="clear" w:color="auto" w:fill="auto"/>
        <w:bidi w:val="0"/>
        <w:spacing w:before="0" w:line="240" w:lineRule="auto"/>
        <w:ind w:left="0" w:right="0" w:firstLine="0"/>
        <w:jc w:val="center"/>
      </w:pPr>
      <w:bookmarkStart w:id="419" w:name="bookmark419"/>
      <w:bookmarkStart w:id="420" w:name="bookmark420"/>
      <w:bookmarkStart w:id="421" w:name="bookmark421"/>
      <w:r>
        <w:rPr>
          <w:color w:val="000000"/>
          <w:spacing w:val="0"/>
          <w:w w:val="100"/>
          <w:position w:val="0"/>
        </w:rPr>
        <w:t>第六节重要事项</w:t>
      </w:r>
      <w:bookmarkEnd w:id="419"/>
      <w:bookmarkEnd w:id="420"/>
      <w:bookmarkEnd w:id="421"/>
    </w:p>
    <w:p>
      <w:pPr>
        <w:pStyle w:val="Style23"/>
        <w:keepNext/>
        <w:keepLines/>
        <w:widowControl w:val="0"/>
        <w:shd w:val="clear" w:color="auto" w:fill="auto"/>
        <w:bidi w:val="0"/>
        <w:spacing w:before="0" w:after="280" w:line="240" w:lineRule="auto"/>
        <w:ind w:left="0" w:right="0" w:firstLine="0"/>
        <w:jc w:val="left"/>
      </w:pPr>
      <w:bookmarkStart w:id="422" w:name="bookmark422"/>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、承诺事项履行情况</w:t>
      </w:r>
      <w:bookmarkEnd w:id="423"/>
      <w:bookmarkEnd w:id="424"/>
      <w:bookmarkEnd w:id="426"/>
      <w:bookmarkEnd w:id="422"/>
    </w:p>
    <w:p>
      <w:pPr>
        <w:pStyle w:val="Style29"/>
        <w:keepNext/>
        <w:keepLines/>
        <w:widowControl w:val="0"/>
        <w:shd w:val="clear" w:color="auto" w:fill="auto"/>
        <w:bidi w:val="0"/>
        <w:spacing w:before="0" w:line="317" w:lineRule="exact"/>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、公司实际控制人、股东、关联方、收购人以及公司等承诺相关方在报告期内履行完毕及截至报告期末 尚未履行完毕的承诺事项</w:t>
      </w:r>
      <w:bookmarkEnd w:id="427"/>
      <w:bookmarkEnd w:id="428"/>
      <w:bookmarkEnd w:id="4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2"/>
        <w:gridCol w:w="1421"/>
        <w:gridCol w:w="566"/>
        <w:gridCol w:w="4680"/>
        <w:gridCol w:w="562"/>
        <w:gridCol w:w="566"/>
        <w:gridCol w:w="581"/>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权益变动报告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资产重组时所 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0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广西威克德力投 资管理中心</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r>
              <w:rPr>
                <w:color w:val="000000"/>
                <w:spacing w:val="0"/>
                <w:w w:val="100"/>
                <w:position w:val="0"/>
              </w:rPr>
              <w:t>胡永乐</w:t>
            </w:r>
            <w:r>
              <w:rPr>
                <w:rFonts w:ascii="Times New Roman" w:eastAsia="Times New Roman" w:hAnsi="Times New Roman" w:cs="Times New Roman"/>
                <w:color w:val="000000"/>
                <w:spacing w:val="0"/>
                <w:w w:val="100"/>
                <w:position w:val="0"/>
              </w:rPr>
              <w:t>;</w:t>
            </w:r>
            <w:r>
              <w:rPr>
                <w:color w:val="000000"/>
                <w:spacing w:val="0"/>
                <w:w w:val="100"/>
                <w:position w:val="0"/>
              </w:rPr>
              <w:t>蒋 鹂北</w:t>
            </w:r>
            <w:r>
              <w:rPr>
                <w:rFonts w:ascii="Times New Roman" w:eastAsia="Times New Roman" w:hAnsi="Times New Roman" w:cs="Times New Roman"/>
                <w:color w:val="000000"/>
                <w:spacing w:val="0"/>
                <w:w w:val="100"/>
                <w:position w:val="0"/>
              </w:rPr>
              <w:t>;</w:t>
            </w:r>
            <w:r>
              <w:rPr>
                <w:color w:val="000000"/>
                <w:spacing w:val="0"/>
                <w:w w:val="100"/>
                <w:position w:val="0"/>
              </w:rPr>
              <w:t>李建国</w:t>
            </w:r>
            <w:r>
              <w:rPr>
                <w:rFonts w:ascii="Times New Roman" w:eastAsia="Times New Roman" w:hAnsi="Times New Roman" w:cs="Times New Roman"/>
                <w:color w:val="000000"/>
                <w:spacing w:val="0"/>
                <w:w w:val="100"/>
                <w:position w:val="0"/>
              </w:rPr>
              <w:t>;</w:t>
            </w:r>
            <w:r>
              <w:rPr>
                <w:color w:val="000000"/>
                <w:spacing w:val="0"/>
                <w:w w:val="100"/>
                <w:position w:val="0"/>
              </w:rPr>
              <w:t>梁 姬</w:t>
            </w:r>
            <w:r>
              <w:rPr>
                <w:rFonts w:ascii="Times New Roman" w:eastAsia="Times New Roman" w:hAnsi="Times New Roman" w:cs="Times New Roman"/>
                <w:color w:val="000000"/>
                <w:spacing w:val="0"/>
                <w:w w:val="100"/>
                <w:position w:val="0"/>
              </w:rPr>
              <w:t>;</w:t>
            </w:r>
            <w:r>
              <w:rPr>
                <w:color w:val="000000"/>
                <w:spacing w:val="0"/>
                <w:w w:val="100"/>
                <w:position w:val="0"/>
              </w:rPr>
              <w:t>沈湘平</w:t>
            </w:r>
            <w:r>
              <w:rPr>
                <w:rFonts w:ascii="Times New Roman" w:eastAsia="Times New Roman" w:hAnsi="Times New Roman" w:cs="Times New Roman"/>
                <w:color w:val="000000"/>
                <w:spacing w:val="0"/>
                <w:w w:val="100"/>
                <w:position w:val="0"/>
              </w:rPr>
              <w:t>;</w:t>
            </w:r>
            <w:r>
              <w:rPr>
                <w:color w:val="000000"/>
                <w:spacing w:val="0"/>
                <w:w w:val="100"/>
                <w:position w:val="0"/>
              </w:rPr>
              <w:t>许文 杰</w:t>
            </w:r>
            <w:r>
              <w:rPr>
                <w:rFonts w:ascii="Times New Roman" w:eastAsia="Times New Roman" w:hAnsi="Times New Roman" w:cs="Times New Roman"/>
                <w:color w:val="000000"/>
                <w:spacing w:val="0"/>
                <w:w w:val="100"/>
                <w:position w:val="0"/>
              </w:rPr>
              <w:t>;</w:t>
            </w:r>
            <w:r>
              <w:rPr>
                <w:color w:val="000000"/>
                <w:spacing w:val="0"/>
                <w:w w:val="100"/>
                <w:position w:val="0"/>
              </w:rPr>
              <w:t>珠海弘泽熙元 投资管理中心（有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 限售 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公司实际控制人李建国先生、蒋鹂北女士及其控制的弘泽熙 元、威克德力承诺：自发行人首次公开发行股票上市之日起 </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个月内，不转让或者委托他人管理其本次发行前直接或 间接持有的发行人股份，也不由发行人回购该等股份。发行 人上市后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 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个月期末收盘价低于发行 价，其直接或间接持有发行人股票的锁定期限自动延长</w:t>
            </w:r>
            <w:r>
              <w:rPr>
                <w:rFonts w:ascii="Times New Roman" w:eastAsia="Times New Roman" w:hAnsi="Times New Roman" w:cs="Times New Roman"/>
                <w:color w:val="000000"/>
                <w:spacing w:val="0"/>
                <w:w w:val="100"/>
                <w:position w:val="0"/>
              </w:rPr>
              <w:t>6</w:t>
            </w:r>
            <w:r>
              <w:rPr>
                <w:color w:val="000000"/>
                <w:spacing w:val="0"/>
                <w:w w:val="100"/>
                <w:position w:val="0"/>
              </w:rPr>
              <w:t>个 月（若上述期间公司发生派发股利、送红股、转增股本、增 发新股或配股等除息、除权行为的，则上述价格将进行相应 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r>
        <w:trPr>
          <w:trHeight w:val="383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广西威克德力投 资管理中心</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r>
              <w:rPr>
                <w:color w:val="000000"/>
                <w:spacing w:val="0"/>
                <w:w w:val="100"/>
                <w:position w:val="0"/>
              </w:rPr>
              <w:t>李建国</w:t>
            </w:r>
            <w:r>
              <w:rPr>
                <w:rFonts w:ascii="Times New Roman" w:eastAsia="Times New Roman" w:hAnsi="Times New Roman" w:cs="Times New Roman"/>
                <w:color w:val="000000"/>
                <w:spacing w:val="0"/>
                <w:w w:val="100"/>
                <w:position w:val="0"/>
              </w:rPr>
              <w:t>;</w:t>
            </w:r>
            <w:r>
              <w:rPr>
                <w:color w:val="000000"/>
                <w:spacing w:val="0"/>
                <w:w w:val="100"/>
                <w:position w:val="0"/>
              </w:rPr>
              <w:t>珠 海弘泽熙元投资 管理中心（有限合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实际控制人李建国先生、蒋鹂北女士以及持股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东弘泽熙元和威克德力的承诺如下：公司股票上市后</w:t>
            </w:r>
            <w:r>
              <w:rPr>
                <w:rFonts w:ascii="Times New Roman" w:eastAsia="Times New Roman" w:hAnsi="Times New Roman" w:cs="Times New Roman"/>
                <w:color w:val="000000"/>
                <w:spacing w:val="0"/>
                <w:w w:val="100"/>
                <w:position w:val="0"/>
              </w:rPr>
              <w:t>36</w:t>
            </w:r>
            <w:r>
              <w:rPr>
                <w:color w:val="000000"/>
                <w:spacing w:val="0"/>
                <w:w w:val="100"/>
                <w:position w:val="0"/>
              </w:rPr>
              <w:t>个 月内不减持公司股票。在锁定期满后</w:t>
            </w:r>
            <w:r>
              <w:rPr>
                <w:rFonts w:ascii="Times New Roman" w:eastAsia="Times New Roman" w:hAnsi="Times New Roman" w:cs="Times New Roman"/>
                <w:color w:val="000000"/>
                <w:spacing w:val="0"/>
                <w:w w:val="100"/>
                <w:position w:val="0"/>
              </w:rPr>
              <w:t>24</w:t>
            </w:r>
            <w:r>
              <w:rPr>
                <w:color w:val="000000"/>
                <w:spacing w:val="0"/>
                <w:w w:val="100"/>
                <w:position w:val="0"/>
              </w:rPr>
              <w:t>个月内若减持公司 股票，本人</w:t>
            </w:r>
            <w:r>
              <w:rPr>
                <w:rFonts w:ascii="Times New Roman" w:eastAsia="Times New Roman" w:hAnsi="Times New Roman" w:cs="Times New Roman"/>
                <w:color w:val="000000"/>
                <w:spacing w:val="0"/>
                <w:w w:val="100"/>
                <w:position w:val="0"/>
              </w:rPr>
              <w:t>/</w:t>
            </w:r>
            <w:r>
              <w:rPr>
                <w:color w:val="000000"/>
                <w:spacing w:val="0"/>
                <w:w w:val="100"/>
                <w:position w:val="0"/>
              </w:rPr>
              <w:t>本企业将在遵守法律法规、证券交易所上市规 则等相关规定的前提下，每年减持数量不超过本人</w:t>
            </w:r>
            <w:r>
              <w:rPr>
                <w:rFonts w:ascii="Times New Roman" w:eastAsia="Times New Roman" w:hAnsi="Times New Roman" w:cs="Times New Roman"/>
                <w:color w:val="000000"/>
                <w:spacing w:val="0"/>
                <w:w w:val="100"/>
                <w:position w:val="0"/>
              </w:rPr>
              <w:t>/</w:t>
            </w:r>
            <w:r>
              <w:rPr>
                <w:color w:val="000000"/>
                <w:spacing w:val="0"/>
                <w:w w:val="100"/>
                <w:position w:val="0"/>
              </w:rPr>
              <w:t>本企业 直接或间接持有公司股票总数的</w:t>
            </w:r>
            <w:r>
              <w:rPr>
                <w:rFonts w:ascii="Times New Roman" w:eastAsia="Times New Roman" w:hAnsi="Times New Roman" w:cs="Times New Roman"/>
                <w:color w:val="000000"/>
                <w:spacing w:val="0"/>
                <w:w w:val="100"/>
                <w:position w:val="0"/>
              </w:rPr>
              <w:t>20%</w:t>
            </w:r>
            <w:r>
              <w:rPr>
                <w:color w:val="000000"/>
                <w:spacing w:val="0"/>
                <w:w w:val="100"/>
                <w:position w:val="0"/>
              </w:rPr>
              <w:t>。减持价格不低于发行 价（若公司股份在该期间内发生派息、送股、资本公积转增 股本等除权除息事项的，发行价应相应调整）。本人</w:t>
            </w:r>
            <w:r>
              <w:rPr>
                <w:rFonts w:ascii="Times New Roman" w:eastAsia="Times New Roman" w:hAnsi="Times New Roman" w:cs="Times New Roman"/>
                <w:color w:val="000000"/>
                <w:spacing w:val="0"/>
                <w:w w:val="100"/>
                <w:position w:val="0"/>
              </w:rPr>
              <w:t>/</w:t>
            </w:r>
            <w:r>
              <w:rPr>
                <w:color w:val="000000"/>
                <w:spacing w:val="0"/>
                <w:w w:val="100"/>
                <w:position w:val="0"/>
              </w:rPr>
              <w:t>本企业 将采用集中竞价、大宗交易、协议转让等法律、法规允许的 方式转让公司股票并于减持前三个交易日予以公告。若本人 违反锁定期满后</w:t>
            </w:r>
            <w:r>
              <w:rPr>
                <w:rFonts w:ascii="Times New Roman" w:eastAsia="Times New Roman" w:hAnsi="Times New Roman" w:cs="Times New Roman"/>
                <w:color w:val="000000"/>
                <w:spacing w:val="0"/>
                <w:w w:val="100"/>
                <w:position w:val="0"/>
              </w:rPr>
              <w:t>24</w:t>
            </w:r>
            <w:r>
              <w:rPr>
                <w:color w:val="000000"/>
                <w:spacing w:val="0"/>
                <w:w w:val="100"/>
                <w:position w:val="0"/>
              </w:rPr>
              <w:t>个月内股票减持意向的承诺，本人</w:t>
            </w:r>
            <w:r>
              <w:rPr>
                <w:rFonts w:ascii="Times New Roman" w:eastAsia="Times New Roman" w:hAnsi="Times New Roman" w:cs="Times New Roman"/>
                <w:color w:val="000000"/>
                <w:spacing w:val="0"/>
                <w:w w:val="100"/>
                <w:position w:val="0"/>
              </w:rPr>
              <w:t>/</w:t>
            </w:r>
            <w:r>
              <w:rPr>
                <w:color w:val="000000"/>
                <w:spacing w:val="0"/>
                <w:w w:val="100"/>
                <w:position w:val="0"/>
              </w:rPr>
              <w:t>本企 业同意将实际减持股票所获收益归公司所有。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2023-0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润建股份有限公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分红</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）如无重大投资计划或重大现金支出等事项发生，公司 在当年盈利且累计未分配利润为正的情况下，采取现金方式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81"/>
      </w:tblGrid>
      <w:tr>
        <w:trPr>
          <w:trHeight w:val="94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分配股利，每年以现金方式分配的利润不少于当年实现的可 供分配利润的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。公司每年在按照公司章程、相关法规规 定足额提取法定公积金、盈余公积金后，在满足现金分红条 件下，按照以下原则进行现金分红：①公司发展阶段属成熟 期且无重大资金支出安排的，进行利润分配时，现金分红在 本次利润分配中所占比例最低应达到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；②公司发展阶 段属成熟期且有重大资金支出安排的，进行利润分配时，现 金分红在本次利润分配中所占比例最低应达到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；③公司 发展阶段属成长期且有重大资金支出安排的，进行利润分配 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 公司实施现金分红时须同时满足下列条件：①公司该年度的 可分配利润为正值、且现金流充裕，实施现金分红不会影 响公司后续持续经营；②公司累计可供分配利润为正值； ③审计机构对公司的该年度财务报告出具标准无保留意见 的审计报告。（</w:t>
            </w:r>
            <w:r>
              <w:rPr>
                <w:rFonts w:ascii="Times New Roman" w:eastAsia="Times New Roman" w:hAnsi="Times New Roman" w:cs="Times New Roman"/>
                <w:color w:val="000000"/>
                <w:spacing w:val="0"/>
                <w:w w:val="100"/>
                <w:position w:val="0"/>
              </w:rPr>
              <w:t>2</w:t>
            </w:r>
            <w:r>
              <w:rPr>
                <w:color w:val="000000"/>
                <w:spacing w:val="0"/>
                <w:w w:val="100"/>
                <w:position w:val="0"/>
              </w:rPr>
              <w:t>）在满足现金股利分配的条件下，若公司营 收增长快速，并且董事会认为公司股票价格与公司股本规模 不匹配时，可以在保证最低现金分红比例和公司股本规模合 理的前提下，为保持股本扩张与业绩增长相适应，提出并实 施适当的股票股利分配预案，独立董事应当对董事会提出的 股票股利分配预案发表独立意见。（</w:t>
            </w:r>
            <w:r>
              <w:rPr>
                <w:rFonts w:ascii="Times New Roman" w:eastAsia="Times New Roman" w:hAnsi="Times New Roman" w:cs="Times New Roman"/>
                <w:color w:val="000000"/>
                <w:spacing w:val="0"/>
                <w:w w:val="100"/>
                <w:position w:val="0"/>
              </w:rPr>
              <w:t>3</w:t>
            </w:r>
            <w:r>
              <w:rPr>
                <w:color w:val="000000"/>
                <w:spacing w:val="0"/>
                <w:w w:val="100"/>
                <w:position w:val="0"/>
              </w:rPr>
              <w:t>）公司在每个会计年度 结束后，由董事会提出利润分配预案。公司董事会在利润分 配方案论证过程中，应与独立董事充分讨论，并通过多种渠 道与股东特别是中小股东进行沟通和交流。经公司二分之一 以上独立董事同意后，提交公司董事会、监事会审议。公司 董事会在制订利润分配预案时，应就公司发展阶段和未来资 金支出计划作出说明。董事会未作出年度现金利润分配预案 的，应当在年度报告中披露原因，独立董事应当对此发表独 立意见。公司董事会须在股东大会召开后两个月内完成股利 的派发事项。公司接受所有股东、独立董事、监事和公众投 资者对公司分红的建议和监督。</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蒋鹂北</w:t>
            </w:r>
            <w:r>
              <w:rPr>
                <w:rFonts w:ascii="Times New Roman" w:eastAsia="Times New Roman" w:hAnsi="Times New Roman" w:cs="Times New Roman"/>
                <w:color w:val="000000"/>
                <w:spacing w:val="0"/>
                <w:w w:val="100"/>
                <w:position w:val="0"/>
              </w:rPr>
              <w:t>;</w:t>
            </w:r>
            <w:r>
              <w:rPr>
                <w:color w:val="000000"/>
                <w:spacing w:val="0"/>
                <w:w w:val="100"/>
                <w:position w:val="0"/>
              </w:rPr>
              <w:t>李建国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公司实际控制人李建国先生和蒋鹂北女士承诺如下：本人 控制的企业（发行人及其子公司除外）目前并没有以任何形 式从事或参与与发行人及其子公司主营业务构成或可能构 成直接或间接竞争关系的业务或活动。本人保证本人及本人 实际控制的除发行人及其子公司以外的其他企业将不会在 中国境内或境外以任何方式（包括但不限于单独经营、通过 合资经营或拥有另一公司或企业的股权及其它权益）直接或 间接从事或参与任何与发行人及其子公司构成竞争的任何 业务或活动，不以任何方式从事或参与任何与发行人及其子 公司业务相同、相似或可能取代发行人及其子公司业务的活 动。本人如从任何第三方获得的商业机会与发行人及其子公 司经营的业务有竞争或可能竞争，本人将立即通知发行人， 并将该商业机会让予发行人或其子公司。本人承诺不利用任 何方式从事影响或可能影响发行人及其子公司经营、发展的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81"/>
      </w:tblGrid>
      <w:tr>
        <w:trPr>
          <w:trHeight w:val="50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业务或活动。控股股东、实际控制人李建国先生就减少及规 范关联交易作出以下承诺：</w:t>
            </w:r>
            <w:r>
              <w:rPr>
                <w:rFonts w:ascii="Times New Roman" w:eastAsia="Times New Roman" w:hAnsi="Times New Roman" w:cs="Times New Roman"/>
                <w:color w:val="000000"/>
                <w:spacing w:val="0"/>
                <w:w w:val="100"/>
                <w:position w:val="0"/>
              </w:rPr>
              <w:t>1</w:t>
            </w:r>
            <w:r>
              <w:rPr>
                <w:color w:val="000000"/>
                <w:spacing w:val="0"/>
                <w:w w:val="100"/>
                <w:position w:val="0"/>
              </w:rPr>
              <w:t>、本人将严格按照《公司法》 等法律法规以及《公司章程》等有关规定行使股东权利，不 利用股东的地位谋取不当的利益，不损害公司及其中小股东 的合法权益；</w:t>
            </w:r>
            <w:r>
              <w:rPr>
                <w:rFonts w:ascii="Times New Roman" w:eastAsia="Times New Roman" w:hAnsi="Times New Roman" w:cs="Times New Roman"/>
                <w:color w:val="000000"/>
                <w:spacing w:val="0"/>
                <w:w w:val="100"/>
                <w:position w:val="0"/>
              </w:rPr>
              <w:t>2</w:t>
            </w:r>
            <w:r>
              <w:rPr>
                <w:color w:val="000000"/>
                <w:spacing w:val="0"/>
                <w:w w:val="100"/>
                <w:position w:val="0"/>
              </w:rPr>
              <w:t>、在股东大会对有关涉及本人事项的关联交 易进行表决时，履行回避表决的义务；</w:t>
            </w:r>
            <w:r>
              <w:rPr>
                <w:rFonts w:ascii="Times New Roman" w:eastAsia="Times New Roman" w:hAnsi="Times New Roman" w:cs="Times New Roman"/>
                <w:color w:val="000000"/>
                <w:spacing w:val="0"/>
                <w:w w:val="100"/>
                <w:position w:val="0"/>
              </w:rPr>
              <w:t>3</w:t>
            </w:r>
            <w:r>
              <w:rPr>
                <w:color w:val="000000"/>
                <w:spacing w:val="0"/>
                <w:w w:val="100"/>
                <w:position w:val="0"/>
              </w:rPr>
              <w:t>、在任何情况下， 不要求公司向本人提供任何形式的担保，不占用公司资源、 资金；</w:t>
            </w:r>
            <w:r>
              <w:rPr>
                <w:rFonts w:ascii="Times New Roman" w:eastAsia="Times New Roman" w:hAnsi="Times New Roman" w:cs="Times New Roman"/>
                <w:color w:val="000000"/>
                <w:spacing w:val="0"/>
                <w:w w:val="100"/>
                <w:position w:val="0"/>
              </w:rPr>
              <w:t>4</w:t>
            </w:r>
            <w:r>
              <w:rPr>
                <w:color w:val="000000"/>
                <w:spacing w:val="0"/>
                <w:w w:val="100"/>
                <w:position w:val="0"/>
              </w:rPr>
              <w:t>、在本人作为发行人控股股东、实际控制人期间， 本人及附属企业尽量避免与发行人之间不必要的关联交易 发生；</w:t>
            </w:r>
            <w:r>
              <w:rPr>
                <w:rFonts w:ascii="Times New Roman" w:eastAsia="Times New Roman" w:hAnsi="Times New Roman" w:cs="Times New Roman"/>
                <w:color w:val="000000"/>
                <w:spacing w:val="0"/>
                <w:w w:val="100"/>
                <w:position w:val="0"/>
              </w:rPr>
              <w:t>5</w:t>
            </w:r>
            <w:r>
              <w:rPr>
                <w:color w:val="000000"/>
                <w:spacing w:val="0"/>
                <w:w w:val="100"/>
                <w:position w:val="0"/>
              </w:rPr>
              <w:t>、对于无法避免或者有合理原因而发生的关联交易， 将遵循市场公正、公平、公开的原则，并依法签订协议，履 行合法程序，按照《公司章程》、有关法律法规和证券交易 所的有关规定履行信息披露义务，保证不通过关联交易损害 公司及其他股东的合法权益；</w:t>
            </w:r>
            <w:r>
              <w:rPr>
                <w:rFonts w:ascii="Times New Roman" w:eastAsia="Times New Roman" w:hAnsi="Times New Roman" w:cs="Times New Roman"/>
                <w:color w:val="000000"/>
                <w:spacing w:val="0"/>
                <w:w w:val="100"/>
                <w:position w:val="0"/>
              </w:rPr>
              <w:t>6</w:t>
            </w:r>
            <w:r>
              <w:rPr>
                <w:color w:val="000000"/>
                <w:spacing w:val="0"/>
                <w:w w:val="100"/>
                <w:position w:val="0"/>
              </w:rPr>
              <w:t>、如违反上述承诺与发行人 进行交易而给发行人及其他股东造成损失的，本人将依法承 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方培豪</w:t>
            </w:r>
            <w:r>
              <w:rPr>
                <w:rFonts w:ascii="Times New Roman" w:eastAsia="Times New Roman" w:hAnsi="Times New Roman" w:cs="Times New Roman"/>
                <w:color w:val="000000"/>
                <w:spacing w:val="0"/>
                <w:w w:val="100"/>
                <w:position w:val="0"/>
              </w:rPr>
              <w:t>;</w:t>
            </w:r>
            <w:r>
              <w:rPr>
                <w:color w:val="000000"/>
                <w:spacing w:val="0"/>
                <w:w w:val="100"/>
                <w:position w:val="0"/>
              </w:rPr>
              <w:t>胡永乐</w:t>
            </w:r>
            <w:r>
              <w:rPr>
                <w:rFonts w:ascii="Times New Roman" w:eastAsia="Times New Roman" w:hAnsi="Times New Roman" w:cs="Times New Roman"/>
                <w:color w:val="000000"/>
                <w:spacing w:val="0"/>
                <w:w w:val="100"/>
                <w:position w:val="0"/>
              </w:rPr>
              <w:t>;</w:t>
            </w:r>
            <w:r>
              <w:rPr>
                <w:color w:val="000000"/>
                <w:spacing w:val="0"/>
                <w:w w:val="100"/>
                <w:position w:val="0"/>
              </w:rPr>
              <w:t>李 建国</w:t>
            </w:r>
            <w:r>
              <w:rPr>
                <w:rFonts w:ascii="Times New Roman" w:eastAsia="Times New Roman" w:hAnsi="Times New Roman" w:cs="Times New Roman"/>
                <w:color w:val="000000"/>
                <w:spacing w:val="0"/>
                <w:w w:val="100"/>
                <w:position w:val="0"/>
              </w:rPr>
              <w:t>;</w:t>
            </w:r>
            <w:r>
              <w:rPr>
                <w:color w:val="000000"/>
                <w:spacing w:val="0"/>
                <w:w w:val="100"/>
                <w:position w:val="0"/>
              </w:rPr>
              <w:t>梁姬</w:t>
            </w:r>
            <w:r>
              <w:rPr>
                <w:rFonts w:ascii="Times New Roman" w:eastAsia="Times New Roman" w:hAnsi="Times New Roman" w:cs="Times New Roman"/>
                <w:color w:val="000000"/>
                <w:spacing w:val="0"/>
                <w:w w:val="100"/>
                <w:position w:val="0"/>
              </w:rPr>
              <w:t>;</w:t>
            </w:r>
            <w:r>
              <w:rPr>
                <w:color w:val="000000"/>
                <w:spacing w:val="0"/>
                <w:w w:val="100"/>
                <w:position w:val="0"/>
              </w:rPr>
              <w:t>润建通 信股份有限公司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沈湘平</w:t>
            </w:r>
            <w:r>
              <w:rPr>
                <w:rFonts w:ascii="Times New Roman" w:eastAsia="Times New Roman" w:hAnsi="Times New Roman" w:cs="Times New Roman"/>
                <w:color w:val="000000"/>
                <w:spacing w:val="0"/>
                <w:w w:val="100"/>
                <w:position w:val="0"/>
              </w:rPr>
              <w:t>;</w:t>
            </w:r>
            <w:r>
              <w:rPr>
                <w:color w:val="000000"/>
                <w:spacing w:val="0"/>
                <w:w w:val="100"/>
                <w:position w:val="0"/>
              </w:rPr>
              <w:t>许文杰</w:t>
            </w:r>
            <w:r>
              <w:rPr>
                <w:rFonts w:ascii="Times New Roman" w:eastAsia="Times New Roman" w:hAnsi="Times New Roman" w:cs="Times New Roman"/>
                <w:color w:val="000000"/>
                <w:spacing w:val="0"/>
                <w:w w:val="100"/>
                <w:position w:val="0"/>
              </w:rPr>
              <w:t>;</w:t>
            </w:r>
            <w:r>
              <w:rPr>
                <w:color w:val="000000"/>
                <w:spacing w:val="0"/>
                <w:w w:val="100"/>
                <w:position w:val="0"/>
              </w:rPr>
              <w:t>杨 兆云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IPO</w:t>
            </w:r>
            <w:r>
              <w:rPr>
                <w:color w:val="000000"/>
                <w:spacing w:val="0"/>
                <w:w w:val="100"/>
                <w:position w:val="0"/>
              </w:rPr>
              <w:t>稳</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定股</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价承</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（一）股价稳定措施的启动和停止</w:t>
            </w:r>
            <w:r>
              <w:rPr>
                <w:rFonts w:ascii="Times New Roman" w:eastAsia="Times New Roman" w:hAnsi="Times New Roman" w:cs="Times New Roman"/>
                <w:color w:val="000000"/>
                <w:spacing w:val="0"/>
                <w:w w:val="100"/>
                <w:position w:val="0"/>
              </w:rPr>
              <w:t>1</w:t>
            </w:r>
            <w:r>
              <w:rPr>
                <w:color w:val="000000"/>
                <w:spacing w:val="0"/>
                <w:w w:val="100"/>
                <w:position w:val="0"/>
              </w:rPr>
              <w:t>、启动条件及程序（</w:t>
            </w:r>
            <w:r>
              <w:rPr>
                <w:rFonts w:ascii="Times New Roman" w:eastAsia="Times New Roman" w:hAnsi="Times New Roman" w:cs="Times New Roman"/>
                <w:color w:val="000000"/>
                <w:spacing w:val="0"/>
                <w:w w:val="100"/>
                <w:position w:val="0"/>
              </w:rPr>
              <w:t>1</w:t>
            </w:r>
            <w:r>
              <w:rPr>
                <w:color w:val="000000"/>
                <w:spacing w:val="0"/>
                <w:w w:val="100"/>
                <w:position w:val="0"/>
              </w:rPr>
              <w:t>） 启动条件：公司自本次发行并上市之日起三年内，一旦出现 连续</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个交易日公司股票收盘价均低于公司上一个会计年 度末经审计的每股净资产情形时（每股净资产</w:t>
            </w:r>
            <w:r>
              <w:rPr>
                <w:rFonts w:ascii="Times New Roman" w:eastAsia="Times New Roman" w:hAnsi="Times New Roman" w:cs="Times New Roman"/>
                <w:color w:val="000000"/>
                <w:spacing w:val="0"/>
                <w:w w:val="100"/>
                <w:position w:val="0"/>
              </w:rPr>
              <w:t>=</w:t>
            </w:r>
            <w:r>
              <w:rPr>
                <w:color w:val="000000"/>
                <w:spacing w:val="0"/>
                <w:w w:val="100"/>
                <w:position w:val="0"/>
              </w:rPr>
              <w:t>合并财务报 表中归属于母公司普通股股东权益合计数</w:t>
            </w:r>
            <w:r>
              <w:rPr>
                <w:rFonts w:ascii="Times New Roman" w:eastAsia="Times New Roman" w:hAnsi="Times New Roman" w:cs="Times New Roman"/>
                <w:color w:val="000000"/>
                <w:spacing w:val="0"/>
                <w:w w:val="100"/>
                <w:position w:val="0"/>
              </w:rPr>
              <w:t>+</w:t>
            </w:r>
            <w:r>
              <w:rPr>
                <w:color w:val="000000"/>
                <w:spacing w:val="0"/>
                <w:w w:val="100"/>
                <w:position w:val="0"/>
              </w:rPr>
              <w:t>年末公司股份总 数；若因除权除息等事项致使上述股票收盘价与公司上一会 计年度末经审计的每股净资产不具可比性的，上述股票收盘 价应做相应调整，下同），公司将采取如公司回购股份、公 司控股股东</w:t>
            </w:r>
            <w:r>
              <w:rPr>
                <w:rFonts w:ascii="Times New Roman" w:eastAsia="Times New Roman" w:hAnsi="Times New Roman" w:cs="Times New Roman"/>
                <w:color w:val="000000"/>
                <w:spacing w:val="0"/>
                <w:w w:val="100"/>
                <w:position w:val="0"/>
              </w:rPr>
              <w:t>/</w:t>
            </w:r>
            <w:r>
              <w:rPr>
                <w:color w:val="000000"/>
                <w:spacing w:val="0"/>
                <w:w w:val="100"/>
                <w:position w:val="0"/>
              </w:rPr>
              <w:t>董事（独立董事除外）</w:t>
            </w:r>
            <w:r>
              <w:rPr>
                <w:rFonts w:ascii="Times New Roman" w:eastAsia="Times New Roman" w:hAnsi="Times New Roman" w:cs="Times New Roman"/>
                <w:color w:val="000000"/>
                <w:spacing w:val="0"/>
                <w:w w:val="100"/>
                <w:position w:val="0"/>
              </w:rPr>
              <w:t>/</w:t>
            </w:r>
            <w:r>
              <w:rPr>
                <w:color w:val="000000"/>
                <w:spacing w:val="0"/>
                <w:w w:val="100"/>
                <w:position w:val="0"/>
              </w:rPr>
              <w:t>高级管理人员增持公司 股份等一项或者多项措施稳定公司股价，并保证该等股价稳 定措施实施后，公司的股权分布仍符合上市条件。（</w:t>
            </w:r>
            <w:r>
              <w:rPr>
                <w:rFonts w:ascii="Times New Roman" w:eastAsia="Times New Roman" w:hAnsi="Times New Roman" w:cs="Times New Roman"/>
                <w:color w:val="000000"/>
                <w:spacing w:val="0"/>
                <w:w w:val="100"/>
                <w:position w:val="0"/>
              </w:rPr>
              <w:t>2</w:t>
            </w:r>
            <w:r>
              <w:rPr>
                <w:color w:val="000000"/>
                <w:spacing w:val="0"/>
                <w:w w:val="100"/>
                <w:position w:val="0"/>
              </w:rPr>
              <w:t>）稳定 股价具体方案的审议程序：公司应当在前述稳定股价措施的 启动条件成立后</w:t>
            </w:r>
            <w:r>
              <w:rPr>
                <w:rFonts w:ascii="Times New Roman" w:eastAsia="Times New Roman" w:hAnsi="Times New Roman" w:cs="Times New Roman"/>
                <w:color w:val="000000"/>
                <w:spacing w:val="0"/>
                <w:w w:val="100"/>
                <w:position w:val="0"/>
              </w:rPr>
              <w:t>5</w:t>
            </w:r>
            <w:r>
              <w:rPr>
                <w:color w:val="000000"/>
                <w:spacing w:val="0"/>
                <w:w w:val="100"/>
                <w:position w:val="0"/>
              </w:rPr>
              <w:t>个交易日内召开董事会、</w:t>
            </w:r>
            <w:r>
              <w:rPr>
                <w:rFonts w:ascii="Times New Roman" w:eastAsia="Times New Roman" w:hAnsi="Times New Roman" w:cs="Times New Roman"/>
                <w:color w:val="000000"/>
                <w:spacing w:val="0"/>
                <w:w w:val="100"/>
                <w:position w:val="0"/>
              </w:rPr>
              <w:t>25</w:t>
            </w:r>
            <w:r>
              <w:rPr>
                <w:color w:val="000000"/>
                <w:spacing w:val="0"/>
                <w:w w:val="100"/>
                <w:position w:val="0"/>
              </w:rPr>
              <w:t>个交易日内 召开股东大会，审议稳定股价具体方案。相关责任方应在股 东大会审议通过该等方案后的</w:t>
            </w:r>
            <w:r>
              <w:rPr>
                <w:rFonts w:ascii="Times New Roman" w:eastAsia="Times New Roman" w:hAnsi="Times New Roman" w:cs="Times New Roman"/>
                <w:color w:val="000000"/>
                <w:spacing w:val="0"/>
                <w:w w:val="100"/>
                <w:position w:val="0"/>
              </w:rPr>
              <w:t>5</w:t>
            </w:r>
            <w:r>
              <w:rPr>
                <w:color w:val="000000"/>
                <w:spacing w:val="0"/>
                <w:w w:val="100"/>
                <w:position w:val="0"/>
              </w:rPr>
              <w:t>个交易日内，启动稳定股价 具体方案的实施。</w:t>
            </w:r>
            <w:r>
              <w:rPr>
                <w:rFonts w:ascii="Times New Roman" w:eastAsia="Times New Roman" w:hAnsi="Times New Roman" w:cs="Times New Roman"/>
                <w:color w:val="000000"/>
                <w:spacing w:val="0"/>
                <w:w w:val="100"/>
                <w:position w:val="0"/>
              </w:rPr>
              <w:t>2</w:t>
            </w:r>
            <w:r>
              <w:rPr>
                <w:color w:val="000000"/>
                <w:spacing w:val="0"/>
                <w:w w:val="100"/>
                <w:position w:val="0"/>
              </w:rPr>
              <w:t>、停止条件在经股东大会审议通过的稳 定股价具体方案正式公告之日起至其实施完毕之日的期间 内，如在连续</w:t>
            </w:r>
            <w:r>
              <w:rPr>
                <w:rFonts w:ascii="Times New Roman" w:eastAsia="Times New Roman" w:hAnsi="Times New Roman" w:cs="Times New Roman"/>
                <w:color w:val="000000"/>
                <w:spacing w:val="0"/>
                <w:w w:val="100"/>
                <w:position w:val="0"/>
              </w:rPr>
              <w:t>5</w:t>
            </w:r>
            <w:r>
              <w:rPr>
                <w:color w:val="000000"/>
                <w:spacing w:val="0"/>
                <w:w w:val="100"/>
                <w:position w:val="0"/>
              </w:rPr>
              <w:t>个交易日内，公司股票收盘价均不低于公司 上一个会计年度末经审计的每股净资产时，将停止实施稳定 股价具体方案。（二）稳定股价的具体措施</w:t>
            </w:r>
            <w:r>
              <w:rPr>
                <w:rFonts w:ascii="Times New Roman" w:eastAsia="Times New Roman" w:hAnsi="Times New Roman" w:cs="Times New Roman"/>
                <w:color w:val="000000"/>
                <w:spacing w:val="0"/>
                <w:w w:val="100"/>
                <w:position w:val="0"/>
              </w:rPr>
              <w:t>1</w:t>
            </w:r>
            <w:r>
              <w:rPr>
                <w:color w:val="000000"/>
                <w:spacing w:val="0"/>
                <w:w w:val="100"/>
                <w:position w:val="0"/>
              </w:rPr>
              <w:t>、公司回购股 份公司根据股东大会审议通过的稳定股价具体方案而回购 股份的，应当符合《上市公司回购社会公众股份管理办法（试 行）》等法律、法规、规范性文件和公司章程的规定，并按 照该等规定的要求履行有关向社会公众股东回购公司股份 的具体程序。公司回购股份的方式为集中竞价交易方式、要 约方式或中国证监会认可的其他方式。如公司采取回购股份 的稳定股价措施，应遵循下述原则：（</w:t>
            </w:r>
            <w:r>
              <w:rPr>
                <w:rFonts w:ascii="Times New Roman" w:eastAsia="Times New Roman" w:hAnsi="Times New Roman" w:cs="Times New Roman"/>
                <w:color w:val="000000"/>
                <w:spacing w:val="0"/>
                <w:w w:val="100"/>
                <w:position w:val="0"/>
              </w:rPr>
              <w:t>1</w:t>
            </w:r>
            <w:r>
              <w:rPr>
                <w:color w:val="000000"/>
                <w:spacing w:val="0"/>
                <w:w w:val="100"/>
                <w:position w:val="0"/>
              </w:rPr>
              <w:t>）公司用于回购股份 的资金总额累计不超过公司首次公开发行新股所募集资金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8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的总额；（</w:t>
            </w:r>
            <w:r>
              <w:rPr>
                <w:rFonts w:ascii="Times New Roman" w:eastAsia="Times New Roman" w:hAnsi="Times New Roman" w:cs="Times New Roman"/>
                <w:color w:val="000000"/>
                <w:spacing w:val="0"/>
                <w:w w:val="100"/>
                <w:position w:val="0"/>
              </w:rPr>
              <w:t>2</w:t>
            </w:r>
            <w:r>
              <w:rPr>
                <w:color w:val="000000"/>
                <w:spacing w:val="0"/>
                <w:w w:val="100"/>
                <w:position w:val="0"/>
              </w:rPr>
              <w:t>）单次用于回购股份的资金金额不高于上一个会 计年度经审计的归属于母公司所有者的净利润的</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单一会计年度用于回购股份的资金金额合计不超过上一会 计年度经审计的归属于母公司所有者的净利润的</w:t>
            </w:r>
            <w:r>
              <w:rPr>
                <w:rFonts w:ascii="Times New Roman" w:eastAsia="Times New Roman" w:hAnsi="Times New Roman" w:cs="Times New Roman"/>
                <w:color w:val="000000"/>
                <w:spacing w:val="0"/>
                <w:w w:val="100"/>
                <w:position w:val="0"/>
              </w:rPr>
              <w:t>30%</w:t>
            </w:r>
            <w:r>
              <w:rPr>
                <w:color w:val="000000"/>
                <w:spacing w:val="0"/>
                <w:w w:val="100"/>
                <w:position w:val="0"/>
              </w:rPr>
              <w:t>。超 过上述标准的，本项股价稳定措施在当年度不再继续实施。 但如下一年度继续出现稳定股价情形的，公司将继续按照上 述原则执行。</w:t>
            </w:r>
            <w:r>
              <w:rPr>
                <w:rFonts w:ascii="Times New Roman" w:eastAsia="Times New Roman" w:hAnsi="Times New Roman" w:cs="Times New Roman"/>
                <w:color w:val="000000"/>
                <w:spacing w:val="0"/>
                <w:w w:val="100"/>
                <w:position w:val="0"/>
              </w:rPr>
              <w:t>2</w:t>
            </w:r>
            <w:r>
              <w:rPr>
                <w:color w:val="000000"/>
                <w:spacing w:val="0"/>
                <w:w w:val="100"/>
                <w:position w:val="0"/>
              </w:rPr>
              <w:t>、控股股东增持股份根据公司控股股东出 具的承诺函，若稳定股价具体方案涉及控股股东增持股份措 施的，则在实施完毕稳定股价具体方案中的公司回购股份措 施后，连续</w:t>
            </w:r>
            <w:r>
              <w:rPr>
                <w:rFonts w:ascii="Times New Roman" w:eastAsia="Times New Roman" w:hAnsi="Times New Roman" w:cs="Times New Roman"/>
                <w:color w:val="000000"/>
                <w:spacing w:val="0"/>
                <w:w w:val="100"/>
                <w:position w:val="0"/>
              </w:rPr>
              <w:t>10</w:t>
            </w:r>
            <w:r>
              <w:rPr>
                <w:color w:val="000000"/>
                <w:spacing w:val="0"/>
                <w:w w:val="100"/>
                <w:position w:val="0"/>
              </w:rPr>
              <w:t>个交易日每日股票收盘价均低于最近一期经 审计的每股净资产（审计基准日后发生权益分派、公积金转 增股本、配股等情况的，应做除权、除息处理），公司控股 股东根据法律、法规、规范性文件和公司章程的规定以增持 公司股票的形式稳定公司股价。公司控股股东以增持公司股 票的形式稳定公司股价，遵循下述规则：（</w:t>
            </w:r>
            <w:r>
              <w:rPr>
                <w:rFonts w:ascii="Times New Roman" w:eastAsia="Times New Roman" w:hAnsi="Times New Roman" w:cs="Times New Roman"/>
                <w:color w:val="000000"/>
                <w:spacing w:val="0"/>
                <w:w w:val="100"/>
                <w:position w:val="0"/>
              </w:rPr>
              <w:t>1</w:t>
            </w:r>
            <w:r>
              <w:rPr>
                <w:color w:val="000000"/>
                <w:spacing w:val="0"/>
                <w:w w:val="100"/>
                <w:position w:val="0"/>
              </w:rPr>
              <w:t>）在股东大会审 议通过的单个稳定股价具体方案中，用于增持股票的资金金 额不低于其最近一次获得的现金分红金额的</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）在一 个会计年度内股东大会审议通过了多个稳定股价具体方案 的情况下，股东在该会计年度内用于增持股票的资金金额合 计不超过该股东最近一次获得的公司现金分红金额的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）在增持行为完成后的</w:t>
            </w:r>
            <w:r>
              <w:rPr>
                <w:rFonts w:ascii="Times New Roman" w:eastAsia="Times New Roman" w:hAnsi="Times New Roman" w:cs="Times New Roman"/>
                <w:color w:val="000000"/>
                <w:spacing w:val="0"/>
                <w:w w:val="100"/>
                <w:position w:val="0"/>
              </w:rPr>
              <w:t>6</w:t>
            </w:r>
            <w:r>
              <w:rPr>
                <w:color w:val="000000"/>
                <w:spacing w:val="0"/>
                <w:w w:val="100"/>
                <w:position w:val="0"/>
              </w:rPr>
              <w:t>个月内将不出售所增持的股份。 超过上述第（</w:t>
            </w:r>
            <w:r>
              <w:rPr>
                <w:rFonts w:ascii="Times New Roman" w:eastAsia="Times New Roman" w:hAnsi="Times New Roman" w:cs="Times New Roman"/>
                <w:color w:val="000000"/>
                <w:spacing w:val="0"/>
                <w:w w:val="100"/>
                <w:position w:val="0"/>
              </w:rPr>
              <w:t>2</w:t>
            </w:r>
            <w:r>
              <w:rPr>
                <w:color w:val="000000"/>
                <w:spacing w:val="0"/>
                <w:w w:val="100"/>
                <w:position w:val="0"/>
              </w:rPr>
              <w:t>）项标准的，本项股价稳定措施在当年度不 再继续实施。但如下一会计年度继续出现稳定股价情形的， 控股股东将继续按照上述原则执行。</w:t>
            </w:r>
            <w:r>
              <w:rPr>
                <w:rFonts w:ascii="Times New Roman" w:eastAsia="Times New Roman" w:hAnsi="Times New Roman" w:cs="Times New Roman"/>
                <w:color w:val="000000"/>
                <w:spacing w:val="0"/>
                <w:w w:val="100"/>
                <w:position w:val="0"/>
              </w:rPr>
              <w:t>3</w:t>
            </w:r>
            <w:r>
              <w:rPr>
                <w:color w:val="000000"/>
                <w:spacing w:val="0"/>
                <w:w w:val="100"/>
                <w:position w:val="0"/>
              </w:rPr>
              <w:t xml:space="preserve">、董事（独立董事除 外）、高级管理人员增持股份根据公司董事（独立董事除外， 下同）、高级管理人员出具的承诺函，若稳定股价具体方案 涉及公司董事、高级管理人员增持股份措施的，则在实施完 毕稳定股价具体方案中的控股股东增持股份措施后，连续 </w:t>
            </w:r>
            <w:r>
              <w:rPr>
                <w:rFonts w:ascii="Times New Roman" w:eastAsia="Times New Roman" w:hAnsi="Times New Roman" w:cs="Times New Roman"/>
                <w:color w:val="000000"/>
                <w:spacing w:val="0"/>
                <w:w w:val="100"/>
                <w:position w:val="0"/>
              </w:rPr>
              <w:t>10</w:t>
            </w:r>
            <w:r>
              <w:rPr>
                <w:color w:val="000000"/>
                <w:spacing w:val="0"/>
                <w:w w:val="100"/>
                <w:position w:val="0"/>
              </w:rPr>
              <w:t>个交易日每日股票收盘价均低于最近一期经审计的每股 净资产（审计基准日后发生权益分派、公积金转增股本、配 股等情况的，应做除权、除息处理），公司董事、高级管理 人员将根据法律、法规、规范性文件和公司章程的规定以增 持公司股票的形式稳定公司股价。公司董事、高级管理人员 以增持公司股票的形式稳定公司股价，应遵循下述原则：</w:t>
            </w:r>
          </w:p>
          <w:p>
            <w:pPr>
              <w:pStyle w:val="Style20"/>
              <w:keepNext w:val="0"/>
              <w:keepLines w:val="0"/>
              <w:widowControl w:val="0"/>
              <w:shd w:val="clear" w:color="auto" w:fill="auto"/>
              <w:tabs>
                <w:tab w:pos="141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）在股东大会审议通过的单个稳定股价具体方案中，董 事、高级管理人员用于增持股份的资金金额不低于其因担任 董事、高级管理人员而在最近一个会计年度从公司领取的税 后薪酬的</w:t>
            </w:r>
            <w:r>
              <w:rPr>
                <w:rFonts w:ascii="Times New Roman" w:eastAsia="Times New Roman" w:hAnsi="Times New Roman" w:cs="Times New Roman"/>
                <w:color w:val="000000"/>
                <w:spacing w:val="0"/>
                <w:w w:val="100"/>
                <w:position w:val="0"/>
              </w:rPr>
              <w:t>10%</w:t>
            </w:r>
            <w:r>
              <w:rPr>
                <w:color w:val="000000"/>
                <w:spacing w:val="0"/>
                <w:w w:val="100"/>
                <w:position w:val="0"/>
              </w:rPr>
              <w:t>；</w:t>
              <w:tab/>
              <w:t>（</w:t>
            </w:r>
            <w:r>
              <w:rPr>
                <w:rFonts w:ascii="Times New Roman" w:eastAsia="Times New Roman" w:hAnsi="Times New Roman" w:cs="Times New Roman"/>
                <w:color w:val="000000"/>
                <w:spacing w:val="0"/>
                <w:w w:val="100"/>
                <w:position w:val="0"/>
              </w:rPr>
              <w:t>2</w:t>
            </w:r>
            <w:r>
              <w:rPr>
                <w:color w:val="000000"/>
                <w:spacing w:val="0"/>
                <w:w w:val="100"/>
                <w:position w:val="0"/>
              </w:rPr>
              <w:t>）在一个会计年度内股东大会审议通过</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了多个稳定股价具体方案的情况下，董事、高级管理人员用 于增持股份的资金金额不超过其因担任董事、高级管理人员 而在最近一个会计年度从公司领取的税后薪酬的</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在增持行为完成后的</w:t>
            </w:r>
            <w:r>
              <w:rPr>
                <w:rFonts w:ascii="Times New Roman" w:eastAsia="Times New Roman" w:hAnsi="Times New Roman" w:cs="Times New Roman"/>
                <w:color w:val="000000"/>
                <w:spacing w:val="0"/>
                <w:w w:val="100"/>
                <w:position w:val="0"/>
              </w:rPr>
              <w:t>6</w:t>
            </w:r>
            <w:r>
              <w:rPr>
                <w:color w:val="000000"/>
                <w:spacing w:val="0"/>
                <w:w w:val="100"/>
                <w:position w:val="0"/>
              </w:rPr>
              <w:t>个月内将不出售所增持的股份。超 过上述第（</w:t>
            </w:r>
            <w:r>
              <w:rPr>
                <w:rFonts w:ascii="Times New Roman" w:eastAsia="Times New Roman" w:hAnsi="Times New Roman" w:cs="Times New Roman"/>
                <w:color w:val="000000"/>
                <w:spacing w:val="0"/>
                <w:w w:val="100"/>
                <w:position w:val="0"/>
              </w:rPr>
              <w:t>2</w:t>
            </w:r>
            <w:r>
              <w:rPr>
                <w:color w:val="000000"/>
                <w:spacing w:val="0"/>
                <w:w w:val="100"/>
                <w:position w:val="0"/>
              </w:rPr>
              <w:t>）项标准的，本项股价稳定措施在当年度不再 继续实施。但如下一会计年度继续出现稳定股价情形的，公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81"/>
      </w:tblGrid>
      <w:tr>
        <w:trPr>
          <w:trHeight w:val="754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司董事、高级管理人员将继续按照上述原则执行。</w:t>
            </w:r>
            <w:r>
              <w:rPr>
                <w:rFonts w:ascii="Times New Roman" w:eastAsia="Times New Roman" w:hAnsi="Times New Roman" w:cs="Times New Roman"/>
                <w:color w:val="000000"/>
                <w:spacing w:val="0"/>
                <w:w w:val="100"/>
                <w:position w:val="0"/>
              </w:rPr>
              <w:t>4</w:t>
            </w:r>
            <w:r>
              <w:rPr>
                <w:color w:val="000000"/>
                <w:spacing w:val="0"/>
                <w:w w:val="100"/>
                <w:position w:val="0"/>
              </w:rPr>
              <w:t>、其他 稳定股价措施当股价稳定措施的启动条件成立时，公司还 可以依照法律、法规、规范性文件、公司章程及公司内部治 理制度的规定，及时履行相关法定程序后采取以下措施稳定 公司股价：（</w:t>
            </w:r>
            <w:r>
              <w:rPr>
                <w:rFonts w:ascii="Times New Roman" w:eastAsia="Times New Roman" w:hAnsi="Times New Roman" w:cs="Times New Roman"/>
                <w:color w:val="000000"/>
                <w:spacing w:val="0"/>
                <w:w w:val="100"/>
                <w:position w:val="0"/>
              </w:rPr>
              <w:t>1</w:t>
            </w:r>
            <w:r>
              <w:rPr>
                <w:color w:val="000000"/>
                <w:spacing w:val="0"/>
                <w:w w:val="100"/>
                <w:position w:val="0"/>
              </w:rPr>
              <w:t>）在保证公司经营资金需求的前提下，实施利 润分配或资本公积金转增股本；（</w:t>
            </w:r>
            <w:r>
              <w:rPr>
                <w:rFonts w:ascii="Times New Roman" w:eastAsia="Times New Roman" w:hAnsi="Times New Roman" w:cs="Times New Roman"/>
                <w:color w:val="000000"/>
                <w:spacing w:val="0"/>
                <w:w w:val="100"/>
                <w:position w:val="0"/>
              </w:rPr>
              <w:t>2</w:t>
            </w:r>
            <w:r>
              <w:rPr>
                <w:color w:val="000000"/>
                <w:spacing w:val="0"/>
                <w:w w:val="100"/>
                <w:position w:val="0"/>
              </w:rPr>
              <w:t>）限制高级管理人员薪酬； （</w:t>
            </w:r>
            <w:r>
              <w:rPr>
                <w:rFonts w:ascii="Times New Roman" w:eastAsia="Times New Roman" w:hAnsi="Times New Roman" w:cs="Times New Roman"/>
                <w:color w:val="000000"/>
                <w:spacing w:val="0"/>
                <w:w w:val="100"/>
                <w:position w:val="0"/>
              </w:rPr>
              <w:t>3</w:t>
            </w:r>
            <w:r>
              <w:rPr>
                <w:color w:val="000000"/>
                <w:spacing w:val="0"/>
                <w:w w:val="100"/>
                <w:position w:val="0"/>
              </w:rPr>
              <w:t>）法律、行政法规、规范性文件规定以及中国证监会认 可的其他方式。（三）股价稳定措施的豁免情形股东大会审 议通过的股价稳定具体方案实施完毕后的</w:t>
            </w:r>
            <w:r>
              <w:rPr>
                <w:rFonts w:ascii="Times New Roman" w:eastAsia="Times New Roman" w:hAnsi="Times New Roman" w:cs="Times New Roman"/>
                <w:color w:val="000000"/>
                <w:spacing w:val="0"/>
                <w:w w:val="100"/>
                <w:position w:val="0"/>
              </w:rPr>
              <w:t>90</w:t>
            </w:r>
            <w:r>
              <w:rPr>
                <w:color w:val="000000"/>
                <w:spacing w:val="0"/>
                <w:w w:val="100"/>
                <w:position w:val="0"/>
              </w:rPr>
              <w:t>个交易日内， 如股价稳定措施的启动条件成立的，公司不再继续实施稳定 股价措施。</w:t>
            </w:r>
            <w:r>
              <w:rPr>
                <w:rFonts w:ascii="Times New Roman" w:eastAsia="Times New Roman" w:hAnsi="Times New Roman" w:cs="Times New Roman"/>
                <w:color w:val="000000"/>
                <w:spacing w:val="0"/>
                <w:w w:val="100"/>
                <w:position w:val="0"/>
              </w:rPr>
              <w:t>90</w:t>
            </w:r>
            <w:r>
              <w:rPr>
                <w:color w:val="000000"/>
                <w:spacing w:val="0"/>
                <w:w w:val="100"/>
                <w:position w:val="0"/>
              </w:rPr>
              <w:t>个交易日后，启动条件再次成立时，公司将 再次启动稳定股价具体方案的审议程序。尚未实施或者未履 行完毕的稳定股价具体方案因停止条件成立而停止实施的， 则自稳定股价具体方案停止实施后的</w:t>
            </w:r>
            <w:r>
              <w:rPr>
                <w:rFonts w:ascii="Times New Roman" w:eastAsia="Times New Roman" w:hAnsi="Times New Roman" w:cs="Times New Roman"/>
                <w:color w:val="000000"/>
                <w:spacing w:val="0"/>
                <w:w w:val="100"/>
                <w:position w:val="0"/>
              </w:rPr>
              <w:t>90</w:t>
            </w:r>
            <w:r>
              <w:rPr>
                <w:color w:val="000000"/>
                <w:spacing w:val="0"/>
                <w:w w:val="100"/>
                <w:position w:val="0"/>
              </w:rPr>
              <w:t>个交易日内不再继 续实施稳定股价措施。</w:t>
            </w:r>
            <w:r>
              <w:rPr>
                <w:rFonts w:ascii="Times New Roman" w:eastAsia="Times New Roman" w:hAnsi="Times New Roman" w:cs="Times New Roman"/>
                <w:color w:val="000000"/>
                <w:spacing w:val="0"/>
                <w:w w:val="100"/>
                <w:position w:val="0"/>
              </w:rPr>
              <w:t>90</w:t>
            </w:r>
            <w:r>
              <w:rPr>
                <w:color w:val="000000"/>
                <w:spacing w:val="0"/>
                <w:w w:val="100"/>
                <w:position w:val="0"/>
              </w:rPr>
              <w:t>个交易日后，启动条件再次成立 时，公司将再次启动稳定股价具体方案的审议程序。（四） 限制条件公司采取任何股价稳定措施均应符合法律、法规、 规范性文件和公司章程的规定，并确保不影响公司的上市地 位。（五）其他公司在未来聘任新的董事（独立董事除外）、 高级管理人员前，将要求其签署承诺书，保证其履行公司首 次公开发行上市时董事（独立董事除外）、高级管理人员已 做出的稳定股价承诺，并要求其按照公司首次公开发行上市 时董事（独立董事除外）、高级管理人员的承诺提出未履行 承诺的约束措施。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方培豪</w:t>
            </w:r>
            <w:r>
              <w:rPr>
                <w:rFonts w:ascii="Times New Roman" w:eastAsia="Times New Roman" w:hAnsi="Times New Roman" w:cs="Times New Roman"/>
                <w:color w:val="000000"/>
                <w:spacing w:val="0"/>
                <w:w w:val="100"/>
                <w:position w:val="0"/>
              </w:rPr>
              <w:t>;</w:t>
            </w:r>
            <w:r>
              <w:rPr>
                <w:color w:val="000000"/>
                <w:spacing w:val="0"/>
                <w:w w:val="100"/>
                <w:position w:val="0"/>
              </w:rPr>
              <w:t>胡永乐</w:t>
            </w:r>
            <w:r>
              <w:rPr>
                <w:rFonts w:ascii="Times New Roman" w:eastAsia="Times New Roman" w:hAnsi="Times New Roman" w:cs="Times New Roman"/>
                <w:color w:val="000000"/>
                <w:spacing w:val="0"/>
                <w:w w:val="100"/>
                <w:position w:val="0"/>
              </w:rPr>
              <w:t>;</w:t>
            </w:r>
            <w:r>
              <w:rPr>
                <w:color w:val="000000"/>
                <w:spacing w:val="0"/>
                <w:w w:val="100"/>
                <w:position w:val="0"/>
              </w:rPr>
              <w:t>李 建国</w:t>
            </w:r>
            <w:r>
              <w:rPr>
                <w:rFonts w:ascii="Times New Roman" w:eastAsia="Times New Roman" w:hAnsi="Times New Roman" w:cs="Times New Roman"/>
                <w:color w:val="000000"/>
                <w:spacing w:val="0"/>
                <w:w w:val="100"/>
                <w:position w:val="0"/>
              </w:rPr>
              <w:t>;</w:t>
            </w:r>
            <w:r>
              <w:rPr>
                <w:color w:val="000000"/>
                <w:spacing w:val="0"/>
                <w:w w:val="100"/>
                <w:position w:val="0"/>
              </w:rPr>
              <w:t>李胜兰</w:t>
            </w:r>
            <w:r>
              <w:rPr>
                <w:rFonts w:ascii="Times New Roman" w:eastAsia="Times New Roman" w:hAnsi="Times New Roman" w:cs="Times New Roman"/>
                <w:color w:val="000000"/>
                <w:spacing w:val="0"/>
                <w:w w:val="100"/>
                <w:position w:val="0"/>
              </w:rPr>
              <w:t>;</w:t>
            </w:r>
            <w:r>
              <w:rPr>
                <w:color w:val="000000"/>
                <w:spacing w:val="0"/>
                <w:w w:val="100"/>
                <w:position w:val="0"/>
              </w:rPr>
              <w:t>梁 姬</w:t>
            </w:r>
            <w:r>
              <w:rPr>
                <w:rFonts w:ascii="Times New Roman" w:eastAsia="Times New Roman" w:hAnsi="Times New Roman" w:cs="Times New Roman"/>
                <w:color w:val="000000"/>
                <w:spacing w:val="0"/>
                <w:w w:val="100"/>
                <w:position w:val="0"/>
              </w:rPr>
              <w:t>;</w:t>
            </w:r>
            <w:r>
              <w:rPr>
                <w:color w:val="000000"/>
                <w:spacing w:val="0"/>
                <w:w w:val="100"/>
                <w:position w:val="0"/>
              </w:rPr>
              <w:t>马英华</w:t>
            </w:r>
            <w:r>
              <w:rPr>
                <w:rFonts w:ascii="Times New Roman" w:eastAsia="Times New Roman" w:hAnsi="Times New Roman" w:cs="Times New Roman"/>
                <w:color w:val="000000"/>
                <w:spacing w:val="0"/>
                <w:w w:val="100"/>
                <w:position w:val="0"/>
              </w:rPr>
              <w:t>;</w:t>
            </w:r>
            <w:r>
              <w:rPr>
                <w:color w:val="000000"/>
                <w:spacing w:val="0"/>
                <w:w w:val="100"/>
                <w:position w:val="0"/>
              </w:rPr>
              <w:t>沈湘 平</w:t>
            </w:r>
            <w:r>
              <w:rPr>
                <w:rFonts w:ascii="Times New Roman" w:eastAsia="Times New Roman" w:hAnsi="Times New Roman" w:cs="Times New Roman"/>
                <w:color w:val="000000"/>
                <w:spacing w:val="0"/>
                <w:w w:val="100"/>
                <w:position w:val="0"/>
              </w:rPr>
              <w:t>;</w:t>
            </w:r>
            <w:r>
              <w:rPr>
                <w:color w:val="000000"/>
                <w:spacing w:val="0"/>
                <w:w w:val="100"/>
                <w:position w:val="0"/>
              </w:rPr>
              <w:t>万海斌</w:t>
            </w:r>
            <w:r>
              <w:rPr>
                <w:rFonts w:ascii="Times New Roman" w:eastAsia="Times New Roman" w:hAnsi="Times New Roman" w:cs="Times New Roman"/>
                <w:color w:val="000000"/>
                <w:spacing w:val="0"/>
                <w:w w:val="100"/>
                <w:position w:val="0"/>
              </w:rPr>
              <w:t>;</w:t>
            </w:r>
            <w:r>
              <w:rPr>
                <w:color w:val="000000"/>
                <w:spacing w:val="0"/>
                <w:w w:val="100"/>
                <w:position w:val="0"/>
              </w:rPr>
              <w:t>许文 杰</w:t>
            </w:r>
            <w:r>
              <w:rPr>
                <w:rFonts w:ascii="Times New Roman" w:eastAsia="Times New Roman" w:hAnsi="Times New Roman" w:cs="Times New Roman"/>
                <w:color w:val="000000"/>
                <w:spacing w:val="0"/>
                <w:w w:val="100"/>
                <w:position w:val="0"/>
              </w:rPr>
              <w:t>;</w:t>
            </w:r>
            <w:r>
              <w:rPr>
                <w:color w:val="000000"/>
                <w:spacing w:val="0"/>
                <w:w w:val="100"/>
                <w:position w:val="0"/>
              </w:rPr>
              <w:t>杨兆云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董事、高级管理人员对公司填补回报措施能够得到切实履行 作出的如下承诺：</w:t>
            </w:r>
            <w:r>
              <w:rPr>
                <w:rFonts w:ascii="Times New Roman" w:eastAsia="Times New Roman" w:hAnsi="Times New Roman" w:cs="Times New Roman"/>
                <w:color w:val="000000"/>
                <w:spacing w:val="0"/>
                <w:w w:val="100"/>
                <w:position w:val="0"/>
              </w:rPr>
              <w:t>1</w:t>
            </w:r>
            <w:r>
              <w:rPr>
                <w:color w:val="000000"/>
                <w:spacing w:val="0"/>
                <w:w w:val="100"/>
                <w:position w:val="0"/>
              </w:rPr>
              <w:t>、承诺不无偿或以不公平条件向其他单 位或者个人输送利益，也不采用其他方式损害公司利益。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 承诺对董事和高级管理人员的职务消费行为进行约束。</w:t>
            </w:r>
            <w:r>
              <w:rPr>
                <w:rFonts w:ascii="Times New Roman" w:eastAsia="Times New Roman" w:hAnsi="Times New Roman" w:cs="Times New Roman"/>
                <w:color w:val="000000"/>
                <w:spacing w:val="0"/>
                <w:w w:val="100"/>
                <w:position w:val="0"/>
              </w:rPr>
              <w:t>3</w:t>
            </w:r>
            <w:r>
              <w:rPr>
                <w:color w:val="000000"/>
                <w:spacing w:val="0"/>
                <w:w w:val="100"/>
                <w:position w:val="0"/>
              </w:rPr>
              <w:t>、 承诺不动用公司资产从事与其履行职责无关的投资、消费活 动。</w:t>
            </w:r>
            <w:r>
              <w:rPr>
                <w:rFonts w:ascii="Times New Roman" w:eastAsia="Times New Roman" w:hAnsi="Times New Roman" w:cs="Times New Roman"/>
                <w:color w:val="000000"/>
                <w:spacing w:val="0"/>
                <w:w w:val="100"/>
                <w:position w:val="0"/>
              </w:rPr>
              <w:t>4</w:t>
            </w:r>
            <w:r>
              <w:rPr>
                <w:color w:val="000000"/>
                <w:spacing w:val="0"/>
                <w:w w:val="100"/>
                <w:position w:val="0"/>
              </w:rPr>
              <w:t>、承诺由董事会或薪酬委员会制定的薪酬制度与公司 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、承诺拟公布的公司股 权激励的行权条件与公司填补回报措施的执行情况相挂钩。 如本人违反上述承诺或拒不履行上述承诺，本人应在股东大 会及中国证监会指定报刊公开作出解释并道歉；如本人违反 上述承诺给公司或者股东造成损失的，本人将依法承担补偿 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2021-0</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蒋鹂北</w:t>
            </w:r>
            <w:r>
              <w:rPr>
                <w:rFonts w:ascii="Times New Roman" w:eastAsia="Times New Roman" w:hAnsi="Times New Roman" w:cs="Times New Roman"/>
                <w:color w:val="000000"/>
                <w:spacing w:val="0"/>
                <w:w w:val="100"/>
                <w:position w:val="0"/>
              </w:rPr>
              <w:t>;</w:t>
            </w:r>
            <w:r>
              <w:rPr>
                <w:color w:val="000000"/>
                <w:spacing w:val="0"/>
                <w:w w:val="100"/>
                <w:position w:val="0"/>
              </w:rPr>
              <w:t>李建国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发行人实际控制人李建国先生和蒋鹂北女士出具以下承诺： 发行人将按照相关内部控制制度，规范房产租赁，严格控制 瑕疵房产的数量及比重，确保承租的瑕疵房产数量及面积比 重在</w:t>
            </w:r>
            <w:r>
              <w:rPr>
                <w:rFonts w:ascii="Times New Roman" w:eastAsia="Times New Roman" w:hAnsi="Times New Roman" w:cs="Times New Roman"/>
                <w:color w:val="000000"/>
                <w:spacing w:val="0"/>
                <w:w w:val="100"/>
                <w:position w:val="0"/>
              </w:rPr>
              <w:t>2018</w:t>
            </w:r>
            <w:r>
              <w:rPr>
                <w:color w:val="000000"/>
                <w:spacing w:val="0"/>
                <w:w w:val="100"/>
                <w:position w:val="0"/>
              </w:rPr>
              <w:t>年底之前降至</w:t>
            </w:r>
            <w:r>
              <w:rPr>
                <w:rFonts w:ascii="Times New Roman" w:eastAsia="Times New Roman" w:hAnsi="Times New Roman" w:cs="Times New Roman"/>
                <w:color w:val="000000"/>
                <w:spacing w:val="0"/>
                <w:w w:val="100"/>
                <w:position w:val="0"/>
              </w:rPr>
              <w:t>30%</w:t>
            </w:r>
            <w:r>
              <w:rPr>
                <w:color w:val="000000"/>
                <w:spacing w:val="0"/>
                <w:w w:val="100"/>
                <w:position w:val="0"/>
              </w:rPr>
              <w:t>以下，在</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年底之前降至 </w:t>
            </w:r>
            <w:r>
              <w:rPr>
                <w:rFonts w:ascii="Times New Roman" w:eastAsia="Times New Roman" w:hAnsi="Times New Roman" w:cs="Times New Roman"/>
                <w:color w:val="000000"/>
                <w:spacing w:val="0"/>
                <w:w w:val="100"/>
                <w:position w:val="0"/>
              </w:rPr>
              <w:t>20%</w:t>
            </w:r>
            <w:r>
              <w:rPr>
                <w:color w:val="000000"/>
                <w:spacing w:val="0"/>
                <w:w w:val="100"/>
                <w:position w:val="0"/>
              </w:rPr>
              <w:t>以下，在</w:t>
            </w:r>
            <w:r>
              <w:rPr>
                <w:rFonts w:ascii="Times New Roman" w:eastAsia="Times New Roman" w:hAnsi="Times New Roman" w:cs="Times New Roman"/>
                <w:color w:val="000000"/>
                <w:spacing w:val="0"/>
                <w:w w:val="100"/>
                <w:position w:val="0"/>
              </w:rPr>
              <w:t>2020</w:t>
            </w:r>
            <w:r>
              <w:rPr>
                <w:color w:val="000000"/>
                <w:spacing w:val="0"/>
                <w:w w:val="100"/>
                <w:position w:val="0"/>
              </w:rPr>
              <w:t>年底之前降至</w:t>
            </w:r>
            <w:r>
              <w:rPr>
                <w:rFonts w:ascii="Times New Roman" w:eastAsia="Times New Roman" w:hAnsi="Times New Roman" w:cs="Times New Roman"/>
                <w:color w:val="000000"/>
                <w:spacing w:val="0"/>
                <w:w w:val="100"/>
                <w:position w:val="0"/>
              </w:rPr>
              <w:t>15%</w:t>
            </w:r>
            <w:r>
              <w:rPr>
                <w:color w:val="000000"/>
                <w:spacing w:val="0"/>
                <w:w w:val="100"/>
                <w:position w:val="0"/>
              </w:rPr>
              <w:t>以下。发行人不得租 用不符合安全标准的房屋，并定期对租赁的房屋进行全面安 全检查，避免发生安全隐患事故。若因他人主张权利或有权 部门行使职权而导致发行人及其分、子公司所签相关房屋租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履行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81"/>
      </w:tblGrid>
      <w:tr>
        <w:trPr>
          <w:trHeight w:val="19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赁合同无效或产生纠纷，导致发行人及其分、子公司需要搬 迁、被有权部门处罚或被他人追索，或因租赁瑕疵房产发生 安全隐患事故给发行人及其分、子公司造成损失的，本人愿 意无条件地代发行人及其分、子公司承担相应责任，并赔偿 其由此可能遭受的一切经济损失，且自愿放弃向发行人及其 分、子公司追偿的权利。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9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（一）发行人的承诺</w:t>
            </w:r>
            <w:r>
              <w:rPr>
                <w:rFonts w:ascii="Times New Roman" w:eastAsia="Times New Roman" w:hAnsi="Times New Roman" w:cs="Times New Roman"/>
                <w:color w:val="000000"/>
                <w:spacing w:val="0"/>
                <w:w w:val="100"/>
                <w:position w:val="0"/>
              </w:rPr>
              <w:t>1</w:t>
            </w:r>
            <w:r>
              <w:rPr>
                <w:color w:val="000000"/>
                <w:spacing w:val="0"/>
                <w:w w:val="100"/>
                <w:position w:val="0"/>
              </w:rPr>
              <w:t>、公司首次公开发行股票并上市招股 说明书不存在虚假记载、误导性陈述或者重大遗漏；</w:t>
            </w:r>
            <w:r>
              <w:rPr>
                <w:rFonts w:ascii="Times New Roman" w:eastAsia="Times New Roman" w:hAnsi="Times New Roman" w:cs="Times New Roman"/>
                <w:color w:val="000000"/>
                <w:spacing w:val="0"/>
                <w:w w:val="100"/>
                <w:position w:val="0"/>
              </w:rPr>
              <w:t>2</w:t>
            </w:r>
            <w:r>
              <w:rPr>
                <w:color w:val="000000"/>
                <w:spacing w:val="0"/>
                <w:w w:val="100"/>
                <w:position w:val="0"/>
              </w:rPr>
              <w:t>、如 公司招股说明书被相关监管机构认定存在虚假记载、误导性 陈述或者重大遗漏，对判断公司是否符合法律规定的发行条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r>
              <w:rPr>
                <w:rFonts w:ascii="Times New Roman" w:eastAsia="Times New Roman" w:hAnsi="Times New Roman" w:cs="Times New Roman"/>
                <w:color w:val="000000"/>
                <w:spacing w:val="0"/>
                <w:w w:val="100"/>
                <w:position w:val="0"/>
              </w:rPr>
              <w:t>;</w:t>
            </w:r>
            <w:r>
              <w:rPr>
                <w:color w:val="000000"/>
                <w:spacing w:val="0"/>
                <w:w w:val="100"/>
                <w:position w:val="0"/>
              </w:rPr>
              <w:t>胡永乐</w:t>
            </w:r>
            <w:r>
              <w:rPr>
                <w:rFonts w:ascii="Times New Roman" w:eastAsia="Times New Roman" w:hAnsi="Times New Roman" w:cs="Times New Roman"/>
                <w:color w:val="000000"/>
                <w:spacing w:val="0"/>
                <w:w w:val="100"/>
                <w:position w:val="0"/>
              </w:rPr>
              <w:t>;</w:t>
            </w:r>
            <w:r>
              <w:rPr>
                <w:color w:val="000000"/>
                <w:spacing w:val="0"/>
                <w:w w:val="100"/>
                <w:position w:val="0"/>
              </w:rPr>
              <w:t>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件构成重大、实质影响的，公司将在证券监督管理部门作出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建国</w:t>
            </w:r>
            <w:r>
              <w:rPr>
                <w:rFonts w:ascii="Times New Roman" w:eastAsia="Times New Roman" w:hAnsi="Times New Roman" w:cs="Times New Roman"/>
                <w:color w:val="000000"/>
                <w:spacing w:val="0"/>
                <w:w w:val="100"/>
                <w:position w:val="0"/>
              </w:rPr>
              <w:t>;</w:t>
            </w:r>
            <w:r>
              <w:rPr>
                <w:color w:val="000000"/>
                <w:spacing w:val="0"/>
                <w:w w:val="100"/>
                <w:position w:val="0"/>
              </w:rPr>
              <w:t>李胜兰</w:t>
            </w:r>
            <w:r>
              <w:rPr>
                <w:rFonts w:ascii="Times New Roman" w:eastAsia="Times New Roman" w:hAnsi="Times New Roman" w:cs="Times New Roman"/>
                <w:color w:val="000000"/>
                <w:spacing w:val="0"/>
                <w:w w:val="100"/>
                <w:position w:val="0"/>
              </w:rPr>
              <w:t>;</w:t>
            </w:r>
            <w:r>
              <w:rPr>
                <w:color w:val="000000"/>
                <w:spacing w:val="0"/>
                <w:w w:val="100"/>
                <w:position w:val="0"/>
              </w:rPr>
              <w:t>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上述认定时，依法回购首次公开发行的全部新股，回购价格</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姬</w:t>
            </w:r>
            <w:r>
              <w:rPr>
                <w:rFonts w:ascii="Times New Roman" w:eastAsia="Times New Roman" w:hAnsi="Times New Roman" w:cs="Times New Roman"/>
                <w:color w:val="000000"/>
                <w:spacing w:val="0"/>
                <w:w w:val="100"/>
                <w:position w:val="0"/>
              </w:rPr>
              <w:t>;</w:t>
            </w:r>
            <w:r>
              <w:rPr>
                <w:color w:val="000000"/>
                <w:spacing w:val="0"/>
                <w:w w:val="100"/>
                <w:position w:val="0"/>
              </w:rPr>
              <w:t>马英华</w:t>
            </w:r>
            <w:r>
              <w:rPr>
                <w:rFonts w:ascii="Times New Roman" w:eastAsia="Times New Roman" w:hAnsi="Times New Roman" w:cs="Times New Roman"/>
                <w:color w:val="000000"/>
                <w:spacing w:val="0"/>
                <w:w w:val="100"/>
                <w:position w:val="0"/>
              </w:rPr>
              <w:t>;</w:t>
            </w:r>
            <w:r>
              <w:rPr>
                <w:color w:val="000000"/>
                <w:spacing w:val="0"/>
                <w:w w:val="100"/>
                <w:position w:val="0"/>
              </w:rPr>
              <w:t>欧宇</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按照发行价加算银行同期存款利息确定；</w:t>
            </w:r>
            <w:r>
              <w:rPr>
                <w:rFonts w:ascii="Times New Roman" w:eastAsia="Times New Roman" w:hAnsi="Times New Roman" w:cs="Times New Roman"/>
                <w:color w:val="000000"/>
                <w:spacing w:val="0"/>
                <w:w w:val="100"/>
                <w:position w:val="0"/>
              </w:rPr>
              <w:t>3</w:t>
            </w:r>
            <w:r>
              <w:rPr>
                <w:color w:val="000000"/>
                <w:spacing w:val="0"/>
                <w:w w:val="100"/>
                <w:position w:val="0"/>
              </w:rPr>
              <w:t>、如公司招股说</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及法</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w:t>
            </w:r>
          </w:p>
        </w:tc>
      </w:tr>
      <w:tr>
        <w:trPr>
          <w:trHeight w:val="61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菲</w:t>
            </w:r>
            <w:r>
              <w:rPr>
                <w:rFonts w:ascii="Times New Roman" w:eastAsia="Times New Roman" w:hAnsi="Times New Roman" w:cs="Times New Roman"/>
                <w:color w:val="000000"/>
                <w:spacing w:val="0"/>
                <w:w w:val="100"/>
                <w:position w:val="0"/>
              </w:rPr>
              <w:t>;</w:t>
            </w:r>
            <w:r>
              <w:rPr>
                <w:color w:val="000000"/>
                <w:spacing w:val="0"/>
                <w:w w:val="100"/>
                <w:position w:val="0"/>
              </w:rPr>
              <w:t>润建通信股份 有限公司</w:t>
            </w:r>
            <w:r>
              <w:rPr>
                <w:rFonts w:ascii="Times New Roman" w:eastAsia="Times New Roman" w:hAnsi="Times New Roman" w:cs="Times New Roman"/>
                <w:color w:val="000000"/>
                <w:spacing w:val="0"/>
                <w:w w:val="100"/>
                <w:position w:val="0"/>
              </w:rPr>
              <w:t>;</w:t>
            </w:r>
            <w:r>
              <w:rPr>
                <w:color w:val="000000"/>
                <w:spacing w:val="0"/>
                <w:w w:val="100"/>
                <w:position w:val="0"/>
              </w:rPr>
              <w:t>沈湘平</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明书被相关监管机构认定存在虚假记载、误导性陈述或者重 大遗漏，致使投资者在证券交易中遭受损失的，公司将依法</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求的</w:t>
            </w:r>
          </w:p>
        </w:tc>
        <w:tc>
          <w:tcPr>
            <w:tcBorders>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r>
              <w:rPr>
                <w:rFonts w:ascii="Times New Roman" w:eastAsia="Times New Roman" w:hAnsi="Times New Roman" w:cs="Times New Roman"/>
                <w:color w:val="000000"/>
                <w:spacing w:val="0"/>
                <w:w w:val="100"/>
                <w:position w:val="0"/>
              </w:rPr>
              <w:t>;</w:t>
            </w:r>
            <w:r>
              <w:rPr>
                <w:color w:val="000000"/>
                <w:spacing w:val="0"/>
                <w:w w:val="100"/>
                <w:position w:val="0"/>
              </w:rPr>
              <w:t>陶秋鸿</w:t>
            </w:r>
            <w:r>
              <w:rPr>
                <w:rFonts w:ascii="Times New Roman" w:eastAsia="Times New Roman" w:hAnsi="Times New Roman" w:cs="Times New Roman"/>
                <w:color w:val="000000"/>
                <w:spacing w:val="0"/>
                <w:w w:val="100"/>
                <w:position w:val="0"/>
              </w:rPr>
              <w:t>;</w:t>
            </w:r>
            <w:r>
              <w:rPr>
                <w:color w:val="000000"/>
                <w:spacing w:val="0"/>
                <w:w w:val="100"/>
                <w:position w:val="0"/>
              </w:rPr>
              <w:t>万海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赔偿投资者损失。（二）控股股东、实际控制人及董事、监</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left w:val="single" w:sz="4"/>
              <w:right w:val="single" w:sz="4"/>
            </w:tcBorders>
            <w:shd w:val="clear" w:color="auto" w:fill="FFFFFF"/>
            <w:vAlign w:val="top"/>
          </w:tcPr>
          <w:p>
            <w:pPr>
              <w:widowControl w:val="0"/>
              <w:rPr>
                <w:sz w:val="10"/>
                <w:szCs w:val="10"/>
              </w:rPr>
            </w:pPr>
          </w:p>
        </w:tc>
      </w:tr>
      <w:tr>
        <w:trPr>
          <w:trHeight w:val="160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斌</w:t>
            </w:r>
            <w:r>
              <w:rPr>
                <w:rFonts w:ascii="Times New Roman" w:eastAsia="Times New Roman" w:hAnsi="Times New Roman" w:cs="Times New Roman"/>
                <w:color w:val="000000"/>
                <w:spacing w:val="0"/>
                <w:w w:val="100"/>
                <w:position w:val="0"/>
              </w:rPr>
              <w:t>;</w:t>
            </w:r>
            <w:r>
              <w:rPr>
                <w:color w:val="000000"/>
                <w:spacing w:val="0"/>
                <w:w w:val="100"/>
                <w:position w:val="0"/>
              </w:rPr>
              <w:t>许文杰</w:t>
            </w:r>
            <w:r>
              <w:rPr>
                <w:rFonts w:ascii="Times New Roman" w:eastAsia="Times New Roman" w:hAnsi="Times New Roman" w:cs="Times New Roman"/>
                <w:color w:val="000000"/>
                <w:spacing w:val="0"/>
                <w:w w:val="100"/>
                <w:position w:val="0"/>
              </w:rPr>
              <w:t>;</w:t>
            </w:r>
            <w:r>
              <w:rPr>
                <w:color w:val="000000"/>
                <w:spacing w:val="0"/>
                <w:w w:val="100"/>
                <w:position w:val="0"/>
              </w:rPr>
              <w:t>杨兆云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事、高级管理人员的承诺</w:t>
            </w:r>
            <w:r>
              <w:rPr>
                <w:rFonts w:ascii="Times New Roman" w:eastAsia="Times New Roman" w:hAnsi="Times New Roman" w:cs="Times New Roman"/>
                <w:color w:val="000000"/>
                <w:spacing w:val="0"/>
                <w:w w:val="100"/>
                <w:position w:val="0"/>
              </w:rPr>
              <w:t>1</w:t>
            </w:r>
            <w:r>
              <w:rPr>
                <w:color w:val="000000"/>
                <w:spacing w:val="0"/>
                <w:w w:val="100"/>
                <w:position w:val="0"/>
              </w:rPr>
              <w:t>、公司首次公开发行股票并上市 招股说明书不存在虚假记载、误导性陈述或者重大遗漏；</w:t>
            </w:r>
            <w:r>
              <w:rPr>
                <w:rFonts w:ascii="Times New Roman" w:eastAsia="Times New Roman" w:hAnsi="Times New Roman" w:cs="Times New Roman"/>
                <w:color w:val="000000"/>
                <w:spacing w:val="0"/>
                <w:w w:val="100"/>
                <w:position w:val="0"/>
              </w:rPr>
              <w:t>2</w:t>
            </w:r>
            <w:r>
              <w:rPr>
                <w:color w:val="000000"/>
                <w:spacing w:val="0"/>
                <w:w w:val="100"/>
                <w:position w:val="0"/>
              </w:rPr>
              <w:t>、 如公司招股说明书被相关监管机构认定存在虚假记载、误导 性陈述或者重大遗漏，致使投资者在证券交易中遭受损失 的，本人将依法赔偿投资者损失。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63"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中信建投证券股 份有限公司</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保荐机构（主承销商）中信建投证券股份有限公司承诺：本 保荐机构根据《中华人民共和国公司法》、《中华人民共和国 证券法》、《首次公开发行股票并上市管理办法》、《证券发行 上市保荐业务管理办法》、《保荐人尽职调查工作准则》等法 律法规的规定，坚持独立、客观、公正的原则，诚实守信、 勤勉尽责地对发行人进行全面尽职调查，确认发行人符合首 次公开发行并上市的法定条件。本保荐机构已对发行人招股 说明书及其摘要进行了核查，确认其不存在虚假记载、误导 性陈述或重大遗漏，并对其真实性、准确性和完整性承担相 应的法律责任。本保荐机构为发行人本次发行出具的文件</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w:t>
            </w:r>
          </w:p>
        </w:tc>
      </w:tr>
      <w:tr>
        <w:trPr>
          <w:trHeight w:val="62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不存在虚假记载、误导性陈述或重大遗漏，并对其真实性、 准确性和完整性承担相应的法律责任。如因本保荐机构的过</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求的</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31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错（包括未能勤勉尽责、未能保持职业审慎等）而导致为发 行人本次发行制作、出具的文件存在虚假记载、误导性陈述 或重大遗漏，致使投资者在买卖发行人股票时遭受实际损失 （包括投资者的投资差额损失、投资差额损失部分的佣金和 印花税等），在该等事实被认定后，本保荐机构将按照《中 华人民共和国证券法》、《最高人民法院关于审理证券市场因 虚假陈述引发的民事赔偿案件的若干规定》（法释</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2003]2 </w:t>
            </w:r>
            <w:r>
              <w:rPr>
                <w:color w:val="000000"/>
                <w:spacing w:val="0"/>
                <w:w w:val="100"/>
                <w:position w:val="0"/>
              </w:rPr>
              <w:t>号）等法律法规的规定与发行人及其他过错方向投资者依法 承担损失赔偿责任，以确保投资者的合法权益得到保护。</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vMerge w:val="restart"/>
            <w:tcBorders>
              <w:left w:val="single" w:sz="4"/>
              <w:right w:val="single" w:sz="4"/>
            </w:tcBorders>
            <w:shd w:val="clear" w:color="auto" w:fill="FFFFFF"/>
            <w:vAlign w:val="top"/>
          </w:tcPr>
          <w:p>
            <w:pPr>
              <w:widowControl w:val="0"/>
              <w:rPr>
                <w:sz w:val="10"/>
                <w:szCs w:val="10"/>
              </w:rPr>
            </w:pPr>
          </w:p>
        </w:tc>
      </w:tr>
      <w:tr>
        <w:trPr>
          <w:trHeight w:val="253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4"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发行人会计师大华会计师事务所（特殊普通合伙）承诺：本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w:t>
            </w: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81"/>
      </w:tblGrid>
      <w:tr>
        <w:trPr>
          <w:trHeight w:val="44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所（特殊普通合 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所及签字注册会计师已阅读招股说明书及其摘要，确认招股 说明书及其摘要与本所出具的审计报告（大华审字 </w:t>
            </w:r>
            <w:r>
              <w:rPr>
                <w:rFonts w:ascii="Times New Roman" w:eastAsia="Times New Roman" w:hAnsi="Times New Roman" w:cs="Times New Roman"/>
                <w:color w:val="000000"/>
                <w:spacing w:val="0"/>
                <w:w w:val="100"/>
                <w:position w:val="0"/>
              </w:rPr>
              <w:t>[2018]001068</w:t>
            </w:r>
            <w:r>
              <w:rPr>
                <w:color w:val="000000"/>
                <w:spacing w:val="0"/>
                <w:w w:val="100"/>
                <w:position w:val="0"/>
              </w:rPr>
              <w:t xml:space="preserve">号）、内部控制鉴证报告（大华核字 </w:t>
            </w:r>
            <w:r>
              <w:rPr>
                <w:rFonts w:ascii="Times New Roman" w:eastAsia="Times New Roman" w:hAnsi="Times New Roman" w:cs="Times New Roman"/>
                <w:color w:val="000000"/>
                <w:spacing w:val="0"/>
                <w:w w:val="100"/>
                <w:position w:val="0"/>
              </w:rPr>
              <w:t>[2018]000559</w:t>
            </w:r>
            <w:r>
              <w:rPr>
                <w:color w:val="000000"/>
                <w:spacing w:val="0"/>
                <w:w w:val="100"/>
                <w:position w:val="0"/>
              </w:rPr>
              <w:t>号）及经本所核验的非经常性损益明细表（大 华核字</w:t>
            </w:r>
            <w:r>
              <w:rPr>
                <w:rFonts w:ascii="Times New Roman" w:eastAsia="Times New Roman" w:hAnsi="Times New Roman" w:cs="Times New Roman"/>
                <w:color w:val="000000"/>
                <w:spacing w:val="0"/>
                <w:w w:val="100"/>
                <w:position w:val="0"/>
              </w:rPr>
              <w:t>[2018]000561</w:t>
            </w:r>
            <w:r>
              <w:rPr>
                <w:color w:val="000000"/>
                <w:spacing w:val="0"/>
                <w:w w:val="100"/>
                <w:position w:val="0"/>
              </w:rPr>
              <w:t>号）无矛盾之处。本所及签字注册会计 师对发行人在招股说明书及其摘要中引用本所出具的审计 报告（大华审字</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rPr>
              <w:t>001068</w:t>
            </w:r>
            <w:r>
              <w:rPr>
                <w:color w:val="000000"/>
                <w:spacing w:val="0"/>
                <w:w w:val="100"/>
                <w:position w:val="0"/>
              </w:rPr>
              <w:t>号）、内部控制鉴证报告（大 华核字</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rPr>
              <w:t>000559</w:t>
            </w:r>
            <w:r>
              <w:rPr>
                <w:color w:val="000000"/>
                <w:spacing w:val="0"/>
                <w:w w:val="100"/>
                <w:position w:val="0"/>
              </w:rPr>
              <w:t>号）及经本所核验的非经常性损益明细 表（大华核字</w:t>
            </w:r>
            <w:r>
              <w:rPr>
                <w:rFonts w:ascii="Times New Roman" w:eastAsia="Times New Roman" w:hAnsi="Times New Roman" w:cs="Times New Roman"/>
                <w:color w:val="000000"/>
                <w:spacing w:val="0"/>
                <w:w w:val="100"/>
                <w:position w:val="0"/>
              </w:rPr>
              <w:t xml:space="preserve">[2018] </w:t>
            </w:r>
            <w:r>
              <w:rPr>
                <w:rFonts w:ascii="Times New Roman" w:eastAsia="Times New Roman" w:hAnsi="Times New Roman" w:cs="Times New Roman"/>
                <w:color w:val="000000"/>
                <w:spacing w:val="0"/>
                <w:w w:val="100"/>
                <w:position w:val="0"/>
              </w:rPr>
              <w:t>000561</w:t>
            </w:r>
            <w:r>
              <w:rPr>
                <w:color w:val="000000"/>
                <w:spacing w:val="0"/>
                <w:w w:val="100"/>
                <w:position w:val="0"/>
              </w:rPr>
              <w:t>号）的内容无异议，确认招股说 明书不致因上述内容而出现虚假记载、误导性陈述或重大遗 漏。如因我们的过错，证明本所及签字注册会计师为发行人 首次公开发行制作、出具的文件有虚假记载、误导性陈述或 者重大遗漏，给投资者造成损失的，本所将依法与发行人及 其他中介机构承担连带赔偿责任。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12</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及法</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规要</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求的</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北京国枫律师事 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发行人律师北京国枫律师事务所的承诺：本所为本项目制 作、出具的申请文件真实、准确、完整、及时，无虚假记载、 误导性陈述或重大遗漏；若因本所未能勤勉尽责，为本项目 制作、出具的申请文件有虚假记载、误导性陈述或重大遗漏， 给投资者造成损失的，本所将依法赔偿投资者损失。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正常 履行 中</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广西威克德力投 资管理中心</w:t>
            </w:r>
            <w:r>
              <w:rPr>
                <w:rFonts w:ascii="Times New Roman" w:eastAsia="Times New Roman" w:hAnsi="Times New Roman" w:cs="Times New Roman"/>
                <w:color w:val="000000"/>
                <w:spacing w:val="0"/>
                <w:w w:val="100"/>
                <w:position w:val="0"/>
              </w:rPr>
              <w:t>（</w:t>
            </w:r>
            <w:r>
              <w:rPr>
                <w:color w:val="000000"/>
                <w:spacing w:val="0"/>
                <w:w w:val="100"/>
                <w:position w:val="0"/>
              </w:rPr>
              <w:t>有限 合伙</w:t>
            </w:r>
            <w:r>
              <w:rPr>
                <w:rFonts w:ascii="Times New Roman" w:eastAsia="Times New Roman" w:hAnsi="Times New Roman" w:cs="Times New Roman"/>
                <w:color w:val="000000"/>
                <w:spacing w:val="0"/>
                <w:w w:val="100"/>
                <w:position w:val="0"/>
              </w:rPr>
              <w:t>）;</w:t>
            </w:r>
            <w:r>
              <w:rPr>
                <w:color w:val="000000"/>
                <w:spacing w:val="0"/>
                <w:w w:val="100"/>
                <w:position w:val="0"/>
              </w:rPr>
              <w:t>蒋鹂北</w:t>
            </w:r>
            <w:r>
              <w:rPr>
                <w:rFonts w:ascii="Times New Roman" w:eastAsia="Times New Roman" w:hAnsi="Times New Roman" w:cs="Times New Roman"/>
                <w:color w:val="000000"/>
                <w:spacing w:val="0"/>
                <w:w w:val="100"/>
                <w:position w:val="0"/>
              </w:rPr>
              <w:t>;</w:t>
            </w:r>
            <w:r>
              <w:rPr>
                <w:color w:val="000000"/>
                <w:spacing w:val="0"/>
                <w:w w:val="100"/>
                <w:position w:val="0"/>
              </w:rPr>
              <w:t>李 建国</w:t>
            </w:r>
            <w:r>
              <w:rPr>
                <w:rFonts w:ascii="Times New Roman" w:eastAsia="Times New Roman" w:hAnsi="Times New Roman" w:cs="Times New Roman"/>
                <w:color w:val="000000"/>
                <w:spacing w:val="0"/>
                <w:w w:val="100"/>
                <w:position w:val="0"/>
              </w:rPr>
              <w:t>;</w:t>
            </w:r>
            <w:r>
              <w:rPr>
                <w:color w:val="000000"/>
                <w:spacing w:val="0"/>
                <w:w w:val="100"/>
                <w:position w:val="0"/>
              </w:rPr>
              <w:t>珠海弘泽熙 元投资管理中心</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若本人</w:t>
            </w:r>
            <w:r>
              <w:rPr>
                <w:rFonts w:ascii="Times New Roman" w:eastAsia="Times New Roman" w:hAnsi="Times New Roman" w:cs="Times New Roman"/>
                <w:color w:val="000000"/>
                <w:spacing w:val="0"/>
                <w:w w:val="100"/>
                <w:position w:val="0"/>
              </w:rPr>
              <w:t>/</w:t>
            </w:r>
            <w:r>
              <w:rPr>
                <w:color w:val="000000"/>
                <w:spacing w:val="0"/>
                <w:w w:val="100"/>
                <w:position w:val="0"/>
              </w:rPr>
              <w:t>本企业因涉嫌证券期货违法犯罪，在被中国证监会 立案调查或者被司法机关立案侦查期间，以及在行政处罚决 定、刑事判决作出之后未满六个月的；因违反证券交易所自 律规则，被证券交易所公开谴责未满三个月等触发法律、法 规、规范性文件、中国证监会、证券交易所规定的不得减持 股份的情形的，本人</w:t>
            </w:r>
            <w:r>
              <w:rPr>
                <w:rFonts w:ascii="Times New Roman" w:eastAsia="Times New Roman" w:hAnsi="Times New Roman" w:cs="Times New Roman"/>
                <w:color w:val="000000"/>
                <w:spacing w:val="0"/>
                <w:w w:val="100"/>
                <w:position w:val="0"/>
              </w:rPr>
              <w:t>/</w:t>
            </w:r>
            <w:r>
              <w:rPr>
                <w:color w:val="000000"/>
                <w:spacing w:val="0"/>
                <w:w w:val="100"/>
                <w:position w:val="0"/>
              </w:rPr>
              <w:t>本企业不得进行股份减持。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 履行 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蒋鹂北</w:t>
            </w:r>
            <w:r>
              <w:rPr>
                <w:rFonts w:ascii="Times New Roman" w:eastAsia="Times New Roman" w:hAnsi="Times New Roman" w:cs="Times New Roman"/>
                <w:color w:val="000000"/>
                <w:spacing w:val="0"/>
                <w:w w:val="100"/>
                <w:position w:val="0"/>
              </w:rPr>
              <w:t>;</w:t>
            </w: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公司实际控制人李建国先生和蒋鹂北女士就发行人缴纳社 保、住房公积金情况出具以下承诺：如发行人及其下属子公 司因首次公开发行并在境内证券交易所上市完成之日前的 事由，因未足额、按时为公司全体员工缴纳社会保险、住房 公积金，导致发行人及其下属子公司需补缴社会保险、住房 公积金，或被相关行政主管机关或司法机关处以罚金、征收 滞纳金或被任何其他方索赔的，本人将以现金支付方式无条 件补足公司应缴差额并承担发行人及其下属子公司因此而 受到的全部经济损失。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 及法 规要 求的 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 履行 中。</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润建股份有限公 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分红</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）如无重大投资计划或重大现金支出等事项发生，公司 在当年盈利且累计未分配利润为正的情况下，采取现金方式 分配股利，每年以现金方式分配的利润不少于当年实现的可 供分配利润的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。公司每年在按照公司章程、相关法规规 定足额提取法定公积金、盈余公积金后，在满足现金分红条 件下，按照以下原则进行现金分红：①公司发展阶段属成熟 期且无重大资金支出安排的，进行利润分配时，现金分红在 本次利润分配中所占比例最低应达到</w:t>
            </w:r>
            <w:r>
              <w:rPr>
                <w:rFonts w:ascii="Times New Roman" w:eastAsia="Times New Roman" w:hAnsi="Times New Roman" w:cs="Times New Roman"/>
                <w:color w:val="000000"/>
                <w:spacing w:val="0"/>
                <w:w w:val="100"/>
                <w:position w:val="0"/>
              </w:rPr>
              <w:t>80%</w:t>
            </w:r>
            <w:r>
              <w:rPr>
                <w:color w:val="000000"/>
                <w:spacing w:val="0"/>
                <w:w w:val="100"/>
                <w:position w:val="0"/>
              </w:rPr>
              <w:t>；②公司发展阶 段属成熟期且有重大资金支出安排的，进行利润分配时，现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2021</w:t>
            </w:r>
          </w:p>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2024-0</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282"/>
        <w:gridCol w:w="1421"/>
        <w:gridCol w:w="566"/>
        <w:gridCol w:w="4680"/>
        <w:gridCol w:w="562"/>
        <w:gridCol w:w="566"/>
        <w:gridCol w:w="590"/>
      </w:tblGrid>
      <w:tr>
        <w:trPr>
          <w:trHeight w:val="72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金分红在本次利润分配中所占比例最低应达到</w:t>
            </w:r>
            <w:r>
              <w:rPr>
                <w:rFonts w:ascii="Times New Roman" w:eastAsia="Times New Roman" w:hAnsi="Times New Roman" w:cs="Times New Roman"/>
                <w:color w:val="000000"/>
                <w:spacing w:val="0"/>
                <w:w w:val="100"/>
                <w:position w:val="0"/>
              </w:rPr>
              <w:t>40%</w:t>
            </w:r>
            <w:r>
              <w:rPr>
                <w:color w:val="000000"/>
                <w:spacing w:val="0"/>
                <w:w w:val="100"/>
                <w:position w:val="0"/>
              </w:rPr>
              <w:t>；③公司 发展阶段属成长期且有重大资金支出安排的，进行利润分配 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 公司实施现金分红时须同时满足下列条件：①公司该年度的 可分配利润为正值、且现金流充裕，实施现金分红不会影 响公司后续持续经营；②公司累计可供分配利润为正值； ③审计机构对公司的该年度财务报告出具标准无保留意见 的审计报告。（</w:t>
            </w:r>
            <w:r>
              <w:rPr>
                <w:rFonts w:ascii="Times New Roman" w:eastAsia="Times New Roman" w:hAnsi="Times New Roman" w:cs="Times New Roman"/>
                <w:color w:val="000000"/>
                <w:spacing w:val="0"/>
                <w:w w:val="100"/>
                <w:position w:val="0"/>
              </w:rPr>
              <w:t>2</w:t>
            </w:r>
            <w:r>
              <w:rPr>
                <w:color w:val="000000"/>
                <w:spacing w:val="0"/>
                <w:w w:val="100"/>
                <w:position w:val="0"/>
              </w:rPr>
              <w:t>）在满足现金股利分配的条件下，若公司营 收增长快速，并且董事会认为公司股票价格与公司股本规模 不匹配时，可以在保证最低现金分红比例和公司股本规模合 理的前提下，为保持股本扩张与业绩增长相适应，提出并实 施适当的股票股利分配预案，独立董事应当对董事会提出的 股票股利分配预案发表独立意见。（</w:t>
            </w:r>
            <w:r>
              <w:rPr>
                <w:rFonts w:ascii="Times New Roman" w:eastAsia="Times New Roman" w:hAnsi="Times New Roman" w:cs="Times New Roman"/>
                <w:color w:val="000000"/>
                <w:spacing w:val="0"/>
                <w:w w:val="100"/>
                <w:position w:val="0"/>
              </w:rPr>
              <w:t>3</w:t>
            </w:r>
            <w:r>
              <w:rPr>
                <w:color w:val="000000"/>
                <w:spacing w:val="0"/>
                <w:w w:val="100"/>
                <w:position w:val="0"/>
              </w:rPr>
              <w:t>）公司在每个会计年度 结束后，由董事会提出利润分配预案。公司董事会在利润分 配方案论证过程中，应与独立董事充分讨论，并通过多种渠 道与股东特别是中小股东进行沟通和交流。经公司二分之一 以上独立董事同意后，提交公司董事会、监事会审议。公司 董事会在制订利润分配预案时，应就公司发展阶段和未来资 金支出计划作出说明。董事会未作出年度现金利润分配预案 的，应当在年度报告中披露原因，独立董事应当对此发表独 立意见。公司董事会须在股东大会召开后两个月内完成股利 的派发事项。公司接受所有股东、独立董事、监事和公众投 资者对公司分红的建议和监督。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9"/>
        <w:keepNext/>
        <w:keepLines/>
        <w:widowControl w:val="0"/>
        <w:shd w:val="clear" w:color="auto" w:fill="auto"/>
        <w:bidi w:val="0"/>
        <w:spacing w:before="0" w:line="317" w:lineRule="exact"/>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2</w:t>
      </w:r>
      <w:bookmarkEnd w:id="433"/>
      <w:r>
        <w:rPr>
          <w:color w:val="000000"/>
          <w:spacing w:val="0"/>
          <w:w w:val="100"/>
          <w:position w:val="0"/>
        </w:rPr>
        <w:t>、公司资产或项目存在盈利预测，且报告期仍处在盈利预测期间，公司就资产或项目达到原盈利预测及 其原因做出说明</w:t>
      </w:r>
      <w:bookmarkEnd w:id="431"/>
      <w:bookmarkEnd w:id="432"/>
      <w:bookmarkEnd w:id="434"/>
    </w:p>
    <w:p>
      <w:pPr>
        <w:pStyle w:val="Style1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3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二</w:t>
      </w:r>
      <w:bookmarkEnd w:id="437"/>
      <w:r>
        <w:rPr>
          <w:color w:val="000000"/>
          <w:spacing w:val="0"/>
          <w:w w:val="100"/>
          <w:position w:val="0"/>
          <w:sz w:val="24"/>
          <w:szCs w:val="24"/>
        </w:rPr>
        <w:t>、</w:t>
        <w:tab/>
        <w:t>控股股东及其他关联方对上市公司的非经营性占用资金情况</w:t>
      </w:r>
      <w:bookmarkEnd w:id="435"/>
      <w:bookmarkEnd w:id="436"/>
      <w:bookmarkEnd w:id="438"/>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22" w:val="left"/>
        </w:tabs>
        <w:bidi w:val="0"/>
        <w:spacing w:before="0" w:after="3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sz w:val="24"/>
          <w:szCs w:val="24"/>
        </w:rPr>
        <w:t>三</w:t>
      </w:r>
      <w:bookmarkEnd w:id="441"/>
      <w:r>
        <w:rPr>
          <w:color w:val="000000"/>
          <w:spacing w:val="0"/>
          <w:w w:val="100"/>
          <w:position w:val="0"/>
          <w:sz w:val="24"/>
          <w:szCs w:val="24"/>
        </w:rPr>
        <w:t>、</w:t>
        <w:tab/>
        <w:t>违规对外担保情况</w:t>
      </w:r>
      <w:bookmarkEnd w:id="439"/>
      <w:bookmarkEnd w:id="440"/>
      <w:bookmarkEnd w:id="442"/>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22" w:val="left"/>
        </w:tabs>
        <w:bidi w:val="0"/>
        <w:spacing w:before="0" w:after="34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sz w:val="24"/>
          <w:szCs w:val="24"/>
        </w:rPr>
        <w:t>四</w:t>
      </w:r>
      <w:bookmarkEnd w:id="44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43"/>
      <w:bookmarkEnd w:id="444"/>
      <w:bookmarkEnd w:id="446"/>
    </w:p>
    <w:p>
      <w:pPr>
        <w:pStyle w:val="Style1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340" w:line="240" w:lineRule="auto"/>
        <w:ind w:left="0" w:right="0" w:firstLine="0"/>
        <w:jc w:val="both"/>
      </w:pPr>
      <w:bookmarkStart w:id="447" w:name="bookmark447"/>
      <w:bookmarkStart w:id="448" w:name="bookmark448"/>
      <w:bookmarkStart w:id="449" w:name="bookmark449"/>
      <w:bookmarkStart w:id="450" w:name="bookmark450"/>
      <w:r>
        <w:rPr>
          <w:color w:val="000000"/>
          <w:spacing w:val="0"/>
          <w:w w:val="100"/>
          <w:position w:val="0"/>
          <w:sz w:val="24"/>
          <w:szCs w:val="24"/>
        </w:rPr>
        <w:t>五</w:t>
      </w:r>
      <w:bookmarkEnd w:id="44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47"/>
      <w:bookmarkEnd w:id="448"/>
      <w:bookmarkEnd w:id="450"/>
    </w:p>
    <w:p>
      <w:pPr>
        <w:pStyle w:val="Style1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tabs>
          <w:tab w:pos="522" w:val="left"/>
        </w:tabs>
        <w:bidi w:val="0"/>
        <w:spacing w:before="0" w:after="34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sz w:val="24"/>
          <w:szCs w:val="24"/>
        </w:rPr>
        <w:t>六</w:t>
      </w:r>
      <w:bookmarkEnd w:id="453"/>
      <w:r>
        <w:rPr>
          <w:color w:val="000000"/>
          <w:spacing w:val="0"/>
          <w:w w:val="100"/>
          <w:position w:val="0"/>
          <w:sz w:val="24"/>
          <w:szCs w:val="24"/>
        </w:rPr>
        <w:t>、</w:t>
        <w:tab/>
        <w:t>与上年度财务报告相比，会计政策、会计估计变更或重大会计差错更正的情况说明</w:t>
      </w:r>
      <w:bookmarkEnd w:id="451"/>
      <w:bookmarkEnd w:id="452"/>
      <w:bookmarkEnd w:id="454"/>
    </w:p>
    <w:p>
      <w:pPr>
        <w:pStyle w:val="Style18"/>
        <w:keepNext w:val="0"/>
        <w:keepLines w:val="0"/>
        <w:widowControl w:val="0"/>
        <w:numPr>
          <w:ilvl w:val="0"/>
          <w:numId w:val="3"/>
        </w:numPr>
        <w:shd w:val="clear" w:color="auto" w:fill="auto"/>
        <w:tabs>
          <w:tab w:pos="286" w:val="left"/>
        </w:tabs>
        <w:bidi w:val="0"/>
        <w:spacing w:before="0" w:after="0"/>
        <w:ind w:left="0" w:right="0" w:firstLine="0"/>
        <w:jc w:val="both"/>
      </w:pPr>
      <w:bookmarkStart w:id="455" w:name="bookmark455"/>
      <w:bookmarkEnd w:id="45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8"/>
        <w:keepNext w:val="0"/>
        <w:keepLines w:val="0"/>
        <w:widowControl w:val="0"/>
        <w:shd w:val="clear" w:color="auto" w:fill="auto"/>
        <w:bidi w:val="0"/>
        <w:spacing w:before="0" w:after="340" w:line="314"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日召开了公司第四届董事会第十一次会议和第四届监事会第十次会议审议通过了《关于会计政策变更的议案》， 根据中华人民共和国财政部于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），要求在境内外同时上市的企业以及在境外上市并采用国际财务报告准则或企业会计准则编 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日起施行。根据上述文件要求，公 司需对原采用的相关会计政策进行相应调整。</w:t>
      </w:r>
    </w:p>
    <w:p>
      <w:pPr>
        <w:pStyle w:val="Style23"/>
        <w:keepNext/>
        <w:keepLines/>
        <w:widowControl w:val="0"/>
        <w:shd w:val="clear" w:color="auto" w:fill="auto"/>
        <w:tabs>
          <w:tab w:pos="522" w:val="left"/>
        </w:tabs>
        <w:bidi w:val="0"/>
        <w:spacing w:before="0" w:after="340" w:line="240" w:lineRule="auto"/>
        <w:ind w:left="0" w:right="0" w:firstLine="0"/>
        <w:jc w:val="both"/>
      </w:pPr>
      <w:bookmarkStart w:id="456" w:name="bookmark456"/>
      <w:bookmarkStart w:id="457" w:name="bookmark457"/>
      <w:bookmarkStart w:id="458" w:name="bookmark458"/>
      <w:bookmarkStart w:id="459" w:name="bookmark459"/>
      <w:r>
        <w:rPr>
          <w:color w:val="000000"/>
          <w:spacing w:val="0"/>
          <w:w w:val="100"/>
          <w:position w:val="0"/>
          <w:sz w:val="24"/>
          <w:szCs w:val="24"/>
        </w:rPr>
        <w:t>七</w:t>
      </w:r>
      <w:bookmarkEnd w:id="458"/>
      <w:r>
        <w:rPr>
          <w:color w:val="000000"/>
          <w:spacing w:val="0"/>
          <w:w w:val="100"/>
          <w:position w:val="0"/>
          <w:sz w:val="24"/>
          <w:szCs w:val="24"/>
        </w:rPr>
        <w:t>、</w:t>
        <w:tab/>
        <w:t>与上年度财务报告相比，合并报表范围发生变化的情况说明</w:t>
      </w:r>
      <w:bookmarkEnd w:id="456"/>
      <w:bookmarkEnd w:id="457"/>
      <w:bookmarkEnd w:id="459"/>
    </w:p>
    <w:p>
      <w:pPr>
        <w:pStyle w:val="Style18"/>
        <w:keepNext w:val="0"/>
        <w:keepLines w:val="0"/>
        <w:widowControl w:val="0"/>
        <w:numPr>
          <w:ilvl w:val="0"/>
          <w:numId w:val="3"/>
        </w:numPr>
        <w:shd w:val="clear" w:color="auto" w:fill="auto"/>
        <w:tabs>
          <w:tab w:pos="286" w:val="left"/>
        </w:tabs>
        <w:bidi w:val="0"/>
        <w:spacing w:before="0" w:after="100"/>
        <w:ind w:left="0" w:right="0" w:firstLine="0"/>
        <w:jc w:val="both"/>
      </w:pPr>
      <w:bookmarkStart w:id="460" w:name="bookmark460"/>
      <w:bookmarkEnd w:id="46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4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）本报告期末纳入合并范围的子公司</w:t>
      </w:r>
    </w:p>
    <w:tbl>
      <w:tblPr>
        <w:tblOverlap w:val="never"/>
        <w:jc w:val="center"/>
        <w:tblLayout w:type="fixed"/>
      </w:tblPr>
      <w:tblGrid>
        <w:gridCol w:w="629"/>
        <w:gridCol w:w="3264"/>
        <w:gridCol w:w="1435"/>
        <w:gridCol w:w="1886"/>
        <w:gridCol w:w="1022"/>
        <w:gridCol w:w="950"/>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子公司关系</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直接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广西诚本规划设计咨询有限公司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诚本规划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广西润联检测技术有限公司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润联信息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广州卓联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五象云谷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长嘉科技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润沃科技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广东南粤云视科技有限公司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南粤云视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广西信安锐达科技有限公司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信安锐达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9"/>
        <w:gridCol w:w="3264"/>
        <w:gridCol w:w="1435"/>
        <w:gridCol w:w="1886"/>
        <w:gridCol w:w="1022"/>
        <w:gridCol w:w="950"/>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润玖科技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广州市赛皓达智能科技有限公司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赛皓达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广州恒泰电力工程有限公司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恒泰电力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鹰扬电力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博深咨询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润建国际有限公司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R&amp;JINTERNATIONAL(SINGAPORE)PTE .LTD.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PT.RJGFINTERNATIONALINDONESIA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润建印尼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PT.RJIINTERNATIONALINDONESIA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润建智能印尼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RJGFPHILPPINECORP.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99.99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 Technologies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广西旋几工业技术有限公司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海南禹尧数据科技有限公司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海南禹尧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广西云数工程咨询有限公司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云数工程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智海信息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数智教育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润盛新能源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广东润捷设计有限公司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润福能源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润曦能源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广西云视数乡科技有限公司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云视数乡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广润建设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广州研通通信工程有限公司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研通通信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51" w:right="0" w:firstLine="0"/>
        <w:jc w:val="left"/>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widowControl w:val="0"/>
        <w:spacing w:after="159" w:line="1" w:lineRule="exact"/>
      </w:pPr>
    </w:p>
    <w:p>
      <w:pPr>
        <w:pStyle w:val="Style18"/>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）本报告期内合并财务报表范围变化</w:t>
      </w:r>
    </w:p>
    <w:p>
      <w:pPr>
        <w:pStyle w:val="Style18"/>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本报告期内新增子公司:</w:t>
      </w:r>
      <w:r>
        <w:br w:type="page"/>
      </w:r>
    </w:p>
    <w:tbl>
      <w:tblPr>
        <w:tblOverlap w:val="never"/>
        <w:jc w:val="center"/>
        <w:tblLayout w:type="fixed"/>
      </w:tblPr>
      <w:tblGrid>
        <w:gridCol w:w="619"/>
        <w:gridCol w:w="2976"/>
        <w:gridCol w:w="1546"/>
        <w:gridCol w:w="1387"/>
        <w:gridCol w:w="2659"/>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润玖科技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广西旋几工业技术有限公司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广西旋几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陕西旋几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广西云数工程咨询有限公司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云数工程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数智教育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润盛新能源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永福润福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横州润曦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广西云视数乡科技有限公司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云视数乡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广州智海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深圳广润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广东润捷设计有限公司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润捷设计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广州研通通信工程有限公司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研通通信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海南禹尧数据科技有限公司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海南禹尧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本报告期无减少子公司的情况。</w:t>
      </w:r>
    </w:p>
    <w:p>
      <w:pPr>
        <w:pStyle w:val="Style18"/>
        <w:keepNext w:val="0"/>
        <w:keepLines w:val="0"/>
        <w:widowControl w:val="0"/>
        <w:shd w:val="clear" w:color="auto" w:fill="auto"/>
        <w:bidi w:val="0"/>
        <w:spacing w:before="0" w:after="1220" w:line="240" w:lineRule="auto"/>
        <w:ind w:left="0" w:right="0" w:firstLine="480"/>
        <w:jc w:val="left"/>
      </w:pPr>
      <w:r>
        <w:rPr>
          <w:color w:val="000000"/>
          <w:spacing w:val="0"/>
          <w:w w:val="100"/>
          <w:position w:val="0"/>
        </w:rPr>
        <w:t>本报告期内新增及减少子公司的具体情况详见第十节附注八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合并范围的变更匚</w:t>
      </w:r>
    </w:p>
    <w:p>
      <w:pPr>
        <w:pStyle w:val="Style23"/>
        <w:keepNext/>
        <w:keepLines/>
        <w:widowControl w:val="0"/>
        <w:shd w:val="clear" w:color="auto" w:fill="auto"/>
        <w:bidi w:val="0"/>
        <w:spacing w:before="0" w:after="3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八</w:t>
      </w:r>
      <w:bookmarkEnd w:id="463"/>
      <w:r>
        <w:rPr>
          <w:color w:val="000000"/>
          <w:spacing w:val="0"/>
          <w:w w:val="100"/>
          <w:position w:val="0"/>
          <w:sz w:val="24"/>
          <w:szCs w:val="24"/>
        </w:rPr>
        <w:t>、聘任、解聘会计师事务所情况</w:t>
      </w:r>
      <w:bookmarkEnd w:id="461"/>
      <w:bookmarkEnd w:id="462"/>
      <w:bookmarkEnd w:id="46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纪玉红、崔勇趁、魏鹏飞</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56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sz w:val="24"/>
          <w:szCs w:val="24"/>
        </w:rPr>
        <w:t>九</w:t>
      </w:r>
      <w:bookmarkEnd w:id="467"/>
      <w:r>
        <w:rPr>
          <w:color w:val="000000"/>
          <w:spacing w:val="0"/>
          <w:w w:val="100"/>
          <w:position w:val="0"/>
          <w:sz w:val="24"/>
          <w:szCs w:val="24"/>
        </w:rPr>
        <w:t>、年度报告披露后面临退市情况</w:t>
      </w:r>
      <w:bookmarkEnd w:id="465"/>
      <w:bookmarkEnd w:id="466"/>
      <w:bookmarkEnd w:id="468"/>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十、破产重整相关事项</w:t>
      </w:r>
      <w:bookmarkEnd w:id="469"/>
      <w:bookmarkEnd w:id="470"/>
      <w:bookmarkEnd w:id="47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r>
        <w:rPr>
          <w:color w:val="000000"/>
          <w:spacing w:val="0"/>
          <w:w w:val="100"/>
          <w:position w:val="0"/>
          <w:sz w:val="24"/>
          <w:szCs w:val="24"/>
        </w:rPr>
        <w:t>十一、重大诉讼、仲裁事项</w:t>
      </w:r>
      <w:bookmarkEnd w:id="472"/>
      <w:bookmarkEnd w:id="473"/>
      <w:bookmarkEnd w:id="474"/>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75" w:name="bookmark475"/>
      <w:bookmarkEnd w:id="47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60" w:line="240" w:lineRule="auto"/>
        <w:ind w:left="0" w:right="0" w:firstLine="0"/>
        <w:jc w:val="left"/>
      </w:pPr>
      <w:bookmarkStart w:id="476" w:name="bookmark476"/>
      <w:bookmarkStart w:id="477" w:name="bookmark477"/>
      <w:bookmarkStart w:id="478" w:name="bookmark478"/>
      <w:r>
        <w:rPr>
          <w:color w:val="000000"/>
          <w:spacing w:val="0"/>
          <w:w w:val="100"/>
          <w:position w:val="0"/>
          <w:sz w:val="24"/>
          <w:szCs w:val="24"/>
        </w:rPr>
        <w:t>十二、处罚及整改情况</w:t>
      </w:r>
      <w:bookmarkEnd w:id="476"/>
      <w:bookmarkEnd w:id="477"/>
      <w:bookmarkEnd w:id="478"/>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79" w:name="bookmark479"/>
      <w:bookmarkEnd w:id="47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十三、公司及其控股股东、实际控制人的诚信状况</w:t>
      </w:r>
      <w:bookmarkEnd w:id="480"/>
      <w:bookmarkEnd w:id="481"/>
      <w:bookmarkEnd w:id="482"/>
    </w:p>
    <w:p>
      <w:pPr>
        <w:pStyle w:val="Style18"/>
        <w:keepNext w:val="0"/>
        <w:keepLines w:val="0"/>
        <w:widowControl w:val="0"/>
        <w:numPr>
          <w:ilvl w:val="0"/>
          <w:numId w:val="5"/>
        </w:numPr>
        <w:shd w:val="clear" w:color="auto" w:fill="auto"/>
        <w:tabs>
          <w:tab w:pos="282" w:val="left"/>
        </w:tabs>
        <w:bidi w:val="0"/>
        <w:spacing w:before="0" w:after="360" w:line="240" w:lineRule="auto"/>
        <w:ind w:left="0" w:right="0" w:firstLine="0"/>
        <w:jc w:val="left"/>
      </w:pPr>
      <w:bookmarkStart w:id="483" w:name="bookmark483"/>
      <w:bookmarkEnd w:id="48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84" w:name="bookmark484"/>
      <w:bookmarkStart w:id="485" w:name="bookmark485"/>
      <w:bookmarkStart w:id="486" w:name="bookmark486"/>
      <w:r>
        <w:rPr>
          <w:color w:val="000000"/>
          <w:spacing w:val="0"/>
          <w:w w:val="100"/>
          <w:position w:val="0"/>
          <w:sz w:val="24"/>
          <w:szCs w:val="24"/>
        </w:rPr>
        <w:t>十四、重大关联交易</w:t>
      </w:r>
      <w:bookmarkEnd w:id="484"/>
      <w:bookmarkEnd w:id="485"/>
      <w:bookmarkEnd w:id="486"/>
    </w:p>
    <w:p>
      <w:pPr>
        <w:pStyle w:val="Style29"/>
        <w:keepNext/>
        <w:keepLines/>
        <w:widowControl w:val="0"/>
        <w:shd w:val="clear" w:color="auto" w:fill="auto"/>
        <w:tabs>
          <w:tab w:pos="368" w:val="left"/>
        </w:tabs>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与日常经营相关的关联交易</w:t>
      </w:r>
      <w:bookmarkEnd w:id="487"/>
      <w:bookmarkEnd w:id="488"/>
      <w:bookmarkEnd w:id="490"/>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91" w:name="bookmark491"/>
      <w:bookmarkEnd w:id="49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2</w:t>
      </w:r>
      <w:bookmarkEnd w:id="494"/>
      <w:r>
        <w:rPr>
          <w:color w:val="000000"/>
          <w:spacing w:val="0"/>
          <w:w w:val="100"/>
          <w:position w:val="0"/>
        </w:rPr>
        <w:t>、</w:t>
        <w:tab/>
        <w:t>资产或股权收购、出售发生的关联交易</w:t>
      </w:r>
      <w:bookmarkEnd w:id="492"/>
      <w:bookmarkEnd w:id="493"/>
      <w:bookmarkEnd w:id="495"/>
    </w:p>
    <w:p>
      <w:pPr>
        <w:pStyle w:val="Style18"/>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496" w:name="bookmark496"/>
      <w:bookmarkEnd w:id="49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t>共同对外投资的关联交易</w:t>
      </w:r>
      <w:bookmarkEnd w:id="497"/>
      <w:bookmarkEnd w:id="498"/>
      <w:bookmarkEnd w:id="500"/>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54"/>
        <w:gridCol w:w="134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被投资企业的净 利润（万元）</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李建国先生</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为公司实际 控制人、董事 长，梁姬女士 为公司董事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长沙麦融高</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科股份有限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综合能源管理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2,529.2092 </w:t>
            </w:r>
            <w:r>
              <w:rPr>
                <w:color w:val="000000"/>
                <w:spacing w:val="0"/>
                <w:w w:val="100"/>
                <w:position w:val="0"/>
              </w:rPr>
              <w:t>万 元人民币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梁姬女士为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润建数智教</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育科技有限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智慧校园业务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10,000</w:t>
            </w:r>
            <w:r>
              <w:rPr>
                <w:color w:val="000000"/>
                <w:spacing w:val="0"/>
                <w:w w:val="100"/>
                <w:position w:val="0"/>
              </w:rPr>
              <w:t>万元 人民币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t>关联债权债务往来</w:t>
      </w:r>
      <w:bookmarkEnd w:id="501"/>
      <w:bookmarkEnd w:id="502"/>
      <w:bookmarkEnd w:id="50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after="34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5</w:t>
      </w:r>
      <w:bookmarkEnd w:id="507"/>
      <w:r>
        <w:rPr>
          <w:color w:val="000000"/>
          <w:spacing w:val="0"/>
          <w:w w:val="100"/>
          <w:position w:val="0"/>
        </w:rPr>
        <w:t>、</w:t>
        <w:tab/>
        <w:t>与存在关联关系的财务公司的往来情况</w:t>
      </w:r>
      <w:bookmarkEnd w:id="505"/>
      <w:bookmarkEnd w:id="506"/>
      <w:bookmarkEnd w:id="508"/>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after="34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6</w:t>
      </w:r>
      <w:bookmarkEnd w:id="511"/>
      <w:r>
        <w:rPr>
          <w:color w:val="000000"/>
          <w:spacing w:val="0"/>
          <w:w w:val="100"/>
          <w:position w:val="0"/>
        </w:rPr>
        <w:t>、</w:t>
        <w:tab/>
        <w:t>公司控股的财务公司与关联方的往来情况</w:t>
      </w:r>
      <w:bookmarkEnd w:id="509"/>
      <w:bookmarkEnd w:id="510"/>
      <w:bookmarkEnd w:id="512"/>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after="34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7</w:t>
      </w:r>
      <w:bookmarkEnd w:id="515"/>
      <w:r>
        <w:rPr>
          <w:color w:val="000000"/>
          <w:spacing w:val="0"/>
          <w:w w:val="100"/>
          <w:position w:val="0"/>
        </w:rPr>
        <w:t>、</w:t>
        <w:tab/>
        <w:t>其他重大关联交易</w:t>
      </w:r>
      <w:bookmarkEnd w:id="513"/>
      <w:bookmarkEnd w:id="514"/>
      <w:bookmarkEnd w:id="516"/>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40" w:line="240" w:lineRule="auto"/>
        <w:ind w:left="0" w:right="0" w:firstLine="0"/>
        <w:jc w:val="left"/>
      </w:pPr>
      <w:bookmarkStart w:id="517" w:name="bookmark517"/>
      <w:bookmarkStart w:id="518" w:name="bookmark518"/>
      <w:bookmarkStart w:id="519" w:name="bookmark519"/>
      <w:r>
        <w:rPr>
          <w:color w:val="000000"/>
          <w:spacing w:val="0"/>
          <w:w w:val="100"/>
          <w:position w:val="0"/>
          <w:sz w:val="24"/>
          <w:szCs w:val="24"/>
        </w:rPr>
        <w:t>十五、重大合同及其履行情况</w:t>
      </w:r>
      <w:bookmarkEnd w:id="517"/>
      <w:bookmarkEnd w:id="518"/>
      <w:bookmarkEnd w:id="519"/>
    </w:p>
    <w:p>
      <w:pPr>
        <w:pStyle w:val="Style29"/>
        <w:keepNext/>
        <w:keepLines/>
        <w:widowControl w:val="0"/>
        <w:shd w:val="clear" w:color="auto" w:fill="auto"/>
        <w:bidi w:val="0"/>
        <w:spacing w:before="0" w:after="34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、托管、承包、租赁事项情况</w:t>
      </w:r>
      <w:bookmarkEnd w:id="520"/>
      <w:bookmarkEnd w:id="521"/>
      <w:bookmarkEnd w:id="523"/>
    </w:p>
    <w:p>
      <w:pPr>
        <w:pStyle w:val="Style40"/>
        <w:keepNext/>
        <w:keepLines/>
        <w:widowControl w:val="0"/>
        <w:shd w:val="clear" w:color="auto" w:fill="auto"/>
        <w:bidi w:val="0"/>
        <w:spacing w:before="0" w:after="34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24"/>
      <w:bookmarkEnd w:id="525"/>
      <w:bookmarkEnd w:id="527"/>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8"/>
      <w:bookmarkEnd w:id="529"/>
      <w:bookmarkEnd w:id="531"/>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both"/>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32"/>
      <w:bookmarkEnd w:id="533"/>
      <w:bookmarkEnd w:id="535"/>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bidi w:val="0"/>
        <w:spacing w:before="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、重大担保</w:t>
      </w:r>
      <w:bookmarkEnd w:id="536"/>
      <w:bookmarkEnd w:id="537"/>
      <w:bookmarkEnd w:id="539"/>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报告期内审批的对外担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报告期末实际对外担保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润和世联</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数据科技</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9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相关公告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80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报告期内对子公司担保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710"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20"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5"/>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采用复合方式担保的具体情况说明</w:t>
      </w:r>
    </w:p>
    <w:p>
      <w:pPr>
        <w:pStyle w:val="Style29"/>
        <w:keepNext/>
        <w:keepLines/>
        <w:widowControl w:val="0"/>
        <w:shd w:val="clear" w:color="auto" w:fill="auto"/>
        <w:bidi w:val="0"/>
        <w:spacing w:before="0" w:after="34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、委托他人进行现金资产管理情况</w:t>
      </w:r>
      <w:bookmarkEnd w:id="540"/>
      <w:bookmarkEnd w:id="541"/>
      <w:bookmarkEnd w:id="543"/>
    </w:p>
    <w:p>
      <w:pPr>
        <w:pStyle w:val="Style40"/>
        <w:keepNext/>
        <w:keepLines/>
        <w:widowControl w:val="0"/>
        <w:shd w:val="clear" w:color="auto" w:fill="auto"/>
        <w:bidi w:val="0"/>
        <w:spacing w:before="0" w:after="34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4"/>
      <w:bookmarkEnd w:id="545"/>
      <w:bookmarkEnd w:id="547"/>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0"/>
        <w:gridCol w:w="1642"/>
        <w:gridCol w:w="1661"/>
        <w:gridCol w:w="1603"/>
        <w:gridCol w:w="1550"/>
        <w:gridCol w:w="156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 计提减值金额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3211"/>
        <w:gridCol w:w="1661"/>
        <w:gridCol w:w="1603"/>
        <w:gridCol w:w="1550"/>
        <w:gridCol w:w="156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18,210.55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both"/>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8"/>
      <w:bookmarkEnd w:id="549"/>
      <w:bookmarkEnd w:id="551"/>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、其他重大合同</w:t>
      </w:r>
      <w:bookmarkEnd w:id="552"/>
      <w:bookmarkEnd w:id="553"/>
      <w:bookmarkEnd w:id="555"/>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23"/>
        <w:keepNext/>
        <w:keepLines/>
        <w:widowControl w:val="0"/>
        <w:shd w:val="clear" w:color="auto" w:fill="auto"/>
        <w:bidi w:val="0"/>
        <w:spacing w:before="0" w:after="360" w:line="240" w:lineRule="auto"/>
        <w:ind w:left="0" w:right="0" w:firstLine="0"/>
        <w:jc w:val="both"/>
      </w:pPr>
      <w:bookmarkStart w:id="556" w:name="bookmark556"/>
      <w:bookmarkStart w:id="557" w:name="bookmark557"/>
      <w:bookmarkStart w:id="558" w:name="bookmark558"/>
      <w:r>
        <w:rPr>
          <w:color w:val="000000"/>
          <w:spacing w:val="0"/>
          <w:w w:val="100"/>
          <w:position w:val="0"/>
          <w:sz w:val="24"/>
          <w:szCs w:val="24"/>
        </w:rPr>
        <w:t>十六、其他重大事项的说明</w:t>
      </w:r>
      <w:bookmarkEnd w:id="556"/>
      <w:bookmarkEnd w:id="557"/>
      <w:bookmarkEnd w:id="558"/>
    </w:p>
    <w:p>
      <w:pPr>
        <w:pStyle w:val="Style18"/>
        <w:keepNext w:val="0"/>
        <w:keepLines w:val="0"/>
        <w:widowControl w:val="0"/>
        <w:numPr>
          <w:ilvl w:val="0"/>
          <w:numId w:val="5"/>
        </w:numPr>
        <w:shd w:val="clear" w:color="auto" w:fill="auto"/>
        <w:tabs>
          <w:tab w:pos="282" w:val="left"/>
        </w:tabs>
        <w:bidi w:val="0"/>
        <w:spacing w:before="0" w:after="120" w:line="240" w:lineRule="auto"/>
        <w:ind w:left="0" w:right="0" w:firstLine="0"/>
        <w:jc w:val="both"/>
      </w:pPr>
      <w:bookmarkStart w:id="559" w:name="bookmark559"/>
      <w:bookmarkEnd w:id="55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23"/>
        <w:keepNext/>
        <w:keepLines/>
        <w:widowControl w:val="0"/>
        <w:shd w:val="clear" w:color="auto" w:fill="auto"/>
        <w:bidi w:val="0"/>
        <w:spacing w:before="0" w:after="360" w:line="240" w:lineRule="auto"/>
        <w:ind w:left="0" w:right="0" w:firstLine="0"/>
        <w:jc w:val="both"/>
      </w:pPr>
      <w:bookmarkStart w:id="560" w:name="bookmark560"/>
      <w:bookmarkStart w:id="561" w:name="bookmark561"/>
      <w:bookmarkStart w:id="562" w:name="bookmark562"/>
      <w:r>
        <w:rPr>
          <w:color w:val="000000"/>
          <w:spacing w:val="0"/>
          <w:w w:val="100"/>
          <w:position w:val="0"/>
          <w:sz w:val="24"/>
          <w:szCs w:val="24"/>
        </w:rPr>
        <w:t>十七、公司子公司重大事项</w:t>
      </w:r>
      <w:bookmarkEnd w:id="560"/>
      <w:bookmarkEnd w:id="561"/>
      <w:bookmarkEnd w:id="562"/>
    </w:p>
    <w:p>
      <w:pPr>
        <w:pStyle w:val="Style18"/>
        <w:keepNext w:val="0"/>
        <w:keepLines w:val="0"/>
        <w:widowControl w:val="0"/>
        <w:numPr>
          <w:ilvl w:val="0"/>
          <w:numId w:val="5"/>
        </w:numPr>
        <w:shd w:val="clear" w:color="auto" w:fill="auto"/>
        <w:tabs>
          <w:tab w:pos="282" w:val="left"/>
        </w:tabs>
        <w:bidi w:val="0"/>
        <w:spacing w:before="0" w:after="360" w:line="240" w:lineRule="auto"/>
        <w:ind w:left="0" w:right="0" w:firstLine="0"/>
        <w:jc w:val="both"/>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64" w:name="bookmark564"/>
      <w:bookmarkStart w:id="565" w:name="bookmark565"/>
      <w:bookmarkStart w:id="566" w:name="bookmark566"/>
      <w:r>
        <w:rPr>
          <w:color w:val="000000"/>
          <w:spacing w:val="0"/>
          <w:w w:val="100"/>
          <w:position w:val="0"/>
        </w:rPr>
        <w:t>第七节股份变动及股东情况</w:t>
      </w:r>
      <w:bookmarkEnd w:id="564"/>
      <w:bookmarkEnd w:id="565"/>
      <w:bookmarkEnd w:id="566"/>
    </w:p>
    <w:p>
      <w:pPr>
        <w:pStyle w:val="Style23"/>
        <w:keepNext/>
        <w:keepLines/>
        <w:widowControl w:val="0"/>
        <w:shd w:val="clear" w:color="auto" w:fill="auto"/>
        <w:bidi w:val="0"/>
        <w:spacing w:before="0" w:line="240" w:lineRule="auto"/>
        <w:ind w:left="0" w:right="0" w:firstLine="0"/>
        <w:jc w:val="left"/>
      </w:pPr>
      <w:bookmarkStart w:id="567" w:name="bookmark567"/>
      <w:bookmarkStart w:id="568" w:name="bookmark568"/>
      <w:bookmarkStart w:id="569" w:name="bookmark569"/>
      <w:bookmarkStart w:id="570" w:name="bookmark570"/>
      <w:bookmarkStart w:id="571" w:name="bookmark571"/>
      <w:r>
        <w:rPr>
          <w:color w:val="000000"/>
          <w:spacing w:val="0"/>
          <w:w w:val="100"/>
          <w:position w:val="0"/>
          <w:sz w:val="24"/>
          <w:szCs w:val="24"/>
        </w:rPr>
        <w:t>一</w:t>
      </w:r>
      <w:bookmarkEnd w:id="570"/>
      <w:r>
        <w:rPr>
          <w:color w:val="000000"/>
          <w:spacing w:val="0"/>
          <w:w w:val="100"/>
          <w:position w:val="0"/>
          <w:sz w:val="24"/>
          <w:szCs w:val="24"/>
        </w:rPr>
        <w:t>、股份变动情况</w:t>
      </w:r>
      <w:bookmarkEnd w:id="568"/>
      <w:bookmarkEnd w:id="569"/>
      <w:bookmarkEnd w:id="571"/>
      <w:bookmarkEnd w:id="567"/>
    </w:p>
    <w:p>
      <w:pPr>
        <w:pStyle w:val="Style29"/>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、股份变动情况</w:t>
      </w:r>
      <w:bookmarkEnd w:id="572"/>
      <w:bookmarkEnd w:id="573"/>
      <w:bookmarkEnd w:id="57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994"/>
        <w:gridCol w:w="821"/>
        <w:gridCol w:w="600"/>
        <w:gridCol w:w="706"/>
        <w:gridCol w:w="710"/>
        <w:gridCol w:w="989"/>
        <w:gridCol w:w="994"/>
        <w:gridCol w:w="99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发行</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144,145,049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-83,923,060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-83,923,060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60,221,989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144,145,049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-83,923,060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-83,923,060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60,221,989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其中：境内法人持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65,729,308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-65,729,308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-65,729,308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78,415,741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-18,193,752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60,221,989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其中：境外法人持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境外自然人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76,601,298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91,905,530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91,905,530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168,506,828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76,601,298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91,905,530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91,905,530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168,506,828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220,746,347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7,982,470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7,982,470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228,728,817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8"/>
        <w:keepNext w:val="0"/>
        <w:keepLines w:val="0"/>
        <w:widowControl w:val="0"/>
        <w:shd w:val="clear" w:color="auto" w:fill="auto"/>
        <w:bidi w:val="0"/>
        <w:spacing w:before="0" w:after="100" w:line="314" w:lineRule="exact"/>
        <w:ind w:left="0" w:right="0" w:firstLine="0"/>
        <w:jc w:val="both"/>
      </w:pPr>
      <w:r>
        <w:rPr>
          <w:color w:val="000000"/>
          <w:spacing w:val="0"/>
          <w:w w:val="100"/>
          <w:position w:val="0"/>
        </w:rPr>
        <w:t>股份变动的原因</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both"/>
      </w:pPr>
      <w:bookmarkStart w:id="576" w:name="bookmark576"/>
      <w:r>
        <w:rPr>
          <w:rFonts w:ascii="Times New Roman" w:eastAsia="Times New Roman" w:hAnsi="Times New Roman" w:cs="Times New Roman"/>
          <w:color w:val="000000"/>
          <w:spacing w:val="0"/>
          <w:w w:val="100"/>
          <w:position w:val="0"/>
        </w:rPr>
        <w:t>1</w:t>
      </w:r>
      <w:bookmarkEnd w:id="576"/>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日，公司控股股东、实际控制人李建国先生及其一致行动人珠海弘泽熙元投资管理中心（有限合伙）、广西 威克德力投资管理中心（有限合伙），</w:t>
      </w:r>
      <w:r>
        <w:rPr>
          <w:rFonts w:ascii="Times New Roman" w:eastAsia="Times New Roman" w:hAnsi="Times New Roman" w:cs="Times New Roman"/>
          <w:color w:val="000000"/>
          <w:spacing w:val="0"/>
          <w:w w:val="100"/>
          <w:position w:val="0"/>
        </w:rPr>
        <w:t>3</w:t>
      </w:r>
      <w:r>
        <w:rPr>
          <w:color w:val="000000"/>
          <w:spacing w:val="0"/>
          <w:w w:val="100"/>
          <w:position w:val="0"/>
        </w:rPr>
        <w:t>名股东合计解除首发限售股</w:t>
      </w:r>
      <w:r>
        <w:rPr>
          <w:rFonts w:ascii="Times New Roman" w:eastAsia="Times New Roman" w:hAnsi="Times New Roman" w:cs="Times New Roman"/>
          <w:color w:val="000000"/>
          <w:spacing w:val="0"/>
          <w:w w:val="100"/>
          <w:position w:val="0"/>
        </w:rPr>
        <w:t>144,144,974</w:t>
      </w:r>
      <w:r>
        <w:rPr>
          <w:color w:val="000000"/>
          <w:spacing w:val="0"/>
          <w:w w:val="100"/>
          <w:position w:val="0"/>
        </w:rPr>
        <w:t>股。</w:t>
      </w:r>
    </w:p>
    <w:p>
      <w:pPr>
        <w:pStyle w:val="Style18"/>
        <w:keepNext w:val="0"/>
        <w:keepLines w:val="0"/>
        <w:widowControl w:val="0"/>
        <w:shd w:val="clear" w:color="auto" w:fill="auto"/>
        <w:tabs>
          <w:tab w:pos="354" w:val="left"/>
        </w:tabs>
        <w:bidi w:val="0"/>
        <w:spacing w:before="0" w:after="0" w:line="314" w:lineRule="exact"/>
        <w:ind w:left="0" w:right="0" w:firstLine="0"/>
        <w:jc w:val="both"/>
      </w:pPr>
      <w:bookmarkStart w:id="577" w:name="bookmark577"/>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报告期内，公司《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年股票期权激励计划》第一个行权期合计行权</w:t>
      </w:r>
      <w:r>
        <w:rPr>
          <w:rFonts w:ascii="Times New Roman" w:eastAsia="Times New Roman" w:hAnsi="Times New Roman" w:cs="Times New Roman"/>
          <w:color w:val="000000"/>
          <w:spacing w:val="0"/>
          <w:w w:val="100"/>
          <w:position w:val="0"/>
        </w:rPr>
        <w:t>7,971,860</w:t>
      </w:r>
      <w:r>
        <w:rPr>
          <w:color w:val="000000"/>
          <w:spacing w:val="0"/>
          <w:w w:val="100"/>
          <w:position w:val="0"/>
        </w:rPr>
        <w:t>股。</w:t>
      </w:r>
    </w:p>
    <w:p>
      <w:pPr>
        <w:pStyle w:val="Style18"/>
        <w:keepNext w:val="0"/>
        <w:keepLines w:val="0"/>
        <w:widowControl w:val="0"/>
        <w:shd w:val="clear" w:color="auto" w:fill="auto"/>
        <w:tabs>
          <w:tab w:pos="354" w:val="left"/>
        </w:tabs>
        <w:bidi w:val="0"/>
        <w:spacing w:before="0" w:after="0" w:line="314" w:lineRule="exact"/>
        <w:ind w:left="0" w:right="0" w:firstLine="0"/>
        <w:jc w:val="both"/>
      </w:pPr>
      <w:bookmarkStart w:id="578" w:name="bookmark578"/>
      <w:r>
        <w:rPr>
          <w:rFonts w:ascii="Times New Roman" w:eastAsia="Times New Roman" w:hAnsi="Times New Roman" w:cs="Times New Roman"/>
          <w:color w:val="000000"/>
          <w:spacing w:val="0"/>
          <w:w w:val="100"/>
          <w:position w:val="0"/>
        </w:rPr>
        <w:t>3</w:t>
      </w:r>
      <w:bookmarkEnd w:id="57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w:t>
      </w:r>
      <w:r>
        <w:rPr>
          <w:rFonts w:ascii="Times New Roman" w:eastAsia="Times New Roman" w:hAnsi="Times New Roman" w:cs="Times New Roman"/>
          <w:color w:val="000000"/>
          <w:spacing w:val="0"/>
          <w:w w:val="100"/>
          <w:position w:val="0"/>
        </w:rPr>
        <w:t>“</w:t>
      </w:r>
      <w:r>
        <w:rPr>
          <w:color w:val="000000"/>
          <w:spacing w:val="0"/>
          <w:w w:val="100"/>
          <w:position w:val="0"/>
        </w:rPr>
        <w:t>润建转债</w:t>
      </w:r>
      <w:r>
        <w:rPr>
          <w:rFonts w:ascii="Times New Roman" w:eastAsia="Times New Roman" w:hAnsi="Times New Roman" w:cs="Times New Roman"/>
          <w:color w:val="000000"/>
          <w:spacing w:val="0"/>
          <w:w w:val="100"/>
          <w:position w:val="0"/>
        </w:rPr>
        <w:t>”</w:t>
      </w:r>
      <w:r>
        <w:rPr>
          <w:color w:val="000000"/>
          <w:spacing w:val="0"/>
          <w:w w:val="100"/>
          <w:position w:val="0"/>
        </w:rPr>
        <w:t>持有人可在转股期内，即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日（由于</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日为非交易 日，实际转股截止日期为</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日），深圳证券交易所交易日的正常交易时间申报转股。报告期内，</w:t>
      </w:r>
      <w:r>
        <w:rPr>
          <w:rFonts w:ascii="Times New Roman" w:eastAsia="Times New Roman" w:hAnsi="Times New Roman" w:cs="Times New Roman"/>
          <w:color w:val="000000"/>
          <w:spacing w:val="0"/>
          <w:w w:val="100"/>
          <w:position w:val="0"/>
        </w:rPr>
        <w:t>“</w:t>
      </w:r>
      <w:r>
        <w:rPr>
          <w:color w:val="000000"/>
          <w:spacing w:val="0"/>
          <w:w w:val="100"/>
          <w:position w:val="0"/>
        </w:rPr>
        <w:t>润建转债</w:t>
      </w:r>
      <w:r>
        <w:rPr>
          <w:rFonts w:ascii="Times New Roman" w:eastAsia="Times New Roman" w:hAnsi="Times New Roman" w:cs="Times New Roman"/>
          <w:color w:val="000000"/>
          <w:spacing w:val="0"/>
          <w:w w:val="100"/>
          <w:position w:val="0"/>
        </w:rPr>
        <w:t>”</w:t>
      </w:r>
      <w:r>
        <w:rPr>
          <w:color w:val="000000"/>
          <w:spacing w:val="0"/>
          <w:w w:val="100"/>
          <w:position w:val="0"/>
        </w:rPr>
        <w:t xml:space="preserve">债转 </w:t>
      </w:r>
      <w:r>
        <w:rPr>
          <w:color w:val="000000"/>
          <w:spacing w:val="0"/>
          <w:w w:val="100"/>
          <w:position w:val="0"/>
        </w:rPr>
        <w:t>股合计</w:t>
      </w:r>
      <w:r>
        <w:rPr>
          <w:rFonts w:ascii="Times New Roman" w:eastAsia="Times New Roman" w:hAnsi="Times New Roman" w:cs="Times New Roman"/>
          <w:color w:val="000000"/>
          <w:spacing w:val="0"/>
          <w:w w:val="100"/>
          <w:position w:val="0"/>
        </w:rPr>
        <w:t>10,610</w:t>
      </w:r>
      <w:r>
        <w:rPr>
          <w:color w:val="000000"/>
          <w:spacing w:val="0"/>
          <w:w w:val="100"/>
          <w:position w:val="0"/>
        </w:rPr>
        <w:t>股。</w:t>
      </w:r>
    </w:p>
    <w:p>
      <w:pPr>
        <w:pStyle w:val="Style18"/>
        <w:keepNext w:val="0"/>
        <w:keepLines w:val="0"/>
        <w:widowControl w:val="0"/>
        <w:shd w:val="clear" w:color="auto" w:fill="auto"/>
        <w:bidi w:val="0"/>
        <w:spacing w:before="0" w:after="0" w:line="307" w:lineRule="exact"/>
        <w:ind w:left="0" w:right="0" w:firstLine="0"/>
        <w:jc w:val="both"/>
      </w:pPr>
      <w:bookmarkStart w:id="579" w:name="bookmark579"/>
      <w:r>
        <w:rPr>
          <w:rFonts w:ascii="Times New Roman" w:eastAsia="Times New Roman" w:hAnsi="Times New Roman" w:cs="Times New Roman"/>
          <w:color w:val="000000"/>
          <w:spacing w:val="0"/>
          <w:w w:val="100"/>
          <w:position w:val="0"/>
        </w:rPr>
        <w:t>4</w:t>
      </w:r>
      <w:bookmarkEnd w:id="579"/>
      <w:r>
        <w:rPr>
          <w:color w:val="000000"/>
          <w:spacing w:val="0"/>
          <w:w w:val="100"/>
          <w:position w:val="0"/>
        </w:rPr>
        <w:t>、报告期内，公司董事、监事、高级管理人员在任职期间增持公司的股票以及实际控制人李建国先生首发限售股解除后， 根据《上市公司自律监管指引第</w:t>
      </w:r>
      <w:r>
        <w:rPr>
          <w:rFonts w:ascii="Times New Roman" w:eastAsia="Times New Roman" w:hAnsi="Times New Roman" w:cs="Times New Roman"/>
          <w:color w:val="000000"/>
          <w:spacing w:val="0"/>
          <w:w w:val="100"/>
          <w:position w:val="0"/>
        </w:rPr>
        <w:t>10</w:t>
      </w:r>
      <w:r>
        <w:rPr>
          <w:color w:val="000000"/>
          <w:spacing w:val="0"/>
          <w:w w:val="100"/>
          <w:position w:val="0"/>
        </w:rPr>
        <w:t xml:space="preserve">号一股份变动管理》等相关法律法规，公司董事、监事、高级管理人员按其持有股份的 </w:t>
      </w:r>
      <w:r>
        <w:rPr>
          <w:rFonts w:ascii="Times New Roman" w:eastAsia="Times New Roman" w:hAnsi="Times New Roman" w:cs="Times New Roman"/>
          <w:color w:val="000000"/>
          <w:spacing w:val="0"/>
          <w:w w:val="100"/>
          <w:position w:val="0"/>
        </w:rPr>
        <w:t>75%</w:t>
      </w:r>
      <w:r>
        <w:rPr>
          <w:color w:val="000000"/>
          <w:spacing w:val="0"/>
          <w:w w:val="100"/>
          <w:position w:val="0"/>
        </w:rPr>
        <w:t>自动锁定，新增限售股</w:t>
      </w:r>
      <w:r>
        <w:rPr>
          <w:rFonts w:ascii="Times New Roman" w:eastAsia="Times New Roman" w:hAnsi="Times New Roman" w:cs="Times New Roman"/>
          <w:color w:val="000000"/>
          <w:spacing w:val="0"/>
          <w:w w:val="100"/>
          <w:position w:val="0"/>
        </w:rPr>
        <w:t>60,221,914</w:t>
      </w:r>
      <w:r>
        <w:rPr>
          <w:color w:val="000000"/>
          <w:spacing w:val="0"/>
          <w:w w:val="100"/>
          <w:position w:val="0"/>
        </w:rPr>
        <w:t>股。</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tabs>
          <w:tab w:pos="344" w:val="left"/>
        </w:tabs>
        <w:bidi w:val="0"/>
        <w:spacing w:before="0" w:after="0" w:line="314" w:lineRule="exact"/>
        <w:ind w:left="0" w:right="0" w:firstLine="0"/>
        <w:jc w:val="both"/>
      </w:pPr>
      <w:bookmarkStart w:id="580" w:name="bookmark580"/>
      <w:r>
        <w:rPr>
          <w:rFonts w:ascii="Times New Roman" w:eastAsia="Times New Roman" w:hAnsi="Times New Roman" w:cs="Times New Roman"/>
          <w:color w:val="000000"/>
          <w:spacing w:val="0"/>
          <w:w w:val="100"/>
          <w:position w:val="0"/>
        </w:rPr>
        <w:t>1</w:t>
      </w:r>
      <w:bookmarkEnd w:id="58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日，公司召开的第四届董事会第十七次会议和第四届监事会第十五次会议，审议通过《关于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权激励计划第一个行权期行权条件成就的议案》，根据公司《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年股票期权激励计划（草案修订稿）（更新后）》的相 关规定，激励计划第一个行权期的行权条件已经成就，同意符合行权条件的</w:t>
      </w:r>
      <w:r>
        <w:rPr>
          <w:rFonts w:ascii="Times New Roman" w:eastAsia="Times New Roman" w:hAnsi="Times New Roman" w:cs="Times New Roman"/>
          <w:color w:val="000000"/>
          <w:spacing w:val="0"/>
          <w:w w:val="100"/>
          <w:position w:val="0"/>
        </w:rPr>
        <w:t>177</w:t>
      </w:r>
      <w:r>
        <w:rPr>
          <w:color w:val="000000"/>
          <w:spacing w:val="0"/>
          <w:w w:val="100"/>
          <w:position w:val="0"/>
        </w:rPr>
        <w:t>名激励对象在第一个行权期可行权</w:t>
      </w:r>
      <w:r>
        <w:rPr>
          <w:rFonts w:ascii="Times New Roman" w:eastAsia="Times New Roman" w:hAnsi="Times New Roman" w:cs="Times New Roman"/>
          <w:color w:val="000000"/>
          <w:spacing w:val="0"/>
          <w:w w:val="100"/>
          <w:position w:val="0"/>
        </w:rPr>
        <w:t xml:space="preserve">805.5480 </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21.54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1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报告期内，因实施股权激励计划及可转债转股，公司总股本由</w:t>
      </w:r>
      <w:r>
        <w:rPr>
          <w:rFonts w:ascii="Times New Roman" w:eastAsia="Times New Roman" w:hAnsi="Times New Roman" w:cs="Times New Roman"/>
          <w:color w:val="000000"/>
          <w:spacing w:val="0"/>
          <w:w w:val="100"/>
          <w:position w:val="0"/>
        </w:rPr>
        <w:t>220,746,347.00</w:t>
      </w:r>
      <w:r>
        <w:rPr>
          <w:color w:val="000000"/>
          <w:spacing w:val="0"/>
          <w:w w:val="100"/>
          <w:position w:val="0"/>
        </w:rPr>
        <w:t>增加至</w:t>
      </w:r>
      <w:r>
        <w:rPr>
          <w:rFonts w:ascii="Times New Roman" w:eastAsia="Times New Roman" w:hAnsi="Times New Roman" w:cs="Times New Roman"/>
          <w:color w:val="000000"/>
          <w:spacing w:val="0"/>
          <w:w w:val="100"/>
          <w:position w:val="0"/>
        </w:rPr>
        <w:t>228,728,817.00</w:t>
      </w:r>
      <w:r>
        <w:rPr>
          <w:color w:val="000000"/>
          <w:spacing w:val="0"/>
          <w:w w:val="100"/>
          <w:position w:val="0"/>
        </w:rPr>
        <w:t>，本次股份变动使公司最 近一年的每股收益及稀释每股收益、归属于公司普通股东的每股净资产等财务指标相应摊薄。</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both"/>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限售股份变动情况</w:t>
      </w:r>
      <w:bookmarkEnd w:id="581"/>
      <w:bookmarkEnd w:id="582"/>
      <w:bookmarkEnd w:id="584"/>
    </w:p>
    <w:p>
      <w:pPr>
        <w:pStyle w:val="Style18"/>
        <w:keepNext w:val="0"/>
        <w:keepLines w:val="0"/>
        <w:widowControl w:val="0"/>
        <w:shd w:val="clear" w:color="auto" w:fill="auto"/>
        <w:bidi w:val="0"/>
        <w:spacing w:before="0" w:after="120" w:line="314"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82"/>
        <w:gridCol w:w="1277"/>
        <w:gridCol w:w="1277"/>
        <w:gridCol w:w="1277"/>
        <w:gridCol w:w="1272"/>
        <w:gridCol w:w="1704"/>
        <w:gridCol w:w="15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78,415,666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19,603,917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58,811,749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486,570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486,570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383,010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383,010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82"/>
        <w:gridCol w:w="1277"/>
        <w:gridCol w:w="1277"/>
        <w:gridCol w:w="1277"/>
        <w:gridCol w:w="1272"/>
        <w:gridCol w:w="1704"/>
        <w:gridCol w:w="1570"/>
      </w:tblGrid>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在任职公司董事、监 事、高级管理人员期 间所持有的公司股 票，按</w:t>
            </w:r>
            <w:r>
              <w:rPr>
                <w:rFonts w:ascii="Times New Roman" w:eastAsia="Times New Roman" w:hAnsi="Times New Roman" w:cs="Times New Roman"/>
                <w:color w:val="000000"/>
                <w:spacing w:val="0"/>
                <w:w w:val="100"/>
                <w:position w:val="0"/>
              </w:rPr>
              <w:t>75%</w:t>
            </w: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高管锁定股每年第 一个交易日解锁其 拥有股份的</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广西威克德力</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投资管理中心</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13,625,479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13,625,479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珠海弘泽熙元</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投资管理中心</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52,103,829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52,103,829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144,145,049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1,410,240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85,333,300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60,221,989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sz w:val="24"/>
          <w:szCs w:val="24"/>
        </w:rPr>
        <w:t>二</w:t>
      </w:r>
      <w:bookmarkEnd w:id="587"/>
      <w:r>
        <w:rPr>
          <w:color w:val="000000"/>
          <w:spacing w:val="0"/>
          <w:w w:val="100"/>
          <w:position w:val="0"/>
          <w:sz w:val="24"/>
          <w:szCs w:val="24"/>
        </w:rPr>
        <w:t>、证券发行与上市情况</w:t>
      </w:r>
      <w:bookmarkEnd w:id="585"/>
      <w:bookmarkEnd w:id="586"/>
      <w:bookmarkEnd w:id="588"/>
    </w:p>
    <w:p>
      <w:pPr>
        <w:pStyle w:val="Style29"/>
        <w:keepNext/>
        <w:keepLines/>
        <w:widowControl w:val="0"/>
        <w:shd w:val="clear" w:color="auto" w:fill="auto"/>
        <w:tabs>
          <w:tab w:pos="368" w:val="left"/>
        </w:tabs>
        <w:bidi w:val="0"/>
        <w:spacing w:before="0" w:after="26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1</w:t>
      </w:r>
      <w:bookmarkEnd w:id="591"/>
      <w:r>
        <w:rPr>
          <w:color w:val="000000"/>
          <w:spacing w:val="0"/>
          <w:w w:val="100"/>
          <w:position w:val="0"/>
        </w:rPr>
        <w:t>、</w:t>
        <w:tab/>
        <w:t>报告期内证券发行（不含优先股）情况</w:t>
      </w:r>
      <w:bookmarkEnd w:id="589"/>
      <w:bookmarkEnd w:id="590"/>
      <w:bookmarkEnd w:id="592"/>
    </w:p>
    <w:p>
      <w:pPr>
        <w:pStyle w:val="Style18"/>
        <w:keepNext w:val="0"/>
        <w:keepLines w:val="0"/>
        <w:widowControl w:val="0"/>
        <w:shd w:val="clear" w:color="auto" w:fill="auto"/>
        <w:bidi w:val="0"/>
        <w:spacing w:before="0" w:after="320" w:line="31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公司股份总数及股东结构的变动、公司资产和负债结构的变动情况说明</w:t>
      </w:r>
      <w:bookmarkEnd w:id="593"/>
      <w:bookmarkEnd w:id="594"/>
      <w:bookmarkEnd w:id="596"/>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30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日，公司召开的第四届董事会第十七次会议和第四届监事会第十五次会议，审议通过《关于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权激励计划第一个行权期行权条件成就的议案》，根据公司《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年股票期权激励计划（草案修订稿）（更新后）》的相 关规定，激励计划第一个行权期的行权条件已经成就，同意符合行权条件的</w:t>
      </w:r>
      <w:r>
        <w:rPr>
          <w:rFonts w:ascii="Times New Roman" w:eastAsia="Times New Roman" w:hAnsi="Times New Roman" w:cs="Times New Roman"/>
          <w:color w:val="000000"/>
          <w:spacing w:val="0"/>
          <w:w w:val="100"/>
          <w:position w:val="0"/>
        </w:rPr>
        <w:t>177</w:t>
      </w:r>
      <w:r>
        <w:rPr>
          <w:color w:val="000000"/>
          <w:spacing w:val="0"/>
          <w:w w:val="100"/>
          <w:position w:val="0"/>
        </w:rPr>
        <w:t>名激励对象在第一个行权期可行权</w:t>
      </w:r>
      <w:r>
        <w:rPr>
          <w:rFonts w:ascii="Times New Roman" w:eastAsia="Times New Roman" w:hAnsi="Times New Roman" w:cs="Times New Roman"/>
          <w:color w:val="000000"/>
          <w:spacing w:val="0"/>
          <w:w w:val="100"/>
          <w:position w:val="0"/>
        </w:rPr>
        <w:t xml:space="preserve">805.5480 </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21.54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股。报告期内，公司《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年股票期权激励计划》第一个行权期合计行权</w:t>
      </w:r>
      <w:r>
        <w:rPr>
          <w:rFonts w:ascii="Times New Roman" w:eastAsia="Times New Roman" w:hAnsi="Times New Roman" w:cs="Times New Roman"/>
          <w:color w:val="000000"/>
          <w:spacing w:val="0"/>
          <w:w w:val="100"/>
          <w:position w:val="0"/>
        </w:rPr>
        <w:t>7,971,860</w:t>
      </w:r>
      <w:r>
        <w:rPr>
          <w:color w:val="000000"/>
          <w:spacing w:val="0"/>
          <w:w w:val="100"/>
          <w:position w:val="0"/>
        </w:rPr>
        <w:t>股， 股份总数对应增加。</w:t>
      </w:r>
    </w:p>
    <w:p>
      <w:pPr>
        <w:pStyle w:val="Style18"/>
        <w:keepNext w:val="0"/>
        <w:keepLines w:val="0"/>
        <w:widowControl w:val="0"/>
        <w:shd w:val="clear" w:color="auto" w:fill="auto"/>
        <w:tabs>
          <w:tab w:pos="354" w:val="left"/>
        </w:tabs>
        <w:bidi w:val="0"/>
        <w:spacing w:before="0" w:after="340" w:line="312" w:lineRule="exact"/>
        <w:ind w:left="0" w:right="0" w:firstLine="0"/>
        <w:jc w:val="left"/>
      </w:pPr>
      <w:bookmarkStart w:id="597" w:name="bookmark597"/>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1,090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109,000</w:t>
      </w:r>
      <w:r>
        <w:rPr>
          <w:color w:val="000000"/>
          <w:spacing w:val="0"/>
          <w:w w:val="100"/>
          <w:position w:val="0"/>
        </w:rPr>
        <w:t>万元，扣除发行费用后募 集资金净额为人民币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,080,222,985.89</w:t>
      </w:r>
      <w:r>
        <w:rPr>
          <w:color w:val="000000"/>
          <w:spacing w:val="0"/>
          <w:w w:val="100"/>
          <w:position w:val="0"/>
        </w:rPr>
        <w:t>元。可转换公司债券于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日开始转股，因此对公司股份总数造成影响，报告 期内，</w:t>
      </w:r>
      <w:r>
        <w:rPr>
          <w:rFonts w:ascii="Times New Roman" w:eastAsia="Times New Roman" w:hAnsi="Times New Roman" w:cs="Times New Roman"/>
          <w:color w:val="000000"/>
          <w:spacing w:val="0"/>
          <w:w w:val="100"/>
          <w:position w:val="0"/>
        </w:rPr>
        <w:t>“</w:t>
      </w:r>
      <w:r>
        <w:rPr>
          <w:color w:val="000000"/>
          <w:spacing w:val="0"/>
          <w:w w:val="100"/>
          <w:position w:val="0"/>
        </w:rPr>
        <w:t>润建转债</w:t>
      </w:r>
      <w:r>
        <w:rPr>
          <w:rFonts w:ascii="Times New Roman" w:eastAsia="Times New Roman" w:hAnsi="Times New Roman" w:cs="Times New Roman"/>
          <w:color w:val="000000"/>
          <w:spacing w:val="0"/>
          <w:w w:val="100"/>
          <w:position w:val="0"/>
        </w:rPr>
        <w:t>”</w:t>
      </w:r>
      <w:r>
        <w:rPr>
          <w:color w:val="000000"/>
          <w:spacing w:val="0"/>
          <w:w w:val="100"/>
          <w:position w:val="0"/>
        </w:rPr>
        <w:t>债转股合计</w:t>
      </w:r>
      <w:r>
        <w:rPr>
          <w:rFonts w:ascii="Times New Roman" w:eastAsia="Times New Roman" w:hAnsi="Times New Roman" w:cs="Times New Roman"/>
          <w:color w:val="000000"/>
          <w:spacing w:val="0"/>
          <w:w w:val="100"/>
          <w:position w:val="0"/>
        </w:rPr>
        <w:t>10,610</w:t>
      </w:r>
      <w:r>
        <w:rPr>
          <w:color w:val="000000"/>
          <w:spacing w:val="0"/>
          <w:w w:val="100"/>
          <w:position w:val="0"/>
        </w:rPr>
        <w:t>股。</w:t>
      </w:r>
    </w:p>
    <w:p>
      <w:pPr>
        <w:pStyle w:val="Style29"/>
        <w:keepNext/>
        <w:keepLines/>
        <w:widowControl w:val="0"/>
        <w:shd w:val="clear" w:color="auto" w:fill="auto"/>
        <w:tabs>
          <w:tab w:pos="378"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w:t>
        <w:tab/>
        <w:t>现存的内部职工股情况</w:t>
      </w:r>
      <w:bookmarkEnd w:id="598"/>
      <w:bookmarkEnd w:id="599"/>
      <w:bookmarkEnd w:id="601"/>
    </w:p>
    <w:p>
      <w:pPr>
        <w:pStyle w:val="Style18"/>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三</w:t>
      </w:r>
      <w:bookmarkEnd w:id="604"/>
      <w:r>
        <w:rPr>
          <w:color w:val="000000"/>
          <w:spacing w:val="0"/>
          <w:w w:val="100"/>
          <w:position w:val="0"/>
          <w:sz w:val="24"/>
          <w:szCs w:val="24"/>
        </w:rPr>
        <w:t>、股东和实际控制人情况</w:t>
      </w:r>
      <w:bookmarkEnd w:id="602"/>
      <w:bookmarkEnd w:id="603"/>
      <w:bookmarkEnd w:id="605"/>
    </w:p>
    <w:p>
      <w:pPr>
        <w:pStyle w:val="Style29"/>
        <w:keepNext/>
        <w:keepLines/>
        <w:widowControl w:val="0"/>
        <w:shd w:val="clear" w:color="auto" w:fill="auto"/>
        <w:bidi w:val="0"/>
        <w:spacing w:before="0" w:after="34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、公司股东数量及持股情况</w:t>
      </w:r>
      <w:bookmarkEnd w:id="606"/>
      <w:bookmarkEnd w:id="607"/>
      <w:bookmarkEnd w:id="6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264"/>
        <w:gridCol w:w="931"/>
        <w:gridCol w:w="154"/>
        <w:gridCol w:w="730"/>
        <w:gridCol w:w="1114"/>
        <w:gridCol w:w="336"/>
        <w:gridCol w:w="797"/>
        <w:gridCol w:w="994"/>
        <w:gridCol w:w="221"/>
        <w:gridCol w:w="696"/>
        <w:gridCol w:w="442"/>
        <w:gridCol w:w="485"/>
        <w:gridCol w:w="422"/>
        <w:gridCol w:w="936"/>
      </w:tblGrid>
      <w:tr>
        <w:trPr>
          <w:trHeight w:val="29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18,094</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上一月末</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21,509</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报告期末表决权恢复的</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优先股股东总数（如有）</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 披露日前 上一月末 表决权恢 复的优先 股股东总 数（如有）</w:t>
            </w:r>
          </w:p>
          <w:p>
            <w:pPr>
              <w:pStyle w:val="Style20"/>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（参见注</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0"/>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78,415,666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58,811,749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19,603,917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33,033,477</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珠海弘泽天元企 业管理合伙企业 （有限合伙）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52,103,829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52,103,829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24,760,000</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张家界威克企业 管理中心（有限合 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13,625,479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13,625,479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9,570,000</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平潭盛欧投资中</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心（有限合伙）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5,595,210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5,595,210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宋文光</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1,399,900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1,399,900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中国光大银行股 份有限公司一博 时转债增强债券 型证券投资基金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1,003,400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1,003,400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1,000,009</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1,000,009</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085"/>
        <w:gridCol w:w="710"/>
        <w:gridCol w:w="1133"/>
        <w:gridCol w:w="1133"/>
        <w:gridCol w:w="994"/>
        <w:gridCol w:w="634"/>
        <w:gridCol w:w="283"/>
        <w:gridCol w:w="926"/>
        <w:gridCol w:w="1358"/>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北京汇金嘉业投 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中国工商银行股 份有限公司一广 发改革先锋灵活 配置混合型证券 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886,429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886429.00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728,156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9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蒋鹂北女士系李建国先生配偶、公司共同实际控制人；蒋鹂北女士为珠海弘泽天元企业 管理合伙企业（有限合伙）的普通合伙人，蒋鹂北女士与李建国先生持有该合伙企业全部 合伙份额；</w:t>
            </w:r>
          </w:p>
          <w:p>
            <w:pPr>
              <w:pStyle w:val="Style20"/>
              <w:keepNext w:val="0"/>
              <w:keepLines w:val="0"/>
              <w:widowControl w:val="0"/>
              <w:shd w:val="clear" w:color="auto" w:fill="auto"/>
              <w:tabs>
                <w:tab w:pos="28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张家界威克企业管理中心（有限合伙）系公司为激励管理层及骨干员工所设立的持股平 台，李建国先生持有威克</w:t>
            </w:r>
            <w:r>
              <w:rPr>
                <w:rFonts w:ascii="Times New Roman" w:eastAsia="Times New Roman" w:hAnsi="Times New Roman" w:cs="Times New Roman"/>
                <w:color w:val="000000"/>
                <w:spacing w:val="0"/>
                <w:w w:val="100"/>
                <w:position w:val="0"/>
              </w:rPr>
              <w:t>73.39%</w:t>
            </w:r>
            <w:r>
              <w:rPr>
                <w:color w:val="000000"/>
                <w:spacing w:val="0"/>
                <w:w w:val="100"/>
                <w:position w:val="0"/>
              </w:rPr>
              <w:t>的合伙份额，为该合伙企业的执行事务合伙人。</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 放弃表决权情况的说明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特别说明（如有）（参见注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0"/>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珠海弘泽天元企业管理合伙企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业（有限合伙）</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pPr>
            <w:r>
              <w:rPr>
                <w:rFonts w:ascii="Times New Roman" w:eastAsia="Times New Roman" w:hAnsi="Times New Roman" w:cs="Times New Roman"/>
                <w:color w:val="000000"/>
                <w:spacing w:val="0"/>
                <w:w w:val="100"/>
                <w:position w:val="0"/>
              </w:rPr>
              <w:t>52,103,829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52,103,829</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pPr>
            <w:r>
              <w:rPr>
                <w:rFonts w:ascii="Times New Roman" w:eastAsia="Times New Roman" w:hAnsi="Times New Roman" w:cs="Times New Roman"/>
                <w:color w:val="000000"/>
                <w:spacing w:val="0"/>
                <w:w w:val="100"/>
                <w:position w:val="0"/>
              </w:rPr>
              <w:t>19,603,917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19,603,917</w:t>
            </w:r>
          </w:p>
        </w:tc>
      </w:tr>
      <w:tr>
        <w:trPr>
          <w:trHeight w:val="715"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张家界威克企业管理中心（有限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60" w:right="0" w:firstLine="0"/>
              <w:jc w:val="left"/>
            </w:pPr>
            <w:r>
              <w:rPr>
                <w:rFonts w:ascii="Times New Roman" w:eastAsia="Times New Roman" w:hAnsi="Times New Roman" w:cs="Times New Roman"/>
                <w:color w:val="000000"/>
                <w:spacing w:val="0"/>
                <w:w w:val="100"/>
                <w:position w:val="0"/>
              </w:rPr>
              <w:t>13,625,479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13,625,479</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平潭盛欧投资中心（有限合伙）</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5,595,210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5,595,210</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宋文光</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1,399,900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1,399,900</w:t>
            </w:r>
          </w:p>
        </w:tc>
      </w:tr>
      <w:tr>
        <w:trPr>
          <w:trHeight w:val="102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中国光大银行股份有限公司一 博时转债增强债券型证券投资 基金</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1,003,400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1,003,400</w:t>
            </w:r>
          </w:p>
        </w:tc>
      </w:tr>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1,000,009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1,000,009</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北京汇金嘉业投资有限公司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40" w:right="0" w:firstLine="0"/>
              <w:jc w:val="left"/>
            </w:pPr>
            <w:r>
              <w:rPr>
                <w:rFonts w:ascii="Times New Roman" w:eastAsia="Times New Roman" w:hAnsi="Times New Roman" w:cs="Times New Roman"/>
                <w:color w:val="000000"/>
                <w:spacing w:val="0"/>
                <w:w w:val="100"/>
                <w:position w:val="0"/>
              </w:rPr>
              <w:t>1,000,000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w:t>
            </w:r>
          </w:p>
        </w:tc>
      </w:tr>
      <w:tr>
        <w:trPr>
          <w:trHeight w:val="1037"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 广发改革先锋灵活配置混合型 证券投资基金</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886,429</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886,429</w:t>
            </w:r>
          </w:p>
        </w:tc>
      </w:tr>
    </w:tbl>
    <w:p>
      <w:pPr>
        <w:spacing w:lineRule="exact" w:line="1"/>
        <w:rPr>
          <w:sz w:val="2"/>
          <w:szCs w:val="2"/>
        </w:rPr>
      </w:pPr>
      <w:r>
        <w:br w:type="page"/>
      </w:r>
    </w:p>
    <w:tbl>
      <w:tblPr>
        <w:tblOverlap w:val="never"/>
        <w:jc w:val="center"/>
        <w:tblLayout w:type="fixed"/>
      </w:tblPr>
      <w:tblGrid>
        <w:gridCol w:w="2558"/>
        <w:gridCol w:w="7171"/>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5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728,156</w:t>
            </w:r>
            <w:r>
              <w:rPr>
                <w:color w:val="000000"/>
                <w:spacing w:val="0"/>
                <w:w w:val="100"/>
                <w:position w:val="0"/>
              </w:rPr>
              <w:t>人民币普通股</w:t>
              <w:tab/>
            </w:r>
            <w:r>
              <w:rPr>
                <w:rFonts w:ascii="Times New Roman" w:eastAsia="Times New Roman" w:hAnsi="Times New Roman" w:cs="Times New Roman"/>
                <w:color w:val="000000"/>
                <w:spacing w:val="0"/>
                <w:w w:val="100"/>
                <w:position w:val="0"/>
              </w:rPr>
              <w:t>728,156</w:t>
            </w:r>
          </w:p>
        </w:tc>
      </w:tr>
      <w:tr>
        <w:trPr>
          <w:trHeight w:val="368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 一致行动的说明</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李建国、珠海弘泽天元企业管理合伙企业、张家界威克企业管理中心（有限合伙）为一 致行动人；</w:t>
            </w:r>
          </w:p>
          <w:p>
            <w:pPr>
              <w:pStyle w:val="Style20"/>
              <w:keepNext w:val="0"/>
              <w:keepLines w:val="0"/>
              <w:widowControl w:val="0"/>
              <w:shd w:val="clear" w:color="auto" w:fill="auto"/>
              <w:tabs>
                <w:tab w:pos="283"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蒋鹂北女士系李建国先生配偶、公司共同实际控制人；蒋鹂北女士为珠海弘泽天元企业 管理合伙企业（有限合伙）的普通合伙人，蒋鹂北女士与李建国先生持有该合伙企业全部 合伙份额；</w:t>
            </w:r>
          </w:p>
          <w:p>
            <w:pPr>
              <w:pStyle w:val="Style20"/>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张家界威克企业管理中心（有限合伙）系公司为激励管理层及骨干员工所设立的持股平 台，李建国先生持有威克</w:t>
            </w:r>
            <w:r>
              <w:rPr>
                <w:rFonts w:ascii="Times New Roman" w:eastAsia="Times New Roman" w:hAnsi="Times New Roman" w:cs="Times New Roman"/>
                <w:color w:val="000000"/>
                <w:spacing w:val="0"/>
                <w:w w:val="100"/>
                <w:position w:val="0"/>
              </w:rPr>
              <w:t>73.39%</w:t>
            </w:r>
            <w:r>
              <w:rPr>
                <w:color w:val="000000"/>
                <w:spacing w:val="0"/>
                <w:w w:val="100"/>
                <w:position w:val="0"/>
              </w:rPr>
              <w:t>的合伙份额，为该合伙企业的执行事务合伙人。</w:t>
            </w:r>
          </w:p>
          <w:p>
            <w:pPr>
              <w:pStyle w:val="Style20"/>
              <w:keepNext w:val="0"/>
              <w:keepLines w:val="0"/>
              <w:widowControl w:val="0"/>
              <w:shd w:val="clear" w:color="auto" w:fill="auto"/>
              <w:tabs>
                <w:tab w:pos="288"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未知前十名其余无限售条件普通股股东之间是否存在关联关系，也未知是否属于一致行 动人。公司未知前十名其余无限售条件普通股股东和前十名普通股股东之间是否存在关联 关系，也未知是否属于一致行动人。</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 券业务情况说明（如有）（参见 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、公司股东应明通过信用交易担保证券账户持有</w:t>
            </w:r>
            <w:r>
              <w:rPr>
                <w:rFonts w:ascii="Times New Roman" w:eastAsia="Times New Roman" w:hAnsi="Times New Roman" w:cs="Times New Roman"/>
                <w:color w:val="000000"/>
                <w:spacing w:val="0"/>
                <w:w w:val="100"/>
                <w:position w:val="0"/>
              </w:rPr>
              <w:t>1,000,009</w:t>
            </w:r>
            <w:r>
              <w:rPr>
                <w:color w:val="000000"/>
                <w:spacing w:val="0"/>
                <w:w w:val="100"/>
                <w:position w:val="0"/>
              </w:rPr>
              <w:t>股。</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、公司控股股东情况</w:t>
      </w:r>
      <w:bookmarkEnd w:id="610"/>
      <w:bookmarkEnd w:id="611"/>
      <w:bookmarkEnd w:id="61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165"/>
        <w:gridCol w:w="399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李建国系润建股份有限公司董事长</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4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3</w:t>
      </w:r>
      <w:bookmarkEnd w:id="616"/>
      <w:r>
        <w:rPr>
          <w:color w:val="000000"/>
          <w:spacing w:val="0"/>
          <w:w w:val="100"/>
          <w:position w:val="0"/>
        </w:rPr>
        <w:t>、公司实际控制人及其一致行动人</w:t>
      </w:r>
      <w:bookmarkEnd w:id="614"/>
      <w:bookmarkEnd w:id="615"/>
      <w:bookmarkEnd w:id="617"/>
    </w:p>
    <w:p>
      <w:pPr>
        <w:pStyle w:val="Style18"/>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蒋鹂北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765"/>
        <w:gridCol w:w="6821"/>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蒋鹂北女士系李建国先生配偶、公司共同实际控制人；蒋鹂北女士为珠海弘泽熙元投资 管理中心（有限合伙）的普通合伙人，蒋鹂北女士与李建国先生持有该合伙企业全部合 伙份额</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实际控制人报告期内变更</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645025" cy="310261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pic:blipFill>
                  <pic:spPr>
                    <a:xfrm>
                      <a:ext cx="4645025" cy="3102610"/>
                    </a:xfrm>
                    <a:prstGeom prst="rect"/>
                  </pic:spPr>
                </pic:pic>
              </a:graphicData>
            </a:graphic>
          </wp:inline>
        </w:drawing>
      </w:r>
    </w:p>
    <w:p>
      <w:pPr>
        <w:widowControl w:val="0"/>
        <w:spacing w:after="29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8"/>
      <w:bookmarkEnd w:id="619"/>
      <w:bookmarkEnd w:id="621"/>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5</w:t>
      </w:r>
      <w:bookmarkEnd w:id="62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2"/>
      <w:bookmarkEnd w:id="623"/>
      <w:bookmarkEnd w:id="625"/>
    </w:p>
    <w:p>
      <w:pPr>
        <w:pStyle w:val="Style18"/>
        <w:keepNext w:val="0"/>
        <w:keepLines w:val="0"/>
        <w:widowControl w:val="0"/>
        <w:numPr>
          <w:ilvl w:val="0"/>
          <w:numId w:val="5"/>
        </w:numPr>
        <w:shd w:val="clear" w:color="auto" w:fill="auto"/>
        <w:tabs>
          <w:tab w:pos="282" w:val="left"/>
        </w:tabs>
        <w:bidi w:val="0"/>
        <w:spacing w:before="0" w:after="360" w:line="240" w:lineRule="auto"/>
        <w:ind w:left="0" w:right="0" w:firstLine="0"/>
        <w:jc w:val="both"/>
      </w:pPr>
      <w:bookmarkStart w:id="626" w:name="bookmark626"/>
      <w:bookmarkEnd w:id="62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6</w:t>
      </w:r>
      <w:bookmarkEnd w:id="629"/>
      <w:r>
        <w:rPr>
          <w:color w:val="000000"/>
          <w:spacing w:val="0"/>
          <w:w w:val="100"/>
          <w:position w:val="0"/>
        </w:rPr>
        <w:t>、</w:t>
        <w:tab/>
        <w:t>控股股东、实际控制人、重组方及其他承诺主体股份限制减持情况</w:t>
      </w:r>
      <w:bookmarkEnd w:id="627"/>
      <w:bookmarkEnd w:id="628"/>
      <w:bookmarkEnd w:id="630"/>
    </w:p>
    <w:p>
      <w:pPr>
        <w:pStyle w:val="Style18"/>
        <w:keepNext w:val="0"/>
        <w:keepLines w:val="0"/>
        <w:widowControl w:val="0"/>
        <w:numPr>
          <w:ilvl w:val="0"/>
          <w:numId w:val="5"/>
        </w:numPr>
        <w:shd w:val="clear" w:color="auto" w:fill="auto"/>
        <w:tabs>
          <w:tab w:pos="282" w:val="left"/>
        </w:tabs>
        <w:bidi w:val="0"/>
        <w:spacing w:before="0" w:after="320" w:line="240" w:lineRule="auto"/>
        <w:ind w:left="0" w:right="0" w:firstLine="0"/>
        <w:jc w:val="both"/>
      </w:pPr>
      <w:bookmarkStart w:id="631" w:name="bookmark631"/>
      <w:bookmarkEnd w:id="63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四</w:t>
      </w:r>
      <w:bookmarkEnd w:id="634"/>
      <w:r>
        <w:rPr>
          <w:color w:val="000000"/>
          <w:spacing w:val="0"/>
          <w:w w:val="100"/>
          <w:position w:val="0"/>
          <w:sz w:val="24"/>
          <w:szCs w:val="24"/>
        </w:rPr>
        <w:t>、股份回购在报告期的具体实施情况</w:t>
      </w:r>
      <w:bookmarkEnd w:id="632"/>
      <w:bookmarkEnd w:id="633"/>
      <w:bookmarkEnd w:id="635"/>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88" w:right="1071" w:bottom="1422" w:left="106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6" behindDoc="0" locked="0" layoutInCell="1" allowOverlap="1">
                <wp:simplePos x="0" y="0"/>
                <wp:positionH relativeFrom="page">
                  <wp:posOffset>2691765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36" w:name="bookmark636"/>
                            <w:bookmarkStart w:id="637" w:name="bookmark637"/>
                            <w:bookmarkStart w:id="638" w:name="bookmark638"/>
                            <w:r>
                              <w:rPr>
                                <w:color w:val="000000"/>
                                <w:spacing w:val="0"/>
                                <w:w w:val="100"/>
                                <w:position w:val="0"/>
                              </w:rPr>
                              <w:t>第八节优先股相关情况</w:t>
                            </w:r>
                            <w:bookmarkEnd w:id="636"/>
                            <w:bookmarkEnd w:id="637"/>
                            <w:bookmarkEnd w:id="638"/>
                          </w:p>
                        </w:txbxContent>
                      </wps:txbx>
                      <wps:bodyPr wrap="none" lIns="0" tIns="0" rIns="0" bIns="0">
                        <a:noAutoFit/>
                      </wps:bodyPr>
                    </wps:wsp>
                  </a:graphicData>
                </a:graphic>
              </wp:anchor>
            </w:drawing>
          </mc:Choice>
          <mc:Fallback>
            <w:pict>
              <v:shape id="_x0000_s1039" type="#_x0000_t202" style="position:absolute;margin-left:211.95000000000002pt;margin-top:0;width:170.90000000000001pt;height:19.199999999999999pt;z-index:-125829367;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36" w:name="bookmark636"/>
                      <w:bookmarkStart w:id="637" w:name="bookmark637"/>
                      <w:bookmarkStart w:id="638" w:name="bookmark638"/>
                      <w:r>
                        <w:rPr>
                          <w:color w:val="000000"/>
                          <w:spacing w:val="0"/>
                          <w:w w:val="100"/>
                          <w:position w:val="0"/>
                        </w:rPr>
                        <w:t>第八节优先股相关情况</w:t>
                      </w:r>
                      <w:bookmarkEnd w:id="636"/>
                      <w:bookmarkEnd w:id="637"/>
                      <w:bookmarkEnd w:id="638"/>
                    </w:p>
                  </w:txbxContent>
                </v:textbox>
                <w10:wrap type="topAndBottom" anchorx="page"/>
              </v:shape>
            </w:pict>
          </mc:Fallback>
        </mc:AlternateContent>
      </w:r>
    </w:p>
    <w:p>
      <w:pPr>
        <w:pStyle w:val="Style18"/>
        <w:keepNext w:val="0"/>
        <w:keepLines w:val="0"/>
        <w:widowControl w:val="0"/>
        <w:shd w:val="clear" w:color="auto" w:fill="auto"/>
        <w:bidi w:val="0"/>
        <w:spacing w:before="0" w:after="120" w:line="240" w:lineRule="auto"/>
        <w:ind w:left="0" w:right="0" w:firstLine="0"/>
        <w:jc w:val="left"/>
      </w:pPr>
      <w:bookmarkStart w:id="639" w:name="bookmark63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39"/>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60" w:line="240" w:lineRule="auto"/>
        <w:ind w:left="0" w:right="0" w:firstLine="0"/>
        <w:jc w:val="center"/>
      </w:pPr>
      <w:bookmarkStart w:id="640" w:name="bookmark640"/>
      <w:bookmarkStart w:id="641" w:name="bookmark641"/>
      <w:bookmarkStart w:id="642" w:name="bookmark642"/>
      <w:r>
        <w:rPr>
          <w:color w:val="000000"/>
          <w:spacing w:val="0"/>
          <w:w w:val="100"/>
          <w:position w:val="0"/>
        </w:rPr>
        <w:t>第九节债券相关情况</w:t>
      </w:r>
      <w:bookmarkEnd w:id="640"/>
      <w:bookmarkEnd w:id="641"/>
      <w:bookmarkEnd w:id="642"/>
    </w:p>
    <w:p>
      <w:pPr>
        <w:pStyle w:val="Style18"/>
        <w:keepNext w:val="0"/>
        <w:keepLines w:val="0"/>
        <w:widowControl w:val="0"/>
        <w:shd w:val="clear" w:color="auto" w:fill="auto"/>
        <w:bidi w:val="0"/>
        <w:spacing w:before="0" w:after="260"/>
        <w:ind w:left="0" w:right="0" w:firstLine="0"/>
        <w:jc w:val="left"/>
      </w:pPr>
      <w:bookmarkStart w:id="643" w:name="bookmark643"/>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43"/>
    </w:p>
    <w:p>
      <w:pPr>
        <w:pStyle w:val="Style23"/>
        <w:keepNext/>
        <w:keepLines/>
        <w:widowControl w:val="0"/>
        <w:shd w:val="clear" w:color="auto" w:fill="auto"/>
        <w:tabs>
          <w:tab w:pos="517" w:val="left"/>
        </w:tabs>
        <w:bidi w:val="0"/>
        <w:spacing w:before="0" w:after="360" w:line="240" w:lineRule="auto"/>
        <w:ind w:left="0" w:right="0" w:firstLine="0"/>
        <w:jc w:val="left"/>
      </w:pPr>
      <w:bookmarkStart w:id="644" w:name="bookmark644"/>
      <w:bookmarkStart w:id="645" w:name="bookmark645"/>
      <w:bookmarkStart w:id="646" w:name="bookmark646"/>
      <w:bookmarkStart w:id="647" w:name="bookmark647"/>
      <w:r>
        <w:rPr>
          <w:color w:val="000000"/>
          <w:spacing w:val="0"/>
          <w:w w:val="100"/>
          <w:position w:val="0"/>
          <w:sz w:val="24"/>
          <w:szCs w:val="24"/>
        </w:rPr>
        <w:t>一</w:t>
      </w:r>
      <w:bookmarkEnd w:id="646"/>
      <w:r>
        <w:rPr>
          <w:color w:val="000000"/>
          <w:spacing w:val="0"/>
          <w:w w:val="100"/>
          <w:position w:val="0"/>
          <w:sz w:val="24"/>
          <w:szCs w:val="24"/>
        </w:rPr>
        <w:t>、</w:t>
        <w:tab/>
        <w:t>企业债券</w:t>
      </w:r>
      <w:bookmarkEnd w:id="644"/>
      <w:bookmarkEnd w:id="645"/>
      <w:bookmarkEnd w:id="647"/>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报告期公司不存在企业债券。</w:t>
      </w:r>
    </w:p>
    <w:p>
      <w:pPr>
        <w:pStyle w:val="Style23"/>
        <w:keepNext/>
        <w:keepLines/>
        <w:widowControl w:val="0"/>
        <w:shd w:val="clear" w:color="auto" w:fill="auto"/>
        <w:tabs>
          <w:tab w:pos="517" w:val="left"/>
        </w:tabs>
        <w:bidi w:val="0"/>
        <w:spacing w:before="0" w:after="36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二</w:t>
      </w:r>
      <w:bookmarkEnd w:id="650"/>
      <w:r>
        <w:rPr>
          <w:color w:val="000000"/>
          <w:spacing w:val="0"/>
          <w:w w:val="100"/>
          <w:position w:val="0"/>
          <w:sz w:val="24"/>
          <w:szCs w:val="24"/>
        </w:rPr>
        <w:t>、</w:t>
        <w:tab/>
        <w:t>公司债券</w:t>
      </w:r>
      <w:bookmarkEnd w:id="648"/>
      <w:bookmarkEnd w:id="649"/>
      <w:bookmarkEnd w:id="651"/>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报告期公司不存在公司债券。</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三</w:t>
      </w:r>
      <w:bookmarkEnd w:id="654"/>
      <w:r>
        <w:rPr>
          <w:color w:val="000000"/>
          <w:spacing w:val="0"/>
          <w:w w:val="100"/>
          <w:position w:val="0"/>
          <w:sz w:val="24"/>
          <w:szCs w:val="24"/>
        </w:rPr>
        <w:t>、</w:t>
        <w:tab/>
        <w:t>非金融企业债务融资工具</w:t>
      </w:r>
      <w:bookmarkEnd w:id="652"/>
      <w:bookmarkEnd w:id="653"/>
      <w:bookmarkEnd w:id="655"/>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报告期公司不存在非金融企业债务融资工具。</w:t>
      </w:r>
    </w:p>
    <w:p>
      <w:pPr>
        <w:pStyle w:val="Style23"/>
        <w:keepNext/>
        <w:keepLines/>
        <w:widowControl w:val="0"/>
        <w:shd w:val="clear" w:color="auto" w:fill="auto"/>
        <w:tabs>
          <w:tab w:pos="522"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四</w:t>
      </w:r>
      <w:bookmarkEnd w:id="658"/>
      <w:r>
        <w:rPr>
          <w:color w:val="000000"/>
          <w:spacing w:val="0"/>
          <w:w w:val="100"/>
          <w:position w:val="0"/>
          <w:sz w:val="24"/>
          <w:szCs w:val="24"/>
        </w:rPr>
        <w:t>、</w:t>
        <w:tab/>
        <w:t>可转换公司债券</w:t>
      </w:r>
      <w:bookmarkEnd w:id="656"/>
      <w:bookmarkEnd w:id="657"/>
      <w:bookmarkEnd w:id="659"/>
    </w:p>
    <w:p>
      <w:pPr>
        <w:pStyle w:val="Style18"/>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、转股价格历次调整情况</w:t>
      </w:r>
      <w:bookmarkEnd w:id="660"/>
      <w:bookmarkEnd w:id="661"/>
      <w:bookmarkEnd w:id="663"/>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年度利润分配预案的议案》，以实施权益分派股权登记 日登记的总股本（</w:t>
      </w:r>
      <w:r>
        <w:rPr>
          <w:rFonts w:ascii="Times New Roman" w:eastAsia="Times New Roman" w:hAnsi="Times New Roman" w:cs="Times New Roman"/>
          <w:color w:val="000000"/>
          <w:spacing w:val="0"/>
          <w:w w:val="100"/>
          <w:position w:val="0"/>
        </w:rPr>
        <w:t>220,746,347</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股派送现金</w:t>
      </w:r>
      <w:r>
        <w:rPr>
          <w:rFonts w:ascii="Times New Roman" w:eastAsia="Times New Roman" w:hAnsi="Times New Roman" w:cs="Times New Roman"/>
          <w:color w:val="000000"/>
          <w:spacing w:val="0"/>
          <w:w w:val="100"/>
          <w:position w:val="0"/>
        </w:rPr>
        <w:t>1.50</w:t>
      </w:r>
      <w:r>
        <w:rPr>
          <w:color w:val="000000"/>
          <w:spacing w:val="0"/>
          <w:w w:val="100"/>
          <w:position w:val="0"/>
        </w:rPr>
        <w:t>元（含税），分红金额为</w:t>
      </w:r>
      <w:r>
        <w:rPr>
          <w:rFonts w:ascii="Times New Roman" w:eastAsia="Times New Roman" w:hAnsi="Times New Roman" w:cs="Times New Roman"/>
          <w:color w:val="000000"/>
          <w:spacing w:val="0"/>
          <w:w w:val="100"/>
          <w:position w:val="0"/>
        </w:rPr>
        <w:t>33,111,952.05</w:t>
      </w:r>
      <w:r>
        <w:rPr>
          <w:color w:val="000000"/>
          <w:spacing w:val="0"/>
          <w:w w:val="100"/>
          <w:position w:val="0"/>
        </w:rPr>
        <w:t>元。根据中国证监会关 于可转换公司债券发行的有关规定以及及《润建股份有限公司公开发行可转换公司债券募集说明书》相关条款，对转股价格 进行调整，因此，</w:t>
      </w:r>
      <w:r>
        <w:rPr>
          <w:rFonts w:ascii="Times New Roman" w:eastAsia="Times New Roman" w:hAnsi="Times New Roman" w:cs="Times New Roman"/>
          <w:color w:val="000000"/>
          <w:spacing w:val="0"/>
          <w:w w:val="100"/>
          <w:position w:val="0"/>
        </w:rPr>
        <w:t>“</w:t>
      </w:r>
      <w:r>
        <w:rPr>
          <w:color w:val="000000"/>
          <w:spacing w:val="0"/>
          <w:w w:val="100"/>
          <w:position w:val="0"/>
        </w:rPr>
        <w:t>润建转债</w:t>
      </w:r>
      <w:r>
        <w:rPr>
          <w:rFonts w:ascii="Times New Roman" w:eastAsia="Times New Roman" w:hAnsi="Times New Roman" w:cs="Times New Roman"/>
          <w:color w:val="000000"/>
          <w:spacing w:val="0"/>
          <w:w w:val="100"/>
          <w:position w:val="0"/>
        </w:rPr>
        <w:t>”</w:t>
      </w:r>
      <w:r>
        <w:rPr>
          <w:color w:val="000000"/>
          <w:spacing w:val="0"/>
          <w:w w:val="100"/>
          <w:position w:val="0"/>
        </w:rPr>
        <w:t>的转股价格调整为</w:t>
      </w:r>
      <w:r>
        <w:rPr>
          <w:rFonts w:ascii="Times New Roman" w:eastAsia="Times New Roman" w:hAnsi="Times New Roman" w:cs="Times New Roman"/>
          <w:color w:val="000000"/>
          <w:spacing w:val="0"/>
          <w:w w:val="100"/>
          <w:position w:val="0"/>
        </w:rPr>
        <w:t>26.40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日起生效。</w:t>
      </w:r>
    </w:p>
    <w:p>
      <w:pPr>
        <w:pStyle w:val="Style29"/>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、累计转股情况</w:t>
      </w:r>
      <w:bookmarkEnd w:id="664"/>
      <w:bookmarkEnd w:id="665"/>
      <w:bookmarkEnd w:id="667"/>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070"/>
        <w:gridCol w:w="1061"/>
        <w:gridCol w:w="1066"/>
        <w:gridCol w:w="1066"/>
        <w:gridCol w:w="1066"/>
        <w:gridCol w:w="1061"/>
        <w:gridCol w:w="1066"/>
        <w:gridCol w:w="1061"/>
        <w:gridCol w:w="1070"/>
      </w:tblGrid>
      <w:tr>
        <w:trPr>
          <w:trHeight w:val="16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累计转股金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累计转股数</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转股数量占 转股开始日 前公司已发 行股份总额 的比例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尚未转股金</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未转股金额</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占发行总金</w:t>
            </w:r>
          </w:p>
          <w:p>
            <w:pPr>
              <w:pStyle w:val="Style20"/>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额的比例</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润建转债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1,090,000,00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280,104.00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1,089,719,89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w:t>
            </w:r>
          </w:p>
        </w:tc>
      </w:tr>
    </w:tbl>
    <w:p>
      <w:pPr>
        <w:widowControl w:val="0"/>
        <w:spacing w:line="1" w:lineRule="exact"/>
      </w:pPr>
      <w:r>
        <w:br w:type="page"/>
      </w:r>
    </w:p>
    <w:tbl>
      <w:tblPr>
        <w:tblOverlap w:val="never"/>
        <w:jc w:val="center"/>
        <w:tblLayout w:type="fixed"/>
      </w:tblPr>
      <w:tblGrid>
        <w:gridCol w:w="1070"/>
        <w:gridCol w:w="1061"/>
        <w:gridCol w:w="1066"/>
        <w:gridCol w:w="1066"/>
        <w:gridCol w:w="1066"/>
        <w:gridCol w:w="1061"/>
        <w:gridCol w:w="1066"/>
        <w:gridCol w:w="1061"/>
        <w:gridCol w:w="1070"/>
      </w:tblGrid>
      <w:tr>
        <w:trPr>
          <w:trHeight w:val="225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 为非交易日， 实际转股截 止日期为 </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3</w:t>
      </w:r>
      <w:bookmarkEnd w:id="670"/>
      <w:r>
        <w:rPr>
          <w:color w:val="000000"/>
          <w:spacing w:val="0"/>
          <w:w w:val="100"/>
          <w:position w:val="0"/>
        </w:rPr>
        <w:t>、前十名可转债持有人情况</w:t>
      </w:r>
      <w:bookmarkEnd w:id="668"/>
      <w:bookmarkEnd w:id="669"/>
      <w:bookmarkEnd w:id="6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76"/>
        <w:gridCol w:w="2837"/>
        <w:gridCol w:w="1378"/>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可转债持有人性 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报告期末持有可转</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报告期末持有可转</w:t>
            </w:r>
          </w:p>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229,043,700.00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珠海弘泽天元企业管理合伙企业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172,340,000.00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中国光大银行股份有限公司一博时 转债增强债券型证券投资基金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65,775,200.00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6.04%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中国工商银行股份有限公司一天弘 添利债券型证券投资基金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34,388,900.00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中国银行股份有限公司一南方昌元 可转债债券型证券投资基金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26,934,200.00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26,500,200.00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中国农业银行股份有限公司一南方 希元可转债债券型证券投资基金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24,888,000.00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兴全基金一兴业银行一兴业证券股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22,907,000.00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招商银行股份有限公司一博时稳健 回报债券型证券投资基金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18,255,700.00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中国工商银行股份有限公司一南方 广利回报债券型证券投资基金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17,703,600.00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1.62%</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4</w:t>
      </w:r>
      <w:bookmarkEnd w:id="674"/>
      <w:r>
        <w:rPr>
          <w:color w:val="000000"/>
          <w:spacing w:val="0"/>
          <w:w w:val="100"/>
          <w:position w:val="0"/>
        </w:rPr>
        <w:t>、</w:t>
        <w:tab/>
        <w:t>担保人盈利能力、资产状况和信用状况发生重大变化的情况</w:t>
      </w:r>
      <w:bookmarkEnd w:id="672"/>
      <w:bookmarkEnd w:id="673"/>
      <w:bookmarkEnd w:id="675"/>
    </w:p>
    <w:p>
      <w:pPr>
        <w:pStyle w:val="Style18"/>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5</w:t>
      </w:r>
      <w:bookmarkEnd w:id="678"/>
      <w:r>
        <w:rPr>
          <w:color w:val="000000"/>
          <w:spacing w:val="0"/>
          <w:w w:val="100"/>
          <w:position w:val="0"/>
        </w:rPr>
        <w:t>、</w:t>
        <w:tab/>
        <w:t>报告期末公司的负债情况、资信变化情况以及在未来年度还债的现金安排</w:t>
      </w:r>
      <w:bookmarkEnd w:id="676"/>
      <w:bookmarkEnd w:id="677"/>
      <w:bookmarkEnd w:id="679"/>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公司委托信用评级机构中证鹏元资信评估股份有限公司（以下简称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中证鹏元</w:t>
      </w:r>
      <w:r>
        <w:rPr>
          <w:rFonts w:ascii="Times New Roman" w:eastAsia="Times New Roman" w:hAnsi="Times New Roman" w:cs="Times New Roman"/>
          <w:color w:val="000000"/>
          <w:spacing w:val="0"/>
          <w:w w:val="100"/>
          <w:position w:val="0"/>
        </w:rPr>
        <w:t>”</w:t>
      </w:r>
      <w:r>
        <w:rPr>
          <w:color w:val="000000"/>
          <w:spacing w:val="0"/>
          <w:w w:val="100"/>
          <w:position w:val="0"/>
        </w:rPr>
        <w:t>）对公司主体长期信用状况和</w:t>
      </w:r>
      <w:r>
        <w:rPr>
          <w:rFonts w:ascii="Times New Roman" w:eastAsia="Times New Roman" w:hAnsi="Times New Roman" w:cs="Times New Roman"/>
          <w:color w:val="000000"/>
          <w:spacing w:val="0"/>
          <w:w w:val="100"/>
          <w:position w:val="0"/>
        </w:rPr>
        <w:t>2020</w:t>
      </w:r>
      <w:r>
        <w:rPr>
          <w:color w:val="000000"/>
          <w:spacing w:val="0"/>
          <w:w w:val="100"/>
          <w:position w:val="0"/>
        </w:rPr>
        <w:t>年发行 的可转换公司债券（以下简称</w:t>
      </w:r>
      <w:r>
        <w:rPr>
          <w:rFonts w:ascii="Times New Roman" w:eastAsia="Times New Roman" w:hAnsi="Times New Roman" w:cs="Times New Roman"/>
          <w:color w:val="000000"/>
          <w:spacing w:val="0"/>
          <w:w w:val="100"/>
          <w:position w:val="0"/>
        </w:rPr>
        <w:t>“</w:t>
      </w:r>
      <w:r>
        <w:rPr>
          <w:color w:val="000000"/>
          <w:spacing w:val="0"/>
          <w:w w:val="100"/>
          <w:position w:val="0"/>
        </w:rPr>
        <w:t>润建转债</w:t>
      </w:r>
      <w:r>
        <w:rPr>
          <w:rFonts w:ascii="Times New Roman" w:eastAsia="Times New Roman" w:hAnsi="Times New Roman" w:cs="Times New Roman"/>
          <w:color w:val="000000"/>
          <w:spacing w:val="0"/>
          <w:w w:val="100"/>
          <w:position w:val="0"/>
        </w:rPr>
        <w:t>”</w:t>
      </w:r>
      <w:r>
        <w:rPr>
          <w:color w:val="000000"/>
          <w:spacing w:val="0"/>
          <w:w w:val="100"/>
          <w:position w:val="0"/>
        </w:rPr>
        <w:t>）进行了跟踪评级。</w:t>
      </w:r>
    </w:p>
    <w:p>
      <w:pPr>
        <w:pStyle w:val="Style18"/>
        <w:keepNext w:val="0"/>
        <w:keepLines w:val="0"/>
        <w:widowControl w:val="0"/>
        <w:shd w:val="clear" w:color="auto" w:fill="auto"/>
        <w:bidi w:val="0"/>
        <w:spacing w:before="0" w:after="300" w:line="307" w:lineRule="exact"/>
        <w:ind w:left="0" w:right="0"/>
        <w:jc w:val="left"/>
      </w:pPr>
      <w:r>
        <w:rPr>
          <w:color w:val="000000"/>
          <w:spacing w:val="0"/>
          <w:w w:val="100"/>
          <w:position w:val="0"/>
        </w:rPr>
        <w:t>中证鹏元在对公司运营环境、经营与竞争、财务实力以及增信方式等方面进行综合分析和评估的基础上，于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18"/>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日出具了《</w:t>
      </w:r>
      <w:r>
        <w:rPr>
          <w:rFonts w:ascii="Times New Roman" w:eastAsia="Times New Roman" w:hAnsi="Times New Roman" w:cs="Times New Roman"/>
          <w:color w:val="000000"/>
          <w:spacing w:val="0"/>
          <w:w w:val="100"/>
          <w:position w:val="0"/>
        </w:rPr>
        <w:t>2020</w:t>
      </w:r>
      <w:r>
        <w:rPr>
          <w:color w:val="000000"/>
          <w:spacing w:val="0"/>
          <w:w w:val="100"/>
          <w:position w:val="0"/>
        </w:rPr>
        <w:t>年润建股份有限公司可转换公司债券</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年跟踪评级报告》，润建转债信用等级维持为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公司主体信 用等级维持为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评级展望维持为稳定。</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中证鹏元出具该评级结果是考虑到：公司收入保持增长且持续性较好，新业务领域对公司收入贡献较大，研发为业务发 展提供较好支撑。同时，公司在手订单充足，预计业务持续性较好，未来随着新业务的发展，营业收入和经营现金流有望扩 大，经营风险和财务风险相对稳定。</w:t>
      </w:r>
    </w:p>
    <w:p>
      <w:pPr>
        <w:pStyle w:val="Style18"/>
        <w:keepNext w:val="0"/>
        <w:keepLines w:val="0"/>
        <w:widowControl w:val="0"/>
        <w:shd w:val="clear" w:color="auto" w:fill="auto"/>
        <w:bidi w:val="0"/>
        <w:spacing w:before="0" w:after="80" w:line="311" w:lineRule="exact"/>
        <w:ind w:left="0" w:right="0"/>
        <w:jc w:val="left"/>
      </w:pPr>
      <w:r>
        <w:rPr>
          <w:color w:val="000000"/>
          <w:spacing w:val="0"/>
          <w:w w:val="100"/>
          <w:position w:val="0"/>
        </w:rPr>
        <w:t>中证鹏元出具的《</w:t>
      </w:r>
      <w:r>
        <w:rPr>
          <w:rFonts w:ascii="Times New Roman" w:eastAsia="Times New Roman" w:hAnsi="Times New Roman" w:cs="Times New Roman"/>
          <w:color w:val="000000"/>
          <w:spacing w:val="0"/>
          <w:w w:val="100"/>
          <w:position w:val="0"/>
        </w:rPr>
        <w:t>2020</w:t>
      </w:r>
      <w:r>
        <w:rPr>
          <w:color w:val="000000"/>
          <w:spacing w:val="0"/>
          <w:w w:val="100"/>
          <w:position w:val="0"/>
        </w:rPr>
        <w:t>年润建股份有限公司可转换公司债券</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年跟踪评级报告》的具体内容详见巨潮资讯网</w:t>
      </w:r>
    </w:p>
    <w:p>
      <w:pPr>
        <w:pStyle w:val="Style37"/>
        <w:keepNext w:val="0"/>
        <w:keepLines w:val="0"/>
        <w:widowControl w:val="0"/>
        <w:shd w:val="clear" w:color="auto" w:fill="auto"/>
        <w:bidi w:val="0"/>
        <w:spacing w:before="0" w:after="0" w:line="360" w:lineRule="auto"/>
        <w:ind w:left="0" w:right="0" w:firstLine="0"/>
        <w:jc w:val="left"/>
      </w:pPr>
      <w:r>
        <w:fldChar w:fldCharType="begin"/>
      </w:r>
      <w:r>
        <w:rPr/>
        <w:instrText> HYPERLINK "http://www.cninfo.com" </w:instrText>
      </w:r>
      <w:r>
        <w:fldChar w:fldCharType="separate"/>
      </w:r>
      <w:r>
        <w:rPr>
          <w:b w:val="0"/>
          <w:bCs w:val="0"/>
          <w:color w:val="000000"/>
          <w:spacing w:val="0"/>
          <w:w w:val="100"/>
          <w:position w:val="0"/>
        </w:rPr>
        <w:t>www.cninfo.com</w:t>
      </w:r>
      <w:r>
        <w:fldChar w:fldCharType="end"/>
      </w:r>
      <w:r>
        <w:rPr>
          <w:b w:val="0"/>
          <w:bCs w:val="0"/>
          <w:color w:val="000000"/>
          <w:spacing w:val="0"/>
          <w:w w:val="100"/>
          <w:position w:val="0"/>
        </w:rPr>
        <w:t>. cn</w:t>
      </w:r>
      <w:r>
        <w:rPr>
          <w:rFonts w:ascii="SimSun" w:eastAsia="SimSun" w:hAnsi="SimSun" w:cs="SimSun"/>
          <w:b w:val="0"/>
          <w:bCs w:val="0"/>
          <w:color w:val="000000"/>
          <w:spacing w:val="0"/>
          <w:w w:val="100"/>
          <w:position w:val="0"/>
        </w:rPr>
        <w:t>。</w:t>
      </w:r>
    </w:p>
    <w:p>
      <w:pPr>
        <w:pStyle w:val="Style18"/>
        <w:keepNext w:val="0"/>
        <w:keepLines w:val="0"/>
        <w:widowControl w:val="0"/>
        <w:shd w:val="clear" w:color="auto" w:fill="auto"/>
        <w:bidi w:val="0"/>
        <w:spacing w:before="0" w:after="360" w:line="311" w:lineRule="exact"/>
        <w:ind w:left="0" w:right="0"/>
        <w:jc w:val="left"/>
      </w:pPr>
      <w:r>
        <w:rPr>
          <w:color w:val="000000"/>
          <w:spacing w:val="0"/>
          <w:w w:val="100"/>
          <w:position w:val="0"/>
        </w:rPr>
        <w:t>关于可转债报告期末资产负债率、利息保障倍数、贷款偿还率、利息偿付率等相关指标请查阅</w:t>
      </w:r>
      <w:r>
        <w:rPr>
          <w:rFonts w:ascii="Times New Roman" w:eastAsia="Times New Roman" w:hAnsi="Times New Roman" w:cs="Times New Roman"/>
          <w:color w:val="000000"/>
          <w:spacing w:val="0"/>
          <w:w w:val="100"/>
          <w:position w:val="0"/>
        </w:rPr>
        <w:t>“</w:t>
      </w:r>
      <w:r>
        <w:rPr>
          <w:color w:val="000000"/>
          <w:spacing w:val="0"/>
          <w:w w:val="100"/>
          <w:position w:val="0"/>
        </w:rPr>
        <w:t>八、截至报告期末公司 近两年的主要会计数据和财务指标</w:t>
      </w:r>
      <w:r>
        <w:rPr>
          <w:rFonts w:ascii="Times New Roman" w:eastAsia="Times New Roman" w:hAnsi="Times New Roman" w:cs="Times New Roman"/>
          <w:color w:val="000000"/>
          <w:spacing w:val="0"/>
          <w:w w:val="100"/>
          <w:position w:val="0"/>
        </w:rPr>
        <w:t>”</w:t>
      </w:r>
    </w:p>
    <w:p>
      <w:pPr>
        <w:pStyle w:val="Style23"/>
        <w:keepNext/>
        <w:keepLines/>
        <w:widowControl w:val="0"/>
        <w:shd w:val="clear" w:color="auto" w:fill="auto"/>
        <w:tabs>
          <w:tab w:pos="517" w:val="left"/>
        </w:tabs>
        <w:bidi w:val="0"/>
        <w:spacing w:before="0" w:after="28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五</w:t>
      </w:r>
      <w:bookmarkEnd w:id="682"/>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680"/>
      <w:bookmarkEnd w:id="681"/>
      <w:bookmarkEnd w:id="683"/>
    </w:p>
    <w:p>
      <w:pPr>
        <w:pStyle w:val="Style18"/>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17" w:val="left"/>
        </w:tabs>
        <w:bidi w:val="0"/>
        <w:spacing w:before="0" w:after="2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六</w:t>
      </w:r>
      <w:bookmarkEnd w:id="686"/>
      <w:r>
        <w:rPr>
          <w:color w:val="000000"/>
          <w:spacing w:val="0"/>
          <w:w w:val="100"/>
          <w:position w:val="0"/>
          <w:sz w:val="24"/>
          <w:szCs w:val="24"/>
        </w:rPr>
        <w:t>、</w:t>
        <w:tab/>
        <w:t>报告期末除债券外的有息债务逾期情况</w:t>
      </w:r>
      <w:bookmarkEnd w:id="684"/>
      <w:bookmarkEnd w:id="685"/>
      <w:bookmarkEnd w:id="687"/>
    </w:p>
    <w:p>
      <w:pPr>
        <w:pStyle w:val="Style18"/>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keepLines/>
        <w:widowControl w:val="0"/>
        <w:shd w:val="clear" w:color="auto" w:fill="auto"/>
        <w:tabs>
          <w:tab w:pos="522" w:val="left"/>
        </w:tabs>
        <w:bidi w:val="0"/>
        <w:spacing w:before="0" w:after="280" w:line="240" w:lineRule="auto"/>
        <w:ind w:left="0" w:right="0" w:firstLine="0"/>
        <w:jc w:val="left"/>
      </w:pPr>
      <w:bookmarkStart w:id="688" w:name="bookmark688"/>
      <w:bookmarkStart w:id="689" w:name="bookmark689"/>
      <w:bookmarkStart w:id="690" w:name="bookmark690"/>
      <w:bookmarkStart w:id="691" w:name="bookmark691"/>
      <w:r>
        <w:rPr>
          <w:color w:val="000000"/>
          <w:spacing w:val="0"/>
          <w:w w:val="100"/>
          <w:position w:val="0"/>
          <w:sz w:val="24"/>
          <w:szCs w:val="24"/>
        </w:rPr>
        <w:t>七</w:t>
      </w:r>
      <w:bookmarkEnd w:id="690"/>
      <w:r>
        <w:rPr>
          <w:color w:val="000000"/>
          <w:spacing w:val="0"/>
          <w:w w:val="100"/>
          <w:position w:val="0"/>
          <w:sz w:val="24"/>
          <w:szCs w:val="24"/>
        </w:rPr>
        <w:t>、</w:t>
        <w:tab/>
        <w:t>报告期内是否有违反规章制度的情况</w:t>
      </w:r>
      <w:bookmarkEnd w:id="688"/>
      <w:bookmarkEnd w:id="689"/>
      <w:bookmarkEnd w:id="691"/>
    </w:p>
    <w:p>
      <w:pPr>
        <w:pStyle w:val="Style1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keepLines/>
        <w:widowControl w:val="0"/>
        <w:shd w:val="clear" w:color="auto" w:fill="auto"/>
        <w:tabs>
          <w:tab w:pos="522" w:val="left"/>
        </w:tabs>
        <w:bidi w:val="0"/>
        <w:spacing w:before="0" w:after="36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八</w:t>
      </w:r>
      <w:bookmarkEnd w:id="694"/>
      <w:r>
        <w:rPr>
          <w:color w:val="000000"/>
          <w:spacing w:val="0"/>
          <w:w w:val="100"/>
          <w:position w:val="0"/>
          <w:sz w:val="24"/>
          <w:szCs w:val="24"/>
        </w:rPr>
        <w:t>、</w:t>
        <w:tab/>
        <w:t>截至报告期末公司近两年的主要会计数据和财务指标</w:t>
      </w:r>
      <w:bookmarkEnd w:id="692"/>
      <w:bookmarkEnd w:id="693"/>
      <w:bookmarkEnd w:id="6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325,313,936.7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216,086,275.4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0"/>
        <w:keepNext/>
        <w:keepLines/>
        <w:widowControl w:val="0"/>
        <w:shd w:val="clear" w:color="auto" w:fill="auto"/>
        <w:bidi w:val="0"/>
        <w:spacing w:before="0" w:line="240" w:lineRule="auto"/>
        <w:ind w:left="0" w:right="0" w:firstLine="0"/>
        <w:jc w:val="center"/>
      </w:pPr>
      <w:bookmarkStart w:id="696" w:name="bookmark696"/>
      <w:bookmarkStart w:id="697" w:name="bookmark697"/>
      <w:bookmarkStart w:id="698" w:name="bookmark698"/>
      <w:r>
        <w:rPr>
          <w:color w:val="000000"/>
          <w:spacing w:val="0"/>
          <w:w w:val="100"/>
          <w:position w:val="0"/>
        </w:rPr>
        <w:t>第十节财务报告</w:t>
      </w:r>
      <w:bookmarkEnd w:id="696"/>
      <w:bookmarkEnd w:id="697"/>
      <w:bookmarkEnd w:id="698"/>
    </w:p>
    <w:p>
      <w:pPr>
        <w:pStyle w:val="Style23"/>
        <w:keepNext/>
        <w:keepLines/>
        <w:widowControl w:val="0"/>
        <w:shd w:val="clear" w:color="auto" w:fill="auto"/>
        <w:bidi w:val="0"/>
        <w:spacing w:before="0" w:after="300" w:line="240" w:lineRule="auto"/>
        <w:ind w:left="0" w:right="0" w:firstLine="260"/>
        <w:jc w:val="left"/>
      </w:pPr>
      <w:bookmarkStart w:id="699" w:name="bookmark699"/>
      <w:bookmarkStart w:id="700" w:name="bookmark700"/>
      <w:bookmarkStart w:id="701" w:name="bookmark701"/>
      <w:bookmarkStart w:id="702" w:name="bookmark702"/>
      <w:r>
        <w:rPr>
          <w:color w:val="000000"/>
          <w:spacing w:val="0"/>
          <w:w w:val="100"/>
          <w:position w:val="0"/>
          <w:sz w:val="24"/>
          <w:szCs w:val="24"/>
        </w:rPr>
        <w:t>、审计报告</w:t>
      </w:r>
      <w:bookmarkEnd w:id="700"/>
      <w:bookmarkEnd w:id="701"/>
      <w:bookmarkEnd w:id="702"/>
      <w:bookmarkEnd w:id="6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2022]100Z0078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纪玉红（项目合伙人）、崔勇趁、魏鹏飞</w:t>
            </w:r>
          </w:p>
        </w:tc>
      </w:tr>
    </w:tbl>
    <w:p>
      <w:pPr>
        <w:pStyle w:val="Style25"/>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479" w:line="1" w:lineRule="exact"/>
      </w:pPr>
    </w:p>
    <w:p>
      <w:pPr>
        <w:pStyle w:val="Style18"/>
        <w:keepNext w:val="0"/>
        <w:keepLines w:val="0"/>
        <w:widowControl w:val="0"/>
        <w:shd w:val="clear" w:color="auto" w:fill="auto"/>
        <w:tabs>
          <w:tab w:pos="815" w:val="left"/>
        </w:tabs>
        <w:bidi w:val="0"/>
        <w:spacing w:before="0" w:after="120" w:line="317" w:lineRule="exact"/>
        <w:ind w:left="0" w:right="0"/>
        <w:jc w:val="both"/>
      </w:pPr>
      <w:bookmarkStart w:id="703" w:name="bookmark703"/>
      <w:r>
        <w:rPr>
          <w:b/>
          <w:bCs/>
          <w:color w:val="000000"/>
          <w:spacing w:val="0"/>
          <w:w w:val="100"/>
          <w:position w:val="0"/>
        </w:rPr>
        <w:t>一</w:t>
      </w:r>
      <w:bookmarkEnd w:id="703"/>
      <w:r>
        <w:rPr>
          <w:b/>
          <w:bCs/>
          <w:color w:val="000000"/>
          <w:spacing w:val="0"/>
          <w:w w:val="100"/>
          <w:position w:val="0"/>
        </w:rPr>
        <w:t>、</w:t>
        <w:tab/>
        <w:t>审计意见</w:t>
      </w:r>
    </w:p>
    <w:p>
      <w:pPr>
        <w:pStyle w:val="Style18"/>
        <w:keepNext w:val="0"/>
        <w:keepLines w:val="0"/>
        <w:widowControl w:val="0"/>
        <w:shd w:val="clear" w:color="auto" w:fill="auto"/>
        <w:bidi w:val="0"/>
        <w:spacing w:before="0" w:after="120" w:line="307" w:lineRule="exact"/>
        <w:ind w:left="0" w:right="0"/>
        <w:jc w:val="both"/>
      </w:pPr>
      <w:r>
        <w:rPr>
          <w:color w:val="000000"/>
          <w:spacing w:val="0"/>
          <w:w w:val="100"/>
          <w:position w:val="0"/>
        </w:rPr>
        <w:t>我们审计了润建股份有限公司（以下简称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润建股份公司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年度的合并及母公司利润表、合并及母公司现金流量表、合并及母公司所有者权益变动表以及相关财务报表附注。</w:t>
      </w:r>
    </w:p>
    <w:p>
      <w:pPr>
        <w:pStyle w:val="Style18"/>
        <w:keepNext w:val="0"/>
        <w:keepLines w:val="0"/>
        <w:widowControl w:val="0"/>
        <w:shd w:val="clear" w:color="auto" w:fill="auto"/>
        <w:bidi w:val="0"/>
        <w:spacing w:before="0" w:after="120" w:line="307" w:lineRule="exact"/>
        <w:ind w:left="0" w:right="0"/>
        <w:jc w:val="both"/>
      </w:pPr>
      <w:r>
        <w:rPr>
          <w:color w:val="000000"/>
          <w:spacing w:val="0"/>
          <w:w w:val="100"/>
          <w:position w:val="0"/>
        </w:rPr>
        <w:t>我们认为，后附的财务报表在所有重大方面按照企业会计准则的规定编制，公允反映了润建股份公司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815" w:val="left"/>
        </w:tabs>
        <w:bidi w:val="0"/>
        <w:spacing w:before="0" w:after="120" w:line="317" w:lineRule="exact"/>
        <w:ind w:left="0" w:right="0"/>
        <w:jc w:val="both"/>
      </w:pPr>
      <w:bookmarkStart w:id="704" w:name="bookmark704"/>
      <w:r>
        <w:rPr>
          <w:b/>
          <w:bCs/>
          <w:color w:val="000000"/>
          <w:spacing w:val="0"/>
          <w:w w:val="100"/>
          <w:position w:val="0"/>
        </w:rPr>
        <w:t>二</w:t>
      </w:r>
      <w:bookmarkEnd w:id="704"/>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阐述了我们在这些准则下的责任。按照中国注册会计师职业道德守则，我们独立于润建股份公司，并履行了职业道德方面的 其他责任。我们相信，我们获取的审计证据是充分、适当的，为发表审计意见提供了基础。</w:t>
      </w:r>
    </w:p>
    <w:p>
      <w:pPr>
        <w:pStyle w:val="Style18"/>
        <w:keepNext w:val="0"/>
        <w:keepLines w:val="0"/>
        <w:widowControl w:val="0"/>
        <w:shd w:val="clear" w:color="auto" w:fill="auto"/>
        <w:tabs>
          <w:tab w:pos="820" w:val="left"/>
        </w:tabs>
        <w:bidi w:val="0"/>
        <w:spacing w:before="0" w:after="120" w:line="317" w:lineRule="exact"/>
        <w:ind w:left="0" w:right="0"/>
        <w:jc w:val="both"/>
      </w:pPr>
      <w:bookmarkStart w:id="705" w:name="bookmark705"/>
      <w:r>
        <w:rPr>
          <w:b/>
          <w:bCs/>
          <w:color w:val="000000"/>
          <w:spacing w:val="0"/>
          <w:w w:val="100"/>
          <w:position w:val="0"/>
        </w:rPr>
        <w:t>三</w:t>
      </w:r>
      <w:bookmarkEnd w:id="705"/>
      <w:r>
        <w:rPr>
          <w:b/>
          <w:bCs/>
          <w:color w:val="000000"/>
          <w:spacing w:val="0"/>
          <w:w w:val="100"/>
          <w:position w:val="0"/>
        </w:rPr>
        <w:t>、</w:t>
        <w:tab/>
        <w:t>关键审计事项</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8"/>
        <w:keepNext w:val="0"/>
        <w:keepLines w:val="0"/>
        <w:widowControl w:val="0"/>
        <w:numPr>
          <w:ilvl w:val="0"/>
          <w:numId w:val="7"/>
        </w:numPr>
        <w:shd w:val="clear" w:color="auto" w:fill="auto"/>
        <w:bidi w:val="0"/>
        <w:spacing w:before="0" w:after="200" w:line="317" w:lineRule="exact"/>
        <w:ind w:left="0" w:right="0" w:firstLine="0"/>
        <w:jc w:val="both"/>
      </w:pPr>
      <w:bookmarkStart w:id="706" w:name="bookmark706"/>
      <w:bookmarkEnd w:id="706"/>
      <w:r>
        <w:rPr>
          <w:color w:val="000000"/>
          <w:spacing w:val="0"/>
          <w:w w:val="100"/>
          <w:position w:val="0"/>
        </w:rPr>
        <w:t>网络管维业务的收入确认</w:t>
      </w:r>
    </w:p>
    <w:p>
      <w:pPr>
        <w:pStyle w:val="Style18"/>
        <w:keepNext w:val="0"/>
        <w:keepLines w:val="0"/>
        <w:widowControl w:val="0"/>
        <w:shd w:val="clear" w:color="auto" w:fill="auto"/>
        <w:tabs>
          <w:tab w:pos="1074" w:val="left"/>
        </w:tabs>
        <w:bidi w:val="0"/>
        <w:spacing w:before="0" w:after="0"/>
        <w:ind w:left="0" w:right="0" w:firstLine="740"/>
        <w:jc w:val="both"/>
      </w:pPr>
      <w:bookmarkStart w:id="707" w:name="bookmark707"/>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事项描述</w:t>
      </w:r>
    </w:p>
    <w:p>
      <w:pPr>
        <w:pStyle w:val="Style18"/>
        <w:keepNext w:val="0"/>
        <w:keepLines w:val="0"/>
        <w:widowControl w:val="0"/>
        <w:shd w:val="clear" w:color="auto" w:fill="auto"/>
        <w:bidi w:val="0"/>
        <w:spacing w:before="0" w:after="120" w:line="317" w:lineRule="exact"/>
        <w:ind w:left="0" w:right="0" w:firstLine="740"/>
        <w:jc w:val="both"/>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39</w:t>
      </w:r>
      <w:r>
        <w:rPr>
          <w:color w:val="000000"/>
          <w:spacing w:val="0"/>
          <w:w w:val="100"/>
          <w:position w:val="0"/>
        </w:rPr>
        <w:t>收入和附注七、</w:t>
      </w:r>
      <w:r>
        <w:rPr>
          <w:rFonts w:ascii="Times New Roman" w:eastAsia="Times New Roman" w:hAnsi="Times New Roman" w:cs="Times New Roman"/>
          <w:color w:val="000000"/>
          <w:spacing w:val="0"/>
          <w:w w:val="100"/>
          <w:position w:val="0"/>
        </w:rPr>
        <w:t>61</w:t>
      </w:r>
      <w:r>
        <w:rPr>
          <w:color w:val="000000"/>
          <w:spacing w:val="0"/>
          <w:w w:val="100"/>
          <w:position w:val="0"/>
        </w:rPr>
        <w:t>营业收入及营业成本。</w:t>
      </w:r>
    </w:p>
    <w:p>
      <w:pPr>
        <w:pStyle w:val="Style18"/>
        <w:keepNext w:val="0"/>
        <w:keepLines w:val="0"/>
        <w:widowControl w:val="0"/>
        <w:shd w:val="clear" w:color="auto" w:fill="auto"/>
        <w:bidi w:val="0"/>
        <w:spacing w:before="0" w:after="200" w:line="317" w:lineRule="exact"/>
        <w:ind w:left="380" w:right="0" w:firstLine="360"/>
        <w:jc w:val="both"/>
      </w:pPr>
      <w:r>
        <w:rPr>
          <w:color w:val="000000"/>
          <w:spacing w:val="0"/>
          <w:w w:val="100"/>
          <w:position w:val="0"/>
        </w:rPr>
        <w:t>润建股份公司网络管维业务包括通信网络管维、信息网络管维与能源网络管维，</w:t>
      </w:r>
      <w:r>
        <w:rPr>
          <w:rFonts w:ascii="Times New Roman" w:eastAsia="Times New Roman" w:hAnsi="Times New Roman" w:cs="Times New Roman"/>
          <w:color w:val="000000"/>
          <w:spacing w:val="0"/>
          <w:w w:val="100"/>
          <w:position w:val="0"/>
        </w:rPr>
        <w:t>2021</w:t>
      </w:r>
      <w:r>
        <w:rPr>
          <w:color w:val="000000"/>
          <w:spacing w:val="0"/>
          <w:w w:val="100"/>
          <w:position w:val="0"/>
        </w:rPr>
        <w:t>年度共实现收入总额</w:t>
      </w:r>
      <w:r>
        <w:rPr>
          <w:rFonts w:ascii="Times New Roman" w:eastAsia="Times New Roman" w:hAnsi="Times New Roman" w:cs="Times New Roman"/>
          <w:color w:val="000000"/>
          <w:spacing w:val="0"/>
          <w:w w:val="100"/>
          <w:position w:val="0"/>
        </w:rPr>
        <w:t xml:space="preserve">660,034.98 </w:t>
      </w:r>
      <w:r>
        <w:rPr>
          <w:color w:val="000000"/>
          <w:spacing w:val="0"/>
          <w:w w:val="100"/>
          <w:position w:val="0"/>
        </w:rPr>
        <w:t>万元，占当期营业收入的比重为</w:t>
      </w:r>
      <w:r>
        <w:rPr>
          <w:rFonts w:ascii="Times New Roman" w:eastAsia="Times New Roman" w:hAnsi="Times New Roman" w:cs="Times New Roman"/>
          <w:color w:val="000000"/>
          <w:spacing w:val="0"/>
          <w:w w:val="100"/>
          <w:position w:val="0"/>
        </w:rPr>
        <w:t>99.97%</w:t>
      </w:r>
      <w:r>
        <w:rPr>
          <w:color w:val="000000"/>
          <w:spacing w:val="0"/>
          <w:w w:val="100"/>
          <w:position w:val="0"/>
        </w:rPr>
        <w:t>。因网络管维业务收入是润建股份公司关键业绩指标之一，可能存在润建股份 公司管理层通过不恰当的收入确认以达到特定目标或预期的固有风险，因此我们将网络管维业务的收入确认确定为关键 审计事项。</w:t>
      </w:r>
    </w:p>
    <w:p>
      <w:pPr>
        <w:pStyle w:val="Style18"/>
        <w:keepNext w:val="0"/>
        <w:keepLines w:val="0"/>
        <w:widowControl w:val="0"/>
        <w:shd w:val="clear" w:color="auto" w:fill="auto"/>
        <w:tabs>
          <w:tab w:pos="1094" w:val="left"/>
        </w:tabs>
        <w:bidi w:val="0"/>
        <w:spacing w:before="0" w:after="0"/>
        <w:ind w:left="0" w:right="0" w:firstLine="740"/>
        <w:jc w:val="both"/>
      </w:pPr>
      <w:bookmarkStart w:id="708" w:name="bookmark708"/>
      <w:r>
        <w:rPr>
          <w:rFonts w:ascii="Times New Roman" w:eastAsia="Times New Roman" w:hAnsi="Times New Roman" w:cs="Times New Roman"/>
          <w:color w:val="000000"/>
          <w:spacing w:val="0"/>
          <w:w w:val="100"/>
          <w:position w:val="0"/>
        </w:rPr>
        <w:t>2</w:t>
      </w:r>
      <w:bookmarkEnd w:id="708"/>
      <w:r>
        <w:rPr>
          <w:color w:val="000000"/>
          <w:spacing w:val="0"/>
          <w:w w:val="100"/>
          <w:position w:val="0"/>
        </w:rPr>
        <w:t>、</w:t>
        <w:tab/>
        <w:t>审计应对</w:t>
      </w:r>
    </w:p>
    <w:p>
      <w:pPr>
        <w:pStyle w:val="Style18"/>
        <w:keepNext w:val="0"/>
        <w:keepLines w:val="0"/>
        <w:widowControl w:val="0"/>
        <w:shd w:val="clear" w:color="auto" w:fill="auto"/>
        <w:bidi w:val="0"/>
        <w:spacing w:before="0" w:after="120" w:line="317" w:lineRule="exact"/>
        <w:ind w:left="0" w:right="0" w:firstLine="740"/>
        <w:jc w:val="both"/>
      </w:pPr>
      <w:r>
        <w:rPr>
          <w:color w:val="000000"/>
          <w:spacing w:val="0"/>
          <w:w w:val="100"/>
          <w:position w:val="0"/>
        </w:rPr>
        <w:t>我们对网络管维业务的收入确认实施的相关程序主要包括：</w:t>
      </w:r>
    </w:p>
    <w:p>
      <w:pPr>
        <w:pStyle w:val="Style18"/>
        <w:keepNext w:val="0"/>
        <w:keepLines w:val="0"/>
        <w:widowControl w:val="0"/>
        <w:shd w:val="clear" w:color="auto" w:fill="auto"/>
        <w:bidi w:val="0"/>
        <w:spacing w:before="0" w:after="120" w:line="317" w:lineRule="exact"/>
        <w:ind w:left="380" w:right="0" w:firstLine="36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）了解与通信网络管维、信息网络管维与能源网络管维收入确认相关的内部控制，评价这些控制的设计及执行 情况，并测试相关关键内部控制的运行有效性。</w:t>
      </w:r>
    </w:p>
    <w:p>
      <w:pPr>
        <w:pStyle w:val="Style18"/>
        <w:keepNext w:val="0"/>
        <w:keepLines w:val="0"/>
        <w:widowControl w:val="0"/>
        <w:shd w:val="clear" w:color="auto" w:fill="auto"/>
        <w:tabs>
          <w:tab w:pos="1276" w:val="left"/>
        </w:tabs>
        <w:bidi w:val="0"/>
        <w:spacing w:before="0" w:after="100" w:line="322" w:lineRule="exact"/>
        <w:ind w:left="380" w:right="0" w:firstLine="36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获取润建股份公司与客户签订的主要业务合同，识别与控制权转移相关的关键合同条款，评价收入确认方式 是否符合企业会计准则的相关规定。</w:t>
      </w:r>
    </w:p>
    <w:p>
      <w:pPr>
        <w:pStyle w:val="Style18"/>
        <w:keepNext w:val="0"/>
        <w:keepLines w:val="0"/>
        <w:widowControl w:val="0"/>
        <w:shd w:val="clear" w:color="auto" w:fill="auto"/>
        <w:tabs>
          <w:tab w:pos="1276" w:val="left"/>
        </w:tabs>
        <w:bidi w:val="0"/>
        <w:spacing w:before="0" w:after="100" w:line="319" w:lineRule="exact"/>
        <w:ind w:left="380" w:right="0" w:firstLine="36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3</w:t>
      </w:r>
      <w:r>
        <w:rPr>
          <w:color w:val="000000"/>
          <w:spacing w:val="0"/>
          <w:w w:val="100"/>
          <w:position w:val="0"/>
        </w:rPr>
        <w:t>）</w:t>
        <w:tab/>
        <w:t>获取通信网络建设服务、通信网络维护与优化服务台账，抽样检查重大通信网络建设服务合同经外部确认的 工作量确认单、审定单和通信网络维护与优化服务合同经外部确认的结算单，检查通信技术服务收入确认时点与金额的 准确性。</w:t>
      </w:r>
    </w:p>
    <w:p>
      <w:pPr>
        <w:pStyle w:val="Style18"/>
        <w:keepNext w:val="0"/>
        <w:keepLines w:val="0"/>
        <w:widowControl w:val="0"/>
        <w:shd w:val="clear" w:color="auto" w:fill="auto"/>
        <w:tabs>
          <w:tab w:pos="1271" w:val="left"/>
        </w:tabs>
        <w:bidi w:val="0"/>
        <w:spacing w:before="0" w:after="100" w:line="322" w:lineRule="exact"/>
        <w:ind w:left="380" w:right="0" w:firstLine="36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4</w:t>
      </w:r>
      <w:r>
        <w:rPr>
          <w:color w:val="000000"/>
          <w:spacing w:val="0"/>
          <w:w w:val="100"/>
          <w:position w:val="0"/>
        </w:rPr>
        <w:t>）</w:t>
        <w:tab/>
        <w:t>选取通信网络建设服务项目样本，对工程形象进度进行现场查看，与工程管理部门讨论确认工程的完工程度， 并与外部验收确认的进度及账面记录进行比较，对异常偏差执行进一步的检查程序。</w:t>
      </w:r>
    </w:p>
    <w:p>
      <w:pPr>
        <w:pStyle w:val="Style18"/>
        <w:keepNext w:val="0"/>
        <w:keepLines w:val="0"/>
        <w:widowControl w:val="0"/>
        <w:shd w:val="clear" w:color="auto" w:fill="auto"/>
        <w:tabs>
          <w:tab w:pos="1281" w:val="left"/>
        </w:tabs>
        <w:bidi w:val="0"/>
        <w:spacing w:before="0" w:after="100" w:line="317" w:lineRule="exact"/>
        <w:ind w:left="380" w:right="0" w:firstLine="36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5</w:t>
      </w:r>
      <w:r>
        <w:rPr>
          <w:color w:val="000000"/>
          <w:spacing w:val="0"/>
          <w:w w:val="100"/>
          <w:position w:val="0"/>
        </w:rPr>
        <w:t>）</w:t>
        <w:tab/>
        <w:t>获取信息网络管维、能源网络管维项目台账，抽样检查重大系统集成、产品销售类合同经外部确认的验收单， 检查信息网络管维、能源网络管维收入确认时点与金额的准确性。</w:t>
      </w:r>
    </w:p>
    <w:p>
      <w:pPr>
        <w:pStyle w:val="Style18"/>
        <w:keepNext w:val="0"/>
        <w:keepLines w:val="0"/>
        <w:widowControl w:val="0"/>
        <w:shd w:val="clear" w:color="auto" w:fill="auto"/>
        <w:tabs>
          <w:tab w:pos="1271" w:val="left"/>
        </w:tabs>
        <w:bidi w:val="0"/>
        <w:spacing w:before="0" w:after="100" w:line="326" w:lineRule="exact"/>
        <w:ind w:left="380" w:right="0" w:firstLine="36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6</w:t>
      </w:r>
      <w:r>
        <w:rPr>
          <w:color w:val="000000"/>
          <w:spacing w:val="0"/>
          <w:w w:val="100"/>
          <w:position w:val="0"/>
        </w:rPr>
        <w:t>）</w:t>
        <w:tab/>
        <w:t>选取样本对本年度发生的项目成本进行测试，包括获取项目采购支出台账，检查采购合同、采购发票、劳务 结算记录、材料出入库单据、银行付款记录，检查实际发生总成本的真实性及准确性，确定项目成本是否完整。</w:t>
      </w:r>
    </w:p>
    <w:p>
      <w:pPr>
        <w:pStyle w:val="Style18"/>
        <w:keepNext w:val="0"/>
        <w:keepLines w:val="0"/>
        <w:widowControl w:val="0"/>
        <w:shd w:val="clear" w:color="auto" w:fill="auto"/>
        <w:tabs>
          <w:tab w:pos="1180" w:val="left"/>
        </w:tabs>
        <w:bidi w:val="0"/>
        <w:spacing w:before="0" w:after="100" w:line="320" w:lineRule="exact"/>
        <w:ind w:left="0" w:right="0" w:firstLine="74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7</w:t>
      </w:r>
      <w:r>
        <w:rPr>
          <w:color w:val="000000"/>
          <w:spacing w:val="0"/>
          <w:w w:val="100"/>
          <w:position w:val="0"/>
        </w:rPr>
        <w:t>）</w:t>
        <w:tab/>
        <w:t>执行截止性测试程序，检查相关项目收入、项目成本是否被记录在恰当的会计期间。</w:t>
      </w:r>
    </w:p>
    <w:p>
      <w:pPr>
        <w:pStyle w:val="Style18"/>
        <w:keepNext w:val="0"/>
        <w:keepLines w:val="0"/>
        <w:widowControl w:val="0"/>
        <w:shd w:val="clear" w:color="auto" w:fill="auto"/>
        <w:tabs>
          <w:tab w:pos="1180" w:val="left"/>
        </w:tabs>
        <w:bidi w:val="0"/>
        <w:spacing w:before="0" w:after="100" w:line="320" w:lineRule="exact"/>
        <w:ind w:left="0" w:right="0" w:firstLine="74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8</w:t>
      </w:r>
      <w:r>
        <w:rPr>
          <w:color w:val="000000"/>
          <w:spacing w:val="0"/>
          <w:w w:val="100"/>
          <w:position w:val="0"/>
        </w:rPr>
        <w:t>）</w:t>
        <w:tab/>
        <w:t>对本期主要执行项目的合同信息、工作量确认单信息、项目进度、项目验收情况列式清单向客户函证。</w:t>
      </w:r>
    </w:p>
    <w:p>
      <w:pPr>
        <w:pStyle w:val="Style18"/>
        <w:keepNext w:val="0"/>
        <w:keepLines w:val="0"/>
        <w:widowControl w:val="0"/>
        <w:shd w:val="clear" w:color="auto" w:fill="auto"/>
        <w:bidi w:val="0"/>
        <w:spacing w:before="0" w:after="100" w:line="320" w:lineRule="exact"/>
        <w:ind w:left="0" w:right="0" w:firstLine="0"/>
        <w:jc w:val="left"/>
      </w:pPr>
      <w:r>
        <w:rPr>
          <w:color w:val="000000"/>
          <w:spacing w:val="0"/>
          <w:w w:val="100"/>
          <w:position w:val="0"/>
          <w:sz w:val="18"/>
          <w:szCs w:val="18"/>
        </w:rPr>
        <w:t>1.</w:t>
      </w:r>
      <w:r>
        <w:rPr>
          <w:color w:val="000000"/>
          <w:spacing w:val="0"/>
          <w:w w:val="100"/>
          <w:position w:val="0"/>
        </w:rPr>
        <w:t>应收账款的坏账准备计提</w:t>
      </w:r>
    </w:p>
    <w:p>
      <w:pPr>
        <w:pStyle w:val="Style18"/>
        <w:keepNext w:val="0"/>
        <w:keepLines w:val="0"/>
        <w:widowControl w:val="0"/>
        <w:shd w:val="clear" w:color="auto" w:fill="auto"/>
        <w:tabs>
          <w:tab w:pos="741" w:val="left"/>
        </w:tabs>
        <w:bidi w:val="0"/>
        <w:spacing w:before="0" w:after="100" w:line="320" w:lineRule="exact"/>
        <w:ind w:left="0" w:right="0"/>
        <w:jc w:val="left"/>
      </w:pPr>
      <w:bookmarkStart w:id="717" w:name="bookmark717"/>
      <w:r>
        <w:rPr>
          <w:rFonts w:ascii="Times New Roman" w:eastAsia="Times New Roman" w:hAnsi="Times New Roman" w:cs="Times New Roman"/>
          <w:color w:val="000000"/>
          <w:spacing w:val="0"/>
          <w:w w:val="100"/>
          <w:position w:val="0"/>
        </w:rPr>
        <w:t>1</w:t>
      </w:r>
      <w:bookmarkEnd w:id="717"/>
      <w:r>
        <w:rPr>
          <w:color w:val="000000"/>
          <w:spacing w:val="0"/>
          <w:w w:val="100"/>
          <w:position w:val="0"/>
        </w:rPr>
        <w:t>、</w:t>
        <w:tab/>
        <w:t>事项描述</w:t>
      </w:r>
    </w:p>
    <w:p>
      <w:pPr>
        <w:pStyle w:val="Style18"/>
        <w:keepNext w:val="0"/>
        <w:keepLines w:val="0"/>
        <w:widowControl w:val="0"/>
        <w:shd w:val="clear" w:color="auto" w:fill="auto"/>
        <w:bidi w:val="0"/>
        <w:spacing w:before="0" w:after="100" w:line="320" w:lineRule="exact"/>
        <w:ind w:left="0" w:right="0"/>
        <w:jc w:val="left"/>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金融工具和附注七、</w:t>
      </w:r>
      <w:r>
        <w:rPr>
          <w:rFonts w:ascii="Times New Roman" w:eastAsia="Times New Roman" w:hAnsi="Times New Roman" w:cs="Times New Roman"/>
          <w:color w:val="000000"/>
          <w:spacing w:val="0"/>
          <w:w w:val="100"/>
          <w:position w:val="0"/>
        </w:rPr>
        <w:t>4</w:t>
      </w:r>
      <w:r>
        <w:rPr>
          <w:color w:val="000000"/>
          <w:spacing w:val="0"/>
          <w:w w:val="100"/>
          <w:position w:val="0"/>
        </w:rPr>
        <w:t>应收账款。</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日，润建股份公司的应收账款余额为</w:t>
      </w:r>
      <w:r>
        <w:rPr>
          <w:rFonts w:ascii="Times New Roman" w:eastAsia="Times New Roman" w:hAnsi="Times New Roman" w:cs="Times New Roman"/>
          <w:color w:val="000000"/>
          <w:spacing w:val="0"/>
          <w:w w:val="100"/>
          <w:position w:val="0"/>
        </w:rPr>
        <w:t>326,718.6</w:t>
      </w:r>
      <w:r>
        <w:rPr>
          <w:rFonts w:ascii="Times New Roman" w:eastAsia="Times New Roman" w:hAnsi="Times New Roman" w:cs="Times New Roman"/>
          <w:color w:val="000000"/>
          <w:spacing w:val="0"/>
          <w:w w:val="100"/>
          <w:position w:val="0"/>
        </w:rPr>
        <w:t>1</w:t>
      </w:r>
      <w:r>
        <w:rPr>
          <w:color w:val="000000"/>
          <w:spacing w:val="0"/>
          <w:w w:val="100"/>
          <w:position w:val="0"/>
        </w:rPr>
        <w:t>万元，已计提坏账准备</w:t>
      </w:r>
      <w:r>
        <w:rPr>
          <w:rFonts w:ascii="Times New Roman" w:eastAsia="Times New Roman" w:hAnsi="Times New Roman" w:cs="Times New Roman"/>
          <w:color w:val="000000"/>
          <w:spacing w:val="0"/>
          <w:w w:val="100"/>
          <w:position w:val="0"/>
        </w:rPr>
        <w:t>27,461.96</w:t>
      </w:r>
      <w:r>
        <w:rPr>
          <w:color w:val="000000"/>
          <w:spacing w:val="0"/>
          <w:w w:val="100"/>
          <w:position w:val="0"/>
        </w:rPr>
        <w:t xml:space="preserve">万元，账面价值为 </w:t>
      </w:r>
      <w:r>
        <w:rPr>
          <w:rFonts w:ascii="Times New Roman" w:eastAsia="Times New Roman" w:hAnsi="Times New Roman" w:cs="Times New Roman"/>
          <w:color w:val="000000"/>
          <w:spacing w:val="0"/>
          <w:w w:val="100"/>
          <w:position w:val="0"/>
        </w:rPr>
        <w:t>299,256.65</w:t>
      </w:r>
      <w:r>
        <w:rPr>
          <w:color w:val="000000"/>
          <w:spacing w:val="0"/>
          <w:w w:val="100"/>
          <w:position w:val="0"/>
        </w:rPr>
        <w:t>万元，占期末资产总额的</w:t>
      </w:r>
      <w:r>
        <w:rPr>
          <w:rFonts w:ascii="Times New Roman" w:eastAsia="Times New Roman" w:hAnsi="Times New Roman" w:cs="Times New Roman"/>
          <w:color w:val="000000"/>
          <w:spacing w:val="0"/>
          <w:w w:val="100"/>
          <w:position w:val="0"/>
        </w:rPr>
        <w:t>29.41%</w:t>
      </w:r>
      <w:r>
        <w:rPr>
          <w:color w:val="000000"/>
          <w:spacing w:val="0"/>
          <w:w w:val="100"/>
          <w:position w:val="0"/>
        </w:rPr>
        <w:t>。</w:t>
      </w:r>
    </w:p>
    <w:p>
      <w:pPr>
        <w:pStyle w:val="Style18"/>
        <w:keepNext w:val="0"/>
        <w:keepLines w:val="0"/>
        <w:widowControl w:val="0"/>
        <w:shd w:val="clear" w:color="auto" w:fill="auto"/>
        <w:bidi w:val="0"/>
        <w:spacing w:before="0" w:after="100" w:line="310" w:lineRule="exact"/>
        <w:ind w:left="0" w:right="0"/>
        <w:jc w:val="left"/>
      </w:pPr>
      <w:r>
        <w:rPr>
          <w:color w:val="000000"/>
          <w:spacing w:val="0"/>
          <w:w w:val="100"/>
          <w:position w:val="0"/>
        </w:rPr>
        <w:t>对于应收账款，无论是否存在重大融资成分，润建股份公司始终按照相当于整个存续期的预期信用损失的金额计量其损 失准备。当单项金融资产无法以合理成本评估预期信用损失的信息时，润建股份公司依据信用风险特征对应收账款划分组合， 在组合基础上计算预期信用损失。对于划分为组合的应收账款，润建股份公司参考历史信用损失经验，结合当前状况以及对 未来经济状况的预测，通过违约风险敞口和整个存续期预期信用损失率，计算预期信用损失。</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由于应收账款可收回金额方面涉及管理层运用重大会计估计和判断，我们将应收账款的坏账准备计提确定为关键审计事 项。</w:t>
      </w:r>
    </w:p>
    <w:p>
      <w:pPr>
        <w:pStyle w:val="Style18"/>
        <w:keepNext w:val="0"/>
        <w:keepLines w:val="0"/>
        <w:widowControl w:val="0"/>
        <w:shd w:val="clear" w:color="auto" w:fill="auto"/>
        <w:tabs>
          <w:tab w:pos="741" w:val="left"/>
        </w:tabs>
        <w:bidi w:val="0"/>
        <w:spacing w:before="0" w:after="100" w:line="320" w:lineRule="exact"/>
        <w:ind w:left="0" w:right="0"/>
        <w:jc w:val="left"/>
      </w:pPr>
      <w:bookmarkStart w:id="718" w:name="bookmark718"/>
      <w:r>
        <w:rPr>
          <w:rFonts w:ascii="Times New Roman" w:eastAsia="Times New Roman" w:hAnsi="Times New Roman" w:cs="Times New Roman"/>
          <w:color w:val="000000"/>
          <w:spacing w:val="0"/>
          <w:w w:val="100"/>
          <w:position w:val="0"/>
        </w:rPr>
        <w:t>2</w:t>
      </w:r>
      <w:bookmarkEnd w:id="718"/>
      <w:r>
        <w:rPr>
          <w:color w:val="000000"/>
          <w:spacing w:val="0"/>
          <w:w w:val="100"/>
          <w:position w:val="0"/>
        </w:rPr>
        <w:t>、</w:t>
        <w:tab/>
        <w:t>审计应对</w:t>
      </w:r>
    </w:p>
    <w:p>
      <w:pPr>
        <w:pStyle w:val="Style18"/>
        <w:keepNext w:val="0"/>
        <w:keepLines w:val="0"/>
        <w:widowControl w:val="0"/>
        <w:shd w:val="clear" w:color="auto" w:fill="auto"/>
        <w:bidi w:val="0"/>
        <w:spacing w:before="0" w:after="100" w:line="320" w:lineRule="exact"/>
        <w:ind w:left="0" w:right="0"/>
        <w:jc w:val="left"/>
      </w:pPr>
      <w:r>
        <w:rPr>
          <w:color w:val="000000"/>
          <w:spacing w:val="0"/>
          <w:w w:val="100"/>
          <w:position w:val="0"/>
        </w:rPr>
        <w:t>我们对应收账款的坏账准备计提实施的相关程序主要包括：</w:t>
      </w:r>
    </w:p>
    <w:p>
      <w:pPr>
        <w:pStyle w:val="Style18"/>
        <w:keepNext w:val="0"/>
        <w:keepLines w:val="0"/>
        <w:widowControl w:val="0"/>
        <w:shd w:val="clear" w:color="auto" w:fill="auto"/>
        <w:tabs>
          <w:tab w:pos="825" w:val="left"/>
        </w:tabs>
        <w:bidi w:val="0"/>
        <w:spacing w:before="0" w:after="100" w:line="320" w:lineRule="exact"/>
        <w:ind w:left="0" w:right="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1</w:t>
      </w:r>
      <w:r>
        <w:rPr>
          <w:color w:val="000000"/>
          <w:spacing w:val="0"/>
          <w:w w:val="100"/>
          <w:position w:val="0"/>
        </w:rPr>
        <w:t>）</w:t>
        <w:tab/>
        <w:t>评价和测试对应收账款可回收性进行评估相关的内部控制。</w:t>
      </w:r>
    </w:p>
    <w:p>
      <w:pPr>
        <w:pStyle w:val="Style18"/>
        <w:keepNext w:val="0"/>
        <w:keepLines w:val="0"/>
        <w:widowControl w:val="0"/>
        <w:shd w:val="clear" w:color="auto" w:fill="auto"/>
        <w:tabs>
          <w:tab w:pos="886" w:val="left"/>
        </w:tabs>
        <w:bidi w:val="0"/>
        <w:spacing w:before="0" w:after="100" w:line="326" w:lineRule="exact"/>
        <w:ind w:left="0" w:right="0"/>
        <w:jc w:val="left"/>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2</w:t>
      </w:r>
      <w:r>
        <w:rPr>
          <w:color w:val="000000"/>
          <w:spacing w:val="0"/>
          <w:w w:val="100"/>
          <w:position w:val="0"/>
        </w:rPr>
        <w:t>）</w:t>
        <w:tab/>
        <w:t>分析应收账款坏账准备会计估计的合理性，包括确定应收账款组合的依据、金额重大的判断、单独计提坏账准备 的判断等，评估管理层将应收账款划分为若干组合进行减值测试的方法和计算是否适当。</w:t>
      </w:r>
    </w:p>
    <w:p>
      <w:pPr>
        <w:pStyle w:val="Style18"/>
        <w:keepNext w:val="0"/>
        <w:keepLines w:val="0"/>
        <w:widowControl w:val="0"/>
        <w:shd w:val="clear" w:color="auto" w:fill="auto"/>
        <w:tabs>
          <w:tab w:pos="901" w:val="left"/>
        </w:tabs>
        <w:bidi w:val="0"/>
        <w:spacing w:before="0" w:after="100" w:line="322" w:lineRule="exact"/>
        <w:ind w:left="0" w:right="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3</w:t>
      </w:r>
      <w:r>
        <w:rPr>
          <w:color w:val="000000"/>
          <w:spacing w:val="0"/>
          <w:w w:val="100"/>
          <w:position w:val="0"/>
        </w:rPr>
        <w:t>）</w:t>
        <w:tab/>
        <w:t>复核管理层用来计算预期信用损失率的历史信用损失经验数据及关键假设的合理性，评价管理层对应收账款的信 用风险评估和识别的合理性。</w:t>
      </w:r>
    </w:p>
    <w:p>
      <w:pPr>
        <w:pStyle w:val="Style18"/>
        <w:keepNext w:val="0"/>
        <w:keepLines w:val="0"/>
        <w:widowControl w:val="0"/>
        <w:shd w:val="clear" w:color="auto" w:fill="auto"/>
        <w:tabs>
          <w:tab w:pos="901" w:val="left"/>
        </w:tabs>
        <w:bidi w:val="0"/>
        <w:spacing w:before="0" w:after="100" w:line="322" w:lineRule="exact"/>
        <w:ind w:left="0" w:right="0"/>
        <w:jc w:val="left"/>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rPr>
        <w:t>4</w:t>
      </w:r>
      <w:r>
        <w:rPr>
          <w:color w:val="000000"/>
          <w:spacing w:val="0"/>
          <w:w w:val="100"/>
          <w:position w:val="0"/>
        </w:rPr>
        <w:t>）</w:t>
        <w:tab/>
        <w:t>选取样本，检查与应收账款余额相关的销售合同、销售发票、结算审定文件，评价管理层编制的应收账款账龄明 细表的账龄区间划分是否恰当。</w:t>
      </w:r>
    </w:p>
    <w:p>
      <w:pPr>
        <w:pStyle w:val="Style18"/>
        <w:keepNext w:val="0"/>
        <w:keepLines w:val="0"/>
        <w:widowControl w:val="0"/>
        <w:shd w:val="clear" w:color="auto" w:fill="auto"/>
        <w:tabs>
          <w:tab w:pos="825" w:val="left"/>
        </w:tabs>
        <w:bidi w:val="0"/>
        <w:spacing w:before="0" w:after="100" w:line="320" w:lineRule="exact"/>
        <w:ind w:left="0" w:right="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rPr>
        <w:t>5</w:t>
      </w:r>
      <w:r>
        <w:rPr>
          <w:color w:val="000000"/>
          <w:spacing w:val="0"/>
          <w:w w:val="100"/>
          <w:position w:val="0"/>
        </w:rPr>
        <w:t>）</w:t>
        <w:tab/>
        <w:t>获取应收账款坏账准备计提表，分析复核管理层坏账计提金额的准确性。</w:t>
      </w:r>
    </w:p>
    <w:p>
      <w:pPr>
        <w:pStyle w:val="Style18"/>
        <w:keepNext w:val="0"/>
        <w:keepLines w:val="0"/>
        <w:widowControl w:val="0"/>
        <w:shd w:val="clear" w:color="auto" w:fill="auto"/>
        <w:tabs>
          <w:tab w:pos="825" w:val="left"/>
        </w:tabs>
        <w:bidi w:val="0"/>
        <w:spacing w:before="0" w:after="100" w:line="320" w:lineRule="exact"/>
        <w:ind w:left="0" w:right="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rPr>
        <w:t>6</w:t>
      </w:r>
      <w:r>
        <w:rPr>
          <w:color w:val="000000"/>
          <w:spacing w:val="0"/>
          <w:w w:val="100"/>
          <w:position w:val="0"/>
        </w:rPr>
        <w:t>）</w:t>
        <w:tab/>
        <w:t>选取样本对金额重大、长账龄的应收账款余额实施函证程序。</w:t>
      </w:r>
    </w:p>
    <w:p>
      <w:pPr>
        <w:pStyle w:val="Style18"/>
        <w:keepNext w:val="0"/>
        <w:keepLines w:val="0"/>
        <w:widowControl w:val="0"/>
        <w:shd w:val="clear" w:color="auto" w:fill="auto"/>
        <w:bidi w:val="0"/>
        <w:spacing w:before="0" w:after="100" w:line="320" w:lineRule="exact"/>
        <w:ind w:left="0" w:right="0"/>
        <w:jc w:val="left"/>
      </w:pPr>
      <w:bookmarkStart w:id="725" w:name="bookmark725"/>
      <w:r>
        <w:rPr>
          <w:b/>
          <w:bCs/>
          <w:color w:val="000000"/>
          <w:spacing w:val="0"/>
          <w:w w:val="100"/>
          <w:position w:val="0"/>
        </w:rPr>
        <w:t>四</w:t>
      </w:r>
      <w:bookmarkEnd w:id="725"/>
      <w:r>
        <w:rPr>
          <w:b/>
          <w:bCs/>
          <w:color w:val="000000"/>
          <w:spacing w:val="0"/>
          <w:w w:val="100"/>
          <w:position w:val="0"/>
        </w:rPr>
        <w:t>、其他信息</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润建股份公司管理层（以下简称管理层）对其他信息负责。其他信息包括润建股份公司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 但不包括财务报表和我们的审计报告。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02" w:val="left"/>
        </w:tabs>
        <w:bidi w:val="0"/>
        <w:spacing w:before="0" w:after="100" w:line="312" w:lineRule="exact"/>
        <w:ind w:left="0" w:right="0"/>
        <w:jc w:val="both"/>
      </w:pPr>
      <w:bookmarkStart w:id="726" w:name="bookmark726"/>
      <w:r>
        <w:rPr>
          <w:b/>
          <w:bCs/>
          <w:color w:val="000000"/>
          <w:spacing w:val="0"/>
          <w:w w:val="100"/>
          <w:position w:val="0"/>
        </w:rPr>
        <w:t>五</w:t>
      </w:r>
      <w:bookmarkEnd w:id="726"/>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润建股份公司管理层负责按照企业会计准则的规定编制财务报表，使其实现公允反映，并设计、执行和维护必要的内部 控制，以使财务报表不存在由于舞弊或错误导致的重大错报。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在编制财务报表时，管理层负责评估润建股份公司的持续经营能力，披露与持续经营相关的事项，并运用持续经营假设， 除非管理层计划清算润建股份公司、终止运营或别无其他现实的选择。</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治理层负责监督润建股份公司的财务报告过程。</w:t>
      </w:r>
    </w:p>
    <w:p>
      <w:pPr>
        <w:pStyle w:val="Style18"/>
        <w:keepNext w:val="0"/>
        <w:keepLines w:val="0"/>
        <w:widowControl w:val="0"/>
        <w:shd w:val="clear" w:color="auto" w:fill="auto"/>
        <w:tabs>
          <w:tab w:pos="807" w:val="left"/>
        </w:tabs>
        <w:bidi w:val="0"/>
        <w:spacing w:before="0" w:after="100" w:line="312" w:lineRule="exact"/>
        <w:ind w:left="0" w:right="0"/>
        <w:jc w:val="both"/>
      </w:pPr>
      <w:bookmarkStart w:id="727" w:name="bookmark727"/>
      <w:r>
        <w:rPr>
          <w:b/>
          <w:bCs/>
          <w:color w:val="000000"/>
          <w:spacing w:val="0"/>
          <w:w w:val="100"/>
          <w:position w:val="0"/>
        </w:rPr>
        <w:t>六</w:t>
      </w:r>
      <w:bookmarkEnd w:id="727"/>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888" w:val="left"/>
        </w:tabs>
        <w:bidi w:val="0"/>
        <w:spacing w:before="0" w:after="100" w:line="312" w:lineRule="exact"/>
        <w:ind w:left="0" w:right="0"/>
        <w:jc w:val="both"/>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812" w:val="left"/>
        </w:tabs>
        <w:bidi w:val="0"/>
        <w:spacing w:before="0" w:after="100" w:line="312" w:lineRule="exact"/>
        <w:ind w:left="0" w:right="0"/>
        <w:jc w:val="both"/>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18"/>
        <w:keepNext w:val="0"/>
        <w:keepLines w:val="0"/>
        <w:widowControl w:val="0"/>
        <w:shd w:val="clear" w:color="auto" w:fill="auto"/>
        <w:tabs>
          <w:tab w:pos="812" w:val="left"/>
        </w:tabs>
        <w:bidi w:val="0"/>
        <w:spacing w:before="0" w:after="100" w:line="312" w:lineRule="exact"/>
        <w:ind w:left="0" w:right="0"/>
        <w:jc w:val="both"/>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888" w:val="left"/>
        </w:tabs>
        <w:bidi w:val="0"/>
        <w:spacing w:before="0" w:after="100" w:line="317" w:lineRule="exact"/>
        <w:ind w:left="0" w:right="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对管理层使用持续经营假设的恰当性得出结论。同时，根据获取的审计证据，就可能导致对润建股份公司持续经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论基于截至审计报告日可获得的信息。然而，未来的事项或情况可能导致润建股份公司不能持续经营。</w:t>
      </w:r>
    </w:p>
    <w:p>
      <w:pPr>
        <w:pStyle w:val="Style18"/>
        <w:keepNext w:val="0"/>
        <w:keepLines w:val="0"/>
        <w:widowControl w:val="0"/>
        <w:shd w:val="clear" w:color="auto" w:fill="auto"/>
        <w:tabs>
          <w:tab w:pos="812" w:val="left"/>
        </w:tabs>
        <w:bidi w:val="0"/>
        <w:spacing w:before="0" w:after="100" w:line="312" w:lineRule="exact"/>
        <w:ind w:left="0" w:right="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8"/>
        <w:keepNext w:val="0"/>
        <w:keepLines w:val="0"/>
        <w:widowControl w:val="0"/>
        <w:shd w:val="clear" w:color="auto" w:fill="auto"/>
        <w:tabs>
          <w:tab w:pos="883" w:val="left"/>
        </w:tabs>
        <w:bidi w:val="0"/>
        <w:spacing w:before="0" w:after="100" w:line="326" w:lineRule="exact"/>
        <w:ind w:left="0" w:right="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6</w:t>
      </w:r>
      <w:r>
        <w:rPr>
          <w:color w:val="000000"/>
          <w:spacing w:val="0"/>
          <w:w w:val="100"/>
          <w:position w:val="0"/>
        </w:rPr>
        <w:t>）</w:t>
        <w:tab/>
        <w:t>就润建股份公司中实体或业务活动的财务信息获取充分、适当的审计证据，以对财务报表发表审计意见。我们负 责指导、监督和执行集团审计，并对审计意见承担全部责任。</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18"/>
        <w:keepNext w:val="0"/>
        <w:keepLines w:val="0"/>
        <w:widowControl w:val="0"/>
        <w:shd w:val="clear" w:color="auto" w:fill="auto"/>
        <w:bidi w:val="0"/>
        <w:spacing w:before="0" w:after="360" w:line="302"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w:t>
        <w:br w:type="page"/>
      </w:r>
      <w:r>
        <w:rPr>
          <w:color w:val="000000"/>
          <w:spacing w:val="0"/>
          <w:w w:val="100"/>
          <w:position w:val="0"/>
        </w:rPr>
        <w:t>的负面后果超过在公众利益方面产生的益处，我们确定不应在审计报告中沟通该事项。</w:t>
      </w:r>
    </w:p>
    <w:p>
      <w:pPr>
        <w:pStyle w:val="Style23"/>
        <w:keepNext/>
        <w:keepLines/>
        <w:widowControl w:val="0"/>
        <w:shd w:val="clear" w:color="auto" w:fill="auto"/>
        <w:bidi w:val="0"/>
        <w:spacing w:before="0" w:after="360" w:line="240" w:lineRule="auto"/>
        <w:ind w:left="0" w:right="0" w:firstLine="0"/>
        <w:jc w:val="left"/>
      </w:pPr>
      <w:bookmarkStart w:id="734" w:name="bookmark734"/>
      <w:bookmarkStart w:id="735" w:name="bookmark735"/>
      <w:bookmarkStart w:id="736" w:name="bookmark736"/>
      <w:r>
        <w:rPr>
          <w:color w:val="000000"/>
          <w:spacing w:val="0"/>
          <w:w w:val="100"/>
          <w:position w:val="0"/>
          <w:sz w:val="24"/>
          <w:szCs w:val="24"/>
        </w:rPr>
        <w:t>二、财务报表</w:t>
      </w:r>
      <w:bookmarkEnd w:id="734"/>
      <w:bookmarkEnd w:id="735"/>
      <w:bookmarkEnd w:id="73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color w:val="000000"/>
          <w:spacing w:val="0"/>
          <w:w w:val="100"/>
          <w:position w:val="0"/>
        </w:rPr>
        <w:t>、合并资产负债表</w:t>
      </w:r>
      <w:bookmarkEnd w:id="737"/>
      <w:bookmarkEnd w:id="738"/>
      <w:bookmarkEnd w:id="740"/>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编制单位：润建股份有限公司</w:t>
      </w:r>
    </w:p>
    <w:p>
      <w:pPr>
        <w:pStyle w:val="Style37"/>
        <w:keepNext w:val="0"/>
        <w:keepLines w:val="0"/>
        <w:widowControl w:val="0"/>
        <w:shd w:val="clear" w:color="auto" w:fill="auto"/>
        <w:bidi w:val="0"/>
        <w:spacing w:before="0" w:after="120" w:line="240" w:lineRule="auto"/>
        <w:ind w:left="0" w:right="0" w:firstLine="0"/>
        <w:jc w:val="center"/>
      </w:pP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12</w:t>
      </w:r>
      <w:r>
        <w:rPr>
          <w:rFonts w:ascii="SimSun" w:eastAsia="SimSun" w:hAnsi="SimSun" w:cs="SimSun"/>
          <w:b w:val="0"/>
          <w:bCs w:val="0"/>
          <w:color w:val="000000"/>
          <w:spacing w:val="0"/>
          <w:w w:val="100"/>
          <w:position w:val="0"/>
        </w:rPr>
        <w:t>月</w:t>
      </w:r>
      <w:r>
        <w:rPr>
          <w:b w:val="0"/>
          <w:bCs w:val="0"/>
          <w:color w:val="000000"/>
          <w:spacing w:val="0"/>
          <w:w w:val="100"/>
          <w:position w:val="0"/>
        </w:rPr>
        <w:t>31</w:t>
      </w:r>
      <w:r>
        <w:rPr>
          <w:rFonts w:ascii="SimSun" w:eastAsia="SimSun" w:hAnsi="SimSun" w:cs="SimSun"/>
          <w:b w:val="0"/>
          <w:bCs w:val="0"/>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2,460,677,998.67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2,025,545,930.28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187,050,471.12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40,044,072.85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19,200,519.52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14,564,440.26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2,992,566,474.62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1,326,928,886.08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126,969,045.13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87,413,211.07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131,260,232.98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103,952,804.14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1,148,883,036.33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933,320,988.76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628,174,383.78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698,408,580.93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245,383,927.70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35,520,397.30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60,663,759.21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45,466,902.04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8,003,701,149.06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5,312,145,813.71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53,387,256.70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40,474,498.47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185,839,655.80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188,534,607.71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438,145,228.15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90,392,190.36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81,947,545.87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52,087,738.81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37,761,619.75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165,865,510.01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161,430,965.24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5,447,758.98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5,519,695.06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67,805,072.50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53,432,718.85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1,121,058,782.94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1,048,270,188.36</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2,171,959,549.76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1,626,191,483.80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10,175,660,698.82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6,938,337,297.51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943,375,976.76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255,292,083.32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1,609,767,002.12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789,577,445.38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1,785,311,153.84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1,108,439,919.93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353,709,169.57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261,743,529.20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173,471,130.90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93,296,807.36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197,987,887.65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109,967,237.91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66,849,022.05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44,501,780.87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38,121,783.51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23,849,185.13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23,749,305.74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5,192,442,311.53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2,686,811,082.31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65,740.63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986,820,490.35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939,719,036.58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44,810,017.65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1,766,800.00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1,961,661.06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1,775,008.42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1,038,039,109.69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943,260,845.00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6,230,481,421.22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3,630,071,927.31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228,728,817.00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220,746,347.00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143,713,740.37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143,750,878.21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1,665,120,467.58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1,424,697,484.78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88,224,996.66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58,677,999.65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126,212,480.46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126,212,480.46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1,576,209,668.75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1,257,286,319.92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3,828,130,482.78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3,231,369,495.63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117,048,794.82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76,895,874.57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3,945,179,277.60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3,308,265,370.20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10,175,660,698.82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6,938,337,297.51</w:t>
            </w:r>
          </w:p>
        </w:tc>
      </w:tr>
    </w:tbl>
    <w:p>
      <w:pPr>
        <w:pStyle w:val="Style29"/>
        <w:keepNext/>
        <w:keepLines/>
        <w:widowControl w:val="0"/>
        <w:shd w:val="clear" w:color="auto" w:fill="auto"/>
        <w:bidi w:val="0"/>
        <w:spacing w:before="0" w:line="240" w:lineRule="auto"/>
        <w:ind w:left="0" w:right="0" w:firstLine="0"/>
        <w:jc w:val="left"/>
      </w:pPr>
      <w:r>
        <mc:AlternateContent>
          <mc:Choice Requires="wps">
            <w:drawing>
              <wp:anchor distT="152400" distB="3175" distL="114300" distR="5146675" simplePos="0" relativeHeight="125829388" behindDoc="0" locked="0" layoutInCell="1" allowOverlap="1">
                <wp:simplePos x="0" y="0"/>
                <wp:positionH relativeFrom="page">
                  <wp:posOffset>711835</wp:posOffset>
                </wp:positionH>
                <wp:positionV relativeFrom="margin">
                  <wp:posOffset>2566670</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法定代表人：许文杰</w:t>
                            </w:r>
                          </w:p>
                        </w:txbxContent>
                      </wps:txbx>
                      <wps:bodyPr wrap="none" lIns="0" tIns="0" rIns="0" bIns="0">
                        <a:noAutoFit/>
                      </wps:bodyPr>
                    </wps:wsp>
                  </a:graphicData>
                </a:graphic>
              </wp:anchor>
            </w:drawing>
          </mc:Choice>
          <mc:Fallback>
            <w:pict>
              <v:shape id="_x0000_s1041" type="#_x0000_t202" style="position:absolute;margin-left:56.050000000000004pt;margin-top:202.09999999999999pt;width:83.049999999999997pt;height:11.75pt;z-index:-125829365;mso-wrap-distance-left:9.pt;mso-wrap-distance-top:12.pt;mso-wrap-distance-right:405.25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法定代表人：许文杰</w:t>
                      </w:r>
                    </w:p>
                  </w:txbxContent>
                </v:textbox>
                <w10:wrap type="topAndBottom" anchorx="page" anchory="margin"/>
              </v:shape>
            </w:pict>
          </mc:Fallback>
        </mc:AlternateContent>
      </w:r>
      <w:r>
        <mc:AlternateContent>
          <mc:Choice Requires="wps">
            <w:drawing>
              <wp:anchor distT="152400" distB="6350" distL="2345690" distR="2574290" simplePos="0" relativeHeight="125829390" behindDoc="0" locked="0" layoutInCell="1" allowOverlap="1">
                <wp:simplePos x="0" y="0"/>
                <wp:positionH relativeFrom="page">
                  <wp:posOffset>2943225</wp:posOffset>
                </wp:positionH>
                <wp:positionV relativeFrom="margin">
                  <wp:posOffset>2566670</wp:posOffset>
                </wp:positionV>
                <wp:extent cx="1395730" cy="146050"/>
                <wp:wrapTopAndBottom/>
                <wp:docPr id="17" name="Shape 17"/>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主管会计工作负责人：黄宇</w:t>
                            </w:r>
                          </w:p>
                        </w:txbxContent>
                      </wps:txbx>
                      <wps:bodyPr wrap="none" lIns="0" tIns="0" rIns="0" bIns="0">
                        <a:noAutoFit/>
                      </wps:bodyPr>
                    </wps:wsp>
                  </a:graphicData>
                </a:graphic>
              </wp:anchor>
            </w:drawing>
          </mc:Choice>
          <mc:Fallback>
            <w:pict>
              <v:shape id="_x0000_s1043" type="#_x0000_t202" style="position:absolute;margin-left:231.75pt;margin-top:202.09999999999999pt;width:109.90000000000001pt;height:11.5pt;z-index:-125829363;mso-wrap-distance-left:184.70000000000002pt;mso-wrap-distance-top:12.pt;mso-wrap-distance-right:202.70000000000002pt;mso-wrap-distance-bottom:0.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主管会计工作负责人：黄宇</w:t>
                      </w:r>
                    </w:p>
                  </w:txbxContent>
                </v:textbox>
                <w10:wrap type="topAndBottom" anchorx="page" anchory="margin"/>
              </v:shape>
            </w:pict>
          </mc:Fallback>
        </mc:AlternateContent>
      </w:r>
      <w:r>
        <mc:AlternateContent>
          <mc:Choice Requires="wps">
            <w:drawing>
              <wp:anchor distT="152400" distB="0" distL="4918075" distR="114300" simplePos="0" relativeHeight="125829392" behindDoc="0" locked="0" layoutInCell="1" allowOverlap="1">
                <wp:simplePos x="0" y="0"/>
                <wp:positionH relativeFrom="page">
                  <wp:posOffset>5515610</wp:posOffset>
                </wp:positionH>
                <wp:positionV relativeFrom="margin">
                  <wp:posOffset>2566670</wp:posOffset>
                </wp:positionV>
                <wp:extent cx="1283335" cy="152400"/>
                <wp:wrapTopAndBottom/>
                <wp:docPr id="19" name="Shape 19"/>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会计机构负责人：王念梅</w:t>
                            </w:r>
                          </w:p>
                        </w:txbxContent>
                      </wps:txbx>
                      <wps:bodyPr wrap="none" lIns="0" tIns="0" rIns="0" bIns="0">
                        <a:noAutoFit/>
                      </wps:bodyPr>
                    </wps:wsp>
                  </a:graphicData>
                </a:graphic>
              </wp:anchor>
            </w:drawing>
          </mc:Choice>
          <mc:Fallback>
            <w:pict>
              <v:shape id="_x0000_s1045" type="#_x0000_t202" style="position:absolute;margin-left:434.30000000000001pt;margin-top:202.09999999999999pt;width:101.05pt;height:12.pt;z-index:-125829361;mso-wrap-distance-left:387.25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会计机构负责人：王念梅</w:t>
                      </w:r>
                    </w:p>
                  </w:txbxContent>
                </v:textbox>
                <w10:wrap type="topAndBottom" anchorx="page" anchory="margin"/>
              </v:shape>
            </w:pict>
          </mc:Fallback>
        </mc:AlternateContent>
      </w: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2</w:t>
      </w:r>
      <w:bookmarkEnd w:id="743"/>
      <w:r>
        <w:rPr>
          <w:color w:val="000000"/>
          <w:spacing w:val="0"/>
          <w:w w:val="100"/>
          <w:position w:val="0"/>
        </w:rPr>
        <w:t>、母公司资产负债表</w:t>
      </w:r>
      <w:bookmarkEnd w:id="741"/>
      <w:bookmarkEnd w:id="742"/>
      <w:bookmarkEnd w:id="7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2,008,541,460.79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1,779,086,720.54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20,422,949.56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10,046,106.69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9,159,796.71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2,593,612,303.28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1,137,235,755.15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111,770,837.79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57,510,144.48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946,795,886.53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362,593,536.24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859,957,340.25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678,309,080.48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616,893,722.17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692,218,116.51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245,383,927.70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35,520,397.30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24,455,398.23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23,989,608.59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7,503,128,283.43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4,796,846,105.56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485,265,213.73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449,344,968.09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172,491,273.02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183,084,198.91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59,530,190.01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6,114,123.70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3,303,960.31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10,212,316.57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10,212,316.57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3,799,775.21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3,942,328.72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48,193,267.99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42,870,464.46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1,055,908,093.55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1,040,469,589.38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1,841,889,253.78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1,733,602,826.44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9,345,017,537.21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6,530,448,932.00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877,544,333.51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250,252,083.32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1,571,152,768.18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788,953,445.38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1,444,759,470.71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951,156,730.73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178,864,315.46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146,119,839.54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150,940,342.51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81,560,099.64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170,685,612.03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95,109,256.31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43,164,864.86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43,353,445.01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30,374,126.63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19,720,829.45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14,921,947.52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4,487,206,663.34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2,371,650,820.05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986,820,490.35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939,719,036.58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29,423,331.11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63,442.43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1,020,663,821.46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941,282,479.01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5,507,870,484.80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3,312,933,299.06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228,728,817.00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220,746,347.00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143,713,740.37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143,750,878.21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1,663,266,841.38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1,422,843,858.58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88,224,996.66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58,677,999.65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126,212,480.46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126,212,480.46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1,587,000,176.54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1,245,284,069.04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3,837,147,052.41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3,217,515,632.94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9,345,017,537.21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6,530,448,932.00</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3</w:t>
      </w:r>
      <w:bookmarkEnd w:id="747"/>
      <w:r>
        <w:rPr>
          <w:color w:val="000000"/>
          <w:spacing w:val="0"/>
          <w:w w:val="100"/>
          <w:position w:val="0"/>
        </w:rPr>
        <w:t>、合并利润表</w:t>
      </w:r>
      <w:bookmarkEnd w:id="745"/>
      <w:bookmarkEnd w:id="746"/>
      <w:bookmarkEnd w:id="7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6,602,328,309.95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4,192,633,827.73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6,602,328,309.95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4,192,633,827.73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6,079,605,233.94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3,918,824,331.19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5,268,343,168.19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3,474,493,754.57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22,062,570.15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12,006,871.16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261,560,682.43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154,635,057.22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234,389,332.19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148,702,216.09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275,991,187.81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165,396,527.57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17,258,293.17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-36,410,095.42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77,177,725.82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5,543,832.64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66,155,393.86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44,899,036.36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22,196,035.61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19,542,174.83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3,397,958.00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6,457,704.52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1,612,758.23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-390,455.50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-227,989.80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2,883,309.61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-1,191,840.54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-134,828,541.33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-29,902,156.65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-2,140,636.16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-2,089,555.90</w:t>
            </w:r>
          </w:p>
        </w:tc>
      </w:tr>
    </w:tbl>
    <w:p>
      <w:pPr>
        <w:widowControl w:val="0"/>
        <w:spacing w:line="1" w:lineRule="exact"/>
      </w:pPr>
      <w:r>
        <w:br w:type="page"/>
      </w:r>
    </w:p>
    <w:tbl>
      <w:tblPr>
        <w:tblOverlap w:val="never"/>
        <w:jc w:val="center"/>
        <w:tblLayout w:type="fixed"/>
      </w:tblPr>
      <w:tblGrid>
        <w:gridCol w:w="3086"/>
        <w:gridCol w:w="3211"/>
        <w:gridCol w:w="328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-16,954.66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-94,825.31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414,214,247.08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266,530,997.49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4,249,677.81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2,523,758.71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6,462,816.47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9,113,381.85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412,001,108.42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259,941,374.35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65,805,385.18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29,490,348.10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346,195,723.24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230,451,026.25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346,195,723.24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230,451,026.25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352,983,779.43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238,703,087.67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-6,788,056.19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-8,252,061.42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-99,670.97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-5,634.10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-77,673.65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-2,014.39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-77,673.65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-2,014.39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-77,673.65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-21,997.32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346,096,052.27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230,445,392.15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352,906,105.78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238,701,073.28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-6,810,053.51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-8,255,681.13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485" w:val="left"/>
          <w:tab w:pos="7522" w:val="left"/>
        </w:tabs>
        <w:bidi w:val="0"/>
        <w:spacing w:before="0" w:after="380" w:line="240" w:lineRule="auto"/>
        <w:ind w:left="0" w:right="0" w:firstLine="0"/>
        <w:jc w:val="left"/>
      </w:pPr>
      <w:r>
        <w:rPr>
          <w:color w:val="000000"/>
          <w:spacing w:val="0"/>
          <w:w w:val="100"/>
          <w:position w:val="0"/>
        </w:rPr>
        <w:t>法定代表人：许文杰</w:t>
        <w:tab/>
        <w:t>主管会计工作负责人：黄宇</w:t>
        <w:tab/>
        <w:t>会计机构负责人：王念梅</w:t>
      </w:r>
    </w:p>
    <w:p>
      <w:pPr>
        <w:pStyle w:val="Style29"/>
        <w:keepNext/>
        <w:keepLines/>
        <w:widowControl w:val="0"/>
        <w:shd w:val="clear" w:color="auto" w:fill="auto"/>
        <w:bidi w:val="0"/>
        <w:spacing w:before="0" w:after="3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4</w:t>
      </w:r>
      <w:bookmarkEnd w:id="751"/>
      <w:r>
        <w:rPr>
          <w:color w:val="000000"/>
          <w:spacing w:val="0"/>
          <w:w w:val="100"/>
          <w:position w:val="0"/>
        </w:rPr>
        <w:t>、母公司利润表</w:t>
      </w:r>
      <w:bookmarkEnd w:id="749"/>
      <w:bookmarkEnd w:id="750"/>
      <w:bookmarkEnd w:id="7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6,034,871,108.78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3,909,971,475.79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4,860,156,066.68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3,248,325,475.40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17,983,570.30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10,994,821.33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230,084,027.17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141,670,509.12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167,745,417.65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117,569,216.30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234,705,131.99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140,993,299.52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-4,913,812.93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-42,184,519.27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74,579,117.84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5,226,059.83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85,271,286.42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49,770,083.86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18,661,071.31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16,721,045.63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1,086,585.17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6,039,740.87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1,551,970.64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-390,360.05</w:t>
            </w:r>
          </w:p>
        </w:tc>
      </w:tr>
    </w:tbl>
    <w:p>
      <w:pPr>
        <w:widowControl w:val="0"/>
        <w:spacing w:line="1" w:lineRule="exact"/>
      </w:pPr>
      <w:r>
        <w:br w:type="page"/>
      </w:r>
    </w:p>
    <w:tbl>
      <w:tblPr>
        <w:tblOverlap w:val="never"/>
        <w:jc w:val="center"/>
        <w:tblLayout w:type="fixed"/>
      </w:tblPr>
      <w:tblGrid>
        <w:gridCol w:w="2971"/>
        <w:gridCol w:w="3302"/>
        <w:gridCol w:w="3312"/>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-812,385.47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-5,803.10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-1,085,944.67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-113,220,177.74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-26,127,548.31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-286,173.09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-1,212,861.62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302,919.73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-94,512.10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438,454,933.30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286,842,593.19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3,944,386.37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1,469,164.91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4,728,591.97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8,176,015.44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437,670,727.70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280,135,742.66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61,894,189.60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35,726,063.67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375,776,538.10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244,409,678.99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375,776,538.10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244,409,678.99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375,776,538.10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244,409,678.99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5</w:t>
      </w:r>
      <w:bookmarkEnd w:id="755"/>
      <w:r>
        <w:rPr>
          <w:color w:val="000000"/>
          <w:spacing w:val="0"/>
          <w:w w:val="100"/>
          <w:position w:val="0"/>
        </w:rPr>
        <w:t>、合并现金流量表</w:t>
      </w:r>
      <w:bookmarkEnd w:id="753"/>
      <w:bookmarkEnd w:id="754"/>
      <w:bookmarkEnd w:id="7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6,154,481,522.98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4,410,972,254.96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13,243,039.78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130,641.75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337,090,373.43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297,628,758.42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6,504,814,936.19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4,708,731,655.13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4,545,062,154.21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3,327,658,864.81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586,941,420.03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396,645,029.31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213,574,395.52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135,776,218.62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774,236,868.08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516,994,204.44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6,119,814,837.84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4,377,074,317.18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385,000,098.35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331,657,337.95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157,884,500.00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505,619,050.81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10,235,236.18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7,112,160.36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3,625,310.77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1,021,576.06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171,745,046.95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513,752,787.23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368,748,835.21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108,631,848.47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544,353,000.00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1,163,570,392.00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16,600,560.51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28,551,514.75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929,702,395.72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1,300,753,755.22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-757,957,348.77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-787,000,967.99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223,226,729.60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1,083,050,000.00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46,650,000.00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998,903,700.00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500,500,000.00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20,106,238.52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7,143,101.20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1,242,236,668.12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1,590,693,101.20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472,010,601.75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250,500,000.00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57,574,276.11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27,044,158.10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31,845,427.18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3,476,915.62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561,430,305.04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281,021,073.72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680,806,363.08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1,309,672,027.48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-153,372.24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-193,763.21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307,695,740.42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854,134,634.23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1,893,823,765.22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1,039,689,130.99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2,201,519,505.64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1,893,823,765.22</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6</w:t>
      </w:r>
      <w:bookmarkEnd w:id="759"/>
      <w:r>
        <w:rPr>
          <w:color w:val="000000"/>
          <w:spacing w:val="0"/>
          <w:w w:val="100"/>
          <w:position w:val="0"/>
        </w:rPr>
        <w:t>、母公司现金流量表</w:t>
      </w:r>
      <w:bookmarkEnd w:id="757"/>
      <w:bookmarkEnd w:id="758"/>
      <w:bookmarkEnd w:id="7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5,272,642,149.61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4,045,830,804.06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514,765.60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536,347,493.64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343,797,785.82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5,809,504,408.85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4,389,628,589.88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3,907,387,719.22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2,906,358,110.51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474,057,960.87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342,233,879.18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179,292,381.66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120,399,277.25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909,056,663.59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662,048,736.82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5,469,794,725.34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4,031,040,003.76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339,709,683.51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358,588,586.12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416,829,024.44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13,718,641.22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6,525,930.39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3,541,040.77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1,010,976.06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125,259,681.99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424,365,930.89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17,537,474.93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20,799,249.12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935,090,765.00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1,324,897,617.00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952,628,239.93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1,345,696,866.12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-827,368,557.94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-921,330,935.23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170,726,729.60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1,082,000,000.00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987,600,000.00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500,500,000.00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14,478,081.61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4,689,700.55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1,172,804,811.21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1,587,189,700.55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250,500,000.00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57,358,087.99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27,044,158.10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23,946,855.48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1,863,500.00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544,304,943.47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279,407,658.10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628,499,867.74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1,307,782,042.45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140,840,993.31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745,039,693.34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1,650,393,721.10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905,354,027.76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1,791,234,714.41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1,650,393,721.10</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7</w:t>
      </w:r>
      <w:bookmarkEnd w:id="763"/>
      <w:r>
        <w:rPr>
          <w:color w:val="000000"/>
          <w:spacing w:val="0"/>
          <w:w w:val="100"/>
          <w:position w:val="0"/>
        </w:rPr>
        <w:t>、合并所有者权益变动表</w:t>
      </w:r>
      <w:bookmarkEnd w:id="761"/>
      <w:bookmarkEnd w:id="762"/>
      <w:bookmarkEnd w:id="76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697,48</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58,677 </w:t>
            </w:r>
            <w:r>
              <w:rPr>
                <w:rFonts w:ascii="Times New Roman" w:eastAsia="Times New Roman" w:hAnsi="Times New Roman" w:cs="Times New Roman"/>
                <w:color w:val="000000"/>
                <w:spacing w:val="0"/>
                <w:w w:val="100"/>
                <w:position w:val="0"/>
              </w:rPr>
              <w:t xml:space="preserve">,999.6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286,31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369,49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76,895 </w:t>
            </w:r>
            <w:r>
              <w:rPr>
                <w:rFonts w:ascii="Times New Roman" w:eastAsia="Times New Roman" w:hAnsi="Times New Roman" w:cs="Times New Roman"/>
                <w:color w:val="000000"/>
                <w:spacing w:val="0"/>
                <w:w w:val="100"/>
                <w:position w:val="0"/>
              </w:rPr>
              <w:t xml:space="preserve">,874.5 </w:t>
            </w: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3,308,</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265,37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w:t>
            </w:r>
          </w:p>
          <w:p>
            <w:pPr>
              <w:pStyle w:val="Style20"/>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50,87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697,48</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58,677 </w:t>
            </w:r>
            <w:r>
              <w:rPr>
                <w:rFonts w:ascii="Times New Roman" w:eastAsia="Times New Roman" w:hAnsi="Times New Roman" w:cs="Times New Roman"/>
                <w:color w:val="000000"/>
                <w:spacing w:val="0"/>
                <w:w w:val="100"/>
                <w:position w:val="0"/>
              </w:rPr>
              <w:t xml:space="preserve">,999.6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286,31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369,49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76,895 </w:t>
            </w:r>
            <w:r>
              <w:rPr>
                <w:rFonts w:ascii="Times New Roman" w:eastAsia="Times New Roman" w:hAnsi="Times New Roman" w:cs="Times New Roman"/>
                <w:color w:val="000000"/>
                <w:spacing w:val="0"/>
                <w:w w:val="100"/>
                <w:position w:val="0"/>
              </w:rPr>
              <w:t xml:space="preserve">,874.5 </w:t>
            </w: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3,308,</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265,37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7,982 </w:t>
            </w:r>
            <w:r>
              <w:rPr>
                <w:rFonts w:ascii="Times New Roman" w:eastAsia="Times New Roman" w:hAnsi="Times New Roman" w:cs="Times New Roman"/>
                <w:color w:val="000000"/>
                <w:spacing w:val="0"/>
                <w:w w:val="100"/>
                <w:position w:val="0"/>
              </w:rPr>
              <w:t>,470.</w:t>
            </w:r>
          </w:p>
          <w:p>
            <w:pPr>
              <w:pStyle w:val="Style20"/>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240,42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2,982.</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318,92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3,348.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596,76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0,987.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40,152 </w:t>
            </w:r>
            <w:r>
              <w:rPr>
                <w:rFonts w:ascii="Times New Roman" w:eastAsia="Times New Roman" w:hAnsi="Times New Roman" w:cs="Times New Roman"/>
                <w:color w:val="000000"/>
                <w:spacing w:val="0"/>
                <w:w w:val="100"/>
                <w:position w:val="0"/>
              </w:rPr>
              <w:t xml:space="preserve">,920.2 </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636,91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3,907.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352,98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3,779.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352,90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6,105.</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-6,810,</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053.51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346,09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6,052.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7,982 </w:t>
            </w:r>
            <w:r>
              <w:rPr>
                <w:rFonts w:ascii="Times New Roman" w:eastAsia="Times New Roman" w:hAnsi="Times New Roman" w:cs="Times New Roman"/>
                <w:color w:val="000000"/>
                <w:spacing w:val="0"/>
                <w:w w:val="100"/>
                <w:position w:val="0"/>
              </w:rPr>
              <w:t>,470.</w:t>
            </w:r>
          </w:p>
          <w:p>
            <w:pPr>
              <w:pStyle w:val="Style20"/>
              <w:keepNext w:val="0"/>
              <w:keepLines w:val="0"/>
              <w:widowControl w:val="0"/>
              <w:shd w:val="clear" w:color="auto" w:fill="auto"/>
              <w:bidi w:val="0"/>
              <w:spacing w:before="0" w:after="0" w:line="36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240,42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2,982.</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248,36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8,314.</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46,962 </w:t>
            </w:r>
            <w:r>
              <w:rPr>
                <w:rFonts w:ascii="Times New Roman" w:eastAsia="Times New Roman" w:hAnsi="Times New Roman" w:cs="Times New Roman"/>
                <w:color w:val="000000"/>
                <w:spacing w:val="0"/>
                <w:w w:val="100"/>
                <w:position w:val="0"/>
              </w:rPr>
              <w:t xml:space="preserve">,973.7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295,33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46,962 </w:t>
            </w:r>
            <w:r>
              <w:rPr>
                <w:rFonts w:ascii="Times New Roman" w:eastAsia="Times New Roman" w:hAnsi="Times New Roman" w:cs="Times New Roman"/>
                <w:color w:val="000000"/>
                <w:spacing w:val="0"/>
                <w:w w:val="100"/>
                <w:position w:val="0"/>
              </w:rPr>
              <w:t xml:space="preserve">,973.7 </w:t>
            </w: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46,962 </w:t>
            </w:r>
            <w:r>
              <w:rPr>
                <w:rFonts w:ascii="Times New Roman" w:eastAsia="Times New Roman" w:hAnsi="Times New Roman" w:cs="Times New Roman"/>
                <w:color w:val="000000"/>
                <w:spacing w:val="0"/>
                <w:w w:val="100"/>
                <w:position w:val="0"/>
              </w:rPr>
              <w:t xml:space="preserve">,973.7 </w:t>
            </w:r>
            <w:r>
              <w:rPr>
                <w:rFonts w:ascii="Times New Roman" w:eastAsia="Times New Roman" w:hAnsi="Times New Roman" w:cs="Times New Roman"/>
                <w:color w:val="000000"/>
                <w:spacing w:val="0"/>
                <w:w w:val="100"/>
                <w:position w:val="0"/>
              </w:rPr>
              <w:t>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10,61</w:t>
            </w:r>
          </w:p>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277,44</w:t>
            </w:r>
          </w:p>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7,971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,860.</w:t>
            </w:r>
          </w:p>
          <w:p>
            <w:pPr>
              <w:pStyle w:val="Style20"/>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240,14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5,542.</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248,11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7,402.</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248,11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7,402.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-34,06</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0,430.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0,430.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0,430.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-34,06 0,430.</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-34,06 0,430.</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-34,06 0,430.</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29,546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51,985 </w:t>
            </w:r>
            <w:r>
              <w:rPr>
                <w:rFonts w:ascii="Times New Roman" w:eastAsia="Times New Roman" w:hAnsi="Times New Roman" w:cs="Times New Roman"/>
                <w:color w:val="000000"/>
                <w:spacing w:val="0"/>
                <w:w w:val="100"/>
                <w:position w:val="0"/>
              </w:rPr>
              <w:t xml:space="preserve">,553.8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51,985 </w:t>
            </w:r>
            <w:r>
              <w:rPr>
                <w:rFonts w:ascii="Times New Roman" w:eastAsia="Times New Roman" w:hAnsi="Times New Roman" w:cs="Times New Roman"/>
                <w:color w:val="000000"/>
                <w:spacing w:val="0"/>
                <w:w w:val="100"/>
                <w:position w:val="0"/>
              </w:rPr>
              <w:t xml:space="preserve">,553.8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51,985 </w:t>
            </w:r>
            <w:r>
              <w:rPr>
                <w:rFonts w:ascii="Times New Roman" w:eastAsia="Times New Roman" w:hAnsi="Times New Roman" w:cs="Times New Roman"/>
                <w:color w:val="000000"/>
                <w:spacing w:val="0"/>
                <w:w w:val="100"/>
                <w:position w:val="0"/>
              </w:rPr>
              <w:t xml:space="preserve">,553.8 </w:t>
            </w:r>
            <w:r>
              <w:rPr>
                <w:rFonts w:ascii="Times New Roman" w:eastAsia="Times New Roman" w:hAnsi="Times New Roman" w:cs="Times New Roman"/>
                <w:color w:val="000000"/>
                <w:spacing w:val="0"/>
                <w:w w:val="100"/>
                <w:position w:val="0"/>
              </w:rPr>
              <w:t>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22,438 </w:t>
            </w:r>
            <w:r>
              <w:rPr>
                <w:rFonts w:ascii="Times New Roman" w:eastAsia="Times New Roman" w:hAnsi="Times New Roman" w:cs="Times New Roman"/>
                <w:color w:val="000000"/>
                <w:spacing w:val="0"/>
                <w:w w:val="100"/>
                <w:position w:val="0"/>
              </w:rPr>
              <w:t xml:space="preserve">,556.8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22,438 </w:t>
            </w:r>
            <w:r>
              <w:rPr>
                <w:rFonts w:ascii="Times New Roman" w:eastAsia="Times New Roman" w:hAnsi="Times New Roman" w:cs="Times New Roman"/>
                <w:color w:val="000000"/>
                <w:spacing w:val="0"/>
                <w:w w:val="100"/>
                <w:position w:val="0"/>
              </w:rPr>
              <w:t xml:space="preserve">,556.8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22,438 </w:t>
            </w:r>
            <w:r>
              <w:rPr>
                <w:rFonts w:ascii="Times New Roman" w:eastAsia="Times New Roman" w:hAnsi="Times New Roman" w:cs="Times New Roman"/>
                <w:color w:val="000000"/>
                <w:spacing w:val="0"/>
                <w:w w:val="100"/>
                <w:position w:val="0"/>
              </w:rPr>
              <w:t xml:space="preserve">,556.8 </w:t>
            </w: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1,665,</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88,224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3,828,</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117,04</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179,27</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46,34</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305,87</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51,645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,664.0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126,30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2,331.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1,041,</w:t>
            </w:r>
          </w:p>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581,30</w:t>
            </w:r>
          </w:p>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581,52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70,096,</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2,916,6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77,760.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-89,85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2,543,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2,453,</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1,436,4</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46,34</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1,406,</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305,87</w:t>
            </w:r>
          </w:p>
          <w:p>
            <w:pPr>
              <w:pStyle w:val="Style20"/>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51,645 </w:t>
            </w:r>
            <w:r>
              <w:rPr>
                <w:rFonts w:ascii="Times New Roman" w:eastAsia="Times New Roman" w:hAnsi="Times New Roman" w:cs="Times New Roman"/>
                <w:color w:val="000000"/>
                <w:spacing w:val="0"/>
                <w:w w:val="100"/>
                <w:position w:val="0"/>
              </w:rPr>
              <w:t xml:space="preserve">,664.0 </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126,21</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2,480.</w:t>
            </w:r>
          </w:p>
          <w:p>
            <w:pPr>
              <w:pStyle w:val="Style20"/>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124,31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2,849,</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034,67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71,532,</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2,920,5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67,346.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18,391 </w:t>
            </w:r>
            <w:r>
              <w:rPr>
                <w:rFonts w:ascii="Times New Roman" w:eastAsia="Times New Roman" w:hAnsi="Times New Roman" w:cs="Times New Roman"/>
                <w:color w:val="000000"/>
                <w:spacing w:val="0"/>
                <w:w w:val="100"/>
                <w:position w:val="0"/>
              </w:rPr>
              <w:t xml:space="preserve">,613.4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7,032,</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213,16 </w:t>
            </w:r>
            <w:r>
              <w:rPr>
                <w:rFonts w:ascii="Times New Roman" w:eastAsia="Times New Roman" w:hAnsi="Times New Roman" w:cs="Times New Roman"/>
                <w:color w:val="000000"/>
                <w:spacing w:val="0"/>
                <w:w w:val="100"/>
                <w:position w:val="0"/>
              </w:rPr>
              <w:t>2,004.</w:t>
            </w:r>
          </w:p>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382,33</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4,817.</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5,363,2</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387,698 </w:t>
            </w:r>
            <w:r>
              <w:rPr>
                <w:rFonts w:ascii="Times New Roman" w:eastAsia="Times New Roman" w:hAnsi="Times New Roman" w:cs="Times New Roman"/>
                <w:color w:val="000000"/>
                <w:spacing w:val="0"/>
                <w:w w:val="100"/>
                <w:position w:val="0"/>
              </w:rPr>
              <w:t>,023.99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238,70</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-8,255,</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230,445 </w:t>
            </w:r>
            <w:r>
              <w:rPr>
                <w:rFonts w:ascii="Times New Roman" w:eastAsia="Times New Roman" w:hAnsi="Times New Roman" w:cs="Times New Roman"/>
                <w:color w:val="000000"/>
                <w:spacing w:val="0"/>
                <w:w w:val="100"/>
                <w:position w:val="0"/>
              </w:rPr>
              <w:t>,392.15</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18,391 </w:t>
            </w:r>
            <w:r>
              <w:rPr>
                <w:rFonts w:ascii="Times New Roman" w:eastAsia="Times New Roman" w:hAnsi="Times New Roman" w:cs="Times New Roman"/>
                <w:color w:val="000000"/>
                <w:spacing w:val="0"/>
                <w:w w:val="100"/>
                <w:position w:val="0"/>
              </w:rPr>
              <w:t xml:space="preserve">,613.4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162,14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2,491.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13,618,</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175,761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,379.37</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13,582,</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13,582,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877.22</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0,878.</w:t>
            </w:r>
          </w:p>
          <w:p>
            <w:pPr>
              <w:pStyle w:val="Style20"/>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143,750 </w:t>
            </w:r>
            <w:r>
              <w:rPr>
                <w:rFonts w:ascii="Times New Roman" w:eastAsia="Times New Roman" w:hAnsi="Times New Roman" w:cs="Times New Roman"/>
                <w:color w:val="000000"/>
                <w:spacing w:val="0"/>
                <w:w w:val="100"/>
                <w:position w:val="0"/>
              </w:rPr>
              <w:t>,878.21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18,391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18,391 </w:t>
            </w:r>
            <w:r>
              <w:rPr>
                <w:rFonts w:ascii="Times New Roman" w:eastAsia="Times New Roman" w:hAnsi="Times New Roman" w:cs="Times New Roman"/>
                <w:color w:val="000000"/>
                <w:spacing w:val="0"/>
                <w:w w:val="100"/>
                <w:position w:val="0"/>
              </w:rPr>
              <w:t>,613.4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18,391,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613.40</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36,010.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36,010.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7,032,</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7,032,</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7,032,3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30,903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30,903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,659.2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30,903,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659.21</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23,871 </w:t>
            </w:r>
            <w:r>
              <w:rPr>
                <w:rFonts w:ascii="Times New Roman" w:eastAsia="Times New Roman" w:hAnsi="Times New Roman" w:cs="Times New Roman"/>
                <w:color w:val="000000"/>
                <w:spacing w:val="0"/>
                <w:w w:val="100"/>
                <w:position w:val="0"/>
              </w:rPr>
              <w:t xml:space="preserve">,323.6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23,871 </w:t>
            </w:r>
            <w:r>
              <w:rPr>
                <w:rFonts w:ascii="Times New Roman" w:eastAsia="Times New Roman" w:hAnsi="Times New Roman" w:cs="Times New Roman"/>
                <w:color w:val="000000"/>
                <w:spacing w:val="0"/>
                <w:w w:val="100"/>
                <w:position w:val="0"/>
              </w:rPr>
              <w:t xml:space="preserve">,323.6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23,871,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323.65</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46,34</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50,87</w:t>
            </w:r>
          </w:p>
          <w:p>
            <w:pPr>
              <w:pStyle w:val="Style20"/>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1,424,</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697,48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58,677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,999.6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1,257,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286,31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3,231,</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369,49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76,895,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3,308,2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65,370.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8</w:t>
      </w:r>
      <w:bookmarkEnd w:id="767"/>
      <w:r>
        <w:rPr>
          <w:color w:val="000000"/>
          <w:spacing w:val="0"/>
          <w:w w:val="100"/>
          <w:position w:val="0"/>
        </w:rPr>
        <w:t>、母公司所有者权益变动表</w:t>
      </w:r>
      <w:bookmarkEnd w:id="765"/>
      <w:bookmarkEnd w:id="766"/>
      <w:bookmarkEnd w:id="76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220,74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6,347.0</w:t>
            </w:r>
          </w:p>
          <w:p>
            <w:pPr>
              <w:pStyle w:val="Style20"/>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0,878.2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1,422,84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58,677,9</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1,245,2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84,069.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3,217,515,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220,74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6,347.0</w:t>
            </w:r>
          </w:p>
          <w:p>
            <w:pPr>
              <w:pStyle w:val="Style20"/>
              <w:keepNext w:val="0"/>
              <w:keepLines w:val="0"/>
              <w:widowControl w:val="0"/>
              <w:shd w:val="clear" w:color="auto" w:fill="auto"/>
              <w:bidi w:val="0"/>
              <w:spacing w:before="0" w:after="80" w:line="240" w:lineRule="auto"/>
              <w:ind w:left="0" w:right="0" w:firstLine="5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0,878.2</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1,422,84</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3,858.58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58,677,9</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1,245,2</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84,069.</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3,217,515,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632.94</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7,982,4</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-37,13</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240,422,</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29,546,9</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341,71</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6,107.5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619,631,4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375,77</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6,538.1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375,776,5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7,982,4</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-37,13</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240,422,</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982.80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248,368,3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-37,13</w:t>
            </w:r>
          </w:p>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277,440.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250,912.4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7,971,8</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240,145,</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248,117,40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-34,060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-34,060,43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-34,060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-34,060,43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29,546,9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29,546,99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51,985,5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51,985,55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22,438,5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22,438,55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228,72</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8,817.0</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143,71</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3,740.3</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1,663,26</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6,841.38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88,224,9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126,212,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1,587,0</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00,176.</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3,837,147,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052.41</w:t>
            </w:r>
          </w:p>
        </w:tc>
      </w:tr>
    </w:tbl>
    <w:p>
      <w:pPr>
        <w:widowControl w:val="0"/>
        <w:spacing w:line="1" w:lineRule="exact"/>
      </w:pPr>
    </w:p>
    <w:tbl>
      <w:tblPr>
        <w:tblOverlap w:val="never"/>
        <w:jc w:val="center"/>
        <w:tblLayout w:type="fixed"/>
      </w:tblPr>
      <w:tblGrid>
        <w:gridCol w:w="1238"/>
        <w:gridCol w:w="8405"/>
      </w:tblGrid>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220,74</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6,347.</w:t>
            </w:r>
          </w:p>
          <w:p>
            <w:pPr>
              <w:pStyle w:val="Style20"/>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1,404,4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52,245.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51,645,66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126,302 </w:t>
            </w:r>
            <w:r>
              <w:rPr>
                <w:rFonts w:ascii="Times New Roman" w:eastAsia="Times New Roman" w:hAnsi="Times New Roman" w:cs="Times New Roman"/>
                <w:color w:val="000000"/>
                <w:spacing w:val="0"/>
                <w:w w:val="100"/>
                <w:position w:val="0"/>
              </w:rPr>
              <w:t>,331.71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1,027,224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2,830,370,7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-89,851.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-808,661.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-898,512.52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220,74</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6,347.</w:t>
            </w:r>
          </w:p>
          <w:p>
            <w:pPr>
              <w:pStyle w:val="Style20"/>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1,404,4</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52,245.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51,645,66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126,212 </w:t>
            </w:r>
            <w:r>
              <w:rPr>
                <w:rFonts w:ascii="Times New Roman" w:eastAsia="Times New Roman" w:hAnsi="Times New Roman" w:cs="Times New Roman"/>
                <w:color w:val="000000"/>
                <w:spacing w:val="0"/>
                <w:w w:val="100"/>
                <w:position w:val="0"/>
              </w:rPr>
              <w:t>,480.46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1,026,415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2,829,472,2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09.87</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0,878.</w:t>
            </w:r>
          </w:p>
          <w:p>
            <w:pPr>
              <w:pStyle w:val="Style2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18,391,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7,032,335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218,868,5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388,043,42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244,409,6</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244,409,67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0,878.</w:t>
            </w:r>
          </w:p>
          <w:p>
            <w:pPr>
              <w:pStyle w:val="Style2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18,391,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162,142,49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0,878.</w:t>
            </w:r>
          </w:p>
          <w:p>
            <w:pPr>
              <w:pStyle w:val="Style20"/>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143,750,87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18,391,</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18,391,613.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-25,541,0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-25,541,083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-25,541,0</w:t>
            </w:r>
          </w:p>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-25,541,083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（四）所有者权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7,032,335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7,032,335.5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30,903,65</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30,903,659.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23,871,32</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23,871,323.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220,74</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6,347.</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143,75</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0,878.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1,422,8</w:t>
            </w:r>
          </w:p>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43,858.</w:t>
            </w:r>
          </w:p>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58,677,99</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126,212 </w:t>
            </w:r>
            <w:r>
              <w:rPr>
                <w:rFonts w:ascii="Times New Roman" w:eastAsia="Times New Roman" w:hAnsi="Times New Roman" w:cs="Times New Roman"/>
                <w:color w:val="000000"/>
                <w:spacing w:val="0"/>
                <w:w w:val="100"/>
                <w:position w:val="0"/>
              </w:rPr>
              <w:t>,480.46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1,245,284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3,217,515,6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both"/>
      </w:pPr>
      <w:bookmarkStart w:id="769" w:name="bookmark769"/>
      <w:bookmarkStart w:id="770" w:name="bookmark770"/>
      <w:bookmarkStart w:id="771" w:name="bookmark771"/>
      <w:r>
        <w:rPr>
          <w:color w:val="000000"/>
          <w:spacing w:val="0"/>
          <w:w w:val="100"/>
          <w:position w:val="0"/>
          <w:sz w:val="24"/>
          <w:szCs w:val="24"/>
        </w:rPr>
        <w:t>三、公司基本情况</w:t>
      </w:r>
      <w:bookmarkEnd w:id="769"/>
      <w:bookmarkEnd w:id="770"/>
      <w:bookmarkEnd w:id="771"/>
    </w:p>
    <w:p>
      <w:pPr>
        <w:pStyle w:val="Style18"/>
        <w:keepNext w:val="0"/>
        <w:keepLines w:val="0"/>
        <w:widowControl w:val="0"/>
        <w:shd w:val="clear" w:color="auto" w:fill="auto"/>
        <w:bidi w:val="0"/>
        <w:spacing w:before="0" w:after="120" w:line="311" w:lineRule="exact"/>
        <w:ind w:left="0" w:right="0" w:firstLine="560"/>
        <w:jc w:val="both"/>
      </w:pPr>
      <w:r>
        <w:rPr>
          <w:b/>
          <w:bCs/>
          <w:color w:val="000000"/>
          <w:spacing w:val="0"/>
          <w:w w:val="100"/>
          <w:position w:val="0"/>
        </w:rPr>
        <w:t>1.</w:t>
      </w:r>
      <w:r>
        <w:rPr>
          <w:b/>
          <w:bCs/>
          <w:color w:val="000000"/>
          <w:spacing w:val="0"/>
          <w:w w:val="100"/>
          <w:position w:val="0"/>
        </w:rPr>
        <w:t>公司概况</w:t>
      </w:r>
    </w:p>
    <w:p>
      <w:pPr>
        <w:pStyle w:val="Style18"/>
        <w:keepNext w:val="0"/>
        <w:keepLines w:val="0"/>
        <w:widowControl w:val="0"/>
        <w:shd w:val="clear" w:color="auto" w:fill="auto"/>
        <w:bidi w:val="0"/>
        <w:spacing w:before="0" w:after="120" w:line="311"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[2018]262</w:t>
      </w:r>
      <w:r>
        <w:rPr>
          <w:color w:val="000000"/>
          <w:spacing w:val="0"/>
          <w:w w:val="100"/>
          <w:position w:val="0"/>
        </w:rPr>
        <w:t>号《关于核准润建通信股份有限公司首次公开发行股份 的批复》核准，润建股份有限公司（以下简称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）首次向社会公开发行人民币普通股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 xml:space="preserve">55,186,600.00 </w:t>
      </w:r>
      <w:r>
        <w:rPr>
          <w:color w:val="000000"/>
          <w:spacing w:val="0"/>
          <w:w w:val="100"/>
          <w:position w:val="0"/>
        </w:rPr>
        <w:t>股。本公司股票于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日在深圳证券交易所中小版挂牌交易。首次公开发行股票后，本公司股本总额由</w:t>
      </w:r>
      <w:r>
        <w:rPr>
          <w:rFonts w:ascii="Times New Roman" w:eastAsia="Times New Roman" w:hAnsi="Times New Roman" w:cs="Times New Roman"/>
          <w:color w:val="000000"/>
          <w:spacing w:val="0"/>
          <w:w w:val="100"/>
          <w:position w:val="0"/>
        </w:rPr>
        <w:t xml:space="preserve">165,559,747.00 </w:t>
      </w:r>
      <w:r>
        <w:rPr>
          <w:color w:val="000000"/>
          <w:spacing w:val="0"/>
          <w:w w:val="100"/>
          <w:position w:val="0"/>
        </w:rPr>
        <w:t>股变更为</w:t>
      </w:r>
      <w:r>
        <w:rPr>
          <w:rFonts w:ascii="Times New Roman" w:eastAsia="Times New Roman" w:hAnsi="Times New Roman" w:cs="Times New Roman"/>
          <w:color w:val="000000"/>
          <w:spacing w:val="0"/>
          <w:w w:val="100"/>
          <w:position w:val="0"/>
        </w:rPr>
        <w:t>220,746,347.00</w:t>
      </w:r>
      <w:r>
        <w:rPr>
          <w:color w:val="000000"/>
          <w:spacing w:val="0"/>
          <w:w w:val="100"/>
          <w:position w:val="0"/>
        </w:rPr>
        <w:t>股。</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日本公司注册资本变更为人民币</w:t>
      </w:r>
      <w:r>
        <w:rPr>
          <w:rFonts w:ascii="Times New Roman" w:eastAsia="Times New Roman" w:hAnsi="Times New Roman" w:cs="Times New Roman"/>
          <w:color w:val="000000"/>
          <w:spacing w:val="0"/>
          <w:w w:val="100"/>
          <w:position w:val="0"/>
        </w:rPr>
        <w:t>220,746,347.00</w:t>
      </w:r>
      <w:r>
        <w:rPr>
          <w:color w:val="000000"/>
          <w:spacing w:val="0"/>
          <w:w w:val="100"/>
          <w:position w:val="0"/>
        </w:rPr>
        <w:t>元，上述出资业经大华会计师事务所 （特殊普通合伙）验证，并于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日出具了大华验字</w:t>
      </w:r>
      <w:r>
        <w:rPr>
          <w:rFonts w:ascii="Times New Roman" w:eastAsia="Times New Roman" w:hAnsi="Times New Roman" w:cs="Times New Roman"/>
          <w:color w:val="000000"/>
          <w:spacing w:val="0"/>
          <w:w w:val="100"/>
          <w:position w:val="0"/>
        </w:rPr>
        <w:t>[2018]000095</w:t>
      </w:r>
      <w:r>
        <w:rPr>
          <w:color w:val="000000"/>
          <w:spacing w:val="0"/>
          <w:w w:val="100"/>
          <w:position w:val="0"/>
        </w:rPr>
        <w:t>号《验资报告》。</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rPr>
        <w:t>[2020]2953</w:t>
      </w:r>
      <w:r>
        <w:rPr>
          <w:color w:val="000000"/>
          <w:spacing w:val="0"/>
          <w:w w:val="100"/>
          <w:position w:val="0"/>
        </w:rPr>
        <w:t>号核准批复，本公司于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日定向发行票面金额为人民币</w:t>
      </w:r>
      <w:r>
        <w:rPr>
          <w:rFonts w:ascii="Times New Roman" w:eastAsia="Times New Roman" w:hAnsi="Times New Roman" w:cs="Times New Roman"/>
          <w:color w:val="000000"/>
          <w:spacing w:val="0"/>
          <w:w w:val="100"/>
          <w:position w:val="0"/>
        </w:rPr>
        <w:t>10 0</w:t>
      </w:r>
      <w:r>
        <w:rPr>
          <w:color w:val="000000"/>
          <w:spacing w:val="0"/>
          <w:w w:val="100"/>
          <w:position w:val="0"/>
        </w:rPr>
        <w:t>元的可转换公 司债券</w:t>
      </w:r>
      <w:r>
        <w:rPr>
          <w:rFonts w:ascii="Times New Roman" w:eastAsia="Times New Roman" w:hAnsi="Times New Roman" w:cs="Times New Roman"/>
          <w:color w:val="000000"/>
          <w:spacing w:val="0"/>
          <w:w w:val="100"/>
          <w:position w:val="0"/>
        </w:rPr>
        <w:t>1,090</w:t>
      </w:r>
      <w:r>
        <w:rPr>
          <w:color w:val="000000"/>
          <w:spacing w:val="0"/>
          <w:w w:val="100"/>
          <w:position w:val="0"/>
        </w:rPr>
        <w:t>万张，本次发行的可转债转股期限自发行结束之日起满六个月后的第一个交易日起至可转债到期日止，转股价 格为</w:t>
      </w:r>
      <w:r>
        <w:rPr>
          <w:rFonts w:ascii="Times New Roman" w:eastAsia="Times New Roman" w:hAnsi="Times New Roman" w:cs="Times New Roman"/>
          <w:color w:val="000000"/>
          <w:spacing w:val="0"/>
          <w:w w:val="100"/>
          <w:position w:val="0"/>
        </w:rPr>
        <w:t>26.4</w:t>
      </w:r>
      <w:r>
        <w:rPr>
          <w:rFonts w:ascii="Times New Roman" w:eastAsia="Times New Roman" w:hAnsi="Times New Roman" w:cs="Times New Roman"/>
          <w:color w:val="000000"/>
          <w:spacing w:val="0"/>
          <w:w w:val="100"/>
          <w:position w:val="0"/>
        </w:rPr>
        <w:t>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2,816</w:t>
      </w:r>
      <w:r>
        <w:rPr>
          <w:color w:val="000000"/>
          <w:spacing w:val="0"/>
          <w:w w:val="100"/>
          <w:position w:val="0"/>
        </w:rPr>
        <w:t>份可转债转股，确认股本</w:t>
      </w:r>
      <w:r>
        <w:rPr>
          <w:rFonts w:ascii="Times New Roman" w:eastAsia="Times New Roman" w:hAnsi="Times New Roman" w:cs="Times New Roman"/>
          <w:color w:val="000000"/>
          <w:spacing w:val="0"/>
          <w:w w:val="100"/>
          <w:position w:val="0"/>
        </w:rPr>
        <w:t>10,610.00</w:t>
      </w:r>
      <w:r>
        <w:rPr>
          <w:color w:val="000000"/>
          <w:spacing w:val="0"/>
          <w:w w:val="100"/>
          <w:position w:val="0"/>
        </w:rPr>
        <w:t>股。</w:t>
      </w:r>
    </w:p>
    <w:p>
      <w:pPr>
        <w:pStyle w:val="Style18"/>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日，本公司召开第四届董事会第四次会议和第四届监事会第四次会议，审议通过《关于公司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年股票期 权激励计划授予相关事项的议案》。同意以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日为授予日，向</w:t>
      </w:r>
      <w:r>
        <w:rPr>
          <w:rFonts w:ascii="Times New Roman" w:eastAsia="Times New Roman" w:hAnsi="Times New Roman" w:cs="Times New Roman"/>
          <w:color w:val="000000"/>
          <w:spacing w:val="0"/>
          <w:w w:val="100"/>
          <w:position w:val="0"/>
        </w:rPr>
        <w:t>186</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2,117.27</w:t>
      </w:r>
      <w:r>
        <w:rPr>
          <w:color w:val="000000"/>
          <w:spacing w:val="0"/>
          <w:w w:val="100"/>
          <w:position w:val="0"/>
        </w:rPr>
        <w:t>万份股票期权。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日，公司完成了股票期权的授予登记工作，本激励计划实际向</w:t>
      </w:r>
      <w:r>
        <w:rPr>
          <w:rFonts w:ascii="Times New Roman" w:eastAsia="Times New Roman" w:hAnsi="Times New Roman" w:cs="Times New Roman"/>
          <w:color w:val="000000"/>
          <w:spacing w:val="0"/>
          <w:w w:val="100"/>
          <w:position w:val="0"/>
        </w:rPr>
        <w:t>185</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2,111.80</w:t>
      </w:r>
      <w:r>
        <w:rPr>
          <w:color w:val="000000"/>
          <w:spacing w:val="0"/>
          <w:w w:val="100"/>
          <w:position w:val="0"/>
        </w:rPr>
        <w:t>万份股票期权。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日召开第四届董事会第十七次会议和第四届监事会第十五次会议，审议通过《关于</w:t>
      </w:r>
      <w:r>
        <w:rPr>
          <w:rFonts w:ascii="Times New Roman" w:eastAsia="Times New Roman" w:hAnsi="Times New Roman" w:cs="Times New Roman"/>
          <w:color w:val="000000"/>
          <w:spacing w:val="0"/>
          <w:w w:val="100"/>
          <w:position w:val="0"/>
        </w:rPr>
        <w:t>2020</w:t>
      </w:r>
      <w:r>
        <w:rPr>
          <w:color w:val="000000"/>
          <w:spacing w:val="0"/>
          <w:w w:val="100"/>
          <w:position w:val="0"/>
        </w:rPr>
        <w:t>年股票期权激励计划第一个行权 期行权条件成就的议案》，行权期为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7,971,860</w:t>
      </w:r>
      <w:r>
        <w:rPr>
          <w:color w:val="000000"/>
          <w:spacing w:val="0"/>
          <w:w w:val="100"/>
          <w:position w:val="0"/>
        </w:rPr>
        <w:t>股股票期权行 权，确认股本</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,971,860.00</w:t>
      </w:r>
      <w:r>
        <w:rPr>
          <w:color w:val="000000"/>
          <w:spacing w:val="0"/>
          <w:w w:val="100"/>
          <w:position w:val="0"/>
        </w:rPr>
        <w:t>股。</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日，本公司持有统一社会信用代码为</w:t>
      </w:r>
      <w:r>
        <w:rPr>
          <w:rFonts w:ascii="Times New Roman" w:eastAsia="Times New Roman" w:hAnsi="Times New Roman" w:cs="Times New Roman"/>
          <w:color w:val="000000"/>
          <w:spacing w:val="0"/>
          <w:w w:val="100"/>
          <w:position w:val="0"/>
        </w:rPr>
        <w:t>9145000074512688XN</w:t>
      </w:r>
      <w:r>
        <w:rPr>
          <w:color w:val="000000"/>
          <w:spacing w:val="0"/>
          <w:w w:val="100"/>
          <w:position w:val="0"/>
        </w:rPr>
        <w:t xml:space="preserve">号的营业执照，注册资本人民币 </w:t>
      </w:r>
      <w:r>
        <w:rPr>
          <w:rFonts w:ascii="Times New Roman" w:eastAsia="Times New Roman" w:hAnsi="Times New Roman" w:cs="Times New Roman"/>
          <w:color w:val="000000"/>
          <w:spacing w:val="0"/>
          <w:w w:val="100"/>
          <w:position w:val="0"/>
        </w:rPr>
        <w:t>220,746,347.00</w:t>
      </w:r>
      <w:r>
        <w:rPr>
          <w:color w:val="000000"/>
          <w:spacing w:val="0"/>
          <w:w w:val="100"/>
          <w:position w:val="0"/>
        </w:rPr>
        <w:t>元，股份总数为</w:t>
      </w:r>
      <w:r>
        <w:rPr>
          <w:rFonts w:ascii="Times New Roman" w:eastAsia="Times New Roman" w:hAnsi="Times New Roman" w:cs="Times New Roman"/>
          <w:color w:val="000000"/>
          <w:spacing w:val="0"/>
          <w:w w:val="100"/>
          <w:position w:val="0"/>
        </w:rPr>
        <w:t>228,728,817.00</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元），其中：有限售条件的流通股股份为</w:t>
      </w:r>
      <w:r>
        <w:rPr>
          <w:rFonts w:ascii="Times New Roman" w:eastAsia="Times New Roman" w:hAnsi="Times New Roman" w:cs="Times New Roman"/>
          <w:color w:val="000000"/>
          <w:spacing w:val="0"/>
          <w:w w:val="100"/>
          <w:position w:val="0"/>
        </w:rPr>
        <w:t>60,169,759.00</w:t>
      </w:r>
      <w:r>
        <w:rPr>
          <w:color w:val="000000"/>
          <w:spacing w:val="0"/>
          <w:w w:val="100"/>
          <w:position w:val="0"/>
        </w:rPr>
        <w:t>股；无限 售条件的流通股股份为</w:t>
      </w:r>
      <w:r>
        <w:rPr>
          <w:rFonts w:ascii="Times New Roman" w:eastAsia="Times New Roman" w:hAnsi="Times New Roman" w:cs="Times New Roman"/>
          <w:color w:val="000000"/>
          <w:spacing w:val="0"/>
          <w:w w:val="100"/>
          <w:position w:val="0"/>
        </w:rPr>
        <w:t>168,559,058.00</w:t>
      </w:r>
      <w:r>
        <w:rPr>
          <w:color w:val="000000"/>
          <w:spacing w:val="0"/>
          <w:w w:val="100"/>
          <w:position w:val="0"/>
        </w:rPr>
        <w:t>股。</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公司类型：上市公司；法定代表人：许文杰。</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公司经营地址：广西省南宁市青秀区民族大道</w:t>
      </w:r>
      <w:r>
        <w:rPr>
          <w:rFonts w:ascii="Times New Roman" w:eastAsia="Times New Roman" w:hAnsi="Times New Roman" w:cs="Times New Roman"/>
          <w:color w:val="000000"/>
          <w:spacing w:val="0"/>
          <w:w w:val="100"/>
          <w:position w:val="0"/>
        </w:rPr>
        <w:t>136-5</w:t>
      </w:r>
      <w:r>
        <w:rPr>
          <w:color w:val="000000"/>
          <w:spacing w:val="0"/>
          <w:w w:val="100"/>
          <w:position w:val="0"/>
        </w:rPr>
        <w:t>号华润大厦</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32</w:t>
      </w:r>
      <w:r>
        <w:rPr>
          <w:color w:val="000000"/>
          <w:spacing w:val="0"/>
          <w:w w:val="100"/>
          <w:position w:val="0"/>
        </w:rPr>
        <w:t>层。</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公司经营范围：许可项目：基础电信业务；消防技术服务；建筑智能化系统设计；特种设备安装改造修理；雷电防护装 置检测；输电、供电、受电电力设施的安装、维修和试验；建设工程施工；建设工程设计；建筑劳务分包；测绘服务；通用 航空服务；出版物批发；出版物零售（依法须经批准的项目，经相关部门批准后方可开展经营活动，具体经营项目以相关部 门批准文件或许可证件为准）一般项目：信息系统集成服务；软件开发；互联网数据服务；数据处理和存储支持服务；人工 智能公共服务平台技术咨询服务；物联网技术服务；信息系统运行维护服务；网络技术服务；</w:t>
      </w:r>
      <w:r>
        <w:rPr>
          <w:rFonts w:ascii="Times New Roman" w:eastAsia="Times New Roman" w:hAnsi="Times New Roman" w:cs="Times New Roman"/>
          <w:color w:val="000000"/>
          <w:spacing w:val="0"/>
          <w:w w:val="100"/>
          <w:position w:val="0"/>
        </w:rPr>
        <w:t>5G</w:t>
      </w:r>
      <w:r>
        <w:rPr>
          <w:color w:val="000000"/>
          <w:spacing w:val="0"/>
          <w:w w:val="100"/>
          <w:position w:val="0"/>
        </w:rPr>
        <w:t>通信技术服务；普通货物 仓储服务（不含危险化学品等需许可审批的项目）；自有资金投资的资产管理服务；安全技术防范系统设计施工服务；人力 资源服务（不含职业中介活动、劳务派遣服务）；技术服务、技术开发、技术咨询、技术交流、技术转让、技术推广；信息 技术咨询服务；工程管理服务；教育咨询服务（不含涉许可审批的教育培训活动）；规划设计管理；广告设计、代理；计算 机软硬件及外围设备制造；移动终端设备制造；信息安全设备销售；计算机软硬件及辅助设备零售；教学专用仪器销售；充 电桩销售；电力设施器材销售；机械设备销售；通讯设备修理；通讯设备销售；电池制造；电池销售；五金产品批发；电子 产品销售；网络设备销售；光通信设备销售；仪器仪表修理；仪器仪表销售；通用设备修理；数字视频监控系统销售；机械 电气设备销售；集成电路销售；软件销售；智能基础制造装备销售；安防设备销售；金属结构销售；智能输配电及控制设备 销售；销售代理；制冷、空调设备销售；制冷、空调设备制造；变压器、整流器和电感器制造；技术进出口；货物进出口； 机械设备租赁；以自有资金从事投资活动；工程和技术研究和试验发展；智能无人飞行器制造；智能无人飞行器销售；光通 信设备制造；广播电视传输设备销售；移动通信设备销售（除依法须经批准的项目外，凭营业执照依法自主开展经营活动）。</w:t>
      </w:r>
    </w:p>
    <w:p>
      <w:pPr>
        <w:pStyle w:val="Style18"/>
        <w:keepNext w:val="0"/>
        <w:keepLines w:val="0"/>
        <w:widowControl w:val="0"/>
        <w:shd w:val="clear" w:color="auto" w:fill="auto"/>
        <w:bidi w:val="0"/>
        <w:spacing w:before="0" w:after="120" w:line="312" w:lineRule="exact"/>
        <w:ind w:left="0" w:right="0"/>
        <w:jc w:val="left"/>
      </w:pPr>
      <w:r>
        <w:rPr>
          <w:color w:val="000000"/>
          <w:spacing w:val="0"/>
          <w:w w:val="100"/>
          <w:position w:val="0"/>
        </w:rPr>
        <w:t>本公司的实际控制人为李建国、蒋鹂北。</w:t>
      </w:r>
    </w:p>
    <w:p>
      <w:pPr>
        <w:pStyle w:val="Style18"/>
        <w:keepNext w:val="0"/>
        <w:keepLines w:val="0"/>
        <w:widowControl w:val="0"/>
        <w:shd w:val="clear" w:color="auto" w:fill="auto"/>
        <w:bidi w:val="0"/>
        <w:spacing w:before="0" w:after="660" w:line="312" w:lineRule="exact"/>
        <w:ind w:left="0" w:right="0"/>
        <w:jc w:val="left"/>
      </w:pPr>
      <w:r>
        <w:rPr>
          <w:color w:val="000000"/>
          <w:spacing w:val="0"/>
          <w:w w:val="100"/>
          <w:position w:val="0"/>
        </w:rPr>
        <w:t>财务报表批准报出日：本财务报表业经本公司董事会于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日决议批准报出。</w:t>
      </w:r>
    </w:p>
    <w:p>
      <w:pPr>
        <w:pStyle w:val="Style18"/>
        <w:keepNext w:val="0"/>
        <w:keepLines w:val="0"/>
        <w:widowControl w:val="0"/>
        <w:shd w:val="clear" w:color="auto" w:fill="auto"/>
        <w:bidi w:val="0"/>
        <w:spacing w:before="0" w:after="200" w:line="240" w:lineRule="auto"/>
        <w:ind w:left="0" w:right="0" w:firstLine="560"/>
        <w:jc w:val="both"/>
      </w:pPr>
      <w:r>
        <w:rPr>
          <w:b/>
          <w:bCs/>
          <w:color w:val="000000"/>
          <w:spacing w:val="0"/>
          <w:w w:val="100"/>
          <w:position w:val="0"/>
        </w:rPr>
        <w:t>1.</w:t>
      </w:r>
      <w:r>
        <w:rPr>
          <w:b/>
          <w:bCs/>
          <w:color w:val="000000"/>
          <w:spacing w:val="0"/>
          <w:w w:val="100"/>
          <w:position w:val="0"/>
        </w:rPr>
        <w:t>合并财务报表范围及变化</w:t>
      </w:r>
    </w:p>
    <w:p>
      <w:pPr>
        <w:pStyle w:val="Style25"/>
        <w:keepNext w:val="0"/>
        <w:keepLines w:val="0"/>
        <w:widowControl w:val="0"/>
        <w:shd w:val="clear" w:color="auto" w:fill="auto"/>
        <w:bidi w:val="0"/>
        <w:spacing w:before="0" w:after="0" w:line="240" w:lineRule="auto"/>
        <w:ind w:left="37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）本报告期末纳入合并范围的子公司</w:t>
      </w:r>
    </w:p>
    <w:tbl>
      <w:tblPr>
        <w:tblOverlap w:val="never"/>
        <w:jc w:val="left"/>
        <w:tblLayout w:type="fixed"/>
      </w:tblPr>
      <w:tblGrid>
        <w:gridCol w:w="595"/>
        <w:gridCol w:w="3072"/>
        <w:gridCol w:w="1354"/>
        <w:gridCol w:w="1776"/>
        <w:gridCol w:w="960"/>
        <w:gridCol w:w="917"/>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子公司简称</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子公司关系</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广西诚本规划设计咨询有限公司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诚本规划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广西润联检测技术有限公司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润联信息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广州卓联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五象云谷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长嘉科技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润沃科技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广东南粤云视科技有限公司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南粤云视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广西信安锐达科技有限公司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信安锐达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95"/>
        <w:gridCol w:w="3072"/>
        <w:gridCol w:w="1354"/>
        <w:gridCol w:w="1776"/>
        <w:gridCol w:w="960"/>
        <w:gridCol w:w="917"/>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润玖科技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智慧能源子公司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泺立能源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广州市赛皓达智能科技有限公司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赛皓达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广州恒泰电力工程有限公司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恒泰电力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泺立能源子公司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鹰扬电力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鑫广源子公司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博深咨询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润建国际有限公司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R&amp;JINTERNATIONAL(SINGAPORE)P</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TE.LTD.</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新加坡润建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PT.RJGFINTERNATIONALINDONESI</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润建印尼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PT.RJIINTERNATIONALINDONESIA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润建智能印尼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RJGFPHILPPINECORP.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新加坡润建子公司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99.99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天津安可达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广东润建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 Technologies 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广西旋几工业技术有限公司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山东旋几子公司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海南禹尧数据科技有限公司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海南禹尧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润和世联子公司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广西云数工程咨询有限公司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云数工程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润和世联子公司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智海信息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数智教育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润佳新能源子公司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润盛新能源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广东润捷设计有限公司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润福能源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润曦能源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广西云视数乡科技有限公司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云视数乡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广润建设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广州研通通信工程有限公司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研通通信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8"/>
        <w:keepNext w:val="0"/>
        <w:keepLines w:val="0"/>
        <w:widowControl w:val="0"/>
        <w:shd w:val="clear" w:color="auto" w:fill="auto"/>
        <w:bidi w:val="0"/>
        <w:spacing w:before="0" w:after="180" w:line="240" w:lineRule="auto"/>
        <w:ind w:left="0" w:right="0"/>
        <w:jc w:val="both"/>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260" w:line="240" w:lineRule="auto"/>
        <w:ind w:left="0" w:right="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2</w:t>
      </w:r>
      <w:r>
        <w:rPr>
          <w:color w:val="000000"/>
          <w:spacing w:val="0"/>
          <w:w w:val="100"/>
          <w:position w:val="0"/>
        </w:rPr>
        <w:t>）本报告期内合并财务报表范围变化</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本报告期内新增子公司：</w:t>
      </w:r>
    </w:p>
    <w:tbl>
      <w:tblPr>
        <w:tblOverlap w:val="never"/>
        <w:jc w:val="left"/>
        <w:tblLayout w:type="fixed"/>
      </w:tblPr>
      <w:tblGrid>
        <w:gridCol w:w="586"/>
        <w:gridCol w:w="2798"/>
        <w:gridCol w:w="1459"/>
        <w:gridCol w:w="1306"/>
        <w:gridCol w:w="2525"/>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润玖科技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广西旋几工业技术有限公司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陕西旋几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广东旋几工业自动化有限公司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广东旋几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广西云数工程咨询有限公司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云数工程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数智教育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新能源（广西）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润佳新能源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润盛新能源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润建新能源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永福润福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横州润曦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广西云视数乡科技有限公司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云视数乡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广州智海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非同一控制下企业合并取得</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深圳广润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非同一控制下企业合并取得</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广东润捷设计有限公司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润捷设计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广州研通通信工程有限公司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研通通信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海南禹尧数据科技有限公司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海南禹尧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bl>
    <w:p>
      <w:pPr>
        <w:widowControl w:val="0"/>
        <w:spacing w:after="59" w:line="1" w:lineRule="exact"/>
      </w:pP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日本公司与涟源市益众建筑工程咨询站（普通合伙）、朱道钦签署《股权转让协议书》，以交易总 对价人民币</w:t>
      </w:r>
      <w:r>
        <w:rPr>
          <w:rFonts w:ascii="Times New Roman" w:eastAsia="Times New Roman" w:hAnsi="Times New Roman" w:cs="Times New Roman"/>
          <w:color w:val="000000"/>
          <w:spacing w:val="0"/>
          <w:w w:val="100"/>
          <w:position w:val="0"/>
        </w:rPr>
        <w:t>1,000,000.00</w:t>
      </w:r>
      <w:r>
        <w:rPr>
          <w:color w:val="000000"/>
          <w:spacing w:val="0"/>
          <w:w w:val="100"/>
          <w:position w:val="0"/>
        </w:rPr>
        <w:t>元收购润捷设计</w:t>
      </w:r>
      <w:r>
        <w:rPr>
          <w:rFonts w:ascii="Times New Roman" w:eastAsia="Times New Roman" w:hAnsi="Times New Roman" w:cs="Times New Roman"/>
          <w:color w:val="000000"/>
          <w:spacing w:val="0"/>
          <w:w w:val="100"/>
          <w:position w:val="0"/>
        </w:rPr>
        <w:t>100%</w:t>
      </w:r>
      <w:r>
        <w:rPr>
          <w:color w:val="000000"/>
          <w:spacing w:val="0"/>
          <w:w w:val="100"/>
          <w:position w:val="0"/>
        </w:rPr>
        <w:t>股权，自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日，润捷设计成为公司全资子公司；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 公司与涟源市益众建筑工程咨询站（普通合伙）、朱道钦签署《股东转让出资合同书》，以交易总对价人民币</w:t>
      </w:r>
      <w:r>
        <w:rPr>
          <w:rFonts w:ascii="Times New Roman" w:eastAsia="Times New Roman" w:hAnsi="Times New Roman" w:cs="Times New Roman"/>
          <w:color w:val="000000"/>
          <w:spacing w:val="0"/>
          <w:w w:val="100"/>
          <w:position w:val="0"/>
        </w:rPr>
        <w:t>900,000.00</w:t>
      </w:r>
      <w:r>
        <w:rPr>
          <w:color w:val="000000"/>
          <w:spacing w:val="0"/>
          <w:w w:val="100"/>
          <w:position w:val="0"/>
        </w:rPr>
        <w:t>元 收购研通通信</w:t>
      </w:r>
      <w:r>
        <w:rPr>
          <w:rFonts w:ascii="Times New Roman" w:eastAsia="Times New Roman" w:hAnsi="Times New Roman" w:cs="Times New Roman"/>
          <w:color w:val="000000"/>
          <w:spacing w:val="0"/>
          <w:w w:val="100"/>
          <w:position w:val="0"/>
        </w:rPr>
        <w:t>100%</w:t>
      </w:r>
      <w:r>
        <w:rPr>
          <w:color w:val="000000"/>
          <w:spacing w:val="0"/>
          <w:w w:val="100"/>
          <w:position w:val="0"/>
        </w:rPr>
        <w:t>股权，自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日，研通通信成为公司全资子公司；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日本公司子公司润和世联与涟 源市源建工程咨询站（普通合伙）签署《股权转让协议书》，以交易总对价人民币</w:t>
      </w:r>
      <w:r>
        <w:rPr>
          <w:rFonts w:ascii="Times New Roman" w:eastAsia="Times New Roman" w:hAnsi="Times New Roman" w:cs="Times New Roman"/>
          <w:color w:val="000000"/>
          <w:spacing w:val="0"/>
          <w:w w:val="100"/>
          <w:position w:val="0"/>
        </w:rPr>
        <w:t>11,000,000.00</w:t>
      </w:r>
      <w:r>
        <w:rPr>
          <w:color w:val="000000"/>
          <w:spacing w:val="0"/>
          <w:w w:val="100"/>
          <w:position w:val="0"/>
        </w:rPr>
        <w:t>元收购海南禹尧</w:t>
      </w:r>
      <w:r>
        <w:rPr>
          <w:rFonts w:ascii="Times New Roman" w:eastAsia="Times New Roman" w:hAnsi="Times New Roman" w:cs="Times New Roman"/>
          <w:color w:val="000000"/>
          <w:spacing w:val="0"/>
          <w:w w:val="100"/>
          <w:position w:val="0"/>
        </w:rPr>
        <w:t>100%</w:t>
      </w:r>
      <w:r>
        <w:rPr>
          <w:color w:val="000000"/>
          <w:spacing w:val="0"/>
          <w:w w:val="100"/>
          <w:position w:val="0"/>
        </w:rPr>
        <w:t>股权，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日，海南禹尧成为润和世联全资子公司。因润捷设计、研通通信、海南禹尧无实际业务经营，公司通过收购资 质实现控制，不属于非同一控制下企业合并导致的合并范围变更。</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本报告期无减少子公司的情况。</w:t>
      </w:r>
    </w:p>
    <w:p>
      <w:pPr>
        <w:pStyle w:val="Style18"/>
        <w:keepNext w:val="0"/>
        <w:keepLines w:val="0"/>
        <w:widowControl w:val="0"/>
        <w:shd w:val="clear" w:color="auto" w:fill="auto"/>
        <w:bidi w:val="0"/>
        <w:spacing w:before="0" w:after="340" w:line="314" w:lineRule="exact"/>
        <w:ind w:left="0" w:right="0"/>
        <w:jc w:val="left"/>
      </w:pPr>
      <w:r>
        <w:rPr>
          <w:color w:val="000000"/>
          <w:spacing w:val="0"/>
          <w:w w:val="100"/>
          <w:position w:val="0"/>
        </w:rPr>
        <w:t>本报告期内新增及减少子公司的具体情况详见本附注八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合并范围的变更七</w:t>
      </w:r>
    </w:p>
    <w:p>
      <w:pPr>
        <w:pStyle w:val="Style23"/>
        <w:keepNext/>
        <w:keepLines/>
        <w:widowControl w:val="0"/>
        <w:shd w:val="clear" w:color="auto" w:fill="auto"/>
        <w:bidi w:val="0"/>
        <w:spacing w:before="0" w:after="340" w:line="240" w:lineRule="auto"/>
        <w:ind w:left="0" w:right="0" w:firstLine="0"/>
        <w:jc w:val="left"/>
      </w:pPr>
      <w:bookmarkStart w:id="773" w:name="bookmark773"/>
      <w:bookmarkStart w:id="774" w:name="bookmark774"/>
      <w:bookmarkStart w:id="775" w:name="bookmark775"/>
      <w:bookmarkStart w:id="776" w:name="bookmark776"/>
      <w:r>
        <w:rPr>
          <w:color w:val="000000"/>
          <w:spacing w:val="0"/>
          <w:w w:val="100"/>
          <w:position w:val="0"/>
          <w:sz w:val="24"/>
          <w:szCs w:val="24"/>
        </w:rPr>
        <w:t>四</w:t>
      </w:r>
      <w:bookmarkEnd w:id="775"/>
      <w:r>
        <w:rPr>
          <w:color w:val="000000"/>
          <w:spacing w:val="0"/>
          <w:w w:val="100"/>
          <w:position w:val="0"/>
          <w:sz w:val="24"/>
          <w:szCs w:val="24"/>
        </w:rPr>
        <w:t>、财务报表的编制基础</w:t>
      </w:r>
      <w:bookmarkEnd w:id="773"/>
      <w:bookmarkEnd w:id="774"/>
      <w:bookmarkEnd w:id="776"/>
    </w:p>
    <w:p>
      <w:pPr>
        <w:pStyle w:val="Style29"/>
        <w:keepNext/>
        <w:keepLines/>
        <w:widowControl w:val="0"/>
        <w:shd w:val="clear" w:color="auto" w:fill="auto"/>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color w:val="000000"/>
          <w:spacing w:val="0"/>
          <w:w w:val="100"/>
          <w:position w:val="0"/>
        </w:rPr>
        <w:t>、编制基础</w:t>
      </w:r>
      <w:bookmarkEnd w:id="777"/>
      <w:bookmarkEnd w:id="778"/>
      <w:bookmarkEnd w:id="780"/>
    </w:p>
    <w:p>
      <w:pPr>
        <w:pStyle w:val="Style18"/>
        <w:keepNext w:val="0"/>
        <w:keepLines w:val="0"/>
        <w:widowControl w:val="0"/>
        <w:shd w:val="clear" w:color="auto" w:fill="auto"/>
        <w:bidi w:val="0"/>
        <w:spacing w:before="0" w:after="220" w:line="305" w:lineRule="exact"/>
        <w:ind w:left="0" w:right="0"/>
        <w:jc w:val="both"/>
      </w:pPr>
      <w:r>
        <w:rPr>
          <w:color w:val="000000"/>
          <w:spacing w:val="0"/>
          <w:w w:val="100"/>
          <w:position w:val="0"/>
        </w:rPr>
        <w:t>本公司以持续经营为基础，根据实际发生的交易和事项，按照企业会计准则及其应用指南和准则解释的规定进行确认和 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 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29"/>
        <w:keepNext/>
        <w:keepLines/>
        <w:widowControl w:val="0"/>
        <w:shd w:val="clear" w:color="auto" w:fill="auto"/>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2</w:t>
      </w:r>
      <w:bookmarkEnd w:id="783"/>
      <w:r>
        <w:rPr>
          <w:color w:val="000000"/>
          <w:spacing w:val="0"/>
          <w:w w:val="100"/>
          <w:position w:val="0"/>
        </w:rPr>
        <w:t>、持续经营</w:t>
      </w:r>
      <w:bookmarkEnd w:id="781"/>
      <w:bookmarkEnd w:id="782"/>
      <w:bookmarkEnd w:id="784"/>
    </w:p>
    <w:p>
      <w:pPr>
        <w:pStyle w:val="Style18"/>
        <w:keepNext w:val="0"/>
        <w:keepLines w:val="0"/>
        <w:widowControl w:val="0"/>
        <w:shd w:val="clear" w:color="auto" w:fill="auto"/>
        <w:bidi w:val="0"/>
        <w:spacing w:before="0" w:after="800" w:line="317" w:lineRule="exact"/>
        <w:ind w:left="0" w:right="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个月的持续经营能力进行了评估，未发现影响本公司持续经营能力的事项，本公司以持续经营 为基础编制财务报表是合理的。</w:t>
      </w:r>
    </w:p>
    <w:p>
      <w:pPr>
        <w:pStyle w:val="Style23"/>
        <w:keepNext/>
        <w:keepLines/>
        <w:widowControl w:val="0"/>
        <w:shd w:val="clear" w:color="auto" w:fill="auto"/>
        <w:bidi w:val="0"/>
        <w:spacing w:before="0" w:after="26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sz w:val="24"/>
          <w:szCs w:val="24"/>
        </w:rPr>
        <w:t>五</w:t>
      </w:r>
      <w:bookmarkEnd w:id="787"/>
      <w:r>
        <w:rPr>
          <w:color w:val="000000"/>
          <w:spacing w:val="0"/>
          <w:w w:val="100"/>
          <w:position w:val="0"/>
          <w:sz w:val="24"/>
          <w:szCs w:val="24"/>
        </w:rPr>
        <w:t>、重要会计政策及会计估计</w:t>
      </w:r>
      <w:bookmarkEnd w:id="785"/>
      <w:bookmarkEnd w:id="786"/>
      <w:bookmarkEnd w:id="788"/>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60" w:line="313" w:lineRule="exact"/>
        <w:ind w:left="0" w:right="0"/>
        <w:jc w:val="left"/>
      </w:pPr>
      <w:r>
        <w:rPr>
          <w:color w:val="000000"/>
          <w:spacing w:val="0"/>
          <w:w w:val="100"/>
          <w:position w:val="0"/>
        </w:rPr>
        <w:t>本公司下列重要会计政策、会计估计根据企业会计准则制定。未提及的业务按企业会计准则中相关会计政策执行。</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color w:val="000000"/>
          <w:spacing w:val="0"/>
          <w:w w:val="100"/>
          <w:position w:val="0"/>
        </w:rPr>
        <w:t>、</w:t>
        <w:tab/>
        <w:t>遵循企业会计准则的声明</w:t>
      </w:r>
      <w:bookmarkEnd w:id="789"/>
      <w:bookmarkEnd w:id="790"/>
      <w:bookmarkEnd w:id="792"/>
    </w:p>
    <w:p>
      <w:pPr>
        <w:pStyle w:val="Style18"/>
        <w:keepNext w:val="0"/>
        <w:keepLines w:val="0"/>
        <w:widowControl w:val="0"/>
        <w:shd w:val="clear" w:color="auto" w:fill="auto"/>
        <w:bidi w:val="0"/>
        <w:spacing w:before="0" w:after="800" w:line="302" w:lineRule="exact"/>
        <w:ind w:left="0" w:right="0"/>
        <w:jc w:val="both"/>
      </w:pPr>
      <w:r>
        <w:rPr>
          <w:color w:val="000000"/>
          <w:spacing w:val="0"/>
          <w:w w:val="100"/>
          <w:position w:val="0"/>
        </w:rPr>
        <w:t>本公司所编制的财务报表符合企业会计准则的要求，真实、完整地反映了公司的财务状况、经营成果、所有者权益变动 和现金流量等有关信息。</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color w:val="000000"/>
          <w:spacing w:val="0"/>
          <w:w w:val="100"/>
          <w:position w:val="0"/>
        </w:rPr>
        <w:t>、</w:t>
        <w:tab/>
        <w:t>会计期间</w:t>
      </w:r>
      <w:bookmarkEnd w:id="793"/>
      <w:bookmarkEnd w:id="794"/>
      <w:bookmarkEnd w:id="796"/>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w:t>
        <w:tab/>
        <w:t>营业周期</w:t>
      </w:r>
      <w:bookmarkEnd w:id="797"/>
      <w:bookmarkEnd w:id="798"/>
      <w:bookmarkEnd w:id="800"/>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本公司正常营业周期为一年。</w:t>
      </w:r>
    </w:p>
    <w:p>
      <w:pPr>
        <w:pStyle w:val="Style29"/>
        <w:keepNext/>
        <w:keepLines/>
        <w:widowControl w:val="0"/>
        <w:shd w:val="clear" w:color="auto" w:fill="auto"/>
        <w:tabs>
          <w:tab w:pos="378"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4</w:t>
      </w:r>
      <w:bookmarkEnd w:id="803"/>
      <w:r>
        <w:rPr>
          <w:color w:val="000000"/>
          <w:spacing w:val="0"/>
          <w:w w:val="100"/>
          <w:position w:val="0"/>
        </w:rPr>
        <w:t>、</w:t>
        <w:tab/>
        <w:t>记账本位币</w:t>
      </w:r>
      <w:bookmarkEnd w:id="801"/>
      <w:bookmarkEnd w:id="802"/>
      <w:bookmarkEnd w:id="804"/>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rPr>
        <w:t>（</w:t>
      </w:r>
      <w:r>
        <w:rPr>
          <w:color w:val="000000"/>
          <w:spacing w:val="0"/>
          <w:w w:val="100"/>
          <w:position w:val="0"/>
        </w:rPr>
        <w:t>分</w:t>
      </w:r>
      <w:r>
        <w:rPr>
          <w:rFonts w:ascii="Times New Roman" w:eastAsia="Times New Roman" w:hAnsi="Times New Roman" w:cs="Times New Roman"/>
          <w:color w:val="000000"/>
          <w:spacing w:val="0"/>
          <w:w w:val="100"/>
          <w:position w:val="0"/>
        </w:rPr>
        <w:t>）</w:t>
      </w:r>
      <w:r>
        <w:rPr>
          <w:color w:val="000000"/>
          <w:spacing w:val="0"/>
          <w:w w:val="100"/>
          <w:position w:val="0"/>
        </w:rPr>
        <w:t>子公司按经营所处的主要经济环境中的货币为记账本位币。</w:t>
      </w:r>
    </w:p>
    <w:p>
      <w:pPr>
        <w:pStyle w:val="Style29"/>
        <w:keepNext/>
        <w:keepLines/>
        <w:widowControl w:val="0"/>
        <w:shd w:val="clear" w:color="auto" w:fill="auto"/>
        <w:tabs>
          <w:tab w:pos="378"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w:t>
        <w:tab/>
        <w:t>同一控制下和非同一控制下企业合并的会计处理方法</w:t>
      </w:r>
      <w:bookmarkEnd w:id="805"/>
      <w:bookmarkEnd w:id="806"/>
      <w:bookmarkEnd w:id="808"/>
    </w:p>
    <w:p>
      <w:pPr>
        <w:pStyle w:val="Style18"/>
        <w:keepNext w:val="0"/>
        <w:keepLines w:val="0"/>
        <w:widowControl w:val="0"/>
        <w:shd w:val="clear" w:color="auto" w:fill="auto"/>
        <w:tabs>
          <w:tab w:pos="830" w:val="left"/>
        </w:tabs>
        <w:bidi w:val="0"/>
        <w:spacing w:before="0" w:after="100" w:line="313" w:lineRule="exact"/>
        <w:ind w:left="0" w:right="0"/>
        <w:jc w:val="both"/>
      </w:pPr>
      <w:bookmarkStart w:id="809" w:name="bookmark809"/>
      <w:r>
        <w:rPr>
          <w:b/>
          <w:bCs/>
          <w:color w:val="000000"/>
          <w:spacing w:val="0"/>
          <w:w w:val="100"/>
          <w:position w:val="0"/>
        </w:rPr>
        <w:t>（</w:t>
      </w:r>
      <w:bookmarkEnd w:id="80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同一控制下的企业合并</w:t>
      </w:r>
    </w:p>
    <w:p>
      <w:pPr>
        <w:pStyle w:val="Style18"/>
        <w:keepNext w:val="0"/>
        <w:keepLines w:val="0"/>
        <w:widowControl w:val="0"/>
        <w:shd w:val="clear" w:color="auto" w:fill="auto"/>
        <w:bidi w:val="0"/>
        <w:spacing w:before="0" w:after="100" w:line="313" w:lineRule="exact"/>
        <w:ind w:left="0" w:right="0"/>
        <w:jc w:val="left"/>
      </w:pPr>
      <w:r>
        <w:rPr>
          <w:color w:val="000000"/>
          <w:spacing w:val="0"/>
          <w:w w:val="100"/>
          <w:position w:val="0"/>
        </w:rPr>
        <w:t>本公司在企业合并中取得的资产和负债，在合并日按取得被合并方在最终控制方合并财务报表中的账面价值计量。其中， 对于被合并方与本公司在企业合并前采用的会计政策不同的，基于重要性原则统一会计政策，即按照本公司的会计政策对被 合并方资产、负债的账面价值进行调整。本公司在企业合并中取得的净资产账面价值与所支付对价的账面价值之间存在差额 的，首先调整资本公积（资本溢价或股本溢价），资本公积（资本溢价或股本溢价）的余额不足冲减的，依次冲减盈余公积 和未分配利润。</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通过分步交易实现同一控制下企业合并的会计处理方法见附注五、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18"/>
        <w:keepNext w:val="0"/>
        <w:keepLines w:val="0"/>
        <w:widowControl w:val="0"/>
        <w:shd w:val="clear" w:color="auto" w:fill="auto"/>
        <w:tabs>
          <w:tab w:pos="830" w:val="left"/>
        </w:tabs>
        <w:bidi w:val="0"/>
        <w:spacing w:before="0" w:after="100" w:line="313" w:lineRule="exact"/>
        <w:ind w:left="0" w:right="0"/>
        <w:jc w:val="both"/>
      </w:pPr>
      <w:bookmarkStart w:id="810" w:name="bookmark810"/>
      <w:r>
        <w:rPr>
          <w:b/>
          <w:bCs/>
          <w:color w:val="000000"/>
          <w:spacing w:val="0"/>
          <w:w w:val="100"/>
          <w:position w:val="0"/>
        </w:rPr>
        <w:t>（</w:t>
      </w:r>
      <w:bookmarkEnd w:id="81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非同一控制下的企业合并</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 xml:space="preserve">本公司在企业合并中取得的被购买方各项可辨认资产和负债，在购买日按其公允价值计量。其中，对于被购买方与本公 </w:t>
      </w:r>
      <w:r>
        <w:rPr>
          <w:color w:val="000000"/>
          <w:spacing w:val="0"/>
          <w:w w:val="100"/>
          <w:position w:val="0"/>
        </w:rPr>
        <w:t>司在企业合并前采用的会计政策不同的，基于重要性原则统一会计政策，即按照本公司的会计政策对被购买方资产、负债的 账面价值进行调整。本公司在购买日的合并成本大于企业合并中取得的被购买方可辨认资产、负债公允价值的差额，确认为 商誉；如果合并成本小于企业合并中取得的被购买方可辨认资产、负债公允价值的差额，首先对合并成本以及在企业合并中 取得的被购买方可辨认资产、负债的公允价值进行复核，经复核后合并成本仍小于取得的被购买方可辨认资产、负债公允价 值的，其差额确认为合并当期损益。</w:t>
      </w:r>
    </w:p>
    <w:p>
      <w:pPr>
        <w:pStyle w:val="Style18"/>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通过分步交易实现非同一控制下企业合并的会计处理方法见附注五、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18"/>
        <w:keepNext w:val="0"/>
        <w:keepLines w:val="0"/>
        <w:widowControl w:val="0"/>
        <w:shd w:val="clear" w:color="auto" w:fill="auto"/>
        <w:bidi w:val="0"/>
        <w:spacing w:before="0" w:after="100" w:line="313" w:lineRule="exact"/>
        <w:ind w:left="0" w:right="0" w:firstLine="360"/>
        <w:jc w:val="left"/>
      </w:pPr>
      <w:bookmarkStart w:id="811" w:name="bookmark811"/>
      <w:r>
        <w:rPr>
          <w:b/>
          <w:bCs/>
          <w:color w:val="000000"/>
          <w:spacing w:val="0"/>
          <w:w w:val="100"/>
          <w:position w:val="0"/>
        </w:rPr>
        <w:t>（</w:t>
      </w:r>
      <w:bookmarkEnd w:id="811"/>
      <w:r>
        <w:rPr>
          <w:rFonts w:ascii="Times New Roman" w:eastAsia="Times New Roman" w:hAnsi="Times New Roman" w:cs="Times New Roman"/>
          <w:b/>
          <w:bCs/>
          <w:color w:val="000000"/>
          <w:spacing w:val="0"/>
          <w:w w:val="100"/>
          <w:position w:val="0"/>
        </w:rPr>
        <w:t>3</w:t>
      </w:r>
      <w:r>
        <w:rPr>
          <w:b/>
          <w:bCs/>
          <w:color w:val="000000"/>
          <w:spacing w:val="0"/>
          <w:w w:val="100"/>
          <w:position w:val="0"/>
        </w:rPr>
        <w:t>）企业合并中有关交易费用的处理</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29"/>
        <w:keepNext/>
        <w:keepLines/>
        <w:widowControl w:val="0"/>
        <w:shd w:val="clear" w:color="auto" w:fill="auto"/>
        <w:bidi w:val="0"/>
        <w:spacing w:before="0" w:after="26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6</w:t>
      </w:r>
      <w:bookmarkEnd w:id="814"/>
      <w:r>
        <w:rPr>
          <w:color w:val="000000"/>
          <w:spacing w:val="0"/>
          <w:w w:val="100"/>
          <w:position w:val="0"/>
        </w:rPr>
        <w:t>、合并财务报表的编制方法</w:t>
      </w:r>
      <w:bookmarkEnd w:id="812"/>
      <w:bookmarkEnd w:id="813"/>
      <w:bookmarkEnd w:id="815"/>
    </w:p>
    <w:p>
      <w:pPr>
        <w:pStyle w:val="Style18"/>
        <w:keepNext w:val="0"/>
        <w:keepLines w:val="0"/>
        <w:widowControl w:val="0"/>
        <w:shd w:val="clear" w:color="auto" w:fill="auto"/>
        <w:tabs>
          <w:tab w:pos="830" w:val="left"/>
        </w:tabs>
        <w:bidi w:val="0"/>
        <w:spacing w:before="0" w:after="100" w:line="313" w:lineRule="exact"/>
        <w:ind w:left="0" w:right="0"/>
        <w:jc w:val="both"/>
      </w:pPr>
      <w:bookmarkStart w:id="816" w:name="bookmark816"/>
      <w:r>
        <w:rPr>
          <w:b/>
          <w:bCs/>
          <w:color w:val="000000"/>
          <w:spacing w:val="0"/>
          <w:w w:val="100"/>
          <w:position w:val="0"/>
        </w:rPr>
        <w:t>（</w:t>
      </w:r>
      <w:bookmarkEnd w:id="81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合并范围的确定</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不仅包括根据表决权（或类似表决权）本身或者结合其他安排确定的 子公司，也包括基于一项或多项合同安排决定的结构化主体。</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控制是指本公司拥有对被投资方的权力，通过参与被投资方的相关活动而享有可变回报，并且有能力运用对被投资方的 权力影响其回报金额。子公司是指被本公司控制的主体（含企业、被投资单位中可分割的部分，以及企业所控制的结构化主 体等），结构化主体是指在确定其控制方时没有将表决权或类似权利作为决定性因素而设计的主体。</w:t>
      </w:r>
    </w:p>
    <w:p>
      <w:pPr>
        <w:pStyle w:val="Style18"/>
        <w:keepNext w:val="0"/>
        <w:keepLines w:val="0"/>
        <w:widowControl w:val="0"/>
        <w:shd w:val="clear" w:color="auto" w:fill="auto"/>
        <w:tabs>
          <w:tab w:pos="830" w:val="left"/>
        </w:tabs>
        <w:bidi w:val="0"/>
        <w:spacing w:before="0" w:after="100" w:line="313" w:lineRule="exact"/>
        <w:ind w:left="0" w:right="0"/>
        <w:jc w:val="both"/>
      </w:pPr>
      <w:bookmarkStart w:id="817" w:name="bookmark817"/>
      <w:r>
        <w:rPr>
          <w:b/>
          <w:bCs/>
          <w:color w:val="000000"/>
          <w:spacing w:val="0"/>
          <w:w w:val="100"/>
          <w:position w:val="0"/>
        </w:rPr>
        <w:t>（</w:t>
      </w:r>
      <w:bookmarkEnd w:id="8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合并财务报表的编制方法</w:t>
      </w:r>
    </w:p>
    <w:p>
      <w:pPr>
        <w:pStyle w:val="Style18"/>
        <w:keepNext w:val="0"/>
        <w:keepLines w:val="0"/>
        <w:widowControl w:val="0"/>
        <w:shd w:val="clear" w:color="auto" w:fill="auto"/>
        <w:bidi w:val="0"/>
        <w:spacing w:before="0" w:after="100" w:line="313" w:lineRule="exact"/>
        <w:ind w:left="0" w:right="0"/>
        <w:jc w:val="both"/>
      </w:pPr>
      <w:r>
        <w:rPr>
          <w:color w:val="000000"/>
          <w:spacing w:val="0"/>
          <w:w w:val="100"/>
          <w:position w:val="0"/>
        </w:rPr>
        <w:t>本公司以自身和子公司的财务报表为基础，根据其他有关资料，编制合并财务报表。</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本公司编制合并财务报表，将整个企业集团视为一个会计主体，依据相关企业会计准则的确认、计量和列报要求，按照 统一的会计政策和会计期间，反映企业集团整体财务状况、经营成果和现金流量。</w:t>
      </w:r>
    </w:p>
    <w:p>
      <w:pPr>
        <w:pStyle w:val="Style18"/>
        <w:keepNext w:val="0"/>
        <w:keepLines w:val="0"/>
        <w:widowControl w:val="0"/>
        <w:numPr>
          <w:ilvl w:val="0"/>
          <w:numId w:val="9"/>
        </w:numPr>
        <w:shd w:val="clear" w:color="auto" w:fill="auto"/>
        <w:tabs>
          <w:tab w:pos="753" w:val="left"/>
        </w:tabs>
        <w:bidi w:val="0"/>
        <w:spacing w:before="0" w:after="100" w:line="313" w:lineRule="exact"/>
        <w:ind w:left="0" w:right="0"/>
        <w:jc w:val="both"/>
      </w:pPr>
      <w:bookmarkStart w:id="818" w:name="bookmark818"/>
      <w:bookmarkEnd w:id="818"/>
      <w:r>
        <w:rPr>
          <w:color w:val="000000"/>
          <w:spacing w:val="0"/>
          <w:w w:val="100"/>
          <w:position w:val="0"/>
        </w:rPr>
        <w:t>合并母公司与子公司的资产、负债、所有者权益、收入、费用和现金流等项目。</w:t>
      </w:r>
    </w:p>
    <w:p>
      <w:pPr>
        <w:pStyle w:val="Style18"/>
        <w:keepNext w:val="0"/>
        <w:keepLines w:val="0"/>
        <w:widowControl w:val="0"/>
        <w:numPr>
          <w:ilvl w:val="0"/>
          <w:numId w:val="9"/>
        </w:numPr>
        <w:shd w:val="clear" w:color="auto" w:fill="auto"/>
        <w:tabs>
          <w:tab w:pos="753" w:val="left"/>
        </w:tabs>
        <w:bidi w:val="0"/>
        <w:spacing w:before="0" w:after="100" w:line="313" w:lineRule="exact"/>
        <w:ind w:left="0" w:right="0"/>
        <w:jc w:val="both"/>
      </w:pPr>
      <w:bookmarkStart w:id="819" w:name="bookmark819"/>
      <w:bookmarkEnd w:id="819"/>
      <w:r>
        <w:rPr>
          <w:color w:val="000000"/>
          <w:spacing w:val="0"/>
          <w:w w:val="100"/>
          <w:position w:val="0"/>
        </w:rPr>
        <w:t>抵销母公司对子公司的长期股权投资与母公司在子公司所有者权益中所享有的份额。</w:t>
      </w:r>
    </w:p>
    <w:p>
      <w:pPr>
        <w:pStyle w:val="Style18"/>
        <w:keepNext w:val="0"/>
        <w:keepLines w:val="0"/>
        <w:widowControl w:val="0"/>
        <w:numPr>
          <w:ilvl w:val="0"/>
          <w:numId w:val="9"/>
        </w:numPr>
        <w:shd w:val="clear" w:color="auto" w:fill="auto"/>
        <w:tabs>
          <w:tab w:pos="728" w:val="left"/>
        </w:tabs>
        <w:bidi w:val="0"/>
        <w:spacing w:before="0" w:after="100" w:line="317" w:lineRule="exact"/>
        <w:ind w:left="0" w:right="0"/>
        <w:jc w:val="both"/>
      </w:pPr>
      <w:bookmarkStart w:id="820" w:name="bookmark820"/>
      <w:bookmarkEnd w:id="820"/>
      <w:r>
        <w:rPr>
          <w:color w:val="000000"/>
          <w:spacing w:val="0"/>
          <w:w w:val="100"/>
          <w:position w:val="0"/>
        </w:rPr>
        <w:t>抵销母公司与子公司、子公司相互之间发生的内部交易的影响。内部交易表明相关资产发生减值损失的，应当全额确 认该部分损失。</w:t>
      </w:r>
    </w:p>
    <w:p>
      <w:pPr>
        <w:pStyle w:val="Style18"/>
        <w:keepNext w:val="0"/>
        <w:keepLines w:val="0"/>
        <w:widowControl w:val="0"/>
        <w:numPr>
          <w:ilvl w:val="0"/>
          <w:numId w:val="9"/>
        </w:numPr>
        <w:shd w:val="clear" w:color="auto" w:fill="auto"/>
        <w:tabs>
          <w:tab w:pos="753" w:val="left"/>
        </w:tabs>
        <w:bidi w:val="0"/>
        <w:spacing w:before="0" w:after="100" w:line="313" w:lineRule="exact"/>
        <w:ind w:left="0" w:right="0"/>
        <w:jc w:val="both"/>
      </w:pPr>
      <w:bookmarkStart w:id="821" w:name="bookmark821"/>
      <w:bookmarkEnd w:id="821"/>
      <w:r>
        <w:rPr>
          <w:color w:val="000000"/>
          <w:spacing w:val="0"/>
          <w:w w:val="100"/>
          <w:position w:val="0"/>
        </w:rPr>
        <w:t>站在企业集团角度对特殊交易事项予以调整。</w:t>
      </w:r>
    </w:p>
    <w:p>
      <w:pPr>
        <w:pStyle w:val="Style18"/>
        <w:keepNext w:val="0"/>
        <w:keepLines w:val="0"/>
        <w:widowControl w:val="0"/>
        <w:shd w:val="clear" w:color="auto" w:fill="auto"/>
        <w:tabs>
          <w:tab w:pos="830" w:val="left"/>
        </w:tabs>
        <w:bidi w:val="0"/>
        <w:spacing w:before="0" w:after="100" w:line="313" w:lineRule="exact"/>
        <w:ind w:left="0" w:right="0"/>
        <w:jc w:val="both"/>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报告期内增减子公司的处理</w:t>
      </w:r>
    </w:p>
    <w:p>
      <w:pPr>
        <w:pStyle w:val="Style18"/>
        <w:keepNext w:val="0"/>
        <w:keepLines w:val="0"/>
        <w:widowControl w:val="0"/>
        <w:numPr>
          <w:ilvl w:val="0"/>
          <w:numId w:val="11"/>
        </w:numPr>
        <w:shd w:val="clear" w:color="auto" w:fill="auto"/>
        <w:bidi w:val="0"/>
        <w:spacing w:before="0" w:after="200" w:line="313" w:lineRule="exact"/>
        <w:ind w:left="0" w:right="0"/>
        <w:jc w:val="both"/>
      </w:pPr>
      <w:bookmarkStart w:id="823" w:name="bookmark823"/>
      <w:bookmarkEnd w:id="823"/>
      <w:r>
        <w:rPr>
          <w:color w:val="000000"/>
          <w:spacing w:val="0"/>
          <w:w w:val="100"/>
          <w:position w:val="0"/>
        </w:rPr>
        <w:t>增加子公司或业务</w:t>
      </w:r>
    </w:p>
    <w:p>
      <w:pPr>
        <w:pStyle w:val="Style18"/>
        <w:keepNext w:val="0"/>
        <w:keepLines w:val="0"/>
        <w:widowControl w:val="0"/>
        <w:numPr>
          <w:ilvl w:val="0"/>
          <w:numId w:val="13"/>
        </w:numPr>
        <w:shd w:val="clear" w:color="auto" w:fill="auto"/>
        <w:tabs>
          <w:tab w:pos="743" w:val="left"/>
        </w:tabs>
        <w:bidi w:val="0"/>
        <w:spacing w:before="0" w:after="0"/>
        <w:ind w:left="0" w:right="0"/>
        <w:jc w:val="both"/>
      </w:pPr>
      <w:bookmarkStart w:id="824" w:name="bookmark824"/>
      <w:bookmarkEnd w:id="824"/>
      <w:r>
        <w:rPr>
          <w:color w:val="000000"/>
          <w:spacing w:val="0"/>
          <w:w w:val="100"/>
          <w:position w:val="0"/>
        </w:rPr>
        <w:t>同一控制下企业合并增加的子公司或业务</w:t>
      </w:r>
    </w:p>
    <w:p>
      <w:pPr>
        <w:pStyle w:val="Style18"/>
        <w:keepNext w:val="0"/>
        <w:keepLines w:val="0"/>
        <w:widowControl w:val="0"/>
        <w:shd w:val="clear" w:color="auto" w:fill="auto"/>
        <w:tabs>
          <w:tab w:pos="882" w:val="left"/>
        </w:tabs>
        <w:bidi w:val="0"/>
        <w:spacing w:before="0" w:after="100" w:line="317"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18"/>
        <w:keepNext w:val="0"/>
        <w:keepLines w:val="0"/>
        <w:widowControl w:val="0"/>
        <w:shd w:val="clear" w:color="auto" w:fill="auto"/>
        <w:tabs>
          <w:tab w:pos="882" w:val="left"/>
        </w:tabs>
        <w:bidi w:val="0"/>
        <w:spacing w:before="0" w:after="100" w:line="322"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18"/>
        <w:keepNext w:val="0"/>
        <w:keepLines w:val="0"/>
        <w:widowControl w:val="0"/>
        <w:shd w:val="clear" w:color="auto" w:fill="auto"/>
        <w:tabs>
          <w:tab w:pos="882" w:val="left"/>
        </w:tabs>
        <w:bidi w:val="0"/>
        <w:spacing w:before="0" w:after="200" w:line="317"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18"/>
        <w:keepNext w:val="0"/>
        <w:keepLines w:val="0"/>
        <w:widowControl w:val="0"/>
        <w:numPr>
          <w:ilvl w:val="0"/>
          <w:numId w:val="13"/>
        </w:numPr>
        <w:shd w:val="clear" w:color="auto" w:fill="auto"/>
        <w:tabs>
          <w:tab w:pos="743" w:val="left"/>
        </w:tabs>
        <w:bidi w:val="0"/>
        <w:spacing w:before="0" w:after="100"/>
        <w:ind w:left="0" w:right="0"/>
        <w:jc w:val="both"/>
      </w:pPr>
      <w:bookmarkStart w:id="828" w:name="bookmark828"/>
      <w:bookmarkEnd w:id="828"/>
      <w:r>
        <w:rPr>
          <w:color w:val="000000"/>
          <w:spacing w:val="0"/>
          <w:w w:val="100"/>
          <w:position w:val="0"/>
        </w:rPr>
        <w:t>非同一控制下企业合并增加的子公司或业务</w:t>
      </w:r>
    </w:p>
    <w:p>
      <w:pPr>
        <w:pStyle w:val="Style18"/>
        <w:keepNext w:val="0"/>
        <w:keepLines w:val="0"/>
        <w:widowControl w:val="0"/>
        <w:shd w:val="clear" w:color="auto" w:fill="auto"/>
        <w:tabs>
          <w:tab w:pos="790" w:val="left"/>
        </w:tabs>
        <w:bidi w:val="0"/>
        <w:spacing w:before="0" w:after="120" w:line="312" w:lineRule="exact"/>
        <w:ind w:left="0" w:right="0" w:firstLine="360"/>
        <w:jc w:val="left"/>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18"/>
        <w:keepNext w:val="0"/>
        <w:keepLines w:val="0"/>
        <w:widowControl w:val="0"/>
        <w:shd w:val="clear" w:color="auto" w:fill="auto"/>
        <w:tabs>
          <w:tab w:pos="805" w:val="left"/>
        </w:tabs>
        <w:bidi w:val="0"/>
        <w:spacing w:before="0" w:after="120" w:line="312" w:lineRule="exact"/>
        <w:ind w:left="0" w:right="0" w:firstLine="360"/>
        <w:jc w:val="left"/>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18"/>
        <w:keepNext w:val="0"/>
        <w:keepLines w:val="0"/>
        <w:widowControl w:val="0"/>
        <w:shd w:val="clear" w:color="auto" w:fill="auto"/>
        <w:tabs>
          <w:tab w:pos="805" w:val="left"/>
        </w:tabs>
        <w:bidi w:val="0"/>
        <w:spacing w:before="0" w:after="120" w:line="312" w:lineRule="exact"/>
        <w:ind w:left="0" w:right="0" w:firstLine="360"/>
        <w:jc w:val="left"/>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18"/>
        <w:keepNext w:val="0"/>
        <w:keepLines w:val="0"/>
        <w:widowControl w:val="0"/>
        <w:numPr>
          <w:ilvl w:val="0"/>
          <w:numId w:val="11"/>
        </w:numPr>
        <w:shd w:val="clear" w:color="auto" w:fill="auto"/>
        <w:bidi w:val="0"/>
        <w:spacing w:before="0" w:after="200" w:line="312" w:lineRule="exact"/>
        <w:ind w:left="0" w:right="0" w:firstLine="360"/>
        <w:jc w:val="left"/>
      </w:pPr>
      <w:bookmarkStart w:id="832" w:name="bookmark832"/>
      <w:bookmarkEnd w:id="832"/>
      <w:r>
        <w:rPr>
          <w:color w:val="000000"/>
          <w:spacing w:val="0"/>
          <w:w w:val="100"/>
          <w:position w:val="0"/>
        </w:rPr>
        <w:t>处置子公司或业务</w:t>
      </w:r>
    </w:p>
    <w:p>
      <w:pPr>
        <w:pStyle w:val="Style18"/>
        <w:keepNext w:val="0"/>
        <w:keepLines w:val="0"/>
        <w:widowControl w:val="0"/>
        <w:numPr>
          <w:ilvl w:val="0"/>
          <w:numId w:val="15"/>
        </w:numPr>
        <w:shd w:val="clear" w:color="auto" w:fill="auto"/>
        <w:tabs>
          <w:tab w:pos="723" w:val="left"/>
        </w:tabs>
        <w:bidi w:val="0"/>
        <w:spacing w:before="0" w:after="0"/>
        <w:ind w:left="0" w:right="0" w:firstLine="360"/>
        <w:jc w:val="left"/>
      </w:pPr>
      <w:bookmarkStart w:id="833" w:name="bookmark833"/>
      <w:bookmarkEnd w:id="833"/>
      <w:r>
        <w:rPr>
          <w:color w:val="000000"/>
          <w:spacing w:val="0"/>
          <w:w w:val="100"/>
          <w:position w:val="0"/>
        </w:rPr>
        <w:t>编制合并资产负债表时，不调整合并资产负债表的期初数。</w:t>
      </w:r>
    </w:p>
    <w:p>
      <w:pPr>
        <w:pStyle w:val="Style18"/>
        <w:keepNext w:val="0"/>
        <w:keepLines w:val="0"/>
        <w:widowControl w:val="0"/>
        <w:numPr>
          <w:ilvl w:val="0"/>
          <w:numId w:val="15"/>
        </w:numPr>
        <w:shd w:val="clear" w:color="auto" w:fill="auto"/>
        <w:tabs>
          <w:tab w:pos="723" w:val="left"/>
        </w:tabs>
        <w:bidi w:val="0"/>
        <w:spacing w:before="0" w:after="120" w:line="312" w:lineRule="exact"/>
        <w:ind w:left="0" w:right="0" w:firstLine="360"/>
        <w:jc w:val="left"/>
      </w:pPr>
      <w:bookmarkStart w:id="834" w:name="bookmark834"/>
      <w:bookmarkEnd w:id="834"/>
      <w:r>
        <w:rPr>
          <w:color w:val="000000"/>
          <w:spacing w:val="0"/>
          <w:w w:val="100"/>
          <w:position w:val="0"/>
        </w:rPr>
        <w:t>编制合并利润表时，将该子公司以及业务期初至处置日的收入、费用、利润纳入合并利润表。</w:t>
      </w:r>
    </w:p>
    <w:p>
      <w:pPr>
        <w:pStyle w:val="Style18"/>
        <w:keepNext w:val="0"/>
        <w:keepLines w:val="0"/>
        <w:widowControl w:val="0"/>
        <w:numPr>
          <w:ilvl w:val="0"/>
          <w:numId w:val="15"/>
        </w:numPr>
        <w:shd w:val="clear" w:color="auto" w:fill="auto"/>
        <w:tabs>
          <w:tab w:pos="723" w:val="left"/>
        </w:tabs>
        <w:bidi w:val="0"/>
        <w:spacing w:before="0" w:after="120" w:line="312" w:lineRule="exact"/>
        <w:ind w:left="0" w:right="0" w:firstLine="360"/>
        <w:jc w:val="left"/>
      </w:pPr>
      <w:bookmarkStart w:id="835" w:name="bookmark835"/>
      <w:bookmarkEnd w:id="835"/>
      <w:r>
        <w:rPr>
          <w:color w:val="000000"/>
          <w:spacing w:val="0"/>
          <w:w w:val="100"/>
          <w:position w:val="0"/>
        </w:rPr>
        <w:t>编制合并现金流量表时将该子公司以及业务期初至处置日的现金流量纳入合并现金流量表。</w:t>
      </w:r>
    </w:p>
    <w:p>
      <w:pPr>
        <w:pStyle w:val="Style18"/>
        <w:keepNext w:val="0"/>
        <w:keepLines w:val="0"/>
        <w:widowControl w:val="0"/>
        <w:shd w:val="clear" w:color="auto" w:fill="auto"/>
        <w:tabs>
          <w:tab w:pos="810" w:val="left"/>
        </w:tabs>
        <w:bidi w:val="0"/>
        <w:spacing w:before="0" w:after="120" w:line="312" w:lineRule="exact"/>
        <w:ind w:left="0" w:right="0" w:firstLine="360"/>
        <w:jc w:val="left"/>
      </w:pPr>
      <w:bookmarkStart w:id="836" w:name="bookmark836"/>
      <w:r>
        <w:rPr>
          <w:b/>
          <w:bCs/>
          <w:color w:val="000000"/>
          <w:spacing w:val="0"/>
          <w:w w:val="100"/>
          <w:position w:val="0"/>
        </w:rPr>
        <w:t>（</w:t>
      </w:r>
      <w:bookmarkEnd w:id="83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合并抵销中的特殊考虑</w:t>
      </w:r>
    </w:p>
    <w:p>
      <w:pPr>
        <w:pStyle w:val="Style18"/>
        <w:keepNext w:val="0"/>
        <w:keepLines w:val="0"/>
        <w:widowControl w:val="0"/>
        <w:numPr>
          <w:ilvl w:val="0"/>
          <w:numId w:val="17"/>
        </w:numPr>
        <w:shd w:val="clear" w:color="auto" w:fill="auto"/>
        <w:tabs>
          <w:tab w:pos="728" w:val="left"/>
        </w:tabs>
        <w:bidi w:val="0"/>
        <w:spacing w:before="0" w:after="120" w:line="302" w:lineRule="exact"/>
        <w:ind w:left="0" w:right="0"/>
        <w:jc w:val="both"/>
      </w:pPr>
      <w:bookmarkStart w:id="837" w:name="bookmark837"/>
      <w:bookmarkEnd w:id="837"/>
      <w:r>
        <w:rPr>
          <w:color w:val="000000"/>
          <w:spacing w:val="0"/>
          <w:w w:val="100"/>
          <w:position w:val="0"/>
        </w:rPr>
        <w:t>子公司持有本公司的长期股权投资，应当视为本公司的库存股，作为所有者权益的减项，在合并资产负债表中所有者 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子公司相互之间持有的长期股权投资，比照本公司对子公司的股权投资的抵销方法，将长期股权投资与其对应的子公司 所有者权益中所享有的份额相互抵销。</w:t>
      </w:r>
    </w:p>
    <w:p>
      <w:pPr>
        <w:pStyle w:val="Style18"/>
        <w:keepNext w:val="0"/>
        <w:keepLines w:val="0"/>
        <w:widowControl w:val="0"/>
        <w:numPr>
          <w:ilvl w:val="0"/>
          <w:numId w:val="17"/>
        </w:numPr>
        <w:shd w:val="clear" w:color="auto" w:fill="auto"/>
        <w:tabs>
          <w:tab w:pos="728" w:val="left"/>
        </w:tabs>
        <w:bidi w:val="0"/>
        <w:spacing w:before="0" w:after="120" w:line="307" w:lineRule="exact"/>
        <w:ind w:left="0" w:right="0"/>
        <w:jc w:val="both"/>
      </w:pPr>
      <w:bookmarkStart w:id="838" w:name="bookmark838"/>
      <w:bookmarkEnd w:id="838"/>
      <w:r>
        <w:rPr>
          <w:rFonts w:ascii="Times New Roman" w:eastAsia="Times New Roman" w:hAnsi="Times New Roman" w:cs="Times New Roman"/>
          <w:color w:val="000000"/>
          <w:spacing w:val="0"/>
          <w:w w:val="100"/>
          <w:position w:val="0"/>
        </w:rPr>
        <w:t>“</w:t>
      </w:r>
      <w:r>
        <w:rPr>
          <w:color w:val="000000"/>
          <w:spacing w:val="0"/>
          <w:w w:val="100"/>
          <w:position w:val="0"/>
        </w:rPr>
        <w:t>专项储备</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rFonts w:ascii="Times New Roman" w:eastAsia="Times New Roman" w:hAnsi="Times New Roman" w:cs="Times New Roman"/>
          <w:color w:val="000000"/>
          <w:spacing w:val="0"/>
          <w:w w:val="100"/>
          <w:position w:val="0"/>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18"/>
        <w:keepNext w:val="0"/>
        <w:keepLines w:val="0"/>
        <w:widowControl w:val="0"/>
        <w:numPr>
          <w:ilvl w:val="0"/>
          <w:numId w:val="17"/>
        </w:numPr>
        <w:shd w:val="clear" w:color="auto" w:fill="auto"/>
        <w:tabs>
          <w:tab w:pos="728" w:val="left"/>
        </w:tabs>
        <w:bidi w:val="0"/>
        <w:spacing w:before="0" w:after="120" w:line="314" w:lineRule="exact"/>
        <w:ind w:left="0" w:right="0"/>
        <w:jc w:val="both"/>
      </w:pPr>
      <w:bookmarkStart w:id="839" w:name="bookmark839"/>
      <w:bookmarkEnd w:id="839"/>
      <w:r>
        <w:rPr>
          <w:color w:val="000000"/>
          <w:spacing w:val="0"/>
          <w:w w:val="100"/>
          <w:position w:val="0"/>
        </w:rPr>
        <w:t>因抵销未实现内部销售损益导致合并资产负债表中资产、负债的账面价值与其在所属纳税主体的计税基础之间产生暂 时性差异的，在合并资产负债表中确认递延所得税资产或递延所得税负债，同时调整合并利润表中的所得税费用，但与直接 计入所有者权益的交易或事项及企业合并相关的递延所得税除外。</w:t>
      </w:r>
    </w:p>
    <w:p>
      <w:pPr>
        <w:pStyle w:val="Style18"/>
        <w:keepNext w:val="0"/>
        <w:keepLines w:val="0"/>
        <w:widowControl w:val="0"/>
        <w:numPr>
          <w:ilvl w:val="0"/>
          <w:numId w:val="17"/>
        </w:numPr>
        <w:shd w:val="clear" w:color="auto" w:fill="auto"/>
        <w:tabs>
          <w:tab w:pos="733" w:val="left"/>
        </w:tabs>
        <w:bidi w:val="0"/>
        <w:spacing w:before="0" w:after="120" w:line="312" w:lineRule="exact"/>
        <w:ind w:left="0" w:right="0"/>
        <w:jc w:val="both"/>
      </w:pPr>
      <w:bookmarkStart w:id="840" w:name="bookmark840"/>
      <w:bookmarkEnd w:id="840"/>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。子公司向本 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之间分配抵销。子公司之间出售资产所发生的未实现内部交易损益，应当按照本公司对出售方子公司的分配 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w:t>
      </w:r>
    </w:p>
    <w:p>
      <w:pPr>
        <w:pStyle w:val="Style18"/>
        <w:keepNext w:val="0"/>
        <w:keepLines w:val="0"/>
        <w:widowControl w:val="0"/>
        <w:numPr>
          <w:ilvl w:val="0"/>
          <w:numId w:val="17"/>
        </w:numPr>
        <w:shd w:val="clear" w:color="auto" w:fill="auto"/>
        <w:tabs>
          <w:tab w:pos="728" w:val="left"/>
        </w:tabs>
        <w:bidi w:val="0"/>
        <w:spacing w:before="0" w:after="120" w:line="307" w:lineRule="exact"/>
        <w:ind w:left="0" w:right="0"/>
        <w:jc w:val="both"/>
      </w:pPr>
      <w:bookmarkStart w:id="841" w:name="bookmark841"/>
      <w:bookmarkEnd w:id="841"/>
      <w:r>
        <w:rPr>
          <w:color w:val="000000"/>
          <w:spacing w:val="0"/>
          <w:w w:val="100"/>
          <w:position w:val="0"/>
        </w:rPr>
        <w:t>子公司少数股东分担的当期亏损超过了少数股东在该子公司期初所有者权益中所享有的份额的，其余额仍应当冲减少 数股东权益。</w:t>
      </w:r>
    </w:p>
    <w:p>
      <w:pPr>
        <w:pStyle w:val="Style18"/>
        <w:keepNext w:val="0"/>
        <w:keepLines w:val="0"/>
        <w:widowControl w:val="0"/>
        <w:shd w:val="clear" w:color="auto" w:fill="auto"/>
        <w:tabs>
          <w:tab w:pos="830" w:val="left"/>
        </w:tabs>
        <w:bidi w:val="0"/>
        <w:spacing w:before="0" w:after="120" w:line="312" w:lineRule="exact"/>
        <w:ind w:left="0" w:right="0"/>
        <w:jc w:val="both"/>
      </w:pPr>
      <w:bookmarkStart w:id="842" w:name="bookmark842"/>
      <w:r>
        <w:rPr>
          <w:b/>
          <w:bCs/>
          <w:color w:val="000000"/>
          <w:spacing w:val="0"/>
          <w:w w:val="100"/>
          <w:position w:val="0"/>
        </w:rPr>
        <w:t>（</w:t>
      </w:r>
      <w:bookmarkEnd w:id="84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特殊交易的会计处理</w:t>
      </w:r>
    </w:p>
    <w:p>
      <w:pPr>
        <w:pStyle w:val="Style18"/>
        <w:keepNext w:val="0"/>
        <w:keepLines w:val="0"/>
        <w:widowControl w:val="0"/>
        <w:numPr>
          <w:ilvl w:val="0"/>
          <w:numId w:val="19"/>
        </w:numPr>
        <w:shd w:val="clear" w:color="auto" w:fill="auto"/>
        <w:tabs>
          <w:tab w:pos="753" w:val="left"/>
        </w:tabs>
        <w:bidi w:val="0"/>
        <w:spacing w:before="0" w:after="120" w:line="312" w:lineRule="exact"/>
        <w:ind w:left="0" w:right="0"/>
        <w:jc w:val="both"/>
      </w:pPr>
      <w:bookmarkStart w:id="843" w:name="bookmark843"/>
      <w:bookmarkEnd w:id="843"/>
      <w:r>
        <w:rPr>
          <w:color w:val="000000"/>
          <w:spacing w:val="0"/>
          <w:w w:val="100"/>
          <w:position w:val="0"/>
        </w:rPr>
        <w:t>购买少数股东股权</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本公司购买子公司少数股东拥有的子公司股权，在个别财务报表中，购买少数股权新取得的长期股权投资的投资成本按 照所支付对价的公允价值计量。在合并财务报表中，因购买少数股权新取得的长期股权投资与按照新增持股比例计算应享有 子公司自购买日或合并日开始持续计算的净资产份额之间的差额，应当调整资本公积（资本溢价或股本溢价），资本公积不 足冲减的，依次冲减盈余公积和未分配利润。</w:t>
      </w:r>
    </w:p>
    <w:p>
      <w:pPr>
        <w:pStyle w:val="Style18"/>
        <w:keepNext w:val="0"/>
        <w:keepLines w:val="0"/>
        <w:widowControl w:val="0"/>
        <w:numPr>
          <w:ilvl w:val="0"/>
          <w:numId w:val="19"/>
        </w:numPr>
        <w:shd w:val="clear" w:color="auto" w:fill="auto"/>
        <w:tabs>
          <w:tab w:pos="753" w:val="left"/>
        </w:tabs>
        <w:bidi w:val="0"/>
        <w:spacing w:before="0" w:after="120" w:line="312" w:lineRule="exact"/>
        <w:ind w:left="0" w:right="0"/>
        <w:jc w:val="both"/>
      </w:pPr>
      <w:bookmarkStart w:id="844" w:name="bookmark844"/>
      <w:bookmarkEnd w:id="844"/>
      <w:r>
        <w:rPr>
          <w:color w:val="000000"/>
          <w:spacing w:val="0"/>
          <w:w w:val="100"/>
          <w:position w:val="0"/>
        </w:rPr>
        <w:t>通过多次交易分步取得子公司控制权的</w:t>
      </w:r>
    </w:p>
    <w:p>
      <w:pPr>
        <w:pStyle w:val="Style18"/>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rPr>
        <w:t>A.</w:t>
      </w:r>
      <w:r>
        <w:rPr>
          <w:color w:val="000000"/>
          <w:spacing w:val="0"/>
          <w:w w:val="100"/>
          <w:position w:val="0"/>
        </w:rPr>
        <w:t>通过多次交易分步实现同一控制下企业合并</w:t>
      </w:r>
    </w:p>
    <w:p>
      <w:pPr>
        <w:pStyle w:val="Style18"/>
        <w:keepNext w:val="0"/>
        <w:keepLines w:val="0"/>
        <w:widowControl w:val="0"/>
        <w:shd w:val="clear" w:color="auto" w:fill="auto"/>
        <w:bidi w:val="0"/>
        <w:spacing w:before="0" w:after="120" w:line="315" w:lineRule="exact"/>
        <w:ind w:left="0" w:right="0"/>
        <w:jc w:val="both"/>
      </w:pPr>
      <w:r>
        <w:rPr>
          <w:color w:val="000000"/>
          <w:spacing w:val="0"/>
          <w:w w:val="100"/>
          <w:position w:val="0"/>
        </w:rPr>
        <w:t>在合并日，本公司在个别财务报表中，根据合并后应享有的子公司净资产在最终控制方合并财务报表中的账面价值的份 额，确定长期股权投资的初始投资成本；初始投资成本与达到合并前的长期股权投资账面价值加上合并日取得进一步股份新 支付对价的账面价值之和的差额，调整资本公积（资本溢价或股本溢价），资本公积（资本溢价或股本溢价）不足冲减的， 依次冲减盈余公积和未分配利润。</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w:t>
      </w:r>
      <w:r>
        <w:rPr>
          <w:color w:val="000000"/>
          <w:spacing w:val="0"/>
          <w:w w:val="100"/>
          <w:position w:val="0"/>
        </w:rPr>
        <w:t>取得的净资产账面价值的差额，调整资本公积（股本溢价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资本溢价），资本公积不足冲减的，调整留存收益。</w:t>
      </w:r>
    </w:p>
    <w:p>
      <w:pPr>
        <w:pStyle w:val="Style18"/>
        <w:keepNext w:val="0"/>
        <w:keepLines w:val="0"/>
        <w:widowControl w:val="0"/>
        <w:shd w:val="clear" w:color="auto" w:fill="auto"/>
        <w:bidi w:val="0"/>
        <w:spacing w:before="0" w:after="200" w:line="307" w:lineRule="exact"/>
        <w:ind w:left="0" w:right="0"/>
        <w:jc w:val="both"/>
      </w:pPr>
      <w:r>
        <w:rPr>
          <w:color w:val="000000"/>
          <w:spacing w:val="0"/>
          <w:w w:val="100"/>
          <w:position w:val="0"/>
        </w:rPr>
        <w:t>合并方在取得被合并方控制权之前持有的股权投资且按权益法核算的，在取得原股权之日与合并方和被合并方同处于同 一方最终控制之日孰晚日起至合并日之间已确认有关损益、其他综合收益以及其他所有者权益变动，应分别冲减比较报表期 间的期初留存收益。</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B.</w:t>
      </w:r>
      <w:r>
        <w:rPr>
          <w:color w:val="000000"/>
          <w:spacing w:val="0"/>
          <w:w w:val="100"/>
          <w:position w:val="0"/>
        </w:rPr>
        <w:t>通过多次交易分步实现非同一控制下企业合并</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在合并日，在个别财务报表中，按照原持有的长期股权投资的账面价值加上合并日新增投资成本之和，作为合并日长期 股权投资的初始投资成本。</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与其账面价值的差额计入当期投资收益；购买日之前持有的被购买方的股权涉及权益法核算下的其他综合收益等的，与其相 关的其他综合收益等转为购买日所属当期收益，但由于被合并方重新计量设定受益计划净资产或净负债变动而产生的其他综 合收益除外。本公司在附注中披露其在购买日之前持有的被购买方的股权在购买日的公允价值、按照公允价值重新计量产生 的相关利得或损失的金额。</w:t>
      </w:r>
    </w:p>
    <w:p>
      <w:pPr>
        <w:pStyle w:val="Style18"/>
        <w:keepNext w:val="0"/>
        <w:keepLines w:val="0"/>
        <w:widowControl w:val="0"/>
        <w:numPr>
          <w:ilvl w:val="0"/>
          <w:numId w:val="19"/>
        </w:numPr>
        <w:shd w:val="clear" w:color="auto" w:fill="auto"/>
        <w:tabs>
          <w:tab w:pos="737" w:val="left"/>
        </w:tabs>
        <w:bidi w:val="0"/>
        <w:spacing w:before="0" w:after="100" w:line="312" w:lineRule="exact"/>
        <w:ind w:left="0" w:right="0"/>
        <w:jc w:val="both"/>
      </w:pPr>
      <w:bookmarkStart w:id="845" w:name="bookmark845"/>
      <w:bookmarkEnd w:id="845"/>
      <w:r>
        <w:rPr>
          <w:color w:val="000000"/>
          <w:spacing w:val="0"/>
          <w:w w:val="100"/>
          <w:position w:val="0"/>
        </w:rPr>
        <w:t>本公司处置对子公司长期股权投资但未丧失控制权</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18"/>
        <w:keepNext w:val="0"/>
        <w:keepLines w:val="0"/>
        <w:widowControl w:val="0"/>
        <w:numPr>
          <w:ilvl w:val="0"/>
          <w:numId w:val="19"/>
        </w:numPr>
        <w:shd w:val="clear" w:color="auto" w:fill="auto"/>
        <w:tabs>
          <w:tab w:pos="737" w:val="left"/>
        </w:tabs>
        <w:bidi w:val="0"/>
        <w:spacing w:before="0" w:after="200" w:line="312" w:lineRule="exact"/>
        <w:ind w:left="0" w:right="0"/>
        <w:jc w:val="both"/>
      </w:pPr>
      <w:bookmarkStart w:id="846" w:name="bookmark846"/>
      <w:bookmarkEnd w:id="846"/>
      <w:r>
        <w:rPr>
          <w:color w:val="000000"/>
          <w:spacing w:val="0"/>
          <w:w w:val="100"/>
          <w:position w:val="0"/>
        </w:rPr>
        <w:t>本公司处置对子公司长期股权投资且丧失控制权</w:t>
      </w:r>
    </w:p>
    <w:p>
      <w:pPr>
        <w:pStyle w:val="Style18"/>
        <w:keepNext w:val="0"/>
        <w:keepLines w:val="0"/>
        <w:widowControl w:val="0"/>
        <w:numPr>
          <w:ilvl w:val="0"/>
          <w:numId w:val="21"/>
        </w:numPr>
        <w:shd w:val="clear" w:color="auto" w:fill="auto"/>
        <w:tabs>
          <w:tab w:pos="707" w:val="left"/>
        </w:tabs>
        <w:bidi w:val="0"/>
        <w:spacing w:before="0" w:after="0"/>
        <w:ind w:left="0" w:right="0" w:firstLine="360"/>
        <w:jc w:val="left"/>
      </w:pPr>
      <w:bookmarkStart w:id="847" w:name="bookmark847"/>
      <w:bookmarkEnd w:id="847"/>
      <w:r>
        <w:rPr>
          <w:color w:val="000000"/>
          <w:spacing w:val="0"/>
          <w:w w:val="100"/>
          <w:position w:val="0"/>
        </w:rPr>
        <w:t>一次交易处置</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公司自购买日或合并日开始持续计算的净资产的份额之间的差额，计入丧失控制权当期的投资收益。</w:t>
      </w:r>
    </w:p>
    <w:p>
      <w:pPr>
        <w:pStyle w:val="Style18"/>
        <w:keepNext w:val="0"/>
        <w:keepLines w:val="0"/>
        <w:widowControl w:val="0"/>
        <w:shd w:val="clear" w:color="auto" w:fill="auto"/>
        <w:bidi w:val="0"/>
        <w:spacing w:before="0" w:after="200" w:line="326" w:lineRule="exact"/>
        <w:ind w:left="0" w:right="0"/>
        <w:jc w:val="both"/>
      </w:pPr>
      <w:r>
        <w:rPr>
          <w:color w:val="000000"/>
          <w:spacing w:val="0"/>
          <w:w w:val="100"/>
          <w:position w:val="0"/>
        </w:rPr>
        <w:t>与原子公司的股权投资相关的其他综合收益、其他所有者权益变动，在丧失控制权时转入当期损益，由于被投资方重新 计量设定受益计划净负债或净资产变动而产生的其他综合收益除外。</w:t>
      </w:r>
    </w:p>
    <w:p>
      <w:pPr>
        <w:pStyle w:val="Style18"/>
        <w:keepNext w:val="0"/>
        <w:keepLines w:val="0"/>
        <w:widowControl w:val="0"/>
        <w:numPr>
          <w:ilvl w:val="0"/>
          <w:numId w:val="21"/>
        </w:numPr>
        <w:shd w:val="clear" w:color="auto" w:fill="auto"/>
        <w:tabs>
          <w:tab w:pos="727" w:val="left"/>
        </w:tabs>
        <w:bidi w:val="0"/>
        <w:spacing w:before="0" w:after="0"/>
        <w:ind w:left="0" w:right="0"/>
        <w:jc w:val="both"/>
      </w:pPr>
      <w:bookmarkStart w:id="848" w:name="bookmark848"/>
      <w:bookmarkEnd w:id="848"/>
      <w:r>
        <w:rPr>
          <w:color w:val="000000"/>
          <w:spacing w:val="0"/>
          <w:w w:val="100"/>
          <w:position w:val="0"/>
        </w:rPr>
        <w:t>多次交易分步处置</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的，在个别财务报表中，对丧失子公司控制权之前的各项交易，结转每一次处置股权 相对应的长期股权投资的账面价值，所得价款与处置长期股权投资账面价值之间的差额计入当期投资收益；在合并财务报表 中，应按照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rPr>
        <w:t>”</w:t>
      </w:r>
      <w:r>
        <w:rPr>
          <w:color w:val="000000"/>
          <w:spacing w:val="0"/>
          <w:w w:val="100"/>
          <w:position w:val="0"/>
        </w:rPr>
        <w:t>的有关规定处理。</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的，应当将各项交易作为一项处置子公司并丧失控制权的交易进行会计处理；在个别财 务报表中，在丧失控制权之前的每一次处置价款与所处置的股权对应的长期股权投资账面价值之间的差额，先确认为其他综 合收益，到丧失控制权时再一并转入丧失控制权的当期损益；在合并财务报表中，对于丧失控制权之前的每一次交易，处置 价款与处置投资对应的享有该子公司净资产份额的差额应当确认为其他综合收益，在丧失控制权时一并转入丧失控制权当期 的损益。</w:t>
      </w:r>
    </w:p>
    <w:p>
      <w:pPr>
        <w:pStyle w:val="Style18"/>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18"/>
        <w:keepNext w:val="0"/>
        <w:keepLines w:val="0"/>
        <w:widowControl w:val="0"/>
        <w:shd w:val="clear" w:color="auto" w:fill="auto"/>
        <w:tabs>
          <w:tab w:pos="775" w:val="left"/>
        </w:tabs>
        <w:bidi w:val="0"/>
        <w:spacing w:before="0" w:after="100" w:line="312" w:lineRule="exact"/>
        <w:ind w:left="0" w:right="0" w:firstLine="36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18"/>
        <w:keepNext w:val="0"/>
        <w:keepLines w:val="0"/>
        <w:widowControl w:val="0"/>
        <w:shd w:val="clear" w:color="auto" w:fill="auto"/>
        <w:tabs>
          <w:tab w:pos="789" w:val="left"/>
        </w:tabs>
        <w:bidi w:val="0"/>
        <w:spacing w:before="0" w:after="100" w:line="312" w:lineRule="exact"/>
        <w:ind w:left="0" w:right="0" w:firstLine="36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18"/>
        <w:keepNext w:val="0"/>
        <w:keepLines w:val="0"/>
        <w:widowControl w:val="0"/>
        <w:shd w:val="clear" w:color="auto" w:fill="auto"/>
        <w:tabs>
          <w:tab w:pos="789" w:val="left"/>
        </w:tabs>
        <w:bidi w:val="0"/>
        <w:spacing w:before="0" w:after="100" w:line="312" w:lineRule="exact"/>
        <w:ind w:left="0" w:right="0" w:firstLine="360"/>
        <w:jc w:val="left"/>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18"/>
        <w:keepNext w:val="0"/>
        <w:keepLines w:val="0"/>
        <w:widowControl w:val="0"/>
        <w:shd w:val="clear" w:color="auto" w:fill="auto"/>
        <w:tabs>
          <w:tab w:pos="825" w:val="left"/>
        </w:tabs>
        <w:bidi w:val="0"/>
        <w:spacing w:before="0" w:after="120" w:line="312" w:lineRule="exact"/>
        <w:ind w:left="0" w:right="0"/>
        <w:jc w:val="left"/>
      </w:pPr>
      <w:bookmarkStart w:id="852" w:name="bookmark852"/>
      <w:r>
        <w:rPr>
          <w:color w:val="000000"/>
          <w:spacing w:val="0"/>
          <w:w w:val="100"/>
          <w:position w:val="0"/>
          <w:shd w:val="clear" w:color="auto" w:fill="FFFFFF"/>
        </w:rPr>
        <w:t>（</w:t>
      </w:r>
      <w:bookmarkEnd w:id="852"/>
      <w:r>
        <w:rPr>
          <w:rFonts w:ascii="Times New Roman" w:eastAsia="Times New Roman" w:hAnsi="Times New Roman" w:cs="Times New Roman"/>
          <w:color w:val="000000"/>
          <w:spacing w:val="0"/>
          <w:w w:val="100"/>
          <w:position w:val="0"/>
          <w:shd w:val="clear" w:color="auto" w:fill="FFFFFF"/>
        </w:rPr>
        <w:t>d</w:t>
      </w:r>
      <w:r>
        <w:rPr>
          <w:color w:val="000000"/>
          <w:spacing w:val="0"/>
          <w:w w:val="100"/>
          <w:position w:val="0"/>
          <w:shd w:val="clear" w:color="auto" w:fill="FFFFFF"/>
        </w:rPr>
        <w:t>）</w:t>
      </w:r>
      <w:r>
        <w:rPr>
          <w:color w:val="000000"/>
          <w:spacing w:val="0"/>
          <w:w w:val="100"/>
          <w:position w:val="0"/>
        </w:rPr>
        <w:tab/>
      </w:r>
      <w:r>
        <w:rPr>
          <w:color w:val="000000"/>
          <w:spacing w:val="0"/>
          <w:w w:val="100"/>
          <w:position w:val="0"/>
        </w:rPr>
        <w:t>一项交易单独考虑时是不经济的，但是和其他交易一并考虑时是经济的。</w:t>
      </w:r>
    </w:p>
    <w:p>
      <w:pPr>
        <w:pStyle w:val="Style18"/>
        <w:keepNext w:val="0"/>
        <w:keepLines w:val="0"/>
        <w:widowControl w:val="0"/>
        <w:numPr>
          <w:ilvl w:val="0"/>
          <w:numId w:val="19"/>
        </w:numPr>
        <w:shd w:val="clear" w:color="auto" w:fill="auto"/>
        <w:bidi w:val="0"/>
        <w:spacing w:before="0" w:after="120" w:line="312" w:lineRule="exact"/>
        <w:ind w:left="0" w:right="0"/>
        <w:jc w:val="left"/>
      </w:pPr>
      <w:bookmarkStart w:id="853" w:name="bookmark853"/>
      <w:bookmarkEnd w:id="853"/>
      <w:r>
        <w:rPr>
          <w:color w:val="000000"/>
          <w:spacing w:val="0"/>
          <w:w w:val="100"/>
          <w:position w:val="0"/>
        </w:rPr>
        <w:t>因子公司的少数股东增资而稀释母公司拥有的股权比例</w:t>
      </w:r>
    </w:p>
    <w:p>
      <w:pPr>
        <w:pStyle w:val="Style18"/>
        <w:keepNext w:val="0"/>
        <w:keepLines w:val="0"/>
        <w:widowControl w:val="0"/>
        <w:shd w:val="clear" w:color="auto" w:fill="auto"/>
        <w:bidi w:val="0"/>
        <w:spacing w:before="0" w:after="800" w:line="312" w:lineRule="exact"/>
        <w:ind w:left="0" w:right="0"/>
        <w:jc w:val="left"/>
      </w:pPr>
      <w:r>
        <w:rPr>
          <w:color w:val="000000"/>
          <w:spacing w:val="0"/>
          <w:w w:val="100"/>
          <w:position w:val="0"/>
        </w:rPr>
        <w:t>子公司的其他股东（少数股东）对子公司进行增资，由此稀释了母公司对子公司的股权比例。在合并财务报表中，按照 增资前的母公司股权比例计算其在增资前子公司账面净资产中的份额，该份额与增资后按照母公司持股比例计算的在增资后 子公司账面净资产份额之间的差额调整资本公积（资本溢价或股本溢价），资本公积（资本溢价或股本溢价）不足冲减的， 调整留存收益。</w:t>
      </w:r>
    </w:p>
    <w:p>
      <w:pPr>
        <w:pStyle w:val="Style29"/>
        <w:keepNext/>
        <w:keepLines/>
        <w:widowControl w:val="0"/>
        <w:shd w:val="clear" w:color="auto" w:fill="auto"/>
        <w:tabs>
          <w:tab w:pos="373"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7</w:t>
      </w:r>
      <w:bookmarkEnd w:id="856"/>
      <w:r>
        <w:rPr>
          <w:color w:val="000000"/>
          <w:spacing w:val="0"/>
          <w:w w:val="100"/>
          <w:position w:val="0"/>
        </w:rPr>
        <w:t>、</w:t>
        <w:tab/>
        <w:t>合营安排分类及共同经营会计处理方法</w:t>
      </w:r>
      <w:bookmarkEnd w:id="854"/>
      <w:bookmarkEnd w:id="855"/>
      <w:bookmarkEnd w:id="857"/>
    </w:p>
    <w:p>
      <w:pPr>
        <w:pStyle w:val="Style18"/>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合营安排，是指一项由两个或两个以上的参与方共同控制的安排。本公司合营安排分为共同经营和合营企业。</w:t>
      </w:r>
    </w:p>
    <w:p>
      <w:pPr>
        <w:pStyle w:val="Style18"/>
        <w:keepNext w:val="0"/>
        <w:keepLines w:val="0"/>
        <w:widowControl w:val="0"/>
        <w:shd w:val="clear" w:color="auto" w:fill="auto"/>
        <w:tabs>
          <w:tab w:pos="810" w:val="left"/>
        </w:tabs>
        <w:bidi w:val="0"/>
        <w:spacing w:before="0" w:after="120" w:line="312" w:lineRule="exact"/>
        <w:ind w:left="0" w:right="0" w:firstLine="360"/>
        <w:jc w:val="left"/>
      </w:pPr>
      <w:bookmarkStart w:id="858" w:name="bookmark858"/>
      <w:r>
        <w:rPr>
          <w:b/>
          <w:bCs/>
          <w:color w:val="000000"/>
          <w:spacing w:val="0"/>
          <w:w w:val="100"/>
          <w:position w:val="0"/>
        </w:rPr>
        <w:t>（</w:t>
      </w:r>
      <w:bookmarkEnd w:id="85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共同经营</w:t>
      </w:r>
    </w:p>
    <w:p>
      <w:pPr>
        <w:pStyle w:val="Style18"/>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共同经营是指本公司享有该安排相关资产且承担该安排相关负债的合营安排。</w:t>
      </w:r>
    </w:p>
    <w:p>
      <w:pPr>
        <w:pStyle w:val="Style18"/>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本公司确认其与共同经营中利益份额相关的下列项目，并按照相关企业会计准则的规定进行会计处理：</w:t>
      </w:r>
    </w:p>
    <w:p>
      <w:pPr>
        <w:pStyle w:val="Style18"/>
        <w:keepNext w:val="0"/>
        <w:keepLines w:val="0"/>
        <w:widowControl w:val="0"/>
        <w:numPr>
          <w:ilvl w:val="0"/>
          <w:numId w:val="23"/>
        </w:numPr>
        <w:shd w:val="clear" w:color="auto" w:fill="auto"/>
        <w:tabs>
          <w:tab w:pos="733" w:val="left"/>
        </w:tabs>
        <w:bidi w:val="0"/>
        <w:spacing w:before="0" w:after="120" w:line="312" w:lineRule="exact"/>
        <w:ind w:left="0" w:right="0" w:firstLine="360"/>
        <w:jc w:val="left"/>
      </w:pPr>
      <w:bookmarkStart w:id="859" w:name="bookmark859"/>
      <w:bookmarkEnd w:id="859"/>
      <w:r>
        <w:rPr>
          <w:color w:val="000000"/>
          <w:spacing w:val="0"/>
          <w:w w:val="100"/>
          <w:position w:val="0"/>
        </w:rPr>
        <w:t>确认单独所持有的资产，以及按其份额确认共同持有的资产；</w:t>
      </w:r>
    </w:p>
    <w:p>
      <w:pPr>
        <w:pStyle w:val="Style18"/>
        <w:keepNext w:val="0"/>
        <w:keepLines w:val="0"/>
        <w:widowControl w:val="0"/>
        <w:numPr>
          <w:ilvl w:val="0"/>
          <w:numId w:val="23"/>
        </w:numPr>
        <w:shd w:val="clear" w:color="auto" w:fill="auto"/>
        <w:tabs>
          <w:tab w:pos="733" w:val="left"/>
        </w:tabs>
        <w:bidi w:val="0"/>
        <w:spacing w:before="0" w:after="120" w:line="312" w:lineRule="exact"/>
        <w:ind w:left="0" w:right="0" w:firstLine="360"/>
        <w:jc w:val="left"/>
      </w:pPr>
      <w:bookmarkStart w:id="860" w:name="bookmark860"/>
      <w:bookmarkEnd w:id="860"/>
      <w:r>
        <w:rPr>
          <w:color w:val="000000"/>
          <w:spacing w:val="0"/>
          <w:w w:val="100"/>
          <w:position w:val="0"/>
        </w:rPr>
        <w:t>确认单独所承担的负债，以及按其份额确认共同承担的负债；</w:t>
      </w:r>
    </w:p>
    <w:p>
      <w:pPr>
        <w:pStyle w:val="Style18"/>
        <w:keepNext w:val="0"/>
        <w:keepLines w:val="0"/>
        <w:widowControl w:val="0"/>
        <w:numPr>
          <w:ilvl w:val="0"/>
          <w:numId w:val="23"/>
        </w:numPr>
        <w:shd w:val="clear" w:color="auto" w:fill="auto"/>
        <w:tabs>
          <w:tab w:pos="733" w:val="left"/>
        </w:tabs>
        <w:bidi w:val="0"/>
        <w:spacing w:before="0" w:after="120" w:line="312" w:lineRule="exact"/>
        <w:ind w:left="0" w:right="0" w:firstLine="360"/>
        <w:jc w:val="left"/>
      </w:pPr>
      <w:bookmarkStart w:id="861" w:name="bookmark861"/>
      <w:bookmarkEnd w:id="861"/>
      <w:r>
        <w:rPr>
          <w:color w:val="000000"/>
          <w:spacing w:val="0"/>
          <w:w w:val="100"/>
          <w:position w:val="0"/>
        </w:rPr>
        <w:t>确认出售其享有的共同经营产出份额所产生的收入；</w:t>
      </w:r>
    </w:p>
    <w:p>
      <w:pPr>
        <w:pStyle w:val="Style18"/>
        <w:keepNext w:val="0"/>
        <w:keepLines w:val="0"/>
        <w:widowControl w:val="0"/>
        <w:numPr>
          <w:ilvl w:val="0"/>
          <w:numId w:val="23"/>
        </w:numPr>
        <w:shd w:val="clear" w:color="auto" w:fill="auto"/>
        <w:tabs>
          <w:tab w:pos="733" w:val="left"/>
        </w:tabs>
        <w:bidi w:val="0"/>
        <w:spacing w:before="0" w:after="120" w:line="312" w:lineRule="exact"/>
        <w:ind w:left="0" w:right="0" w:firstLine="360"/>
        <w:jc w:val="left"/>
      </w:pPr>
      <w:bookmarkStart w:id="862" w:name="bookmark862"/>
      <w:bookmarkEnd w:id="862"/>
      <w:r>
        <w:rPr>
          <w:color w:val="000000"/>
          <w:spacing w:val="0"/>
          <w:w w:val="100"/>
          <w:position w:val="0"/>
        </w:rPr>
        <w:t>按其份额确认共同经营因出售产出所产生的收入；</w:t>
      </w:r>
    </w:p>
    <w:p>
      <w:pPr>
        <w:pStyle w:val="Style18"/>
        <w:keepNext w:val="0"/>
        <w:keepLines w:val="0"/>
        <w:widowControl w:val="0"/>
        <w:numPr>
          <w:ilvl w:val="0"/>
          <w:numId w:val="23"/>
        </w:numPr>
        <w:shd w:val="clear" w:color="auto" w:fill="auto"/>
        <w:tabs>
          <w:tab w:pos="733" w:val="left"/>
        </w:tabs>
        <w:bidi w:val="0"/>
        <w:spacing w:before="0" w:after="120" w:line="312" w:lineRule="exact"/>
        <w:ind w:left="0" w:right="0" w:firstLine="360"/>
        <w:jc w:val="left"/>
      </w:pPr>
      <w:bookmarkStart w:id="863" w:name="bookmark863"/>
      <w:bookmarkEnd w:id="863"/>
      <w:r>
        <w:rPr>
          <w:color w:val="000000"/>
          <w:spacing w:val="0"/>
          <w:w w:val="100"/>
          <w:position w:val="0"/>
        </w:rPr>
        <w:t>确认单独所发生的费用，以及按其份额确认共同经营发生的费用。</w:t>
      </w:r>
    </w:p>
    <w:p>
      <w:pPr>
        <w:pStyle w:val="Style18"/>
        <w:keepNext w:val="0"/>
        <w:keepLines w:val="0"/>
        <w:widowControl w:val="0"/>
        <w:shd w:val="clear" w:color="auto" w:fill="auto"/>
        <w:tabs>
          <w:tab w:pos="810" w:val="left"/>
        </w:tabs>
        <w:bidi w:val="0"/>
        <w:spacing w:before="0" w:after="120" w:line="312" w:lineRule="exact"/>
        <w:ind w:left="0" w:right="0" w:firstLine="360"/>
        <w:jc w:val="left"/>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合营企业</w:t>
      </w:r>
    </w:p>
    <w:p>
      <w:pPr>
        <w:pStyle w:val="Style18"/>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合营企业是指本公司仅对该安排的净资产享有权利的合营安排。</w:t>
      </w:r>
    </w:p>
    <w:p>
      <w:pPr>
        <w:pStyle w:val="Style18"/>
        <w:keepNext w:val="0"/>
        <w:keepLines w:val="0"/>
        <w:widowControl w:val="0"/>
        <w:shd w:val="clear" w:color="auto" w:fill="auto"/>
        <w:bidi w:val="0"/>
        <w:spacing w:before="0" w:after="360" w:line="240" w:lineRule="auto"/>
        <w:ind w:left="0" w:right="0" w:firstLine="360"/>
        <w:jc w:val="left"/>
      </w:pPr>
      <w:r>
        <w:rPr>
          <w:i/>
          <w:iCs/>
          <w:color w:val="000000"/>
          <w:spacing w:val="0"/>
          <w:w w:val="100"/>
          <w:position w:val="0"/>
        </w:rPr>
        <w:t>本公司按照长期股权投资有关权益法核算的规定对合营企业的投资进行会计处理。</w:t>
      </w:r>
    </w:p>
    <w:p>
      <w:pPr>
        <w:pStyle w:val="Style29"/>
        <w:keepNext/>
        <w:keepLines/>
        <w:widowControl w:val="0"/>
        <w:shd w:val="clear" w:color="auto" w:fill="auto"/>
        <w:tabs>
          <w:tab w:pos="378"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8</w:t>
      </w:r>
      <w:bookmarkEnd w:id="867"/>
      <w:r>
        <w:rPr>
          <w:color w:val="000000"/>
          <w:spacing w:val="0"/>
          <w:w w:val="100"/>
          <w:position w:val="0"/>
        </w:rPr>
        <w:t>、</w:t>
        <w:tab/>
        <w:t>现金及现金等价物的确定标准</w:t>
      </w:r>
      <w:bookmarkEnd w:id="865"/>
      <w:bookmarkEnd w:id="866"/>
      <w:bookmarkEnd w:id="868"/>
    </w:p>
    <w:p>
      <w:pPr>
        <w:pStyle w:val="Style18"/>
        <w:keepNext w:val="0"/>
        <w:keepLines w:val="0"/>
        <w:widowControl w:val="0"/>
        <w:shd w:val="clear" w:color="auto" w:fill="auto"/>
        <w:bidi w:val="0"/>
        <w:spacing w:before="0" w:after="360" w:line="317" w:lineRule="exact"/>
        <w:ind w:left="0" w:right="0"/>
        <w:jc w:val="left"/>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29"/>
        <w:keepNext/>
        <w:keepLines/>
        <w:widowControl w:val="0"/>
        <w:shd w:val="clear" w:color="auto" w:fill="auto"/>
        <w:tabs>
          <w:tab w:pos="378"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9</w:t>
      </w:r>
      <w:bookmarkEnd w:id="871"/>
      <w:r>
        <w:rPr>
          <w:color w:val="000000"/>
          <w:spacing w:val="0"/>
          <w:w w:val="100"/>
          <w:position w:val="0"/>
        </w:rPr>
        <w:t>、</w:t>
        <w:tab/>
        <w:t>外币业务和外币报表折算</w:t>
      </w:r>
      <w:bookmarkEnd w:id="869"/>
      <w:bookmarkEnd w:id="870"/>
      <w:bookmarkEnd w:id="872"/>
    </w:p>
    <w:p>
      <w:pPr>
        <w:pStyle w:val="Style18"/>
        <w:keepNext w:val="0"/>
        <w:keepLines w:val="0"/>
        <w:widowControl w:val="0"/>
        <w:shd w:val="clear" w:color="auto" w:fill="auto"/>
        <w:tabs>
          <w:tab w:pos="830" w:val="left"/>
        </w:tabs>
        <w:bidi w:val="0"/>
        <w:spacing w:before="0" w:after="120" w:line="312" w:lineRule="exact"/>
        <w:ind w:left="0" w:right="0"/>
        <w:jc w:val="both"/>
      </w:pPr>
      <w:bookmarkStart w:id="873" w:name="bookmark873"/>
      <w:r>
        <w:rPr>
          <w:b/>
          <w:bCs/>
          <w:color w:val="000000"/>
          <w:spacing w:val="0"/>
          <w:w w:val="100"/>
          <w:position w:val="0"/>
        </w:rPr>
        <w:t>（</w:t>
      </w:r>
      <w:bookmarkEnd w:id="87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外币交易时折算汇率的确定方法</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本公司外币交易初始确认时采用交易发生日的即期汇率折算为记账本位币。</w:t>
      </w:r>
    </w:p>
    <w:p>
      <w:pPr>
        <w:pStyle w:val="Style18"/>
        <w:keepNext w:val="0"/>
        <w:keepLines w:val="0"/>
        <w:widowControl w:val="0"/>
        <w:shd w:val="clear" w:color="auto" w:fill="auto"/>
        <w:tabs>
          <w:tab w:pos="830" w:val="left"/>
        </w:tabs>
        <w:bidi w:val="0"/>
        <w:spacing w:before="0" w:after="120" w:line="312" w:lineRule="exact"/>
        <w:ind w:left="0" w:right="0"/>
        <w:jc w:val="both"/>
      </w:pPr>
      <w:bookmarkStart w:id="874" w:name="bookmark874"/>
      <w:r>
        <w:rPr>
          <w:b/>
          <w:bCs/>
          <w:color w:val="000000"/>
          <w:spacing w:val="0"/>
          <w:w w:val="100"/>
          <w:position w:val="0"/>
        </w:rPr>
        <w:t>（</w:t>
      </w:r>
      <w:bookmarkEnd w:id="87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资产负债表日外币货币性项目的折算方法</w:t>
      </w:r>
    </w:p>
    <w:p>
      <w:pPr>
        <w:pStyle w:val="Style18"/>
        <w:keepNext w:val="0"/>
        <w:keepLines w:val="0"/>
        <w:widowControl w:val="0"/>
        <w:shd w:val="clear" w:color="auto" w:fill="auto"/>
        <w:bidi w:val="0"/>
        <w:spacing w:before="0" w:after="120" w:line="309" w:lineRule="exact"/>
        <w:ind w:left="0" w:right="0"/>
        <w:jc w:val="both"/>
      </w:pPr>
      <w:r>
        <w:rPr>
          <w:color w:val="000000"/>
          <w:spacing w:val="0"/>
          <w:w w:val="100"/>
          <w:position w:val="0"/>
        </w:rPr>
        <w:t>在资产负债表日，对于外币货币性项目，采用资产负债表日的即期汇率折算。因资产负债表日即期汇率与初始确认时或 前一资产负债表日即期汇率不同而产生的汇兑差额，计入当期损益。对以历史成本计量的外币非货币性项目，仍采用交易发 生日的即期汇率折算；对以公允价值计量的外币非货币性项目，采用公允价值确定日的即期汇率折算，折算后的记账本位币 金额与原记账本位币金额的差额，计入当期损益。</w:t>
      </w:r>
    </w:p>
    <w:p>
      <w:pPr>
        <w:pStyle w:val="Style18"/>
        <w:keepNext w:val="0"/>
        <w:keepLines w:val="0"/>
        <w:widowControl w:val="0"/>
        <w:shd w:val="clear" w:color="auto" w:fill="auto"/>
        <w:tabs>
          <w:tab w:pos="830" w:val="left"/>
        </w:tabs>
        <w:bidi w:val="0"/>
        <w:spacing w:before="0" w:after="120" w:line="312" w:lineRule="exact"/>
        <w:ind w:left="0" w:right="0"/>
        <w:jc w:val="both"/>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外币报表折算方法</w:t>
      </w: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18"/>
        <w:keepNext w:val="0"/>
        <w:keepLines w:val="0"/>
        <w:widowControl w:val="0"/>
        <w:numPr>
          <w:ilvl w:val="0"/>
          <w:numId w:val="25"/>
        </w:numPr>
        <w:shd w:val="clear" w:color="auto" w:fill="auto"/>
        <w:tabs>
          <w:tab w:pos="728" w:val="left"/>
        </w:tabs>
        <w:bidi w:val="0"/>
        <w:spacing w:before="0" w:after="100" w:line="312" w:lineRule="exact"/>
        <w:ind w:left="0" w:right="0"/>
        <w:jc w:val="left"/>
      </w:pPr>
      <w:bookmarkStart w:id="876" w:name="bookmark876"/>
      <w:bookmarkEnd w:id="876"/>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w:t>
      </w:r>
    </w:p>
    <w:p>
      <w:pPr>
        <w:pStyle w:val="Style18"/>
        <w:keepNext w:val="0"/>
        <w:keepLines w:val="0"/>
        <w:widowControl w:val="0"/>
        <w:numPr>
          <w:ilvl w:val="0"/>
          <w:numId w:val="25"/>
        </w:numPr>
        <w:shd w:val="clear" w:color="auto" w:fill="auto"/>
        <w:tabs>
          <w:tab w:pos="753" w:val="left"/>
        </w:tabs>
        <w:bidi w:val="0"/>
        <w:spacing w:before="0" w:after="100" w:line="312" w:lineRule="exact"/>
        <w:ind w:left="0" w:right="0"/>
        <w:jc w:val="both"/>
      </w:pPr>
      <w:bookmarkStart w:id="877" w:name="bookmark877"/>
      <w:bookmarkEnd w:id="877"/>
      <w:r>
        <w:rPr>
          <w:color w:val="000000"/>
          <w:spacing w:val="0"/>
          <w:w w:val="100"/>
          <w:position w:val="0"/>
        </w:rPr>
        <w:t>利润表中的收入和费用项目，采用交易发生日的即期汇率或即期汇率的近似汇率折算。</w:t>
      </w:r>
    </w:p>
    <w:p>
      <w:pPr>
        <w:pStyle w:val="Style18"/>
        <w:keepNext w:val="0"/>
        <w:keepLines w:val="0"/>
        <w:widowControl w:val="0"/>
        <w:numPr>
          <w:ilvl w:val="0"/>
          <w:numId w:val="25"/>
        </w:numPr>
        <w:shd w:val="clear" w:color="auto" w:fill="auto"/>
        <w:tabs>
          <w:tab w:pos="728" w:val="left"/>
        </w:tabs>
        <w:bidi w:val="0"/>
        <w:spacing w:before="0" w:after="100" w:line="312" w:lineRule="exact"/>
        <w:ind w:left="0" w:right="0"/>
        <w:jc w:val="both"/>
      </w:pPr>
      <w:bookmarkStart w:id="878" w:name="bookmark878"/>
      <w:bookmarkEnd w:id="878"/>
      <w:r>
        <w:rPr>
          <w:color w:val="000000"/>
          <w:spacing w:val="0"/>
          <w:w w:val="100"/>
          <w:position w:val="0"/>
        </w:rPr>
        <w:t>外币现金流量以及境外子公司的现金流量，采用现金流量发生日的即期汇率或即期汇率的近似汇率折算。汇率变动对 现金的影响额应当作为调节项目，在现金流量表中单独列报。</w:t>
      </w:r>
    </w:p>
    <w:p>
      <w:pPr>
        <w:pStyle w:val="Style18"/>
        <w:keepNext w:val="0"/>
        <w:keepLines w:val="0"/>
        <w:widowControl w:val="0"/>
        <w:numPr>
          <w:ilvl w:val="0"/>
          <w:numId w:val="25"/>
        </w:numPr>
        <w:shd w:val="clear" w:color="auto" w:fill="auto"/>
        <w:tabs>
          <w:tab w:pos="723" w:val="left"/>
        </w:tabs>
        <w:bidi w:val="0"/>
        <w:spacing w:before="0" w:after="100" w:line="317" w:lineRule="exact"/>
        <w:ind w:left="0" w:right="0"/>
        <w:jc w:val="both"/>
      </w:pPr>
      <w:bookmarkStart w:id="879" w:name="bookmark879"/>
      <w:bookmarkEnd w:id="879"/>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其他综合 收益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处置境外经营并丧失控制权时，将资产负债表中所有者权益项目下列示的、与该境外经营相关的外币报表折算差额，全 部或按处置该境外经营的比例转入处置当期损益。</w:t>
      </w:r>
    </w:p>
    <w:p>
      <w:pPr>
        <w:pStyle w:val="Style29"/>
        <w:keepNext/>
        <w:keepLines/>
        <w:widowControl w:val="0"/>
        <w:shd w:val="clear" w:color="auto" w:fill="auto"/>
        <w:bidi w:val="0"/>
        <w:spacing w:before="0" w:after="280" w:line="240" w:lineRule="auto"/>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1</w:t>
      </w:r>
      <w:bookmarkEnd w:id="88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80"/>
      <w:bookmarkEnd w:id="881"/>
      <w:bookmarkEnd w:id="883"/>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金融工具，是指形成一方的金融资产并形成其他方的金融负债或权益工具的合同。</w:t>
      </w:r>
    </w:p>
    <w:p>
      <w:pPr>
        <w:pStyle w:val="Style18"/>
        <w:keepNext w:val="0"/>
        <w:keepLines w:val="0"/>
        <w:widowControl w:val="0"/>
        <w:shd w:val="clear" w:color="auto" w:fill="auto"/>
        <w:tabs>
          <w:tab w:pos="830" w:val="left"/>
        </w:tabs>
        <w:bidi w:val="0"/>
        <w:spacing w:before="0" w:after="100" w:line="312" w:lineRule="exact"/>
        <w:ind w:left="0" w:right="0"/>
        <w:jc w:val="both"/>
      </w:pPr>
      <w:bookmarkStart w:id="884" w:name="bookmark884"/>
      <w:r>
        <w:rPr>
          <w:b/>
          <w:bCs/>
          <w:color w:val="000000"/>
          <w:spacing w:val="0"/>
          <w:w w:val="100"/>
          <w:position w:val="0"/>
        </w:rPr>
        <w:t>（</w:t>
      </w:r>
      <w:bookmarkEnd w:id="88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金融工具的确认和终止确认</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当本公司成为金融工具合同的一方时，确认相关的金融资产或金融负债。</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金融资产满足下列条件之一的，终止确认：</w:t>
      </w:r>
    </w:p>
    <w:p>
      <w:pPr>
        <w:pStyle w:val="Style18"/>
        <w:keepNext w:val="0"/>
        <w:keepLines w:val="0"/>
        <w:widowControl w:val="0"/>
        <w:numPr>
          <w:ilvl w:val="0"/>
          <w:numId w:val="27"/>
        </w:numPr>
        <w:shd w:val="clear" w:color="auto" w:fill="auto"/>
        <w:tabs>
          <w:tab w:pos="753" w:val="left"/>
        </w:tabs>
        <w:bidi w:val="0"/>
        <w:spacing w:before="0" w:after="100" w:line="312" w:lineRule="exact"/>
        <w:ind w:left="0" w:right="0"/>
        <w:jc w:val="both"/>
      </w:pPr>
      <w:bookmarkStart w:id="885" w:name="bookmark885"/>
      <w:bookmarkEnd w:id="885"/>
      <w:r>
        <w:rPr>
          <w:color w:val="000000"/>
          <w:spacing w:val="0"/>
          <w:w w:val="100"/>
          <w:position w:val="0"/>
        </w:rPr>
        <w:t>收取该金融资产现金流量的合同权利终止；</w:t>
      </w:r>
    </w:p>
    <w:p>
      <w:pPr>
        <w:pStyle w:val="Style18"/>
        <w:keepNext w:val="0"/>
        <w:keepLines w:val="0"/>
        <w:widowControl w:val="0"/>
        <w:numPr>
          <w:ilvl w:val="0"/>
          <w:numId w:val="27"/>
        </w:numPr>
        <w:shd w:val="clear" w:color="auto" w:fill="auto"/>
        <w:tabs>
          <w:tab w:pos="753" w:val="left"/>
        </w:tabs>
        <w:bidi w:val="0"/>
        <w:spacing w:before="0" w:after="100" w:line="312" w:lineRule="exact"/>
        <w:ind w:left="0" w:right="0"/>
        <w:jc w:val="both"/>
      </w:pPr>
      <w:bookmarkStart w:id="886" w:name="bookmark886"/>
      <w:bookmarkEnd w:id="886"/>
      <w:r>
        <w:rPr>
          <w:color w:val="000000"/>
          <w:spacing w:val="0"/>
          <w:w w:val="100"/>
          <w:position w:val="0"/>
        </w:rPr>
        <w:t>该金融资产已转移，且符合下述金融资产转移的终止确认条件。</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金融负债（或其一部分）的现时义务已经解除的，终止确认该金融负债（或该部分金融负债）。本公司（借入方）与借 出方之间签订协议，以承担新金融负债方式替换原金融负债，且新金融负债与原金融负债的合同条款实质上不同的，终止确 认原金融负债，并同时确认新金融负债。本公司对原金融负债（或其一部分）的合同条款作出实质性修改的，应当终止原金 融负债，同时按照修改后的条款确认一项新的金融负债。</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以常规方式买卖金融资产，按交易日进行会计确认和终止确认。常规方式买卖金融资产，是指按照合同条款规定，在法 规或市场惯例所确定的时间安排来交付金融资产。交易日，是指本公司承诺买入或卖出金融资产的日期。</w:t>
      </w:r>
    </w:p>
    <w:p>
      <w:pPr>
        <w:pStyle w:val="Style18"/>
        <w:keepNext w:val="0"/>
        <w:keepLines w:val="0"/>
        <w:widowControl w:val="0"/>
        <w:shd w:val="clear" w:color="auto" w:fill="auto"/>
        <w:tabs>
          <w:tab w:pos="830" w:val="left"/>
        </w:tabs>
        <w:bidi w:val="0"/>
        <w:spacing w:before="0" w:after="100" w:line="312" w:lineRule="exact"/>
        <w:ind w:left="0" w:right="0"/>
        <w:jc w:val="both"/>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金融资产的分类与计量</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本公司在初始确认时根据管理金融资产的业务模式和金融资产的合同现金流量特征，将金融资产分类为：以摊余成本计 量的金融资产、以公允价值计量且其变动计入当期损益的金融资产、以公允价值计量且其变动计入其他综合收益的金融资产。 除非本公司改变管理金融资产的业务模式，在此情形下，所有受影响的相关金融资产在业务模式发生变更后的首个报告期间 的第一天进行重分类，否则金融资产在初始确认后不得进行重分类。</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入当期损益，其他类别的金融资产相关交易费用计入其初始确认金额。因销售商品或提供劳务而产生的、未包含或不考虑重 大融资成分的应收票据及应收账款，本公司则按照收入准则定义的交易价格进行初始计量。</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金融资产的后续计量取决于其分类：</w:t>
      </w:r>
    </w:p>
    <w:p>
      <w:pPr>
        <w:pStyle w:val="Style18"/>
        <w:keepNext w:val="0"/>
        <w:keepLines w:val="0"/>
        <w:widowControl w:val="0"/>
        <w:numPr>
          <w:ilvl w:val="0"/>
          <w:numId w:val="29"/>
        </w:numPr>
        <w:shd w:val="clear" w:color="auto" w:fill="auto"/>
        <w:bidi w:val="0"/>
        <w:spacing w:before="0" w:after="100" w:line="312" w:lineRule="exact"/>
        <w:ind w:left="0" w:right="0"/>
        <w:jc w:val="both"/>
      </w:pPr>
      <w:bookmarkStart w:id="888" w:name="bookmark888"/>
      <w:bookmarkEnd w:id="888"/>
      <w:r>
        <w:rPr>
          <w:color w:val="000000"/>
          <w:spacing w:val="0"/>
          <w:w w:val="100"/>
          <w:position w:val="0"/>
        </w:rPr>
        <w:t>以摊余成本计量的金融资产</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金融资产同时符合下列条件的，分类为以摊余成本计量的金融资产：本公司管理该金融资产的业务模式是以收取合同现 </w:t>
      </w:r>
      <w:r>
        <w:rPr>
          <w:color w:val="000000"/>
          <w:spacing w:val="0"/>
          <w:w w:val="100"/>
          <w:position w:val="0"/>
        </w:rPr>
        <w:t>金流量为目标；该金融资产的合同条款规定，在特定日期产生的现金流量，仅为对本金和以未偿付本金金额为基础的利息的 支付。对于此类金融资产，采用实际利率法，按照摊余成本进行后续计量，其终止确认、按实际利率法摊销或减值产生的利 得或损失，均计入当期损益。</w:t>
      </w:r>
    </w:p>
    <w:p>
      <w:pPr>
        <w:pStyle w:val="Style18"/>
        <w:keepNext w:val="0"/>
        <w:keepLines w:val="0"/>
        <w:widowControl w:val="0"/>
        <w:numPr>
          <w:ilvl w:val="0"/>
          <w:numId w:val="29"/>
        </w:numPr>
        <w:shd w:val="clear" w:color="auto" w:fill="auto"/>
        <w:tabs>
          <w:tab w:pos="693" w:val="left"/>
        </w:tabs>
        <w:bidi w:val="0"/>
        <w:spacing w:before="0" w:after="120" w:line="312" w:lineRule="exact"/>
        <w:ind w:left="0" w:right="0" w:firstLine="360"/>
        <w:jc w:val="left"/>
      </w:pPr>
      <w:bookmarkStart w:id="889" w:name="bookmark889"/>
      <w:bookmarkEnd w:id="889"/>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18"/>
        <w:keepNext w:val="0"/>
        <w:keepLines w:val="0"/>
        <w:widowControl w:val="0"/>
        <w:shd w:val="clear" w:color="auto" w:fill="auto"/>
        <w:bidi w:val="0"/>
        <w:spacing w:before="0" w:after="120" w:line="310" w:lineRule="exact"/>
        <w:ind w:left="0" w:right="0" w:firstLine="360"/>
        <w:jc w:val="both"/>
      </w:pPr>
      <w:r>
        <w:rPr>
          <w:color w:val="000000"/>
          <w:spacing w:val="0"/>
          <w:w w:val="100"/>
          <w:position w:val="0"/>
        </w:rPr>
        <w:t>本公司不可撤销地选择将部分非交易性权益工具投资指定为以公允价值计量且其变动计入其他综合收益的金融资产，仅 将相关股利收入计入当期损益，公允价值变动作为其他综合收益确认，直到该金融资产终止确认时，其累计利得或损失转入 留存收益。</w:t>
      </w:r>
    </w:p>
    <w:p>
      <w:pPr>
        <w:pStyle w:val="Style18"/>
        <w:keepNext w:val="0"/>
        <w:keepLines w:val="0"/>
        <w:widowControl w:val="0"/>
        <w:numPr>
          <w:ilvl w:val="0"/>
          <w:numId w:val="29"/>
        </w:numPr>
        <w:shd w:val="clear" w:color="auto" w:fill="auto"/>
        <w:tabs>
          <w:tab w:pos="693" w:val="left"/>
        </w:tabs>
        <w:bidi w:val="0"/>
        <w:spacing w:before="0" w:after="120" w:line="312" w:lineRule="exact"/>
        <w:ind w:left="0" w:right="0" w:firstLine="360"/>
        <w:jc w:val="both"/>
      </w:pPr>
      <w:bookmarkStart w:id="890" w:name="bookmark890"/>
      <w:bookmarkEnd w:id="890"/>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18"/>
        <w:keepNext w:val="0"/>
        <w:keepLines w:val="0"/>
        <w:widowControl w:val="0"/>
        <w:shd w:val="clear" w:color="auto" w:fill="auto"/>
        <w:bidi w:val="0"/>
        <w:spacing w:before="0" w:after="120" w:line="312" w:lineRule="exact"/>
        <w:ind w:left="0" w:right="0" w:firstLine="360"/>
        <w:jc w:val="both"/>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rPr>
        <w:t>3</w:t>
      </w:r>
      <w:r>
        <w:rPr>
          <w:b/>
          <w:bCs/>
          <w:color w:val="000000"/>
          <w:spacing w:val="0"/>
          <w:w w:val="100"/>
          <w:position w:val="0"/>
        </w:rPr>
        <w:t>）金融负债的分类与计量</w:t>
      </w:r>
    </w:p>
    <w:p>
      <w:pPr>
        <w:pStyle w:val="Style18"/>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本公司将金融负债分类为以公允价值计量且其变动计入当期损益的金融负债、低于市场利率贷款的贷款承诺及财务担保 合同负债及以摊余成本计量的金融负债。</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金融负债的后续计量取决于其分类：</w:t>
      </w:r>
    </w:p>
    <w:p>
      <w:pPr>
        <w:pStyle w:val="Style18"/>
        <w:keepNext w:val="0"/>
        <w:keepLines w:val="0"/>
        <w:widowControl w:val="0"/>
        <w:numPr>
          <w:ilvl w:val="0"/>
          <w:numId w:val="31"/>
        </w:numPr>
        <w:shd w:val="clear" w:color="auto" w:fill="auto"/>
        <w:tabs>
          <w:tab w:pos="693" w:val="left"/>
        </w:tabs>
        <w:bidi w:val="0"/>
        <w:spacing w:before="0" w:after="120" w:line="312" w:lineRule="exact"/>
        <w:ind w:left="0" w:right="0" w:firstLine="360"/>
        <w:jc w:val="both"/>
      </w:pPr>
      <w:bookmarkStart w:id="892" w:name="bookmark892"/>
      <w:bookmarkEnd w:id="892"/>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该类金融负债包括交易性金融负债（含属于金融负债的衍生工具）和指定为以公允价值计量且其变动计入当期损益的金 融负债。初始确认后，对于该类金融负债以公允价值进行后续计量，除与套期会计有关外，产生的利得或损失（包括利息费 用）计入当期损益。但本公司对指定为以公允价值计量且其变动计入当期损益的金融负债，由其自身信用风险变动引起的该 金融负债公允价值的变动金额计入其他综合收益，当该金融负债终止确认时，之前计入其他综合收益的累计利得和损失应当 从其他综合收益中转出，计入留存收益。</w:t>
      </w:r>
    </w:p>
    <w:p>
      <w:pPr>
        <w:pStyle w:val="Style18"/>
        <w:keepNext w:val="0"/>
        <w:keepLines w:val="0"/>
        <w:widowControl w:val="0"/>
        <w:numPr>
          <w:ilvl w:val="0"/>
          <w:numId w:val="31"/>
        </w:numPr>
        <w:shd w:val="clear" w:color="auto" w:fill="auto"/>
        <w:tabs>
          <w:tab w:pos="693" w:val="left"/>
        </w:tabs>
        <w:bidi w:val="0"/>
        <w:spacing w:before="0" w:after="120" w:line="312" w:lineRule="exact"/>
        <w:ind w:left="0" w:right="0" w:firstLine="360"/>
        <w:jc w:val="both"/>
      </w:pPr>
      <w:bookmarkStart w:id="893" w:name="bookmark893"/>
      <w:bookmarkEnd w:id="893"/>
      <w:r>
        <w:rPr>
          <w:color w:val="000000"/>
          <w:spacing w:val="0"/>
          <w:w w:val="100"/>
          <w:position w:val="0"/>
        </w:rPr>
        <w:t>贷款承诺及财务担保合同负债</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贷款承诺是本公司向客户提供的一项在承诺期间内以既定的合同条款向客户发放贷款的承诺。贷款承诺按照预期信用损 失模型计提减值损失。</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财务担保合同指，当特定债务人到期不能按照最初或修改后的债务工具条款偿付债务时，要求本公司向蒙受损失的合同 持有人赔付特定金额的合同。财务担保合同负债以按照依据金融工具的减值原则所确定的损失准备金额以及初始确认金额扣 除按收入确认原则确定的累计摊销额后的余额孰高进行后续计量。</w:t>
      </w:r>
    </w:p>
    <w:p>
      <w:pPr>
        <w:pStyle w:val="Style18"/>
        <w:keepNext w:val="0"/>
        <w:keepLines w:val="0"/>
        <w:widowControl w:val="0"/>
        <w:numPr>
          <w:ilvl w:val="0"/>
          <w:numId w:val="31"/>
        </w:numPr>
        <w:shd w:val="clear" w:color="auto" w:fill="auto"/>
        <w:tabs>
          <w:tab w:pos="693" w:val="left"/>
        </w:tabs>
        <w:bidi w:val="0"/>
        <w:spacing w:before="0" w:after="120" w:line="312" w:lineRule="exact"/>
        <w:ind w:left="0" w:right="0" w:firstLine="360"/>
        <w:jc w:val="both"/>
      </w:pPr>
      <w:bookmarkStart w:id="894" w:name="bookmark894"/>
      <w:bookmarkEnd w:id="894"/>
      <w:r>
        <w:rPr>
          <w:color w:val="000000"/>
          <w:spacing w:val="0"/>
          <w:w w:val="100"/>
          <w:position w:val="0"/>
        </w:rPr>
        <w:t>以摊余成本计量的金融负债</w:t>
      </w:r>
    </w:p>
    <w:p>
      <w:pPr>
        <w:pStyle w:val="Style18"/>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初始确认后，对其他金融负债采用实际利率法以摊余成本计量。</w:t>
      </w:r>
    </w:p>
    <w:p>
      <w:pPr>
        <w:pStyle w:val="Style18"/>
        <w:keepNext w:val="0"/>
        <w:keepLines w:val="0"/>
        <w:widowControl w:val="0"/>
        <w:shd w:val="clear" w:color="auto" w:fill="auto"/>
        <w:bidi w:val="0"/>
        <w:spacing w:before="0" w:after="120" w:line="312" w:lineRule="exact"/>
        <w:ind w:left="0" w:right="0" w:firstLine="360"/>
        <w:jc w:val="left"/>
      </w:pPr>
      <w:r>
        <w:rPr>
          <w:color w:val="000000"/>
          <w:spacing w:val="0"/>
          <w:w w:val="100"/>
          <w:position w:val="0"/>
        </w:rPr>
        <w:t>除特殊情况外，金融负债与权益工具按照下列原则进行区分：</w:t>
      </w:r>
    </w:p>
    <w:p>
      <w:pPr>
        <w:pStyle w:val="Style18"/>
        <w:keepNext w:val="0"/>
        <w:keepLines w:val="0"/>
        <w:widowControl w:val="0"/>
        <w:numPr>
          <w:ilvl w:val="0"/>
          <w:numId w:val="33"/>
        </w:numPr>
        <w:shd w:val="clear" w:color="auto" w:fill="auto"/>
        <w:bidi w:val="0"/>
        <w:spacing w:before="0" w:after="120" w:line="317" w:lineRule="exact"/>
        <w:ind w:left="0" w:right="0" w:firstLine="360"/>
        <w:jc w:val="left"/>
      </w:pPr>
      <w:bookmarkStart w:id="895" w:name="bookmark895"/>
      <w:bookmarkEnd w:id="895"/>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有些金融工具虽然没有明确地包含交付现金或其他金融资产义务的条款和条件，但有可能通过其他条款和条件间接地形成合 同义务。</w:t>
      </w:r>
    </w:p>
    <w:p>
      <w:pPr>
        <w:pStyle w:val="Style18"/>
        <w:keepNext w:val="0"/>
        <w:keepLines w:val="0"/>
        <w:widowControl w:val="0"/>
        <w:numPr>
          <w:ilvl w:val="0"/>
          <w:numId w:val="33"/>
        </w:numPr>
        <w:shd w:val="clear" w:color="auto" w:fill="auto"/>
        <w:bidi w:val="0"/>
        <w:spacing w:before="0" w:after="100" w:line="302" w:lineRule="exact"/>
        <w:ind w:left="0" w:right="0" w:firstLine="360"/>
        <w:jc w:val="both"/>
      </w:pPr>
      <w:bookmarkStart w:id="896" w:name="bookmark896"/>
      <w:bookmarkEnd w:id="896"/>
      <w:r>
        <w:rPr>
          <w:color w:val="000000"/>
          <w:spacing w:val="0"/>
          <w:w w:val="100"/>
          <w:position w:val="0"/>
        </w:rPr>
        <w:t>如果一项金融工具须用或可用本公司自身权益工具进行结算，需要考虑用于结算该工具的本公司自身权益工具，是作 为现金或其他金融资产的替代品，还是为了使该工具持有方享有在发行方扣除所有负债后的资产中的剩余权益。如果是前者， 该工具是发行方的金融负债；如果是后者，该工具是发行方的权益工具。在某些情况下，一项金融工具合同规定本公司须用 或可用自身权益工具结算该金融工具，其中合同权利或合同义务的金额等于可获取或需交付的自身权益工具的数量乘以其结 算时的公允价值，则无论该合同权利或合同义务的金额是固定的，还是完全或部分地基于除本公司自身权益工具的市场价格 以外变量（例如利率、某种商品的价格或某项金融工具的价格）的变动而变动，该合同分类为金融负债。</w:t>
      </w:r>
    </w:p>
    <w:p>
      <w:pPr>
        <w:pStyle w:val="Style18"/>
        <w:keepNext w:val="0"/>
        <w:keepLines w:val="0"/>
        <w:widowControl w:val="0"/>
        <w:shd w:val="clear" w:color="auto" w:fill="auto"/>
        <w:tabs>
          <w:tab w:pos="765" w:val="left"/>
        </w:tabs>
        <w:bidi w:val="0"/>
        <w:spacing w:before="0" w:after="100" w:line="312" w:lineRule="exact"/>
        <w:ind w:left="0" w:right="0" w:firstLine="360"/>
        <w:jc w:val="both"/>
      </w:pPr>
      <w:bookmarkStart w:id="897" w:name="bookmark897"/>
      <w:r>
        <w:rPr>
          <w:b/>
          <w:bCs/>
          <w:color w:val="000000"/>
          <w:spacing w:val="0"/>
          <w:w w:val="100"/>
          <w:position w:val="0"/>
        </w:rPr>
        <w:t>（</w:t>
      </w:r>
      <w:bookmarkEnd w:id="89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衍生金融工具及嵌入衍生工具</w:t>
      </w:r>
    </w:p>
    <w:p>
      <w:pPr>
        <w:pStyle w:val="Style18"/>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衍生金融工具以衍生交易合同签订当日的公允价值进行初始计量，并以其公允价值进行后续计量。公允价值为正数的衍 生金融工具确认为一项资产，公允价值为负数的确认为一项负债。</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除现金流量套期中属于套期有效的部分计入其他综合收益并于被套期项目影响损益时转出计入当期损益之外，衍生工具 公允价值变动而产生的利得或损失，直接计入当期损益。</w:t>
      </w:r>
    </w:p>
    <w:p>
      <w:pPr>
        <w:pStyle w:val="Style18"/>
        <w:keepNext w:val="0"/>
        <w:keepLines w:val="0"/>
        <w:widowControl w:val="0"/>
        <w:shd w:val="clear" w:color="auto" w:fill="auto"/>
        <w:bidi w:val="0"/>
        <w:spacing w:before="0" w:after="100" w:line="311" w:lineRule="exact"/>
        <w:ind w:left="0" w:right="0" w:firstLine="360"/>
        <w:jc w:val="both"/>
      </w:pPr>
      <w:r>
        <w:rPr>
          <w:color w:val="000000"/>
          <w:spacing w:val="0"/>
          <w:w w:val="100"/>
          <w:position w:val="0"/>
        </w:rPr>
        <w:t>对包含嵌入衍生工具的混合工具，如主合同为金融资产的，混合工具作为一个整体适用金融资产分类的相关规定。如主 合同并非金融资产，且该混合工具不是以公允价值计量且其变动计入当期损益进行会计处理，嵌入衍生工具与该主合同在经 济特征及风险方面不存在紧密关系，且与嵌入衍生工具条件相同、单独存在的工具符合衍生工具定义的，嵌入衍生工具从混 合工具中分拆，作为单独的衍生金融工具处理。如果该嵌入衍生工具在取得日或后续资产负债表日的公允价值无法单独计量， 则将混合工具整体指定为以公允价值计量且其变动计入当期损益的金融资产或金融负债。</w:t>
      </w:r>
    </w:p>
    <w:p>
      <w:pPr>
        <w:pStyle w:val="Style18"/>
        <w:keepNext w:val="0"/>
        <w:keepLines w:val="0"/>
        <w:widowControl w:val="0"/>
        <w:shd w:val="clear" w:color="auto" w:fill="auto"/>
        <w:tabs>
          <w:tab w:pos="765" w:val="left"/>
        </w:tabs>
        <w:bidi w:val="0"/>
        <w:spacing w:before="0" w:after="100" w:line="312" w:lineRule="exact"/>
        <w:ind w:left="0" w:right="0" w:firstLine="360"/>
        <w:jc w:val="both"/>
      </w:pPr>
      <w:bookmarkStart w:id="898" w:name="bookmark898"/>
      <w:r>
        <w:rPr>
          <w:b/>
          <w:bCs/>
          <w:color w:val="000000"/>
          <w:spacing w:val="0"/>
          <w:w w:val="100"/>
          <w:position w:val="0"/>
        </w:rPr>
        <w:t>（</w:t>
      </w:r>
      <w:bookmarkEnd w:id="89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金融工具减值</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本公司对于以摊余成本计量的金融资产、以公允价值计量且其变动计入其他综合收益的债权投资、合同资产、租赁应收 款、贷款承诺及财务担保合同等，以预期信用损失为基础确认损失准备。</w:t>
      </w:r>
    </w:p>
    <w:p>
      <w:pPr>
        <w:pStyle w:val="Style18"/>
        <w:keepNext w:val="0"/>
        <w:keepLines w:val="0"/>
        <w:widowControl w:val="0"/>
        <w:numPr>
          <w:ilvl w:val="0"/>
          <w:numId w:val="35"/>
        </w:numPr>
        <w:shd w:val="clear" w:color="auto" w:fill="auto"/>
        <w:bidi w:val="0"/>
        <w:spacing w:before="0" w:after="100" w:line="312" w:lineRule="exact"/>
        <w:ind w:left="0" w:right="0" w:firstLine="360"/>
        <w:jc w:val="both"/>
      </w:pPr>
      <w:bookmarkStart w:id="899" w:name="bookmark899"/>
      <w:bookmarkEnd w:id="899"/>
      <w:r>
        <w:rPr>
          <w:color w:val="000000"/>
          <w:spacing w:val="0"/>
          <w:w w:val="100"/>
          <w:position w:val="0"/>
        </w:rPr>
        <w:t>预期信用损失的计量</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整个存续期预期信用损失，是指因金融工具整个预计存续期内所有可能发生的违约事件而导致的预期信用损失。</w:t>
      </w:r>
    </w:p>
    <w:p>
      <w:pPr>
        <w:pStyle w:val="Style18"/>
        <w:keepNext w:val="0"/>
        <w:keepLines w:val="0"/>
        <w:widowControl w:val="0"/>
        <w:shd w:val="clear" w:color="auto" w:fill="auto"/>
        <w:bidi w:val="0"/>
        <w:spacing w:before="0" w:after="100" w:line="326" w:lineRule="exact"/>
        <w:ind w:left="0" w:right="0" w:firstLine="36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 可能发生的金融工具违约事件而导致的预期信用损失，是整个存续期预期信用损失的一部分。</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于每个资产负债表日，本公司对于处于不同阶段的金融工具的预期信用损失分别进行计量。金融工具自初始确认后信用 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个月内的预期信用损失计量损失准备；金融工具自初始确认后信用风 险已显著增加但尚未发生信用减值的，处于第二阶段，本公司按照该工具整个存续期的预期信用损失计量损失准备；金融工 具自初始确认后已经发生信用减值的，处于第三阶段，本公司按照该工具整个存续期的预期信用损失计量损失准备。</w:t>
      </w:r>
    </w:p>
    <w:p>
      <w:pPr>
        <w:pStyle w:val="Style18"/>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个月内的预期信用损失计量损失准备。</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本公司对于处于第一阶段和第二阶段、以及较低信用风险的金融工具，按照其未扣除减值准备的账面余额和实际利率计 算利息收入。对于处于第三阶段的金融工具，按照其账面余额减已计提减值准备后的摊余成本和实际利率计算利息收入。</w:t>
      </w:r>
    </w:p>
    <w:p>
      <w:pPr>
        <w:pStyle w:val="Style18"/>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对于应收票据、应收账款、应收款项融资及合同资产，无论是否存在重大融资成分，本公司均按照整个存续期的预期信 用损失计量损失准备。</w:t>
      </w:r>
    </w:p>
    <w:p>
      <w:pPr>
        <w:pStyle w:val="Style18"/>
        <w:keepNext w:val="0"/>
        <w:keepLines w:val="0"/>
        <w:widowControl w:val="0"/>
        <w:numPr>
          <w:ilvl w:val="0"/>
          <w:numId w:val="37"/>
        </w:numPr>
        <w:shd w:val="clear" w:color="auto" w:fill="auto"/>
        <w:bidi w:val="0"/>
        <w:spacing w:before="0" w:after="0"/>
        <w:ind w:left="0" w:right="0" w:firstLine="360"/>
        <w:jc w:val="both"/>
      </w:pPr>
      <w:bookmarkStart w:id="900" w:name="bookmark900"/>
      <w:bookmarkEnd w:id="900"/>
      <w:r>
        <w:rPr>
          <w:color w:val="000000"/>
          <w:spacing w:val="0"/>
          <w:w w:val="100"/>
          <w:position w:val="0"/>
        </w:rPr>
        <w:t>应收款项</w:t>
      </w:r>
      <w:r>
        <w:rPr>
          <w:rFonts w:ascii="Times New Roman" w:eastAsia="Times New Roman" w:hAnsi="Times New Roman" w:cs="Times New Roman"/>
          <w:color w:val="000000"/>
          <w:spacing w:val="0"/>
          <w:w w:val="100"/>
          <w:position w:val="0"/>
        </w:rPr>
        <w:t>/</w:t>
      </w:r>
      <w:r>
        <w:rPr>
          <w:color w:val="000000"/>
          <w:spacing w:val="0"/>
          <w:w w:val="100"/>
          <w:position w:val="0"/>
        </w:rPr>
        <w:t>合同资产</w:t>
      </w:r>
    </w:p>
    <w:p>
      <w:pPr>
        <w:pStyle w:val="Style18"/>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对于存在客观证据表明存在减值，以及其他适用于单项评估的应收票据、应收账款，其他应收款、应收款项融资及合同</w:t>
        <w:br w:type="page"/>
      </w:r>
      <w:r>
        <w:rPr>
          <w:color w:val="000000"/>
          <w:spacing w:val="0"/>
          <w:w w:val="100"/>
          <w:position w:val="0"/>
        </w:rPr>
        <w:t>资产等单独进行减值测试，确认预期信用损失，计提单项减值准备。对于不存在减值客观证据的应收票据、应收账款、其他 应收款、应收款项融资及合同资产或当单项金融资产无法以合理成本评估预期信用损失的信息时，本公司依据信用风险特征 将应收票据、应收账款、其他应收款、应收款项融资及合同资产等划分为若干组合，在组合基础上计算预期信用损失，确定 组合的依据如下:</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应收票据确定组合的依据如下:</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商业承兑汇票</w:t>
      </w:r>
    </w:p>
    <w:p>
      <w:pPr>
        <w:pStyle w:val="Style18"/>
        <w:keepNext w:val="0"/>
        <w:keepLines w:val="0"/>
        <w:widowControl w:val="0"/>
        <w:shd w:val="clear" w:color="auto" w:fill="auto"/>
        <w:bidi w:val="0"/>
        <w:spacing w:before="0" w:after="120" w:line="240" w:lineRule="auto"/>
        <w:ind w:left="0" w:right="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银行承兑汇票</w:t>
      </w:r>
    </w:p>
    <w:p>
      <w:pPr>
        <w:pStyle w:val="Style18"/>
        <w:keepNext w:val="0"/>
        <w:keepLines w:val="0"/>
        <w:widowControl w:val="0"/>
        <w:shd w:val="clear" w:color="auto" w:fill="auto"/>
        <w:bidi w:val="0"/>
        <w:spacing w:before="0" w:after="200" w:line="307" w:lineRule="exact"/>
        <w:ind w:left="0" w:right="0"/>
        <w:jc w:val="both"/>
      </w:pPr>
      <w:r>
        <w:rPr>
          <w:color w:val="000000"/>
          <w:spacing w:val="0"/>
          <w:w w:val="100"/>
          <w:position w:val="0"/>
        </w:rPr>
        <w:t>对于划分为组合的应收票据，本公司参考历史信用损失经验，结合当前状况以及对未来经济状况的预测，通过违约风险 敞口和整个存续期预期信用损失率，计算预期信用损失。</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应收账款确定组合的依据如下:</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应收中央企业客户</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应收国企、政府及事业单位客户</w:t>
      </w:r>
    </w:p>
    <w:p>
      <w:pPr>
        <w:pStyle w:val="Style18"/>
        <w:keepNext w:val="0"/>
        <w:keepLines w:val="0"/>
        <w:widowControl w:val="0"/>
        <w:shd w:val="clear" w:color="auto" w:fill="auto"/>
        <w:bidi w:val="0"/>
        <w:spacing w:before="0" w:after="120" w:line="240" w:lineRule="auto"/>
        <w:ind w:left="0" w:right="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4</w:t>
      </w:r>
      <w:r>
        <w:rPr>
          <w:color w:val="000000"/>
          <w:spacing w:val="0"/>
          <w:w w:val="100"/>
          <w:position w:val="0"/>
        </w:rPr>
        <w:t>应收其他客户</w:t>
      </w:r>
    </w:p>
    <w:p>
      <w:pPr>
        <w:pStyle w:val="Style18"/>
        <w:keepNext w:val="0"/>
        <w:keepLines w:val="0"/>
        <w:widowControl w:val="0"/>
        <w:shd w:val="clear" w:color="auto" w:fill="auto"/>
        <w:bidi w:val="0"/>
        <w:spacing w:before="0" w:after="200" w:line="307" w:lineRule="exact"/>
        <w:ind w:left="0" w:right="0"/>
        <w:jc w:val="both"/>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w:t>
      </w:r>
    </w:p>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其他应收款确定组合的依据如下:</w:t>
      </w:r>
    </w:p>
    <w:p>
      <w:pPr>
        <w:widowControl w:val="0"/>
        <w:spacing w:line="1" w:lineRule="exact"/>
      </w:pPr>
      <w:r>
        <mc:AlternateContent>
          <mc:Choice Requires="wps">
            <w:drawing>
              <wp:anchor distT="50800" distB="274320" distL="0" distR="0" simplePos="0" relativeHeight="125829394" behindDoc="0" locked="0" layoutInCell="1" allowOverlap="1">
                <wp:simplePos x="0" y="0"/>
                <wp:positionH relativeFrom="page">
                  <wp:posOffset>938530</wp:posOffset>
                </wp:positionH>
                <wp:positionV relativeFrom="paragraph">
                  <wp:posOffset>50800</wp:posOffset>
                </wp:positionV>
                <wp:extent cx="880745" cy="167640"/>
                <wp:wrapTopAndBottom/>
                <wp:docPr id="21" name="Shape 21"/>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p>
                        </w:txbxContent>
                      </wps:txbx>
                      <wps:bodyPr wrap="none" lIns="0" tIns="0" rIns="0" bIns="0">
                        <a:noAutoFit/>
                      </wps:bodyPr>
                    </wps:wsp>
                  </a:graphicData>
                </a:graphic>
              </wp:anchor>
            </w:drawing>
          </mc:Choice>
          <mc:Fallback>
            <w:pict>
              <v:shape id="_x0000_s1047" type="#_x0000_t202" style="position:absolute;margin-left:73.900000000000006pt;margin-top:4.pt;width:69.350000000000009pt;height:13.200000000000001pt;z-index:-125829359;mso-wrap-distance-left:0;mso-wrap-distance-top:4.pt;mso-wrap-distance-right:0;mso-wrap-distance-bottom:21.60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p>
                  </w:txbxContent>
                </v:textbox>
                <w10:wrap type="topAndBottom" anchorx="page"/>
              </v:shape>
            </w:pict>
          </mc:Fallback>
        </mc:AlternateContent>
      </w:r>
      <w:r>
        <mc:AlternateContent>
          <mc:Choice Requires="wps">
            <w:drawing>
              <wp:anchor distT="57150" distB="286385" distL="0" distR="0" simplePos="0" relativeHeight="125829396" behindDoc="0" locked="0" layoutInCell="1" allowOverlap="1">
                <wp:simplePos x="0" y="0"/>
                <wp:positionH relativeFrom="page">
                  <wp:posOffset>1886585</wp:posOffset>
                </wp:positionH>
                <wp:positionV relativeFrom="paragraph">
                  <wp:posOffset>57150</wp:posOffset>
                </wp:positionV>
                <wp:extent cx="484505" cy="149225"/>
                <wp:wrapTopAndBottom/>
                <wp:docPr id="23" name="Shape 23"/>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wps:txbx>
                      <wps:bodyPr wrap="none" lIns="0" tIns="0" rIns="0" bIns="0">
                        <a:noAutoFit/>
                      </wps:bodyPr>
                    </wps:wsp>
                  </a:graphicData>
                </a:graphic>
              </wp:anchor>
            </w:drawing>
          </mc:Choice>
          <mc:Fallback>
            <w:pict>
              <v:shape id="_x0000_s1049" type="#_x0000_t202" style="position:absolute;margin-left:148.55000000000001pt;margin-top:4.5pt;width:38.149999999999999pt;height:11.75pt;z-index:-125829357;mso-wrap-distance-left:0;mso-wrap-distance-top:4.5pt;mso-wrap-distance-right:0;mso-wrap-distance-bottom:22.55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v:textbox>
                <w10:wrap type="topAndBottom" anchorx="page"/>
              </v:shape>
            </w:pict>
          </mc:Fallback>
        </mc:AlternateContent>
      </w:r>
      <w:r>
        <mc:AlternateContent>
          <mc:Choice Requires="wps">
            <w:drawing>
              <wp:anchor distT="325120" distB="0" distL="0" distR="0" simplePos="0" relativeHeight="125829398" behindDoc="0" locked="0" layoutInCell="1" allowOverlap="1">
                <wp:simplePos x="0" y="0"/>
                <wp:positionH relativeFrom="page">
                  <wp:posOffset>938530</wp:posOffset>
                </wp:positionH>
                <wp:positionV relativeFrom="paragraph">
                  <wp:posOffset>325120</wp:posOffset>
                </wp:positionV>
                <wp:extent cx="880745" cy="167640"/>
                <wp:wrapTopAndBottom/>
                <wp:docPr id="25" name="Shape 25"/>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p>
                        </w:txbxContent>
                      </wps:txbx>
                      <wps:bodyPr wrap="none" lIns="0" tIns="0" rIns="0" bIns="0">
                        <a:noAutoFit/>
                      </wps:bodyPr>
                    </wps:wsp>
                  </a:graphicData>
                </a:graphic>
              </wp:anchor>
            </w:drawing>
          </mc:Choice>
          <mc:Fallback>
            <w:pict>
              <v:shape id="_x0000_s1051" type="#_x0000_t202" style="position:absolute;margin-left:73.900000000000006pt;margin-top:25.600000000000001pt;width:69.350000000000009pt;height:13.200000000000001pt;z-index:-125829355;mso-wrap-distance-left:0;mso-wrap-distance-top:25.600000000000001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p>
                  </w:txbxContent>
                </v:textbox>
                <w10:wrap type="topAndBottom" anchorx="page"/>
              </v:shape>
            </w:pict>
          </mc:Fallback>
        </mc:AlternateContent>
      </w:r>
      <w:r>
        <mc:AlternateContent>
          <mc:Choice Requires="wps">
            <w:drawing>
              <wp:anchor distT="331470" distB="12065" distL="0" distR="0" simplePos="0" relativeHeight="125829400" behindDoc="0" locked="0" layoutInCell="1" allowOverlap="1">
                <wp:simplePos x="0" y="0"/>
                <wp:positionH relativeFrom="page">
                  <wp:posOffset>1886585</wp:posOffset>
                </wp:positionH>
                <wp:positionV relativeFrom="paragraph">
                  <wp:posOffset>331470</wp:posOffset>
                </wp:positionV>
                <wp:extent cx="484505" cy="149225"/>
                <wp:wrapTopAndBottom/>
                <wp:docPr id="27" name="Shape 27"/>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wps:txbx>
                      <wps:bodyPr wrap="none" lIns="0" tIns="0" rIns="0" bIns="0">
                        <a:noAutoFit/>
                      </wps:bodyPr>
                    </wps:wsp>
                  </a:graphicData>
                </a:graphic>
              </wp:anchor>
            </w:drawing>
          </mc:Choice>
          <mc:Fallback>
            <w:pict>
              <v:shape id="_x0000_s1053" type="#_x0000_t202" style="position:absolute;margin-left:148.55000000000001pt;margin-top:26.100000000000001pt;width:38.149999999999999pt;height:11.75pt;z-index:-125829353;mso-wrap-distance-left:0;mso-wrap-distance-top:26.100000000000001pt;mso-wrap-distance-right:0;mso-wrap-distance-bottom:0.9500000000000000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402" behindDoc="0" locked="0" layoutInCell="1" allowOverlap="1">
                <wp:simplePos x="0" y="0"/>
                <wp:positionH relativeFrom="page">
                  <wp:posOffset>938530</wp:posOffset>
                </wp:positionH>
                <wp:positionV relativeFrom="paragraph">
                  <wp:posOffset>101600</wp:posOffset>
                </wp:positionV>
                <wp:extent cx="880745" cy="167640"/>
                <wp:wrapTopAndBottom/>
                <wp:docPr id="29" name="Shape 29"/>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p>
                        </w:txbxContent>
                      </wps:txbx>
                      <wps:bodyPr wrap="none" lIns="0" tIns="0" rIns="0" bIns="0">
                        <a:noAutoFit/>
                      </wps:bodyPr>
                    </wps:wsp>
                  </a:graphicData>
                </a:graphic>
              </wp:anchor>
            </w:drawing>
          </mc:Choice>
          <mc:Fallback>
            <w:pict>
              <v:shape id="_x0000_s1055" type="#_x0000_t202" style="position:absolute;margin-left:73.900000000000006pt;margin-top:8.pt;width:69.350000000000009pt;height:13.200000000000001pt;z-index:-125829351;mso-wrap-distance-left:0;mso-wrap-distance-top:8.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p>
                  </w:txbxContent>
                </v:textbox>
                <w10:wrap type="topAndBottom" anchorx="page"/>
              </v:shape>
            </w:pict>
          </mc:Fallback>
        </mc:AlternateContent>
      </w:r>
      <w:r>
        <mc:AlternateContent>
          <mc:Choice Requires="wps">
            <w:drawing>
              <wp:anchor distT="107950" distB="15240" distL="0" distR="0" simplePos="0" relativeHeight="125829404" behindDoc="0" locked="0" layoutInCell="1" allowOverlap="1">
                <wp:simplePos x="0" y="0"/>
                <wp:positionH relativeFrom="page">
                  <wp:posOffset>1889760</wp:posOffset>
                </wp:positionH>
                <wp:positionV relativeFrom="paragraph">
                  <wp:posOffset>107950</wp:posOffset>
                </wp:positionV>
                <wp:extent cx="938530" cy="146050"/>
                <wp:wrapTopAndBottom/>
                <wp:docPr id="31" name="Shape 31"/>
                <a:graphic xmlns:a="http://schemas.openxmlformats.org/drawingml/2006/main">
                  <a:graphicData uri="http://schemas.microsoft.com/office/word/2010/wordprocessingShape">
                    <wps:wsp>
                      <wps:cNvSpPr txBox="1"/>
                      <wps:spPr>
                        <a:xfrm>
                          <a:ext cx="93853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xbxContent>
                      </wps:txbx>
                      <wps:bodyPr wrap="none" lIns="0" tIns="0" rIns="0" bIns="0">
                        <a:noAutoFit/>
                      </wps:bodyPr>
                    </wps:wsp>
                  </a:graphicData>
                </a:graphic>
              </wp:anchor>
            </w:drawing>
          </mc:Choice>
          <mc:Fallback>
            <w:pict>
              <v:shape id="_x0000_s1057" type="#_x0000_t202" style="position:absolute;margin-left:148.80000000000001pt;margin-top:8.5pt;width:73.900000000000006pt;height:11.5pt;z-index:-125829349;mso-wrap-distance-left:0;mso-wrap-distance-top:8.5pt;mso-wrap-distance-right:0;mso-wrap-distance-bottom:1.2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406" behindDoc="0" locked="0" layoutInCell="1" allowOverlap="1">
                <wp:simplePos x="0" y="0"/>
                <wp:positionH relativeFrom="page">
                  <wp:posOffset>938530</wp:posOffset>
                </wp:positionH>
                <wp:positionV relativeFrom="paragraph">
                  <wp:posOffset>101600</wp:posOffset>
                </wp:positionV>
                <wp:extent cx="880745" cy="167640"/>
                <wp:wrapTopAndBottom/>
                <wp:docPr id="33" name="Shape 33"/>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p>
                        </w:txbxContent>
                      </wps:txbx>
                      <wps:bodyPr wrap="none" lIns="0" tIns="0" rIns="0" bIns="0">
                        <a:noAutoFit/>
                      </wps:bodyPr>
                    </wps:wsp>
                  </a:graphicData>
                </a:graphic>
              </wp:anchor>
            </w:drawing>
          </mc:Choice>
          <mc:Fallback>
            <w:pict>
              <v:shape id="_x0000_s1059" type="#_x0000_t202" style="position:absolute;margin-left:73.900000000000006pt;margin-top:8.pt;width:69.350000000000009pt;height:13.200000000000001pt;z-index:-125829347;mso-wrap-distance-left:0;mso-wrap-distance-top:8.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p>
                  </w:txbxContent>
                </v:textbox>
                <w10:wrap type="topAndBottom" anchorx="page"/>
              </v:shape>
            </w:pict>
          </mc:Fallback>
        </mc:AlternateContent>
      </w:r>
      <w:r>
        <mc:AlternateContent>
          <mc:Choice Requires="wps">
            <w:drawing>
              <wp:anchor distT="107950" distB="12065" distL="0" distR="0" simplePos="0" relativeHeight="125829408" behindDoc="0" locked="0" layoutInCell="1" allowOverlap="1">
                <wp:simplePos x="0" y="0"/>
                <wp:positionH relativeFrom="page">
                  <wp:posOffset>1886585</wp:posOffset>
                </wp:positionH>
                <wp:positionV relativeFrom="paragraph">
                  <wp:posOffset>107950</wp:posOffset>
                </wp:positionV>
                <wp:extent cx="941705" cy="149225"/>
                <wp:wrapTopAndBottom/>
                <wp:docPr id="35" name="Shape 3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xbxContent>
                      </wps:txbx>
                      <wps:bodyPr wrap="none" lIns="0" tIns="0" rIns="0" bIns="0">
                        <a:noAutoFit/>
                      </wps:bodyPr>
                    </wps:wsp>
                  </a:graphicData>
                </a:graphic>
              </wp:anchor>
            </w:drawing>
          </mc:Choice>
          <mc:Fallback>
            <w:pict>
              <v:shape id="_x0000_s1061" type="#_x0000_t202" style="position:absolute;margin-left:148.55000000000001pt;margin-top:8.5pt;width:74.150000000000006pt;height:11.75pt;z-index:-125829345;mso-wrap-distance-left:0;mso-wrap-distance-top:8.5pt;mso-wrap-distance-right:0;mso-wrap-distance-bottom:0.9500000000000000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xbxContent>
                </v:textbox>
                <w10:wrap type="topAndBottom" anchorx="page"/>
              </v:shape>
            </w:pict>
          </mc:Fallback>
        </mc:AlternateContent>
      </w:r>
    </w:p>
    <w:p>
      <w:pPr>
        <w:widowControl w:val="0"/>
        <w:spacing w:line="1" w:lineRule="exact"/>
      </w:pPr>
      <w:r>
        <mc:AlternateContent>
          <mc:Choice Requires="wps">
            <w:drawing>
              <wp:anchor distT="101600" distB="274320" distL="0" distR="0" simplePos="0" relativeHeight="125829410" behindDoc="0" locked="0" layoutInCell="1" allowOverlap="1">
                <wp:simplePos x="0" y="0"/>
                <wp:positionH relativeFrom="page">
                  <wp:posOffset>938530</wp:posOffset>
                </wp:positionH>
                <wp:positionV relativeFrom="paragraph">
                  <wp:posOffset>101600</wp:posOffset>
                </wp:positionV>
                <wp:extent cx="880745" cy="167640"/>
                <wp:wrapTopAndBottom/>
                <wp:docPr id="37" name="Shape 37"/>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5</w:t>
                            </w:r>
                          </w:p>
                        </w:txbxContent>
                      </wps:txbx>
                      <wps:bodyPr wrap="none" lIns="0" tIns="0" rIns="0" bIns="0">
                        <a:noAutoFit/>
                      </wps:bodyPr>
                    </wps:wsp>
                  </a:graphicData>
                </a:graphic>
              </wp:anchor>
            </w:drawing>
          </mc:Choice>
          <mc:Fallback>
            <w:pict>
              <v:shape id="_x0000_s1063" type="#_x0000_t202" style="position:absolute;margin-left:73.900000000000006pt;margin-top:8.pt;width:69.350000000000009pt;height:13.200000000000001pt;z-index:-125829343;mso-wrap-distance-left:0;mso-wrap-distance-top:8.pt;mso-wrap-distance-right:0;mso-wrap-distance-bottom:21.60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5</w:t>
                      </w:r>
                    </w:p>
                  </w:txbxContent>
                </v:textbox>
                <w10:wrap type="topAndBottom" anchorx="page"/>
              </v:shape>
            </w:pict>
          </mc:Fallback>
        </mc:AlternateContent>
      </w:r>
      <w:r>
        <mc:AlternateContent>
          <mc:Choice Requires="wps">
            <w:drawing>
              <wp:anchor distT="107950" distB="283210" distL="0" distR="0" simplePos="0" relativeHeight="125829412" behindDoc="0" locked="0" layoutInCell="1" allowOverlap="1">
                <wp:simplePos x="0" y="0"/>
                <wp:positionH relativeFrom="page">
                  <wp:posOffset>1886585</wp:posOffset>
                </wp:positionH>
                <wp:positionV relativeFrom="paragraph">
                  <wp:posOffset>107950</wp:posOffset>
                </wp:positionV>
                <wp:extent cx="600710" cy="152400"/>
                <wp:wrapTopAndBottom/>
                <wp:docPr id="39" name="Shape 39"/>
                <a:graphic xmlns:a="http://schemas.openxmlformats.org/drawingml/2006/main">
                  <a:graphicData uri="http://schemas.microsoft.com/office/word/2010/wordprocessingShape">
                    <wps:wsp>
                      <wps:cNvSpPr txBox="1"/>
                      <wps:spPr>
                        <a:xfrm>
                          <a:ext cx="600710" cy="1524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xbxContent>
                      </wps:txbx>
                      <wps:bodyPr wrap="none" lIns="0" tIns="0" rIns="0" bIns="0">
                        <a:noAutoFit/>
                      </wps:bodyPr>
                    </wps:wsp>
                  </a:graphicData>
                </a:graphic>
              </wp:anchor>
            </w:drawing>
          </mc:Choice>
          <mc:Fallback>
            <w:pict>
              <v:shape id="_x0000_s1065" type="#_x0000_t202" style="position:absolute;margin-left:148.55000000000001pt;margin-top:8.5pt;width:47.300000000000004pt;height:12.pt;z-index:-125829341;mso-wrap-distance-left:0;mso-wrap-distance-top:8.5pt;mso-wrap-distance-right:0;mso-wrap-distance-bottom:22.30000000000000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xbxContent>
                </v:textbox>
                <w10:wrap type="topAndBottom" anchorx="page"/>
              </v:shape>
            </w:pict>
          </mc:Fallback>
        </mc:AlternateContent>
      </w:r>
      <w:r>
        <mc:AlternateContent>
          <mc:Choice Requires="wps">
            <w:drawing>
              <wp:anchor distT="375920" distB="0" distL="0" distR="0" simplePos="0" relativeHeight="125829414" behindDoc="0" locked="0" layoutInCell="1" allowOverlap="1">
                <wp:simplePos x="0" y="0"/>
                <wp:positionH relativeFrom="page">
                  <wp:posOffset>938530</wp:posOffset>
                </wp:positionH>
                <wp:positionV relativeFrom="paragraph">
                  <wp:posOffset>375920</wp:posOffset>
                </wp:positionV>
                <wp:extent cx="880745" cy="167640"/>
                <wp:wrapTopAndBottom/>
                <wp:docPr id="41" name="Shape 41"/>
                <a:graphic xmlns:a="http://schemas.openxmlformats.org/drawingml/2006/main">
                  <a:graphicData uri="http://schemas.microsoft.com/office/word/2010/wordprocessingShape">
                    <wps:wsp>
                      <wps:cNvSpPr txBox="1"/>
                      <wps:spPr>
                        <a:xfrm>
                          <a:ext cx="88074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6</w:t>
                            </w:r>
                          </w:p>
                        </w:txbxContent>
                      </wps:txbx>
                      <wps:bodyPr wrap="none" lIns="0" tIns="0" rIns="0" bIns="0">
                        <a:noAutoFit/>
                      </wps:bodyPr>
                    </wps:wsp>
                  </a:graphicData>
                </a:graphic>
              </wp:anchor>
            </w:drawing>
          </mc:Choice>
          <mc:Fallback>
            <w:pict>
              <v:shape id="_x0000_s1067" type="#_x0000_t202" style="position:absolute;margin-left:73.900000000000006pt;margin-top:29.600000000000001pt;width:69.350000000000009pt;height:13.200000000000001pt;z-index:-125829339;mso-wrap-distance-left:0;mso-wrap-distance-top:29.600000000000001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6</w:t>
                      </w:r>
                    </w:p>
                  </w:txbxContent>
                </v:textbox>
                <w10:wrap type="topAndBottom" anchorx="page"/>
              </v:shape>
            </w:pict>
          </mc:Fallback>
        </mc:AlternateContent>
      </w:r>
      <w:r>
        <mc:AlternateContent>
          <mc:Choice Requires="wps">
            <w:drawing>
              <wp:anchor distT="382270" distB="12065" distL="0" distR="0" simplePos="0" relativeHeight="125829416" behindDoc="0" locked="0" layoutInCell="1" allowOverlap="1">
                <wp:simplePos x="0" y="0"/>
                <wp:positionH relativeFrom="page">
                  <wp:posOffset>1886585</wp:posOffset>
                </wp:positionH>
                <wp:positionV relativeFrom="paragraph">
                  <wp:posOffset>382270</wp:posOffset>
                </wp:positionV>
                <wp:extent cx="600710" cy="149225"/>
                <wp:wrapTopAndBottom/>
                <wp:docPr id="43" name="Shape 43"/>
                <a:graphic xmlns:a="http://schemas.openxmlformats.org/drawingml/2006/main">
                  <a:graphicData uri="http://schemas.microsoft.com/office/word/2010/wordprocessingShape">
                    <wps:wsp>
                      <wps:cNvSpPr txBox="1"/>
                      <wps:spPr>
                        <a:xfrm>
                          <a:ext cx="6007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xbxContent>
                      </wps:txbx>
                      <wps:bodyPr wrap="none" lIns="0" tIns="0" rIns="0" bIns="0">
                        <a:noAutoFit/>
                      </wps:bodyPr>
                    </wps:wsp>
                  </a:graphicData>
                </a:graphic>
              </wp:anchor>
            </w:drawing>
          </mc:Choice>
          <mc:Fallback>
            <w:pict>
              <v:shape id="_x0000_s1069" type="#_x0000_t202" style="position:absolute;margin-left:148.55000000000001pt;margin-top:30.100000000000001pt;width:47.300000000000004pt;height:11.75pt;z-index:-125829337;mso-wrap-distance-left:0;mso-wrap-distance-top:30.100000000000001pt;mso-wrap-distance-right:0;mso-wrap-distance-bottom:0.9500000000000000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xbxContent>
                </v:textbox>
                <w10:wrap type="topAndBottom" anchorx="page"/>
              </v:shape>
            </w:pict>
          </mc:Fallback>
        </mc:AlternateContent>
      </w:r>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7</w:t>
      </w:r>
      <w:r>
        <w:rPr>
          <w:color w:val="000000"/>
          <w:spacing w:val="0"/>
          <w:w w:val="100"/>
          <w:position w:val="0"/>
        </w:rPr>
        <w:t>应收其他款项</w:t>
      </w:r>
    </w:p>
    <w:p>
      <w:pPr>
        <w:pStyle w:val="Style18"/>
        <w:keepNext w:val="0"/>
        <w:keepLines w:val="0"/>
        <w:widowControl w:val="0"/>
        <w:shd w:val="clear" w:color="auto" w:fill="auto"/>
        <w:bidi w:val="0"/>
        <w:spacing w:before="0" w:after="200" w:line="307" w:lineRule="exact"/>
        <w:ind w:left="0" w:right="0"/>
        <w:jc w:val="left"/>
      </w:pPr>
      <w:r>
        <w:rPr>
          <w:color w:val="000000"/>
          <w:spacing w:val="0"/>
          <w:w w:val="100"/>
          <w:position w:val="0"/>
        </w:rPr>
        <w:t>对于划分为组合的其他应收款，本公司参考历史信用损失经验，结合当前状况以及对未来经济状况的预测，通过违约风 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shd w:val="clear" w:color="auto" w:fill="auto"/>
        <w:bidi w:val="0"/>
        <w:spacing w:before="0" w:after="200" w:line="240" w:lineRule="auto"/>
        <w:ind w:left="0" w:right="0"/>
        <w:jc w:val="left"/>
      </w:pPr>
      <w:r>
        <w:rPr>
          <w:color w:val="000000"/>
          <w:spacing w:val="0"/>
          <w:w w:val="100"/>
          <w:position w:val="0"/>
        </w:rPr>
        <w:t>应收款项融资确定组合的依据如下:</w:t>
      </w:r>
    </w:p>
    <w:p>
      <w:pPr>
        <w:pStyle w:val="Style18"/>
        <w:keepNext w:val="0"/>
        <w:keepLines w:val="0"/>
        <w:widowControl w:val="0"/>
        <w:shd w:val="clear" w:color="auto" w:fill="auto"/>
        <w:bidi w:val="0"/>
        <w:spacing w:before="0" w:after="100" w:line="240" w:lineRule="auto"/>
        <w:ind w:left="0" w:right="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1</w:t>
      </w:r>
      <w:r>
        <w:rPr>
          <w:color w:val="000000"/>
          <w:spacing w:val="0"/>
          <w:w w:val="100"/>
          <w:position w:val="0"/>
        </w:rPr>
        <w:t>应收票据</w:t>
      </w:r>
    </w:p>
    <w:p>
      <w:pPr>
        <w:pStyle w:val="Style18"/>
        <w:keepNext w:val="0"/>
        <w:keepLines w:val="0"/>
        <w:widowControl w:val="0"/>
        <w:shd w:val="clear" w:color="auto" w:fill="auto"/>
        <w:bidi w:val="0"/>
        <w:spacing w:before="0" w:after="200" w:line="298" w:lineRule="exact"/>
        <w:ind w:left="0" w:right="0"/>
        <w:jc w:val="both"/>
      </w:pPr>
      <w:r>
        <w:rPr>
          <w:color w:val="000000"/>
          <w:spacing w:val="0"/>
          <w:w w:val="100"/>
          <w:position w:val="0"/>
        </w:rPr>
        <w:t>对于划分为组合的应收款项融资，本公司参考历史信用损失经验，结合当前状况以及对未来经济状况的预测，通过违约 风险敞口和整个存续期预期信用损失率，计算预期信用损失。</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合同资产确定组合的依据如下:</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 xml:space="preserve">2 </w:t>
      </w:r>
      <w:r>
        <w:rPr>
          <w:color w:val="000000"/>
          <w:spacing w:val="0"/>
          <w:w w:val="100"/>
          <w:position w:val="0"/>
        </w:rPr>
        <w:t>应收中央企业客户</w:t>
      </w:r>
    </w:p>
    <w:p>
      <w:pPr>
        <w:pStyle w:val="Style18"/>
        <w:keepNext w:val="0"/>
        <w:keepLines w:val="0"/>
        <w:widowControl w:val="0"/>
        <w:shd w:val="clear" w:color="auto" w:fill="auto"/>
        <w:bidi w:val="0"/>
        <w:spacing w:before="0" w:after="200" w:line="240" w:lineRule="auto"/>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 xml:space="preserve">3 </w:t>
      </w:r>
      <w:r>
        <w:rPr>
          <w:color w:val="000000"/>
          <w:spacing w:val="0"/>
          <w:w w:val="100"/>
          <w:position w:val="0"/>
        </w:rPr>
        <w:t>应收国企、政府及事业单位客户</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4</w:t>
      </w:r>
      <w:r>
        <w:rPr>
          <w:color w:val="000000"/>
          <w:spacing w:val="0"/>
          <w:w w:val="100"/>
          <w:position w:val="0"/>
        </w:rPr>
        <w:t>应收其他客户</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对于划分为组合的合同资产，本公司参考历史信用损失经验，结合当前状况以及对未来经济状况的预测，通过违约风险 敞口与整个存续期预期信用损失率，计算预期信用损失。</w:t>
      </w:r>
    </w:p>
    <w:p>
      <w:pPr>
        <w:pStyle w:val="Style18"/>
        <w:keepNext w:val="0"/>
        <w:keepLines w:val="0"/>
        <w:widowControl w:val="0"/>
        <w:numPr>
          <w:ilvl w:val="0"/>
          <w:numId w:val="37"/>
        </w:numPr>
        <w:shd w:val="clear" w:color="auto" w:fill="auto"/>
        <w:bidi w:val="0"/>
        <w:spacing w:before="0" w:after="100" w:line="314" w:lineRule="exact"/>
        <w:ind w:left="0" w:right="0"/>
        <w:jc w:val="both"/>
      </w:pPr>
      <w:bookmarkStart w:id="901" w:name="bookmark901"/>
      <w:bookmarkEnd w:id="901"/>
      <w:r>
        <w:rPr>
          <w:color w:val="000000"/>
          <w:spacing w:val="0"/>
          <w:w w:val="100"/>
          <w:position w:val="0"/>
        </w:rPr>
        <w:t>债权投资、其他债权投资</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numPr>
          <w:ilvl w:val="0"/>
          <w:numId w:val="39"/>
        </w:numPr>
        <w:shd w:val="clear" w:color="auto" w:fill="auto"/>
        <w:tabs>
          <w:tab w:pos="753" w:val="left"/>
        </w:tabs>
        <w:bidi w:val="0"/>
        <w:spacing w:before="0" w:after="100" w:line="314" w:lineRule="exact"/>
        <w:ind w:left="0" w:right="0"/>
        <w:jc w:val="both"/>
      </w:pPr>
      <w:bookmarkStart w:id="902" w:name="bookmark902"/>
      <w:bookmarkEnd w:id="902"/>
      <w:r>
        <w:rPr>
          <w:color w:val="000000"/>
          <w:spacing w:val="0"/>
          <w:w w:val="100"/>
          <w:position w:val="0"/>
        </w:rPr>
        <w:t>具有较低的信用风险</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18"/>
        <w:keepNext w:val="0"/>
        <w:keepLines w:val="0"/>
        <w:widowControl w:val="0"/>
        <w:numPr>
          <w:ilvl w:val="0"/>
          <w:numId w:val="39"/>
        </w:numPr>
        <w:shd w:val="clear" w:color="auto" w:fill="auto"/>
        <w:tabs>
          <w:tab w:pos="753" w:val="left"/>
        </w:tabs>
        <w:bidi w:val="0"/>
        <w:spacing w:before="0" w:after="100" w:line="314" w:lineRule="exact"/>
        <w:ind w:left="0" w:right="0"/>
        <w:jc w:val="both"/>
      </w:pPr>
      <w:bookmarkStart w:id="903" w:name="bookmark903"/>
      <w:bookmarkEnd w:id="903"/>
      <w:r>
        <w:rPr>
          <w:color w:val="000000"/>
          <w:spacing w:val="0"/>
          <w:w w:val="100"/>
          <w:position w:val="0"/>
        </w:rPr>
        <w:t>信用风险显著增加</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本公司通过比较金融工具在资产负债表日所确定的预计存续期内的违约概率与在初始确认时所确定的预计存续期内的 违约概率，以确定金融工具预计存续期内发生违约概率的相对变化，以评估金融工具的信用风险自初始确认后是否已显著增 加。</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18"/>
        <w:keepNext w:val="0"/>
        <w:keepLines w:val="0"/>
        <w:widowControl w:val="0"/>
        <w:numPr>
          <w:ilvl w:val="0"/>
          <w:numId w:val="41"/>
        </w:numPr>
        <w:shd w:val="clear" w:color="auto" w:fill="auto"/>
        <w:tabs>
          <w:tab w:pos="743" w:val="left"/>
        </w:tabs>
        <w:bidi w:val="0"/>
        <w:spacing w:before="0" w:after="100" w:line="314" w:lineRule="exact"/>
        <w:ind w:left="0" w:right="0"/>
        <w:jc w:val="both"/>
      </w:pPr>
      <w:bookmarkStart w:id="904" w:name="bookmark904"/>
      <w:bookmarkEnd w:id="904"/>
      <w:r>
        <w:rPr>
          <w:color w:val="000000"/>
          <w:spacing w:val="0"/>
          <w:w w:val="100"/>
          <w:position w:val="0"/>
        </w:rPr>
        <w:t>信用风险变化所导致的内部价格指标是否发生显著变化；</w:t>
      </w:r>
    </w:p>
    <w:p>
      <w:pPr>
        <w:pStyle w:val="Style18"/>
        <w:keepNext w:val="0"/>
        <w:keepLines w:val="0"/>
        <w:widowControl w:val="0"/>
        <w:numPr>
          <w:ilvl w:val="0"/>
          <w:numId w:val="41"/>
        </w:numPr>
        <w:shd w:val="clear" w:color="auto" w:fill="auto"/>
        <w:tabs>
          <w:tab w:pos="723" w:val="left"/>
        </w:tabs>
        <w:bidi w:val="0"/>
        <w:spacing w:before="0" w:after="100" w:line="314" w:lineRule="exact"/>
        <w:ind w:left="0" w:right="0" w:firstLine="360"/>
        <w:jc w:val="left"/>
      </w:pPr>
      <w:bookmarkStart w:id="905" w:name="bookmark905"/>
      <w:bookmarkEnd w:id="905"/>
      <w:r>
        <w:rPr>
          <w:color w:val="000000"/>
          <w:spacing w:val="0"/>
          <w:w w:val="100"/>
          <w:position w:val="0"/>
        </w:rPr>
        <w:t>预期将导致债务人履行其偿债义务的能力是否发生显著变化的业务、财务或经济状况的不利变化；</w:t>
      </w:r>
    </w:p>
    <w:p>
      <w:pPr>
        <w:pStyle w:val="Style18"/>
        <w:keepNext w:val="0"/>
        <w:keepLines w:val="0"/>
        <w:widowControl w:val="0"/>
        <w:numPr>
          <w:ilvl w:val="0"/>
          <w:numId w:val="41"/>
        </w:numPr>
        <w:shd w:val="clear" w:color="auto" w:fill="auto"/>
        <w:tabs>
          <w:tab w:pos="723" w:val="left"/>
        </w:tabs>
        <w:bidi w:val="0"/>
        <w:spacing w:before="0" w:after="100" w:line="314" w:lineRule="exact"/>
        <w:ind w:left="0" w:right="0" w:firstLine="360"/>
        <w:jc w:val="left"/>
      </w:pPr>
      <w:bookmarkStart w:id="906" w:name="bookmark906"/>
      <w:bookmarkEnd w:id="906"/>
      <w:r>
        <w:rPr>
          <w:color w:val="000000"/>
          <w:spacing w:val="0"/>
          <w:w w:val="100"/>
          <w:position w:val="0"/>
        </w:rPr>
        <w:t>债务人经营成果实际或预期是否发生显著变化；债务人所处的监管、经济或技术环境是否发生显著不利变化；</w:t>
      </w:r>
    </w:p>
    <w:p>
      <w:pPr>
        <w:pStyle w:val="Style18"/>
        <w:keepNext w:val="0"/>
        <w:keepLines w:val="0"/>
        <w:widowControl w:val="0"/>
        <w:numPr>
          <w:ilvl w:val="0"/>
          <w:numId w:val="41"/>
        </w:numPr>
        <w:shd w:val="clear" w:color="auto" w:fill="auto"/>
        <w:tabs>
          <w:tab w:pos="699" w:val="left"/>
        </w:tabs>
        <w:bidi w:val="0"/>
        <w:spacing w:before="0" w:after="100" w:line="326" w:lineRule="exact"/>
        <w:ind w:left="0" w:right="0"/>
        <w:jc w:val="both"/>
      </w:pPr>
      <w:bookmarkStart w:id="907" w:name="bookmark907"/>
      <w:bookmarkEnd w:id="907"/>
      <w:r>
        <w:rPr>
          <w:color w:val="000000"/>
          <w:spacing w:val="0"/>
          <w:w w:val="100"/>
          <w:position w:val="0"/>
        </w:rPr>
        <w:t>作为债务抵押的担保物价值或第三方提供的担保或信用增级质量是否发生显著变化。这些变化预期将降低债务人按合 同规定期限还款的经济动机或者影响违约概率；</w:t>
      </w:r>
    </w:p>
    <w:p>
      <w:pPr>
        <w:pStyle w:val="Style18"/>
        <w:keepNext w:val="0"/>
        <w:keepLines w:val="0"/>
        <w:widowControl w:val="0"/>
        <w:numPr>
          <w:ilvl w:val="0"/>
          <w:numId w:val="41"/>
        </w:numPr>
        <w:shd w:val="clear" w:color="auto" w:fill="auto"/>
        <w:tabs>
          <w:tab w:pos="743" w:val="left"/>
        </w:tabs>
        <w:bidi w:val="0"/>
        <w:spacing w:before="0" w:after="100" w:line="314" w:lineRule="exact"/>
        <w:ind w:left="0" w:right="0"/>
        <w:jc w:val="both"/>
      </w:pPr>
      <w:bookmarkStart w:id="908" w:name="bookmark908"/>
      <w:bookmarkEnd w:id="908"/>
      <w:r>
        <w:rPr>
          <w:color w:val="000000"/>
          <w:spacing w:val="0"/>
          <w:w w:val="100"/>
          <w:position w:val="0"/>
        </w:rPr>
        <w:t>预期将降低债务人按合同约定期限还款的经济动机是否发生显著变化；</w:t>
      </w:r>
    </w:p>
    <w:p>
      <w:pPr>
        <w:pStyle w:val="Style18"/>
        <w:keepNext w:val="0"/>
        <w:keepLines w:val="0"/>
        <w:widowControl w:val="0"/>
        <w:numPr>
          <w:ilvl w:val="0"/>
          <w:numId w:val="41"/>
        </w:numPr>
        <w:shd w:val="clear" w:color="auto" w:fill="auto"/>
        <w:tabs>
          <w:tab w:pos="714" w:val="left"/>
        </w:tabs>
        <w:bidi w:val="0"/>
        <w:spacing w:before="0" w:after="100" w:line="326" w:lineRule="exact"/>
        <w:ind w:left="0" w:right="0"/>
        <w:jc w:val="both"/>
      </w:pPr>
      <w:bookmarkStart w:id="909" w:name="bookmark909"/>
      <w:bookmarkEnd w:id="909"/>
      <w:r>
        <w:rPr>
          <w:color w:val="000000"/>
          <w:spacing w:val="0"/>
          <w:w w:val="100"/>
          <w:position w:val="0"/>
        </w:rPr>
        <w:t>借款合同的预期变更，包括预计违反合同的行为是否可能导致的合同义务的免除或修订、给予免息期、利率跳升、要 求追加抵押品或担保或者对金融工具的合同框架做出其他变更；</w:t>
      </w:r>
    </w:p>
    <w:p>
      <w:pPr>
        <w:pStyle w:val="Style18"/>
        <w:keepNext w:val="0"/>
        <w:keepLines w:val="0"/>
        <w:widowControl w:val="0"/>
        <w:numPr>
          <w:ilvl w:val="0"/>
          <w:numId w:val="41"/>
        </w:numPr>
        <w:shd w:val="clear" w:color="auto" w:fill="auto"/>
        <w:tabs>
          <w:tab w:pos="734" w:val="left"/>
        </w:tabs>
        <w:bidi w:val="0"/>
        <w:spacing w:before="0" w:after="100" w:line="314" w:lineRule="exact"/>
        <w:ind w:left="0" w:right="0"/>
        <w:jc w:val="both"/>
      </w:pPr>
      <w:bookmarkStart w:id="910" w:name="bookmark910"/>
      <w:bookmarkEnd w:id="910"/>
      <w:r>
        <w:rPr>
          <w:color w:val="000000"/>
          <w:spacing w:val="0"/>
          <w:w w:val="100"/>
          <w:position w:val="0"/>
        </w:rPr>
        <w:t>债务人预期表现和还款行为是否发生显著变化；</w:t>
      </w:r>
    </w:p>
    <w:p>
      <w:pPr>
        <w:pStyle w:val="Style18"/>
        <w:keepNext w:val="0"/>
        <w:keepLines w:val="0"/>
        <w:widowControl w:val="0"/>
        <w:numPr>
          <w:ilvl w:val="0"/>
          <w:numId w:val="41"/>
        </w:numPr>
        <w:shd w:val="clear" w:color="auto" w:fill="auto"/>
        <w:tabs>
          <w:tab w:pos="738" w:val="left"/>
        </w:tabs>
        <w:bidi w:val="0"/>
        <w:spacing w:before="0" w:after="100" w:line="314" w:lineRule="exact"/>
        <w:ind w:left="0" w:right="0"/>
        <w:jc w:val="both"/>
      </w:pPr>
      <w:bookmarkStart w:id="911" w:name="bookmark911"/>
      <w:bookmarkEnd w:id="911"/>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日，本公司确定金融工具的信用风险已经显著增加。除非本公司无需付出过多成本或努力 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天，但信用风险自初始确认以来并未显著增加。</w:t>
      </w:r>
    </w:p>
    <w:p>
      <w:pPr>
        <w:pStyle w:val="Style18"/>
        <w:keepNext w:val="0"/>
        <w:keepLines w:val="0"/>
        <w:widowControl w:val="0"/>
        <w:numPr>
          <w:ilvl w:val="0"/>
          <w:numId w:val="39"/>
        </w:numPr>
        <w:shd w:val="clear" w:color="auto" w:fill="auto"/>
        <w:tabs>
          <w:tab w:pos="753" w:val="left"/>
        </w:tabs>
        <w:bidi w:val="0"/>
        <w:spacing w:before="0" w:after="100" w:line="314" w:lineRule="exact"/>
        <w:ind w:left="0" w:right="0"/>
        <w:jc w:val="both"/>
      </w:pPr>
      <w:bookmarkStart w:id="912" w:name="bookmark912"/>
      <w:bookmarkEnd w:id="912"/>
      <w:r>
        <w:rPr>
          <w:color w:val="000000"/>
          <w:spacing w:val="0"/>
          <w:w w:val="100"/>
          <w:position w:val="0"/>
        </w:rPr>
        <w:t>已发生信用减值的金融资产</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发行方或债务人发生重大财务困难；债务人违反合同，如偿付利息或本金违约或逾期等；债权人出于与债务人财务困难 有关的经济或合同考虑，给予债务人在任何其他情况下都不会做出的让步；债务人很可能破产或进行其他财务重组；发行方 或债务人财务困难导致该金融资产的活跃市场消失；以大幅折扣购买或源生一项金融资产，该折扣反映了发生信用损失的事</w:t>
      </w:r>
    </w:p>
    <w:p>
      <w:pPr>
        <w:pStyle w:val="Style1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实。</w:t>
      </w:r>
    </w:p>
    <w:p>
      <w:pPr>
        <w:pStyle w:val="Style18"/>
        <w:keepNext w:val="0"/>
        <w:keepLines w:val="0"/>
        <w:widowControl w:val="0"/>
        <w:numPr>
          <w:ilvl w:val="0"/>
          <w:numId w:val="43"/>
        </w:numPr>
        <w:shd w:val="clear" w:color="auto" w:fill="auto"/>
        <w:tabs>
          <w:tab w:pos="753" w:val="left"/>
        </w:tabs>
        <w:bidi w:val="0"/>
        <w:spacing w:before="0" w:after="120" w:line="314" w:lineRule="exact"/>
        <w:ind w:left="0" w:right="0"/>
        <w:jc w:val="both"/>
      </w:pPr>
      <w:bookmarkStart w:id="913" w:name="bookmark913"/>
      <w:bookmarkEnd w:id="913"/>
      <w:r>
        <w:rPr>
          <w:color w:val="000000"/>
          <w:spacing w:val="0"/>
          <w:w w:val="100"/>
          <w:position w:val="0"/>
        </w:rPr>
        <w:t>预期信用损失准备的列报</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18"/>
        <w:keepNext w:val="0"/>
        <w:keepLines w:val="0"/>
        <w:widowControl w:val="0"/>
        <w:numPr>
          <w:ilvl w:val="0"/>
          <w:numId w:val="43"/>
        </w:numPr>
        <w:shd w:val="clear" w:color="auto" w:fill="auto"/>
        <w:tabs>
          <w:tab w:pos="753" w:val="left"/>
        </w:tabs>
        <w:bidi w:val="0"/>
        <w:spacing w:before="0" w:after="120" w:line="314" w:lineRule="exact"/>
        <w:ind w:left="0" w:right="0"/>
        <w:jc w:val="both"/>
      </w:pPr>
      <w:bookmarkStart w:id="914" w:name="bookmark914"/>
      <w:bookmarkEnd w:id="914"/>
      <w:r>
        <w:rPr>
          <w:color w:val="000000"/>
          <w:spacing w:val="0"/>
          <w:w w:val="100"/>
          <w:position w:val="0"/>
        </w:rPr>
        <w:t>核销</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已减记的金融资产以后又收回的，作为减值损失的转回计入收回当期的损益。</w:t>
      </w:r>
    </w:p>
    <w:p>
      <w:pPr>
        <w:pStyle w:val="Style18"/>
        <w:keepNext w:val="0"/>
        <w:keepLines w:val="0"/>
        <w:widowControl w:val="0"/>
        <w:shd w:val="clear" w:color="auto" w:fill="auto"/>
        <w:bidi w:val="0"/>
        <w:spacing w:before="0" w:after="120" w:line="314" w:lineRule="exact"/>
        <w:ind w:left="0" w:right="0"/>
        <w:jc w:val="both"/>
      </w:pPr>
      <w:bookmarkStart w:id="915" w:name="bookmark915"/>
      <w:r>
        <w:rPr>
          <w:b/>
          <w:bCs/>
          <w:color w:val="000000"/>
          <w:spacing w:val="0"/>
          <w:w w:val="100"/>
          <w:position w:val="0"/>
        </w:rPr>
        <w:t>（</w:t>
      </w:r>
      <w:bookmarkEnd w:id="915"/>
      <w:r>
        <w:rPr>
          <w:rFonts w:ascii="Times New Roman" w:eastAsia="Times New Roman" w:hAnsi="Times New Roman" w:cs="Times New Roman"/>
          <w:b/>
          <w:bCs/>
          <w:color w:val="000000"/>
          <w:spacing w:val="0"/>
          <w:w w:val="100"/>
          <w:position w:val="0"/>
        </w:rPr>
        <w:t>6</w:t>
      </w:r>
      <w:r>
        <w:rPr>
          <w:b/>
          <w:bCs/>
          <w:color w:val="000000"/>
          <w:spacing w:val="0"/>
          <w:w w:val="100"/>
          <w:position w:val="0"/>
        </w:rPr>
        <w:t>）金融资产转移</w:t>
      </w:r>
    </w:p>
    <w:p>
      <w:pPr>
        <w:pStyle w:val="Style18"/>
        <w:keepNext w:val="0"/>
        <w:keepLines w:val="0"/>
        <w:widowControl w:val="0"/>
        <w:shd w:val="clear" w:color="auto" w:fill="auto"/>
        <w:bidi w:val="0"/>
        <w:spacing w:before="0" w:after="200" w:line="314" w:lineRule="exact"/>
        <w:ind w:left="0" w:right="0"/>
        <w:jc w:val="both"/>
      </w:pPr>
      <w:r>
        <w:rPr>
          <w:color w:val="000000"/>
          <w:spacing w:val="0"/>
          <w:w w:val="100"/>
          <w:position w:val="0"/>
        </w:rPr>
        <w:t>金融资产转移是指下列两种情形：</w:t>
      </w:r>
    </w:p>
    <w:p>
      <w:pPr>
        <w:pStyle w:val="Style18"/>
        <w:keepNext w:val="0"/>
        <w:keepLines w:val="0"/>
        <w:widowControl w:val="0"/>
        <w:numPr>
          <w:ilvl w:val="0"/>
          <w:numId w:val="45"/>
        </w:numPr>
        <w:shd w:val="clear" w:color="auto" w:fill="auto"/>
        <w:tabs>
          <w:tab w:pos="743" w:val="left"/>
        </w:tabs>
        <w:bidi w:val="0"/>
        <w:spacing w:before="0" w:after="0"/>
        <w:ind w:left="0" w:right="0"/>
        <w:jc w:val="both"/>
      </w:pPr>
      <w:bookmarkStart w:id="916" w:name="bookmark916"/>
      <w:bookmarkEnd w:id="916"/>
      <w:r>
        <w:rPr>
          <w:color w:val="000000"/>
          <w:spacing w:val="0"/>
          <w:w w:val="100"/>
          <w:position w:val="0"/>
        </w:rPr>
        <w:t>将收取金融资产现金流量的合同权利转移给另一方；</w:t>
      </w:r>
    </w:p>
    <w:p>
      <w:pPr>
        <w:pStyle w:val="Style18"/>
        <w:keepNext w:val="0"/>
        <w:keepLines w:val="0"/>
        <w:widowControl w:val="0"/>
        <w:numPr>
          <w:ilvl w:val="0"/>
          <w:numId w:val="45"/>
        </w:numPr>
        <w:shd w:val="clear" w:color="auto" w:fill="auto"/>
        <w:tabs>
          <w:tab w:pos="714" w:val="left"/>
        </w:tabs>
        <w:bidi w:val="0"/>
        <w:spacing w:before="0" w:after="120" w:line="322" w:lineRule="exact"/>
        <w:ind w:left="0" w:right="0"/>
        <w:jc w:val="both"/>
      </w:pPr>
      <w:bookmarkStart w:id="917" w:name="bookmark917"/>
      <w:bookmarkEnd w:id="917"/>
      <w:r>
        <w:rPr>
          <w:color w:val="000000"/>
          <w:spacing w:val="0"/>
          <w:w w:val="100"/>
          <w:position w:val="0"/>
        </w:rPr>
        <w:t>将金融资产整体或部分转移给另一方，但保留收取金融资产现金流量的合同权利，并承担将收取的现金流量支付给一 个或多个收款方的合同义务。</w:t>
      </w:r>
    </w:p>
    <w:p>
      <w:pPr>
        <w:pStyle w:val="Style18"/>
        <w:keepNext w:val="0"/>
        <w:keepLines w:val="0"/>
        <w:widowControl w:val="0"/>
        <w:numPr>
          <w:ilvl w:val="0"/>
          <w:numId w:val="47"/>
        </w:numPr>
        <w:shd w:val="clear" w:color="auto" w:fill="auto"/>
        <w:tabs>
          <w:tab w:pos="753" w:val="left"/>
        </w:tabs>
        <w:bidi w:val="0"/>
        <w:spacing w:before="0" w:after="120" w:line="314" w:lineRule="exact"/>
        <w:ind w:left="0" w:right="0"/>
        <w:jc w:val="both"/>
      </w:pPr>
      <w:bookmarkStart w:id="918" w:name="bookmark918"/>
      <w:bookmarkEnd w:id="918"/>
      <w:r>
        <w:rPr>
          <w:color w:val="000000"/>
          <w:spacing w:val="0"/>
          <w:w w:val="100"/>
          <w:position w:val="0"/>
        </w:rPr>
        <w:t>终止确认所转移的金融资产</w:t>
      </w:r>
    </w:p>
    <w:p>
      <w:pPr>
        <w:pStyle w:val="Style18"/>
        <w:keepNext w:val="0"/>
        <w:keepLines w:val="0"/>
        <w:widowControl w:val="0"/>
        <w:shd w:val="clear" w:color="auto" w:fill="auto"/>
        <w:bidi w:val="0"/>
        <w:spacing w:before="0" w:after="120" w:line="307" w:lineRule="exact"/>
        <w:ind w:left="0" w:right="0"/>
        <w:jc w:val="both"/>
      </w:pPr>
      <w:r>
        <w:rPr>
          <w:color w:val="000000"/>
          <w:spacing w:val="0"/>
          <w:w w:val="100"/>
          <w:position w:val="0"/>
        </w:rPr>
        <w:t>已将金融资产所有权上几乎所有的风险和报酬转移给转入方的，或既没有转移也没有保留金融资产所有权上几乎所有的 风险和报酬的，但放弃了对该金融资产控制的，终止确认该金融资产。</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在判断是否已放弃对所转移金融资产的控制时，根据转入方出售该金融资产的实际能力。转入方能够单方面将转移的金 融资产整体出售给不相关的第三方，且没有额外条件对此项出售加以限制的，则公司已放弃对该金融资产的控制。</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本公司在判断金融资产转移是否满足金融资产终止确认条件时，注重金融资产转移的实质。</w:t>
      </w:r>
    </w:p>
    <w:p>
      <w:pPr>
        <w:pStyle w:val="Style18"/>
        <w:keepNext w:val="0"/>
        <w:keepLines w:val="0"/>
        <w:widowControl w:val="0"/>
        <w:shd w:val="clear" w:color="auto" w:fill="auto"/>
        <w:bidi w:val="0"/>
        <w:spacing w:before="0" w:after="200" w:line="314" w:lineRule="exact"/>
        <w:ind w:left="0" w:right="0"/>
        <w:jc w:val="both"/>
      </w:pPr>
      <w:r>
        <w:rPr>
          <w:color w:val="000000"/>
          <w:spacing w:val="0"/>
          <w:w w:val="100"/>
          <w:position w:val="0"/>
        </w:rPr>
        <w:t>金融资产整体转移满足终止确认条件的，将下列两项金额的差额计入当期损益：</w:t>
      </w:r>
    </w:p>
    <w:p>
      <w:pPr>
        <w:pStyle w:val="Style18"/>
        <w:keepNext w:val="0"/>
        <w:keepLines w:val="0"/>
        <w:widowControl w:val="0"/>
        <w:numPr>
          <w:ilvl w:val="0"/>
          <w:numId w:val="49"/>
        </w:numPr>
        <w:shd w:val="clear" w:color="auto" w:fill="auto"/>
        <w:tabs>
          <w:tab w:pos="743" w:val="left"/>
        </w:tabs>
        <w:bidi w:val="0"/>
        <w:spacing w:before="0" w:after="0"/>
        <w:ind w:left="0" w:right="0"/>
        <w:jc w:val="both"/>
      </w:pPr>
      <w:bookmarkStart w:id="919" w:name="bookmark919"/>
      <w:bookmarkEnd w:id="919"/>
      <w:r>
        <w:rPr>
          <w:color w:val="000000"/>
          <w:spacing w:val="0"/>
          <w:w w:val="100"/>
          <w:position w:val="0"/>
        </w:rPr>
        <w:t>所转移金融资产的账面价值；</w:t>
      </w:r>
    </w:p>
    <w:p>
      <w:pPr>
        <w:pStyle w:val="Style18"/>
        <w:keepNext w:val="0"/>
        <w:keepLines w:val="0"/>
        <w:widowControl w:val="0"/>
        <w:numPr>
          <w:ilvl w:val="0"/>
          <w:numId w:val="49"/>
        </w:numPr>
        <w:shd w:val="clear" w:color="auto" w:fill="auto"/>
        <w:tabs>
          <w:tab w:pos="714" w:val="left"/>
        </w:tabs>
        <w:bidi w:val="0"/>
        <w:spacing w:before="0" w:after="120" w:line="319" w:lineRule="exact"/>
        <w:ind w:left="0" w:right="0"/>
        <w:jc w:val="both"/>
      </w:pPr>
      <w:bookmarkStart w:id="920" w:name="bookmark920"/>
      <w:bookmarkEnd w:id="920"/>
      <w:r>
        <w:rPr>
          <w:color w:val="000000"/>
          <w:spacing w:val="0"/>
          <w:w w:val="100"/>
          <w:position w:val="0"/>
        </w:rPr>
        <w:t>因转移而收到的对价，与原直接计入其他综合收益的公允价值变动累计额中对于终止确认部分的金额（涉及转移的金 融资产为根据《企业会计准则第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金融工具确认和计量》第十八条分类为以公允价值计量且其变动计入其他综合收益的 金融资产的情形）之和。</w:t>
      </w:r>
    </w:p>
    <w:p>
      <w:pPr>
        <w:pStyle w:val="Style18"/>
        <w:keepNext w:val="0"/>
        <w:keepLines w:val="0"/>
        <w:widowControl w:val="0"/>
        <w:shd w:val="clear" w:color="auto" w:fill="auto"/>
        <w:bidi w:val="0"/>
        <w:spacing w:before="0" w:after="200" w:line="307" w:lineRule="exact"/>
        <w:ind w:left="0" w:right="0"/>
        <w:jc w:val="both"/>
      </w:pPr>
      <w:r>
        <w:rPr>
          <w:color w:val="000000"/>
          <w:spacing w:val="0"/>
          <w:w w:val="100"/>
          <w:position w:val="0"/>
        </w:rPr>
        <w:t>金融资产部分转移满足终止确认条件的，将所转移金融资产整体的账面价值，在终止确认部分和未终止确认部分（在此 种情况下，所保留的服务资产视同继续确认金融资产的一部分）之间，按照转移日各自的相对公允价值进行分摊，并将下列 两项金额的差额计入当期损益：</w:t>
      </w:r>
    </w:p>
    <w:p>
      <w:pPr>
        <w:pStyle w:val="Style18"/>
        <w:keepNext w:val="0"/>
        <w:keepLines w:val="0"/>
        <w:widowControl w:val="0"/>
        <w:numPr>
          <w:ilvl w:val="0"/>
          <w:numId w:val="51"/>
        </w:numPr>
        <w:shd w:val="clear" w:color="auto" w:fill="auto"/>
        <w:tabs>
          <w:tab w:pos="743" w:val="left"/>
        </w:tabs>
        <w:bidi w:val="0"/>
        <w:spacing w:before="0" w:after="0"/>
        <w:ind w:left="0" w:right="0"/>
        <w:jc w:val="both"/>
      </w:pPr>
      <w:bookmarkStart w:id="921" w:name="bookmark921"/>
      <w:bookmarkEnd w:id="921"/>
      <w:r>
        <w:rPr>
          <w:color w:val="000000"/>
          <w:spacing w:val="0"/>
          <w:w w:val="100"/>
          <w:position w:val="0"/>
        </w:rPr>
        <w:t>终止确认部分在终止确认日的账面价值；</w:t>
      </w:r>
    </w:p>
    <w:p>
      <w:pPr>
        <w:pStyle w:val="Style18"/>
        <w:keepNext w:val="0"/>
        <w:keepLines w:val="0"/>
        <w:widowControl w:val="0"/>
        <w:numPr>
          <w:ilvl w:val="0"/>
          <w:numId w:val="51"/>
        </w:numPr>
        <w:shd w:val="clear" w:color="auto" w:fill="auto"/>
        <w:tabs>
          <w:tab w:pos="718" w:val="left"/>
        </w:tabs>
        <w:bidi w:val="0"/>
        <w:spacing w:before="0" w:after="120" w:line="319" w:lineRule="exact"/>
        <w:ind w:left="0" w:right="0"/>
        <w:jc w:val="both"/>
      </w:pPr>
      <w:bookmarkStart w:id="922" w:name="bookmark922"/>
      <w:bookmarkEnd w:id="922"/>
      <w:r>
        <w:rPr>
          <w:color w:val="000000"/>
          <w:spacing w:val="0"/>
          <w:w w:val="100"/>
          <w:position w:val="0"/>
        </w:rPr>
        <w:t>终止确认部分的对价，与原计入其他综合收益的公允价值变动累计额中对应终止确认部分的金额（涉及转移的金融资 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金融工具确认和计量》第十八条分类为以公允价值计量且其变动计入其他综合收益的金融 资产的情形）之和。</w:t>
      </w:r>
    </w:p>
    <w:p>
      <w:pPr>
        <w:pStyle w:val="Style18"/>
        <w:keepNext w:val="0"/>
        <w:keepLines w:val="0"/>
        <w:widowControl w:val="0"/>
        <w:numPr>
          <w:ilvl w:val="0"/>
          <w:numId w:val="47"/>
        </w:numPr>
        <w:shd w:val="clear" w:color="auto" w:fill="auto"/>
        <w:tabs>
          <w:tab w:pos="753" w:val="left"/>
        </w:tabs>
        <w:bidi w:val="0"/>
        <w:spacing w:before="0" w:after="120" w:line="314" w:lineRule="exact"/>
        <w:ind w:left="0" w:right="0"/>
        <w:jc w:val="both"/>
      </w:pPr>
      <w:bookmarkStart w:id="923" w:name="bookmark923"/>
      <w:bookmarkEnd w:id="923"/>
      <w:r>
        <w:rPr>
          <w:color w:val="000000"/>
          <w:spacing w:val="0"/>
          <w:w w:val="100"/>
          <w:position w:val="0"/>
        </w:rPr>
        <w:t>继续涉入所转移的金融资产</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既没有转移也没有保留金融资产所有权上几乎所有的风险和报酬的，且未放弃对该金融资产控制的，应当按照其继续涉 </w:t>
      </w:r>
      <w:r>
        <w:rPr>
          <w:color w:val="000000"/>
          <w:spacing w:val="0"/>
          <w:w w:val="100"/>
          <w:position w:val="0"/>
        </w:rPr>
        <w:t>入所转移金融资产的程度确认有关金融资产，并相应确认有关负债。</w:t>
      </w:r>
    </w:p>
    <w:p>
      <w:pPr>
        <w:pStyle w:val="Style18"/>
        <w:keepNext w:val="0"/>
        <w:keepLines w:val="0"/>
        <w:widowControl w:val="0"/>
        <w:shd w:val="clear" w:color="auto" w:fill="auto"/>
        <w:bidi w:val="0"/>
        <w:spacing w:before="0" w:after="100" w:line="315" w:lineRule="exact"/>
        <w:ind w:left="0" w:right="0"/>
        <w:jc w:val="left"/>
      </w:pPr>
      <w:r>
        <w:rPr>
          <w:color w:val="000000"/>
          <w:spacing w:val="0"/>
          <w:w w:val="100"/>
          <w:position w:val="0"/>
        </w:rPr>
        <w:t>继续涉入所转移金融资产的程度，是指企业承担的被转移金融资产价值变动风险或报酬的程度。</w:t>
      </w:r>
    </w:p>
    <w:p>
      <w:pPr>
        <w:pStyle w:val="Style18"/>
        <w:keepNext w:val="0"/>
        <w:keepLines w:val="0"/>
        <w:widowControl w:val="0"/>
        <w:numPr>
          <w:ilvl w:val="0"/>
          <w:numId w:val="47"/>
        </w:numPr>
        <w:shd w:val="clear" w:color="auto" w:fill="auto"/>
        <w:bidi w:val="0"/>
        <w:spacing w:before="0" w:after="100" w:line="315" w:lineRule="exact"/>
        <w:ind w:left="0" w:right="0"/>
        <w:jc w:val="left"/>
      </w:pPr>
      <w:bookmarkStart w:id="924" w:name="bookmark924"/>
      <w:bookmarkEnd w:id="924"/>
      <w:r>
        <w:rPr>
          <w:color w:val="000000"/>
          <w:spacing w:val="0"/>
          <w:w w:val="100"/>
          <w:position w:val="0"/>
        </w:rPr>
        <w:t>继续确认所转移的金融资产</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仍保留与所转移金融资产所有权上几乎所有的风险和报酬的，应当继续确认所转移金融资产整体，并将收到的对价确认 为一项金融负债。</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该金融资产与确认的相关金融负债不得相互抵销。在随后的会计期间，企业应当继续确认该金融资产产生的收入（或利 得）和该金融负债产生的费用（或损失）。</w:t>
      </w:r>
    </w:p>
    <w:p>
      <w:pPr>
        <w:pStyle w:val="Style18"/>
        <w:keepNext w:val="0"/>
        <w:keepLines w:val="0"/>
        <w:widowControl w:val="0"/>
        <w:shd w:val="clear" w:color="auto" w:fill="auto"/>
        <w:bidi w:val="0"/>
        <w:spacing w:before="0" w:after="100" w:line="315" w:lineRule="exact"/>
        <w:ind w:left="0" w:right="0"/>
        <w:jc w:val="both"/>
      </w:pPr>
      <w:bookmarkStart w:id="925" w:name="bookmark925"/>
      <w:r>
        <w:rPr>
          <w:b/>
          <w:bCs/>
          <w:color w:val="000000"/>
          <w:spacing w:val="0"/>
          <w:w w:val="100"/>
          <w:position w:val="0"/>
        </w:rPr>
        <w:t>（</w:t>
      </w:r>
      <w:bookmarkEnd w:id="925"/>
      <w:r>
        <w:rPr>
          <w:rFonts w:ascii="Times New Roman" w:eastAsia="Times New Roman" w:hAnsi="Times New Roman" w:cs="Times New Roman"/>
          <w:b/>
          <w:bCs/>
          <w:color w:val="000000"/>
          <w:spacing w:val="0"/>
          <w:w w:val="100"/>
          <w:position w:val="0"/>
        </w:rPr>
        <w:t>7</w:t>
      </w:r>
      <w:r>
        <w:rPr>
          <w:b/>
          <w:bCs/>
          <w:color w:val="000000"/>
          <w:spacing w:val="0"/>
          <w:w w:val="100"/>
          <w:position w:val="0"/>
        </w:rPr>
        <w:t>）金融资产和金融负债的抵销</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金融资产和金融负债应当在资产负债表内分别列示，不得相互抵销。但同时满足下列条件的，以相互抵销后的净额在资 产负债表内列示：</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本公司具有抵销已确认金额的法定权利，且该种法定权利是当前可执行的；</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本公司计划以净额结算，或同时变现该金融资产和清偿该金融负债。</w:t>
      </w:r>
    </w:p>
    <w:p>
      <w:pPr>
        <w:pStyle w:val="Style18"/>
        <w:keepNext w:val="0"/>
        <w:keepLines w:val="0"/>
        <w:widowControl w:val="0"/>
        <w:shd w:val="clear" w:color="auto" w:fill="auto"/>
        <w:bidi w:val="0"/>
        <w:spacing w:before="0" w:after="100" w:line="315" w:lineRule="exact"/>
        <w:ind w:left="0" w:right="0"/>
        <w:jc w:val="left"/>
      </w:pPr>
      <w:r>
        <w:rPr>
          <w:color w:val="000000"/>
          <w:spacing w:val="0"/>
          <w:w w:val="100"/>
          <w:position w:val="0"/>
        </w:rPr>
        <w:t>不满足终止确认条件的金融资产转移，转出方不得将已转移的金融资产和相关负债进行抵销。</w:t>
      </w:r>
    </w:p>
    <w:p>
      <w:pPr>
        <w:pStyle w:val="Style18"/>
        <w:keepNext w:val="0"/>
        <w:keepLines w:val="0"/>
        <w:widowControl w:val="0"/>
        <w:shd w:val="clear" w:color="auto" w:fill="auto"/>
        <w:bidi w:val="0"/>
        <w:spacing w:before="0" w:after="0" w:line="315" w:lineRule="exact"/>
        <w:ind w:left="0" w:right="0" w:firstLine="240"/>
        <w:jc w:val="left"/>
      </w:pPr>
      <w:bookmarkStart w:id="926" w:name="bookmark926"/>
      <w:r>
        <w:rPr>
          <w:b/>
          <w:bCs/>
          <w:color w:val="000000"/>
          <w:spacing w:val="0"/>
          <w:w w:val="100"/>
          <w:position w:val="0"/>
        </w:rPr>
        <w:t>（</w:t>
      </w:r>
      <w:bookmarkEnd w:id="926"/>
      <w:r>
        <w:rPr>
          <w:rFonts w:ascii="Times New Roman" w:eastAsia="Times New Roman" w:hAnsi="Times New Roman" w:cs="Times New Roman"/>
          <w:b/>
          <w:bCs/>
          <w:color w:val="000000"/>
          <w:spacing w:val="0"/>
          <w:w w:val="100"/>
          <w:position w:val="0"/>
        </w:rPr>
        <w:t>8</w:t>
      </w:r>
      <w:r>
        <w:rPr>
          <w:b/>
          <w:bCs/>
          <w:color w:val="000000"/>
          <w:spacing w:val="0"/>
          <w:w w:val="100"/>
          <w:position w:val="0"/>
        </w:rPr>
        <w:t>）金融工具公允价值的确定方法</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公允价值是指市场参与者在计量日发生的有序交易中，出售一项资产所能收到或者转移一项负债所需支付的价格。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本公司以主要市场的价格计量相关资产或负债的公允价值，不存在主要市场的，本公司以最有利市场的价格计量相关资 产或负债的公允价值。本公司采用市场参与者在对该资产或负债定价时为实现其经济利益最大化所使用的假设。</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主要市场，是指相关资产或负债交易量最大和交易活跃程度最高的市场；最有利市场，是指在考虑交易费用和运输费用 后，能够以最高金额出售相关资产或者以最低金额转移相关负债的市场。</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18"/>
        <w:keepNext w:val="0"/>
        <w:keepLines w:val="0"/>
        <w:widowControl w:val="0"/>
        <w:numPr>
          <w:ilvl w:val="0"/>
          <w:numId w:val="53"/>
        </w:numPr>
        <w:shd w:val="clear" w:color="auto" w:fill="auto"/>
        <w:tabs>
          <w:tab w:pos="753" w:val="left"/>
        </w:tabs>
        <w:bidi w:val="0"/>
        <w:spacing w:before="0" w:after="0" w:line="315" w:lineRule="exact"/>
        <w:ind w:left="0" w:right="0"/>
        <w:jc w:val="both"/>
      </w:pPr>
      <w:bookmarkStart w:id="927" w:name="bookmark927"/>
      <w:bookmarkEnd w:id="927"/>
      <w:r>
        <w:rPr>
          <w:color w:val="000000"/>
          <w:spacing w:val="0"/>
          <w:w w:val="100"/>
          <w:position w:val="0"/>
        </w:rPr>
        <w:t>估值技术</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本公司采用在当期情况下适用并且有足够可利用数据和其他信息支持的估值技术，使用的估值技术主要包括市场法、收 益法和成本法。本公司使用与其中一种或多种估值技术相一致的方法计量公允价值，使用多种估值技术计量公允价值的，考 虑各估值结果的合理性，选取在当期情况下最能代表公允价值的金额作为公允价值。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本公司在估值技术的应用中，优先使用相关可观察输入值，只有在相关可观察输入值无法取得或取得不切实可行的情况 下，才使用不可观察输入值。可观察输入值，是指能够从市场数据中取得的输入值。该输入值反映了市场参与者在对相关资 产或负债定价时所使用的假设。不可观察输入值，是指不能从市场数据中取得的输入值。该输入值根据可获得的市场参与者 在对相关资产或负债定价时所使用假设的最佳信息取得。</w:t>
      </w:r>
    </w:p>
    <w:p>
      <w:pPr>
        <w:pStyle w:val="Style18"/>
        <w:keepNext w:val="0"/>
        <w:keepLines w:val="0"/>
        <w:widowControl w:val="0"/>
        <w:numPr>
          <w:ilvl w:val="0"/>
          <w:numId w:val="53"/>
        </w:numPr>
        <w:shd w:val="clear" w:color="auto" w:fill="auto"/>
        <w:tabs>
          <w:tab w:pos="753" w:val="left"/>
        </w:tabs>
        <w:bidi w:val="0"/>
        <w:spacing w:before="0" w:after="0" w:line="315" w:lineRule="exact"/>
        <w:ind w:left="0" w:right="0"/>
        <w:jc w:val="both"/>
      </w:pPr>
      <w:bookmarkStart w:id="928" w:name="bookmark928"/>
      <w:bookmarkEnd w:id="928"/>
      <w:r>
        <w:rPr>
          <w:color w:val="000000"/>
          <w:spacing w:val="0"/>
          <w:w w:val="100"/>
          <w:position w:val="0"/>
        </w:rPr>
        <w:t>公允价值层次</w:t>
      </w:r>
    </w:p>
    <w:p>
      <w:pPr>
        <w:pStyle w:val="Style18"/>
        <w:keepNext w:val="0"/>
        <w:keepLines w:val="0"/>
        <w:widowControl w:val="0"/>
        <w:shd w:val="clear" w:color="auto" w:fill="auto"/>
        <w:bidi w:val="0"/>
        <w:spacing w:before="0" w:after="360" w:line="315" w:lineRule="exact"/>
        <w:ind w:left="0" w:right="0"/>
        <w:jc w:val="both"/>
      </w:pPr>
      <w:r>
        <w:rPr>
          <w:color w:val="000000"/>
          <w:spacing w:val="0"/>
          <w:w w:val="100"/>
          <w:position w:val="0"/>
        </w:rPr>
        <w:t>本公司将公允价值计量所使用的输入值划分为三个层次，并首先使用第一层次输入值，其次使用第二层次输入值，最后 使用第三层次输入值。第一层次输入值是在计量日能够取得的相同资产或负债在活跃市场上未经调整的报价。第二层次输入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值是除第一层次输入值外相关资产或负债直接或间接可观察的输入值。第三层次输入值是相关资产或负债的不可观察输入值。</w:t>
      </w:r>
    </w:p>
    <w:p>
      <w:pPr>
        <w:pStyle w:val="Style29"/>
        <w:keepNext/>
        <w:keepLines/>
        <w:widowControl w:val="0"/>
        <w:shd w:val="clear" w:color="auto" w:fill="auto"/>
        <w:bidi w:val="0"/>
        <w:spacing w:before="0" w:after="2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29"/>
      <w:bookmarkEnd w:id="930"/>
      <w:bookmarkEnd w:id="932"/>
    </w:p>
    <w:p>
      <w:pPr>
        <w:pStyle w:val="Style1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 xml:space="preserve">应收票据无论是否存在重大融资成分，本公司均按照整个存续期的预期信用损失计量损失准备。对于存在客观证据表明存在 减值，以及其他适用于单项评估的应收票据，单独进行减值测试，确认预期信用损失，计提单项减值准备。对于不存在减值 客观证据的应收票据无法以合理成本评估预期信用损失的信息时，本公司依据信用风险特征将应收票据划分为若干组合，在 </w:t>
      </w:r>
      <w:r>
        <w:rPr>
          <w:color w:val="000000"/>
          <w:spacing w:val="0"/>
          <w:w w:val="100"/>
          <w:position w:val="0"/>
        </w:rPr>
        <w:t>组合基础上计算预期信用损失，确定组合的依据如下：</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应收票据确定组合的依据如下：</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商业承兑汇票</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银行承兑汇票</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对于划分为组合的应收票据，本公司参考历史信用损失经验，结合当前状况以及对未来经济状况的预测，通过违约风险敞口 和整个存续期预期信用损失率，计算预期信用损失。</w:t>
      </w:r>
    </w:p>
    <w:p>
      <w:pPr>
        <w:pStyle w:val="Style29"/>
        <w:keepNext/>
        <w:keepLines/>
        <w:widowControl w:val="0"/>
        <w:shd w:val="clear" w:color="auto" w:fill="auto"/>
        <w:tabs>
          <w:tab w:pos="474" w:val="left"/>
        </w:tabs>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33"/>
      <w:bookmarkEnd w:id="934"/>
      <w:bookmarkEnd w:id="936"/>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对于应收账款无论是否存在重大融资成分，本公司均按照整个存续期的预期信用损失计量损失准备。</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对于存在客观证据表明存在减值，以及其他适用于单项评估的应收账款单独进行减值测试，确认预期信用损失，计提单项减 值准备。对于不存在减值客观证据的应收账款无法以合理成本评估预期信用损失的信息时，本公司依据信用风险特征将收款 等划分为若干组合，在组合基础上计算预期信用损失，确定组合的依据如下：</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应收中央企业客户</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应收国企、政府及事业单位客户</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4</w:t>
      </w:r>
      <w:r>
        <w:rPr>
          <w:color w:val="000000"/>
          <w:spacing w:val="0"/>
          <w:w w:val="100"/>
          <w:position w:val="0"/>
        </w:rPr>
        <w:t>应收其他客户</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对于划分为组合的应收账款，本公司参考历史信用损失经验，结合当前状况以及对未来经济状况的预测，编制应收账款账龄 与整个存续期预期信用损失率对照表，计算预期信用损失。</w:t>
      </w:r>
    </w:p>
    <w:p>
      <w:pPr>
        <w:pStyle w:val="Style29"/>
        <w:keepNext/>
        <w:keepLines/>
        <w:widowControl w:val="0"/>
        <w:shd w:val="clear" w:color="auto" w:fill="auto"/>
        <w:tabs>
          <w:tab w:pos="474" w:val="left"/>
        </w:tabs>
        <w:bidi w:val="0"/>
        <w:spacing w:before="0" w:after="26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37"/>
      <w:bookmarkEnd w:id="938"/>
      <w:bookmarkEnd w:id="940"/>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对于存在客观证据表明存在减值，以及其他适用于单项评估的应收款项融资，单独进行减值测试，确认预期信用损失，计提 单项减值准备。对于不存在减值客观证据的应收款项融资，无法以合理成本评估预期信用损失的信息时，本公司依据信用风 险特征将应收款项融资划分为若干组合，在组合基础上计算预期信用损失，确定组合的依据如下：</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应收款项融资确定组合的依据如下：</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应收票据</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对于划分为组合的应收款项融资，本公司参考历史信用损失经验，结合当前状况以及对未来经济状况的预测，通过违约风险 敞口和整个存续期预期信用损失率，计算预期信用损失。</w:t>
      </w:r>
    </w:p>
    <w:p>
      <w:pPr>
        <w:pStyle w:val="Style29"/>
        <w:keepNext/>
        <w:keepLines/>
        <w:widowControl w:val="0"/>
        <w:shd w:val="clear" w:color="auto" w:fill="auto"/>
        <w:tabs>
          <w:tab w:pos="474" w:val="left"/>
        </w:tabs>
        <w:bidi w:val="0"/>
        <w:spacing w:before="0" w:after="2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41"/>
      <w:bookmarkEnd w:id="942"/>
      <w:bookmarkEnd w:id="944"/>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对于存在客观证据表明存在减值，以及其他适用于单项评估的其他应收款单独进行减值测试，确认预期信用损失，计提单项 减值准备。对于不存在减值客观证据的其他应收款，无法以合理成本评估预期信用损失的信息时，本公司依据信用风险特征 将其他应收款划分为若干组合，在组合基础上计算预期信用损失，确定组合的依据如下：</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 xml:space="preserve">应收利息 </w:t>
      </w: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应收股利</w:t>
      </w:r>
    </w:p>
    <w:tbl>
      <w:tblPr>
        <w:tblOverlap w:val="never"/>
        <w:jc w:val="center"/>
        <w:tblLayout w:type="fixed"/>
      </w:tblPr>
      <w:tblGrid>
        <w:gridCol w:w="1445"/>
        <w:gridCol w:w="8246"/>
      </w:tblGrid>
      <w:tr>
        <w:trPr>
          <w:trHeight w:val="32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应收押金和保证金</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5</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w:t>
            </w:r>
          </w:p>
        </w:tc>
      </w:tr>
      <w:tr>
        <w:trPr>
          <w:trHeight w:val="432"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6</w:t>
            </w:r>
          </w:p>
        </w:tc>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应收代垫款</w:t>
            </w:r>
          </w:p>
        </w:tc>
      </w:tr>
      <w:tr>
        <w:trPr>
          <w:trHeight w:val="331"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7</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r>
    </w:tbl>
    <w:p>
      <w:pPr>
        <w:pStyle w:val="Style18"/>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对于划分为组合的其他应收款，本公司参考历史信用损失经验，结合当前状况以及对未来经济状况的预测，通过违约风险敞 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9"/>
        <w:keepNext/>
        <w:keepLines/>
        <w:widowControl w:val="0"/>
        <w:shd w:val="clear" w:color="auto" w:fill="auto"/>
        <w:bidi w:val="0"/>
        <w:spacing w:before="0" w:after="28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945"/>
      <w:bookmarkEnd w:id="946"/>
      <w:bookmarkEnd w:id="948"/>
    </w:p>
    <w:p>
      <w:pPr>
        <w:pStyle w:val="Style18"/>
        <w:keepNext w:val="0"/>
        <w:keepLines w:val="0"/>
        <w:widowControl w:val="0"/>
        <w:shd w:val="clear" w:color="auto" w:fill="auto"/>
        <w:tabs>
          <w:tab w:pos="830" w:val="left"/>
        </w:tabs>
        <w:bidi w:val="0"/>
        <w:spacing w:before="0" w:after="100" w:line="315" w:lineRule="exact"/>
        <w:ind w:left="0" w:right="0"/>
        <w:jc w:val="both"/>
      </w:pPr>
      <w:bookmarkStart w:id="949" w:name="bookmark949"/>
      <w:r>
        <w:rPr>
          <w:b/>
          <w:bCs/>
          <w:color w:val="000000"/>
          <w:spacing w:val="0"/>
          <w:w w:val="100"/>
          <w:position w:val="0"/>
        </w:rPr>
        <w:t>（</w:t>
      </w:r>
      <w:bookmarkEnd w:id="94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存货的分类</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存货是指本公司在日常活动中持有以备出售的产成品或商品、处在生产过程中的在产品、在生产过程或提供劳务过程中 耗用的材料和物料等，包括原材料、库存商品、发出商品、合同履约成本等。</w:t>
      </w:r>
    </w:p>
    <w:p>
      <w:pPr>
        <w:pStyle w:val="Style18"/>
        <w:keepNext w:val="0"/>
        <w:keepLines w:val="0"/>
        <w:widowControl w:val="0"/>
        <w:shd w:val="clear" w:color="auto" w:fill="auto"/>
        <w:tabs>
          <w:tab w:pos="830" w:val="left"/>
        </w:tabs>
        <w:bidi w:val="0"/>
        <w:spacing w:before="0" w:after="100" w:line="315" w:lineRule="exact"/>
        <w:ind w:left="0" w:right="0"/>
        <w:jc w:val="both"/>
      </w:pPr>
      <w:bookmarkStart w:id="950" w:name="bookmark950"/>
      <w:r>
        <w:rPr>
          <w:b/>
          <w:bCs/>
          <w:color w:val="000000"/>
          <w:spacing w:val="0"/>
          <w:w w:val="100"/>
          <w:position w:val="0"/>
        </w:rPr>
        <w:t>（</w:t>
      </w:r>
      <w:bookmarkEnd w:id="95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发出存货的计价方法</w:t>
      </w:r>
    </w:p>
    <w:p>
      <w:pPr>
        <w:pStyle w:val="Style18"/>
        <w:keepNext w:val="0"/>
        <w:keepLines w:val="0"/>
        <w:widowControl w:val="0"/>
        <w:numPr>
          <w:ilvl w:val="0"/>
          <w:numId w:val="55"/>
        </w:numPr>
        <w:shd w:val="clear" w:color="auto" w:fill="auto"/>
        <w:tabs>
          <w:tab w:pos="743" w:val="left"/>
        </w:tabs>
        <w:bidi w:val="0"/>
        <w:spacing w:before="0" w:after="100" w:line="315" w:lineRule="exact"/>
        <w:ind w:left="0" w:right="0"/>
        <w:jc w:val="both"/>
      </w:pPr>
      <w:bookmarkStart w:id="951" w:name="bookmark951"/>
      <w:bookmarkEnd w:id="951"/>
      <w:r>
        <w:rPr>
          <w:color w:val="000000"/>
          <w:spacing w:val="0"/>
          <w:w w:val="100"/>
          <w:position w:val="0"/>
        </w:rPr>
        <w:t>存货专门用于单项业务或合同时，按个别计价法确认；</w:t>
      </w:r>
    </w:p>
    <w:p>
      <w:pPr>
        <w:pStyle w:val="Style18"/>
        <w:keepNext w:val="0"/>
        <w:keepLines w:val="0"/>
        <w:widowControl w:val="0"/>
        <w:numPr>
          <w:ilvl w:val="0"/>
          <w:numId w:val="55"/>
        </w:numPr>
        <w:shd w:val="clear" w:color="auto" w:fill="auto"/>
        <w:tabs>
          <w:tab w:pos="743" w:val="left"/>
        </w:tabs>
        <w:bidi w:val="0"/>
        <w:spacing w:before="0" w:after="100" w:line="315" w:lineRule="exact"/>
        <w:ind w:left="0" w:right="0"/>
        <w:jc w:val="both"/>
      </w:pPr>
      <w:bookmarkStart w:id="952" w:name="bookmark952"/>
      <w:bookmarkEnd w:id="952"/>
      <w:r>
        <w:rPr>
          <w:color w:val="000000"/>
          <w:spacing w:val="0"/>
          <w:w w:val="100"/>
          <w:position w:val="0"/>
        </w:rPr>
        <w:t>非为单项业务或合同持有的存货，按加权平均价格计价确认。</w:t>
      </w:r>
    </w:p>
    <w:p>
      <w:pPr>
        <w:pStyle w:val="Style18"/>
        <w:keepNext w:val="0"/>
        <w:keepLines w:val="0"/>
        <w:widowControl w:val="0"/>
        <w:shd w:val="clear" w:color="auto" w:fill="auto"/>
        <w:tabs>
          <w:tab w:pos="830" w:val="left"/>
        </w:tabs>
        <w:bidi w:val="0"/>
        <w:spacing w:before="0" w:after="100" w:line="315" w:lineRule="exact"/>
        <w:ind w:left="0" w:right="0"/>
        <w:jc w:val="both"/>
      </w:pPr>
      <w:bookmarkStart w:id="953" w:name="bookmark953"/>
      <w:r>
        <w:rPr>
          <w:b/>
          <w:bCs/>
          <w:color w:val="000000"/>
          <w:spacing w:val="0"/>
          <w:w w:val="100"/>
          <w:position w:val="0"/>
        </w:rPr>
        <w:t>（</w:t>
      </w:r>
      <w:bookmarkEnd w:id="95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存货的盘存制度</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本公司存货采用永续盘存制，每年至少盘点一次，盘盈及盘亏金额计入当年度损益。</w:t>
      </w:r>
    </w:p>
    <w:p>
      <w:pPr>
        <w:pStyle w:val="Style18"/>
        <w:keepNext w:val="0"/>
        <w:keepLines w:val="0"/>
        <w:widowControl w:val="0"/>
        <w:shd w:val="clear" w:color="auto" w:fill="auto"/>
        <w:tabs>
          <w:tab w:pos="830" w:val="left"/>
        </w:tabs>
        <w:bidi w:val="0"/>
        <w:spacing w:before="0" w:after="100" w:line="315" w:lineRule="exact"/>
        <w:ind w:left="0" w:right="0"/>
        <w:jc w:val="both"/>
      </w:pPr>
      <w:bookmarkStart w:id="954" w:name="bookmark954"/>
      <w:r>
        <w:rPr>
          <w:b/>
          <w:bCs/>
          <w:color w:val="000000"/>
          <w:spacing w:val="0"/>
          <w:w w:val="100"/>
          <w:position w:val="0"/>
        </w:rPr>
        <w:t>（</w:t>
      </w:r>
      <w:bookmarkEnd w:id="95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存货跌价准备的计提方法</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资产负债表日按成本与可变现净值孰低计量，存货成本高于其可变现净值的，计提存货跌价准备，计入当期损益。</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在确定存货的可变现净值时，以取得的可靠证据为基础，并且考虑持有存货的目的、资产负债表日后事项的影响等因素。</w:t>
      </w:r>
    </w:p>
    <w:p>
      <w:pPr>
        <w:pStyle w:val="Style18"/>
        <w:keepNext w:val="0"/>
        <w:keepLines w:val="0"/>
        <w:widowControl w:val="0"/>
        <w:numPr>
          <w:ilvl w:val="0"/>
          <w:numId w:val="57"/>
        </w:numPr>
        <w:shd w:val="clear" w:color="auto" w:fill="auto"/>
        <w:tabs>
          <w:tab w:pos="728" w:val="left"/>
        </w:tabs>
        <w:bidi w:val="0"/>
        <w:spacing w:before="0" w:after="100" w:line="314" w:lineRule="exact"/>
        <w:ind w:left="0" w:right="0"/>
        <w:jc w:val="both"/>
      </w:pPr>
      <w:bookmarkStart w:id="955" w:name="bookmark955"/>
      <w:bookmarkEnd w:id="955"/>
      <w:r>
        <w:rPr>
          <w:color w:val="000000"/>
          <w:spacing w:val="0"/>
          <w:w w:val="100"/>
          <w:position w:val="0"/>
        </w:rPr>
        <w:t>产成品、商品和用于出售的材料等直接用于出售的存货，在正常生产经营过程中，以该存货的估计售价减去估计的销 售费用和相关税费后的金额确定其可变现净值。为执行销售合同或者劳务合同而持有的存货，以合同价格作为其可变现净值 的计量基础；如果持有存货的数量多于销售合同订购数量，超出部分的存货可变现净值以一般销售价格为计量基础。用于出 售的材料等，以市场价格作为其可变现净值的计量基础。</w:t>
      </w:r>
    </w:p>
    <w:p>
      <w:pPr>
        <w:pStyle w:val="Style18"/>
        <w:keepNext w:val="0"/>
        <w:keepLines w:val="0"/>
        <w:widowControl w:val="0"/>
        <w:numPr>
          <w:ilvl w:val="0"/>
          <w:numId w:val="57"/>
        </w:numPr>
        <w:shd w:val="clear" w:color="auto" w:fill="auto"/>
        <w:tabs>
          <w:tab w:pos="728" w:val="left"/>
        </w:tabs>
        <w:bidi w:val="0"/>
        <w:spacing w:before="0" w:after="100" w:line="317" w:lineRule="exact"/>
        <w:ind w:left="0" w:right="0"/>
        <w:jc w:val="both"/>
      </w:pPr>
      <w:bookmarkStart w:id="956" w:name="bookmark956"/>
      <w:bookmarkEnd w:id="956"/>
      <w:r>
        <w:rPr>
          <w:color w:val="000000"/>
          <w:spacing w:val="0"/>
          <w:w w:val="100"/>
          <w:position w:val="0"/>
        </w:rPr>
        <w:t>需要经过加工的材料存货，在正常生产经营过程中，以所生产的产成品的估计售价减去至完工时估计将要发生的成本、 估计的销售费用和相关税费后的金额确定其可变现净值。如果用其生产的产成品的可变现净值高于成本，则该材料按成本计 量；如果材料价格的下降表明产成品的可变现净值低于成本，则该材料按可变现净值计量，按其差额计提存货跌价准备。</w:t>
      </w:r>
    </w:p>
    <w:p>
      <w:pPr>
        <w:pStyle w:val="Style18"/>
        <w:keepNext w:val="0"/>
        <w:keepLines w:val="0"/>
        <w:widowControl w:val="0"/>
        <w:numPr>
          <w:ilvl w:val="0"/>
          <w:numId w:val="57"/>
        </w:numPr>
        <w:shd w:val="clear" w:color="auto" w:fill="auto"/>
        <w:tabs>
          <w:tab w:pos="753" w:val="left"/>
        </w:tabs>
        <w:bidi w:val="0"/>
        <w:spacing w:before="0" w:after="100" w:line="315" w:lineRule="exact"/>
        <w:ind w:left="0" w:right="0"/>
        <w:jc w:val="both"/>
      </w:pPr>
      <w:bookmarkStart w:id="957" w:name="bookmark957"/>
      <w:bookmarkEnd w:id="957"/>
      <w:r>
        <w:rPr>
          <w:color w:val="000000"/>
          <w:spacing w:val="0"/>
          <w:w w:val="100"/>
          <w:position w:val="0"/>
        </w:rPr>
        <w:t>存货跌价准备一般按单个存货项目计提；对于数量繁多、单价较低的存货，按存货类别计提。</w:t>
      </w:r>
    </w:p>
    <w:p>
      <w:pPr>
        <w:pStyle w:val="Style18"/>
        <w:keepNext w:val="0"/>
        <w:keepLines w:val="0"/>
        <w:widowControl w:val="0"/>
        <w:numPr>
          <w:ilvl w:val="0"/>
          <w:numId w:val="57"/>
        </w:numPr>
        <w:shd w:val="clear" w:color="auto" w:fill="auto"/>
        <w:tabs>
          <w:tab w:pos="728" w:val="left"/>
        </w:tabs>
        <w:bidi w:val="0"/>
        <w:spacing w:before="0" w:after="100" w:line="312" w:lineRule="exact"/>
        <w:ind w:left="0" w:right="0"/>
        <w:jc w:val="both"/>
      </w:pPr>
      <w:bookmarkStart w:id="958" w:name="bookmark958"/>
      <w:bookmarkEnd w:id="958"/>
      <w:r>
        <w:rPr>
          <w:color w:val="000000"/>
          <w:spacing w:val="0"/>
          <w:w w:val="100"/>
          <w:position w:val="0"/>
        </w:rPr>
        <w:t>资产负债表日如果以前减记存货价值的影响因素已经消失，则减记的金额予以恢复，并在原已计提的存货跌价准备的 金额内转回，转回的金额计入当期损益。</w:t>
      </w:r>
    </w:p>
    <w:p>
      <w:pPr>
        <w:pStyle w:val="Style18"/>
        <w:keepNext w:val="0"/>
        <w:keepLines w:val="0"/>
        <w:widowControl w:val="0"/>
        <w:shd w:val="clear" w:color="auto" w:fill="auto"/>
        <w:tabs>
          <w:tab w:pos="830" w:val="left"/>
        </w:tabs>
        <w:bidi w:val="0"/>
        <w:spacing w:before="0" w:after="100" w:line="315" w:lineRule="exact"/>
        <w:ind w:left="0" w:right="0"/>
        <w:jc w:val="both"/>
      </w:pPr>
      <w:bookmarkStart w:id="959" w:name="bookmark959"/>
      <w:r>
        <w:rPr>
          <w:b/>
          <w:bCs/>
          <w:color w:val="000000"/>
          <w:spacing w:val="0"/>
          <w:w w:val="100"/>
          <w:position w:val="0"/>
        </w:rPr>
        <w:t>（</w:t>
      </w:r>
      <w:bookmarkEnd w:id="95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周转材料的摊销方法</w:t>
      </w:r>
    </w:p>
    <w:p>
      <w:pPr>
        <w:pStyle w:val="Style18"/>
        <w:keepNext w:val="0"/>
        <w:keepLines w:val="0"/>
        <w:widowControl w:val="0"/>
        <w:numPr>
          <w:ilvl w:val="0"/>
          <w:numId w:val="59"/>
        </w:numPr>
        <w:shd w:val="clear" w:color="auto" w:fill="auto"/>
        <w:tabs>
          <w:tab w:pos="753" w:val="left"/>
        </w:tabs>
        <w:bidi w:val="0"/>
        <w:spacing w:before="0" w:after="100" w:line="315" w:lineRule="exact"/>
        <w:ind w:left="0" w:right="0"/>
        <w:jc w:val="both"/>
      </w:pPr>
      <w:bookmarkStart w:id="960" w:name="bookmark960"/>
      <w:bookmarkEnd w:id="960"/>
      <w:r>
        <w:rPr>
          <w:color w:val="000000"/>
          <w:spacing w:val="0"/>
          <w:w w:val="100"/>
          <w:position w:val="0"/>
        </w:rPr>
        <w:t>低值易耗品摊销方法：在领用时采用一次转销法。</w:t>
      </w:r>
    </w:p>
    <w:p>
      <w:pPr>
        <w:pStyle w:val="Style18"/>
        <w:keepNext w:val="0"/>
        <w:keepLines w:val="0"/>
        <w:widowControl w:val="0"/>
        <w:numPr>
          <w:ilvl w:val="0"/>
          <w:numId w:val="59"/>
        </w:numPr>
        <w:shd w:val="clear" w:color="auto" w:fill="auto"/>
        <w:tabs>
          <w:tab w:pos="753" w:val="left"/>
        </w:tabs>
        <w:bidi w:val="0"/>
        <w:spacing w:before="0" w:after="100" w:line="315" w:lineRule="exact"/>
        <w:ind w:left="0" w:right="0"/>
        <w:jc w:val="both"/>
      </w:pPr>
      <w:bookmarkStart w:id="961" w:name="bookmark961"/>
      <w:bookmarkEnd w:id="961"/>
      <w:r>
        <w:rPr>
          <w:color w:val="000000"/>
          <w:spacing w:val="0"/>
          <w:w w:val="100"/>
          <w:position w:val="0"/>
        </w:rPr>
        <w:t>包装物的摊销方法：在领用时采用一次转销法。</w:t>
      </w:r>
    </w:p>
    <w:p>
      <w:pPr>
        <w:pStyle w:val="Style29"/>
        <w:keepNext/>
        <w:keepLines/>
        <w:widowControl w:val="0"/>
        <w:shd w:val="clear" w:color="auto" w:fill="auto"/>
        <w:tabs>
          <w:tab w:pos="497" w:val="left"/>
        </w:tabs>
        <w:bidi w:val="0"/>
        <w:spacing w:before="0" w:after="28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62"/>
      <w:bookmarkEnd w:id="963"/>
      <w:bookmarkEnd w:id="965"/>
    </w:p>
    <w:p>
      <w:pPr>
        <w:pStyle w:val="Style18"/>
        <w:keepNext w:val="0"/>
        <w:keepLines w:val="0"/>
        <w:widowControl w:val="0"/>
        <w:shd w:val="clear" w:color="auto" w:fill="auto"/>
        <w:bidi w:val="0"/>
        <w:spacing w:before="0" w:after="540" w:line="312" w:lineRule="exact"/>
        <w:ind w:left="0" w:right="0" w:firstLine="36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提供服务而有权收取的对价（且该权利取决于时间流逝之外的其他因素）列示为合同资产。本公司已收或应收客户对价而应 向客户转让商品或提供服务的义务列示为合同负债。</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9"/>
        <w:keepNext/>
        <w:keepLines/>
        <w:widowControl w:val="0"/>
        <w:shd w:val="clear" w:color="auto" w:fill="auto"/>
        <w:tabs>
          <w:tab w:pos="497" w:val="left"/>
        </w:tabs>
        <w:bidi w:val="0"/>
        <w:spacing w:before="0" w:after="280" w:line="240" w:lineRule="auto"/>
        <w:ind w:left="0" w:right="0" w:firstLine="0"/>
        <w:jc w:val="both"/>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bookmarkEnd w:id="968"/>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66"/>
      <w:bookmarkEnd w:id="967"/>
      <w:bookmarkEnd w:id="969"/>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合同成本分为合同履约成本与合同取得成本。</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本公司为履行合同而发生的成本，在同时满足下列条件时作为合同履约成本确认为一项资产：</w:t>
      </w:r>
    </w:p>
    <w:p>
      <w:pPr>
        <w:pStyle w:val="Style18"/>
        <w:keepNext w:val="0"/>
        <w:keepLines w:val="0"/>
        <w:widowControl w:val="0"/>
        <w:numPr>
          <w:ilvl w:val="0"/>
          <w:numId w:val="61"/>
        </w:numPr>
        <w:shd w:val="clear" w:color="auto" w:fill="auto"/>
        <w:tabs>
          <w:tab w:pos="728" w:val="left"/>
        </w:tabs>
        <w:bidi w:val="0"/>
        <w:spacing w:before="0" w:after="100" w:line="312" w:lineRule="exact"/>
        <w:ind w:left="0" w:right="0" w:firstLine="360"/>
        <w:jc w:val="both"/>
      </w:pPr>
      <w:bookmarkStart w:id="970" w:name="bookmark970"/>
      <w:bookmarkEnd w:id="970"/>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18"/>
        <w:keepNext w:val="0"/>
        <w:keepLines w:val="0"/>
        <w:widowControl w:val="0"/>
        <w:numPr>
          <w:ilvl w:val="0"/>
          <w:numId w:val="61"/>
        </w:numPr>
        <w:shd w:val="clear" w:color="auto" w:fill="auto"/>
        <w:tabs>
          <w:tab w:pos="733" w:val="left"/>
        </w:tabs>
        <w:bidi w:val="0"/>
        <w:spacing w:before="0" w:after="100" w:line="312" w:lineRule="exact"/>
        <w:ind w:left="0" w:right="0" w:firstLine="360"/>
        <w:jc w:val="both"/>
      </w:pPr>
      <w:bookmarkStart w:id="971" w:name="bookmark971"/>
      <w:bookmarkEnd w:id="971"/>
      <w:r>
        <w:rPr>
          <w:color w:val="000000"/>
          <w:spacing w:val="0"/>
          <w:w w:val="100"/>
          <w:position w:val="0"/>
        </w:rPr>
        <w:t>该成本增加了本公司未来用于履行履约义务的资源。</w:t>
      </w:r>
    </w:p>
    <w:p>
      <w:pPr>
        <w:pStyle w:val="Style18"/>
        <w:keepNext w:val="0"/>
        <w:keepLines w:val="0"/>
        <w:widowControl w:val="0"/>
        <w:numPr>
          <w:ilvl w:val="0"/>
          <w:numId w:val="61"/>
        </w:numPr>
        <w:shd w:val="clear" w:color="auto" w:fill="auto"/>
        <w:tabs>
          <w:tab w:pos="733" w:val="left"/>
        </w:tabs>
        <w:bidi w:val="0"/>
        <w:spacing w:before="0" w:after="100" w:line="312" w:lineRule="exact"/>
        <w:ind w:left="0" w:right="0" w:firstLine="360"/>
        <w:jc w:val="both"/>
      </w:pPr>
      <w:bookmarkStart w:id="972" w:name="bookmark972"/>
      <w:bookmarkEnd w:id="972"/>
      <w:r>
        <w:rPr>
          <w:color w:val="000000"/>
          <w:spacing w:val="0"/>
          <w:w w:val="100"/>
          <w:position w:val="0"/>
        </w:rPr>
        <w:t>该成本预期能够收回。</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18"/>
        <w:keepNext w:val="0"/>
        <w:keepLines w:val="0"/>
        <w:widowControl w:val="0"/>
        <w:numPr>
          <w:ilvl w:val="0"/>
          <w:numId w:val="63"/>
        </w:numPr>
        <w:shd w:val="clear" w:color="auto" w:fill="auto"/>
        <w:tabs>
          <w:tab w:pos="733" w:val="left"/>
        </w:tabs>
        <w:bidi w:val="0"/>
        <w:spacing w:before="0" w:after="100" w:line="312" w:lineRule="exact"/>
        <w:ind w:left="0" w:right="0" w:firstLine="360"/>
        <w:jc w:val="both"/>
      </w:pPr>
      <w:bookmarkStart w:id="973" w:name="bookmark973"/>
      <w:bookmarkEnd w:id="973"/>
      <w:r>
        <w:rPr>
          <w:color w:val="000000"/>
          <w:spacing w:val="0"/>
          <w:w w:val="100"/>
          <w:position w:val="0"/>
        </w:rPr>
        <w:t>因转让与该资产相关的商品或服务预期能够取得的剩余对价；</w:t>
      </w:r>
    </w:p>
    <w:p>
      <w:pPr>
        <w:pStyle w:val="Style18"/>
        <w:keepNext w:val="0"/>
        <w:keepLines w:val="0"/>
        <w:widowControl w:val="0"/>
        <w:numPr>
          <w:ilvl w:val="0"/>
          <w:numId w:val="63"/>
        </w:numPr>
        <w:shd w:val="clear" w:color="auto" w:fill="auto"/>
        <w:tabs>
          <w:tab w:pos="733" w:val="left"/>
        </w:tabs>
        <w:bidi w:val="0"/>
        <w:spacing w:before="0" w:after="100" w:line="312" w:lineRule="exact"/>
        <w:ind w:left="0" w:right="0" w:firstLine="360"/>
        <w:jc w:val="both"/>
      </w:pPr>
      <w:bookmarkStart w:id="974" w:name="bookmark974"/>
      <w:bookmarkEnd w:id="974"/>
      <w:r>
        <w:rPr>
          <w:color w:val="000000"/>
          <w:spacing w:val="0"/>
          <w:w w:val="100"/>
          <w:position w:val="0"/>
        </w:rPr>
        <w:t>为转让该相关商品或服务估计将要发生的成本。</w:t>
      </w:r>
    </w:p>
    <w:p>
      <w:pPr>
        <w:pStyle w:val="Style18"/>
        <w:keepNext w:val="0"/>
        <w:keepLines w:val="0"/>
        <w:widowControl w:val="0"/>
        <w:shd w:val="clear" w:color="auto" w:fill="auto"/>
        <w:bidi w:val="0"/>
        <w:spacing w:before="0" w:after="100" w:line="302" w:lineRule="exact"/>
        <w:ind w:left="0" w:right="0" w:firstLine="36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18"/>
        <w:keepNext w:val="0"/>
        <w:keepLines w:val="0"/>
        <w:widowControl w:val="0"/>
        <w:shd w:val="clear" w:color="auto" w:fill="auto"/>
        <w:bidi w:val="0"/>
        <w:spacing w:before="0" w:after="200" w:line="317" w:lineRule="exact"/>
        <w:ind w:left="0" w:right="0" w:firstLine="36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9"/>
        <w:keepNext/>
        <w:keepLines/>
        <w:widowControl w:val="0"/>
        <w:shd w:val="clear" w:color="auto" w:fill="auto"/>
        <w:tabs>
          <w:tab w:pos="497" w:val="left"/>
        </w:tabs>
        <w:bidi w:val="0"/>
        <w:spacing w:before="0" w:after="280" w:line="240"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75"/>
      <w:bookmarkEnd w:id="976"/>
      <w:bookmarkEnd w:id="978"/>
    </w:p>
    <w:p>
      <w:pPr>
        <w:pStyle w:val="Style18"/>
        <w:keepNext w:val="0"/>
        <w:keepLines w:val="0"/>
        <w:widowControl w:val="0"/>
        <w:shd w:val="clear" w:color="auto" w:fill="auto"/>
        <w:bidi w:val="0"/>
        <w:spacing w:before="0" w:after="100" w:line="312" w:lineRule="exact"/>
        <w:ind w:left="0" w:right="0" w:firstLine="360"/>
        <w:jc w:val="both"/>
      </w:pPr>
      <w:bookmarkStart w:id="979" w:name="bookmark979"/>
      <w:r>
        <w:rPr>
          <w:b/>
          <w:bCs/>
          <w:color w:val="000000"/>
          <w:spacing w:val="0"/>
          <w:w w:val="100"/>
          <w:position w:val="0"/>
        </w:rPr>
        <w:t>（</w:t>
      </w:r>
      <w:bookmarkEnd w:id="979"/>
      <w:r>
        <w:rPr>
          <w:rFonts w:ascii="Times New Roman" w:eastAsia="Times New Roman" w:hAnsi="Times New Roman" w:cs="Times New Roman"/>
          <w:b/>
          <w:bCs/>
          <w:color w:val="000000"/>
          <w:spacing w:val="0"/>
          <w:w w:val="100"/>
          <w:position w:val="0"/>
        </w:rPr>
        <w:t>1</w:t>
      </w:r>
      <w:r>
        <w:rPr>
          <w:b/>
          <w:bCs/>
          <w:color w:val="000000"/>
          <w:spacing w:val="0"/>
          <w:w w:val="100"/>
          <w:position w:val="0"/>
        </w:rPr>
        <w:t>）持有待售的非流动资产或处置组的分类</w:t>
      </w:r>
    </w:p>
    <w:p>
      <w:pPr>
        <w:pStyle w:val="Style18"/>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本公司将同时满足下列条件的非流动资产或处置组划分为持有待售类别：</w:t>
      </w:r>
    </w:p>
    <w:p>
      <w:pPr>
        <w:pStyle w:val="Style1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①根据类似交易中出售此类资产或处置组的惯例，在当前状况下即可立即出售;</w:t>
      </w:r>
    </w:p>
    <w:p>
      <w:pPr>
        <w:pStyle w:val="Style18"/>
        <w:keepNext w:val="0"/>
        <w:keepLines w:val="0"/>
        <w:widowControl w:val="0"/>
        <w:numPr>
          <w:ilvl w:val="0"/>
          <w:numId w:val="65"/>
        </w:numPr>
        <w:shd w:val="clear" w:color="auto" w:fill="auto"/>
        <w:bidi w:val="0"/>
        <w:spacing w:before="0" w:after="100" w:line="312" w:lineRule="exact"/>
        <w:ind w:left="0" w:right="0"/>
        <w:jc w:val="both"/>
      </w:pPr>
      <w:bookmarkStart w:id="980" w:name="bookmark980"/>
      <w:bookmarkEnd w:id="980"/>
      <w:r>
        <w:rPr>
          <w:color w:val="000000"/>
          <w:spacing w:val="0"/>
          <w:w w:val="100"/>
          <w:position w:val="0"/>
        </w:rPr>
        <w:t>出售极可能发生，即本公司已经就一项出售计划作出决议且获得确定的购买承诺，预计出售将在一年内完成。有关规 定要求本公司相关权力机构或者监管部门批准后方可出售的，已经获得批准。</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本公司专为转售而取得的非流动资产或处置组，在取得日满足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 xml:space="preserve">的规定条件，且短期（通常为 </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个月）内很可能满足持有待售类别的其他划分条件的，本公司在取得日将其划分为持有待售类别。</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本公司因出售对子公司的投资等原因导致其丧失对子公司控制权的，无论出售后本公司是否保留部分权益性投资，在拟 出售的对子公司投资满足持有待售类别划分条件时，在母公司个别财务报表中将对子公司投资整体划分为持有待售类别，在 合并财务报表中将子公司所有资产和负债划分为持有待售类别。</w:t>
      </w:r>
    </w:p>
    <w:p>
      <w:pPr>
        <w:pStyle w:val="Style18"/>
        <w:keepNext w:val="0"/>
        <w:keepLines w:val="0"/>
        <w:widowControl w:val="0"/>
        <w:shd w:val="clear" w:color="auto" w:fill="auto"/>
        <w:tabs>
          <w:tab w:pos="827" w:val="left"/>
        </w:tabs>
        <w:bidi w:val="0"/>
        <w:spacing w:before="0" w:after="100" w:line="312" w:lineRule="exact"/>
        <w:ind w:left="0" w:right="0"/>
        <w:jc w:val="both"/>
      </w:pPr>
      <w:bookmarkStart w:id="981" w:name="bookmark981"/>
      <w:r>
        <w:rPr>
          <w:b/>
          <w:bCs/>
          <w:color w:val="000000"/>
          <w:spacing w:val="0"/>
          <w:w w:val="100"/>
          <w:position w:val="0"/>
        </w:rPr>
        <w:t>（</w:t>
      </w:r>
      <w:bookmarkEnd w:id="98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持有待售的非流动资产或处置组的计量</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采用公允价值模式进行后续计量的投资性房地产、采用公允价值减去出售费用后的净额计量的生物资产、职工薪酬形成 的资产、递延所得税资产、由金融工具相关会计准则规范的金融资产及由保险合同相关会计准则规范的保险合同所产生的权 利的计量分别适用于其他相关会计准则。</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初始计量或在资产负债表日重新计量持有待售的非流动资产或处置组时，其账面价值高于公允价值减去出售费用后的净 额的，将账面价值减记至公允价值减去出售费用后的净额，减记的金额确认为资产减值损失，计入当期损益，同时计提持有 待售资产减值准备。后续资产负债表日持有待售的非流动资产或处置组公允价值减去出售费用后的净额增加的，以前减记的 金额予以恢复，并在划分为持有待售类别后确认的资产减值损失金额内转回，转回金额计入当期损益。已抵减的商誉账面价 值不得转回。</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p>
    <w:p>
      <w:pPr>
        <w:pStyle w:val="Style18"/>
        <w:keepNext w:val="0"/>
        <w:keepLines w:val="0"/>
        <w:widowControl w:val="0"/>
        <w:numPr>
          <w:ilvl w:val="0"/>
          <w:numId w:val="67"/>
        </w:numPr>
        <w:shd w:val="clear" w:color="auto" w:fill="auto"/>
        <w:tabs>
          <w:tab w:pos="725" w:val="left"/>
        </w:tabs>
        <w:bidi w:val="0"/>
        <w:spacing w:before="0" w:after="100" w:line="312" w:lineRule="exact"/>
        <w:ind w:left="0" w:right="0"/>
        <w:jc w:val="both"/>
      </w:pPr>
      <w:bookmarkStart w:id="982" w:name="bookmark982"/>
      <w:bookmarkEnd w:id="982"/>
      <w:r>
        <w:rPr>
          <w:color w:val="000000"/>
          <w:spacing w:val="0"/>
          <w:w w:val="100"/>
          <w:position w:val="0"/>
        </w:rPr>
        <w:t>划分为持有待售类别前的账面价值，按照假定不划分为持有待售类别情况下本应确认的折旧、摊销或减值等进行调整 后的金额；</w:t>
      </w:r>
    </w:p>
    <w:p>
      <w:pPr>
        <w:pStyle w:val="Style18"/>
        <w:keepNext w:val="0"/>
        <w:keepLines w:val="0"/>
        <w:widowControl w:val="0"/>
        <w:numPr>
          <w:ilvl w:val="0"/>
          <w:numId w:val="67"/>
        </w:numPr>
        <w:shd w:val="clear" w:color="auto" w:fill="auto"/>
        <w:tabs>
          <w:tab w:pos="750" w:val="left"/>
        </w:tabs>
        <w:bidi w:val="0"/>
        <w:spacing w:before="0" w:after="100" w:line="312" w:lineRule="exact"/>
        <w:ind w:left="0" w:right="0"/>
        <w:jc w:val="both"/>
      </w:pPr>
      <w:bookmarkStart w:id="983" w:name="bookmark983"/>
      <w:bookmarkEnd w:id="983"/>
      <w:r>
        <w:rPr>
          <w:color w:val="000000"/>
          <w:spacing w:val="0"/>
          <w:w w:val="100"/>
          <w:position w:val="0"/>
        </w:rPr>
        <w:t>可收回金额。</w:t>
      </w:r>
    </w:p>
    <w:p>
      <w:pPr>
        <w:pStyle w:val="Style18"/>
        <w:keepNext w:val="0"/>
        <w:keepLines w:val="0"/>
        <w:widowControl w:val="0"/>
        <w:shd w:val="clear" w:color="auto" w:fill="auto"/>
        <w:tabs>
          <w:tab w:pos="827" w:val="left"/>
        </w:tabs>
        <w:bidi w:val="0"/>
        <w:spacing w:before="0" w:after="100" w:line="312" w:lineRule="exact"/>
        <w:ind w:left="0" w:right="0"/>
        <w:jc w:val="both"/>
      </w:pPr>
      <w:bookmarkStart w:id="984" w:name="bookmark984"/>
      <w:r>
        <w:rPr>
          <w:b/>
          <w:bCs/>
          <w:color w:val="000000"/>
          <w:spacing w:val="0"/>
          <w:w w:val="100"/>
          <w:position w:val="0"/>
        </w:rPr>
        <w:t>（</w:t>
      </w:r>
      <w:bookmarkEnd w:id="98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列报</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本公司在资产负债表中区别于其他资产单独列示持有待售的非流动资产或持有待售的处置组中的资产，区别于其他负债 单独列示持有待售的处置组中的负债。持有待售的非流动资产或持有待售的处置组中的资产与持有待售的处置组中的负债不 予相互抵销，分别作为流动资产和流动负债列示。</w:t>
      </w:r>
    </w:p>
    <w:p>
      <w:pPr>
        <w:pStyle w:val="Style29"/>
        <w:keepNext/>
        <w:keepLines/>
        <w:widowControl w:val="0"/>
        <w:shd w:val="clear" w:color="auto" w:fill="auto"/>
        <w:bidi w:val="0"/>
        <w:spacing w:before="0" w:after="2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rFonts w:ascii="Times New Roman" w:eastAsia="Times New Roman" w:hAnsi="Times New Roman" w:cs="Times New Roman"/>
          <w:color w:val="000000"/>
          <w:spacing w:val="0"/>
          <w:w w:val="100"/>
          <w:position w:val="0"/>
        </w:rPr>
        <w:t>9</w:t>
      </w:r>
      <w:r>
        <w:rPr>
          <w:color w:val="000000"/>
          <w:spacing w:val="0"/>
          <w:w w:val="100"/>
          <w:position w:val="0"/>
        </w:rPr>
        <w:t>、债权投资</w:t>
      </w:r>
      <w:bookmarkEnd w:id="985"/>
      <w:bookmarkEnd w:id="986"/>
      <w:bookmarkEnd w:id="988"/>
    </w:p>
    <w:p>
      <w:pPr>
        <w:pStyle w:val="Style18"/>
        <w:keepNext w:val="0"/>
        <w:keepLines w:val="0"/>
        <w:widowControl w:val="0"/>
        <w:shd w:val="clear" w:color="auto" w:fill="auto"/>
        <w:bidi w:val="0"/>
        <w:spacing w:before="0" w:after="680" w:line="312"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0</w:t>
      </w:r>
      <w:r>
        <w:rPr>
          <w:color w:val="000000"/>
          <w:spacing w:val="0"/>
          <w:w w:val="100"/>
          <w:position w:val="0"/>
        </w:rPr>
        <w:t>、其他债权投资</w:t>
      </w:r>
      <w:bookmarkEnd w:id="989"/>
      <w:bookmarkEnd w:id="990"/>
      <w:bookmarkEnd w:id="992"/>
    </w:p>
    <w:p>
      <w:pPr>
        <w:pStyle w:val="Style18"/>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993"/>
      <w:bookmarkEnd w:id="994"/>
      <w:bookmarkEnd w:id="996"/>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00"/>
      <w:bookmarkEnd w:id="997"/>
      <w:bookmarkEnd w:id="998"/>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本公司长期股权投资包括对被投资单位实施控制、重大影响的权益性投资，以及对合营企业的权益性投资。本公司能够 对被投资单位施加重大影响的，为本公司的联营企业。</w:t>
      </w:r>
    </w:p>
    <w:p>
      <w:pPr>
        <w:pStyle w:val="Style18"/>
        <w:keepNext w:val="0"/>
        <w:keepLines w:val="0"/>
        <w:widowControl w:val="0"/>
        <w:shd w:val="clear" w:color="auto" w:fill="auto"/>
        <w:tabs>
          <w:tab w:pos="797" w:val="left"/>
        </w:tabs>
        <w:bidi w:val="0"/>
        <w:spacing w:before="0" w:after="100" w:line="317" w:lineRule="exact"/>
        <w:ind w:left="0" w:right="0"/>
        <w:jc w:val="both"/>
      </w:pPr>
      <w:bookmarkStart w:id="1001" w:name="bookmark1001"/>
      <w:r>
        <w:rPr>
          <w:b/>
          <w:bCs/>
          <w:color w:val="000000"/>
          <w:spacing w:val="0"/>
          <w:w w:val="100"/>
          <w:position w:val="0"/>
        </w:rPr>
        <w:t>（</w:t>
      </w:r>
      <w:bookmarkEnd w:id="100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确定对被投资单位具有共同控制、重大影响的依据</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后才能决策。在判断是否存在共同控制时，首先判断所有参与方或参与方组合是否集体控制该安排，如果所有参与方或一组 参与方必须一致行动才能决定某项安排的相关活动，则认为所有参与方或一组参与方集体控制该安排。其次再判断该安排相 关活动的决策是否必须经过这些集体控制该安排的参与方一致同意。如果存在两个或两个以上的参与方组合能够集体控制某 项安排的，不构成共同控制。判断是否存在共同控制时，不考虑享有的保护性权利。</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的表决权股份时，一般认为对被投资单 位具有重大影响，除非有明确证据表明该种情况下不能参与被投资单位的生产经营决策，不形成重大影响。</w:t>
      </w:r>
    </w:p>
    <w:p>
      <w:pPr>
        <w:pStyle w:val="Style18"/>
        <w:keepNext w:val="0"/>
        <w:keepLines w:val="0"/>
        <w:widowControl w:val="0"/>
        <w:shd w:val="clear" w:color="auto" w:fill="auto"/>
        <w:tabs>
          <w:tab w:pos="797" w:val="left"/>
        </w:tabs>
        <w:bidi w:val="0"/>
        <w:spacing w:before="0" w:after="100" w:line="317" w:lineRule="exact"/>
        <w:ind w:left="0" w:right="0"/>
        <w:jc w:val="both"/>
      </w:pPr>
      <w:bookmarkStart w:id="1002" w:name="bookmark1002"/>
      <w:r>
        <w:rPr>
          <w:b/>
          <w:bCs/>
          <w:color w:val="000000"/>
          <w:spacing w:val="0"/>
          <w:w w:val="100"/>
          <w:position w:val="0"/>
        </w:rPr>
        <w:t>（</w:t>
      </w:r>
      <w:bookmarkEnd w:id="10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初始投资成本确定</w:t>
      </w:r>
    </w:p>
    <w:p>
      <w:pPr>
        <w:pStyle w:val="Style1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①企业合并形成的长期股权投资，按照下列规定确定其投资成本：</w:t>
      </w:r>
    </w:p>
    <w:p>
      <w:pPr>
        <w:pStyle w:val="Style18"/>
        <w:keepNext w:val="0"/>
        <w:keepLines w:val="0"/>
        <w:widowControl w:val="0"/>
        <w:numPr>
          <w:ilvl w:val="0"/>
          <w:numId w:val="69"/>
        </w:numPr>
        <w:shd w:val="clear" w:color="auto" w:fill="auto"/>
        <w:tabs>
          <w:tab w:pos="676" w:val="left"/>
        </w:tabs>
        <w:bidi w:val="0"/>
        <w:spacing w:before="0" w:after="100" w:line="315" w:lineRule="exact"/>
        <w:ind w:left="0" w:right="0"/>
        <w:jc w:val="both"/>
      </w:pPr>
      <w:bookmarkStart w:id="1003" w:name="bookmark1003"/>
      <w:bookmarkEnd w:id="1003"/>
      <w:r>
        <w:rPr>
          <w:color w:val="000000"/>
          <w:spacing w:val="0"/>
          <w:w w:val="100"/>
          <w:position w:val="0"/>
        </w:rPr>
        <w:t>同一控制下的企业合并，合并方以支付现金、转让非现金资产或承担债务方式作为合并对价的，在合并日按照被合并 方所有者权益在最终控制方合并财务报表中的账面价值的份额作为长期股权投资的初始投资成本。长期股权投资初始投资成 本与支付的现金、转让的非现金资产以及所承担债务账面价值之间的差额，调整资本公积；资本公积不足冲减的，调整留存 收益；</w:t>
      </w:r>
    </w:p>
    <w:p>
      <w:pPr>
        <w:pStyle w:val="Style18"/>
        <w:keepNext w:val="0"/>
        <w:keepLines w:val="0"/>
        <w:widowControl w:val="0"/>
        <w:numPr>
          <w:ilvl w:val="0"/>
          <w:numId w:val="69"/>
        </w:numPr>
        <w:shd w:val="clear" w:color="auto" w:fill="auto"/>
        <w:tabs>
          <w:tab w:pos="681" w:val="left"/>
        </w:tabs>
        <w:bidi w:val="0"/>
        <w:spacing w:before="0" w:after="100" w:line="319" w:lineRule="exact"/>
        <w:ind w:left="0" w:right="0"/>
        <w:jc w:val="both"/>
      </w:pPr>
      <w:bookmarkStart w:id="1004" w:name="bookmark1004"/>
      <w:bookmarkEnd w:id="1004"/>
      <w:r>
        <w:rPr>
          <w:color w:val="000000"/>
          <w:spacing w:val="0"/>
          <w:w w:val="100"/>
          <w:position w:val="0"/>
        </w:rPr>
        <w:t>同一控制下的企业合并，合并方以发行权益性证券作为合并对价的，在合并日按照被合并方所有者权益在最终控制方 合并财务报表中的账面价值的份额作为长期股权投资的初始投资成本。按照发行股份的面值总额作为股本，长期股权投资初 始投资成本与所发行股份面值总额之间的差额，调整资本公积；资本公积不足冲减的，调整留存收益；</w:t>
      </w:r>
    </w:p>
    <w:p>
      <w:pPr>
        <w:pStyle w:val="Style18"/>
        <w:keepNext w:val="0"/>
        <w:keepLines w:val="0"/>
        <w:widowControl w:val="0"/>
        <w:numPr>
          <w:ilvl w:val="0"/>
          <w:numId w:val="69"/>
        </w:numPr>
        <w:shd w:val="clear" w:color="auto" w:fill="auto"/>
        <w:tabs>
          <w:tab w:pos="686" w:val="left"/>
        </w:tabs>
        <w:bidi w:val="0"/>
        <w:spacing w:before="0" w:after="100" w:line="317" w:lineRule="exact"/>
        <w:ind w:left="0" w:right="0"/>
        <w:jc w:val="both"/>
      </w:pPr>
      <w:bookmarkStart w:id="1005" w:name="bookmark1005"/>
      <w:bookmarkEnd w:id="1005"/>
      <w:r>
        <w:rPr>
          <w:color w:val="000000"/>
          <w:spacing w:val="0"/>
          <w:w w:val="100"/>
          <w:position w:val="0"/>
        </w:rPr>
        <w:t>非同一控制下的企业合并，以购买日为取得对被购买方的控制权而付出的资产、发生或承担的负债以及发行的权益性 证券的公允价值确定为合并成本作为长期股权投资的初始投资成本。合并方为企业合并发生的审计、法律服务、评估咨询等 中介费用以及其他相关管理费用，于发生时计入当期损益。</w:t>
      </w:r>
    </w:p>
    <w:p>
      <w:pPr>
        <w:pStyle w:val="Style18"/>
        <w:keepNext w:val="0"/>
        <w:keepLines w:val="0"/>
        <w:widowControl w:val="0"/>
        <w:numPr>
          <w:ilvl w:val="0"/>
          <w:numId w:val="71"/>
        </w:numPr>
        <w:shd w:val="clear" w:color="auto" w:fill="auto"/>
        <w:bidi w:val="0"/>
        <w:spacing w:before="0" w:after="100" w:line="317" w:lineRule="exact"/>
        <w:ind w:left="0" w:right="0"/>
        <w:jc w:val="both"/>
      </w:pPr>
      <w:bookmarkStart w:id="1006" w:name="bookmark1006"/>
      <w:bookmarkEnd w:id="1006"/>
      <w:r>
        <w:rPr>
          <w:color w:val="000000"/>
          <w:spacing w:val="0"/>
          <w:w w:val="100"/>
          <w:position w:val="0"/>
        </w:rPr>
        <w:t>除企业合并形成的长期股权投资以外，其他方式取得的长期股权投资，按照下列规定确定其投资成本：</w:t>
      </w:r>
    </w:p>
    <w:p>
      <w:pPr>
        <w:pStyle w:val="Style18"/>
        <w:keepNext w:val="0"/>
        <w:keepLines w:val="0"/>
        <w:widowControl w:val="0"/>
        <w:numPr>
          <w:ilvl w:val="0"/>
          <w:numId w:val="73"/>
        </w:numPr>
        <w:shd w:val="clear" w:color="auto" w:fill="auto"/>
        <w:tabs>
          <w:tab w:pos="681" w:val="left"/>
        </w:tabs>
        <w:bidi w:val="0"/>
        <w:spacing w:before="0" w:after="100" w:line="322" w:lineRule="exact"/>
        <w:ind w:left="0" w:right="0"/>
        <w:jc w:val="both"/>
      </w:pPr>
      <w:bookmarkStart w:id="1007" w:name="bookmark1007"/>
      <w:bookmarkEnd w:id="1007"/>
      <w:r>
        <w:rPr>
          <w:color w:val="000000"/>
          <w:spacing w:val="0"/>
          <w:w w:val="100"/>
          <w:position w:val="0"/>
        </w:rPr>
        <w:t>以支付现金取得的长期股权投资，按照实际支付的购买价款作为投资成本。初始投资成本包括与取得长期股权投资直 接相关的费用、税金及其他必要支出；</w:t>
      </w:r>
    </w:p>
    <w:p>
      <w:pPr>
        <w:pStyle w:val="Style18"/>
        <w:keepNext w:val="0"/>
        <w:keepLines w:val="0"/>
        <w:widowControl w:val="0"/>
        <w:numPr>
          <w:ilvl w:val="0"/>
          <w:numId w:val="73"/>
        </w:numPr>
        <w:shd w:val="clear" w:color="auto" w:fill="auto"/>
        <w:tabs>
          <w:tab w:pos="711" w:val="left"/>
        </w:tabs>
        <w:bidi w:val="0"/>
        <w:spacing w:before="0" w:after="100" w:line="317" w:lineRule="exact"/>
        <w:ind w:left="0" w:right="0"/>
        <w:jc w:val="both"/>
      </w:pPr>
      <w:bookmarkStart w:id="1008" w:name="bookmark1008"/>
      <w:bookmarkEnd w:id="1008"/>
      <w:r>
        <w:rPr>
          <w:color w:val="000000"/>
          <w:spacing w:val="0"/>
          <w:w w:val="100"/>
          <w:position w:val="0"/>
        </w:rPr>
        <w:t>以发行权益性证券取得的长期股权投资，按照发行权益性证券的公允价值作为初始投资成本；</w:t>
      </w:r>
    </w:p>
    <w:p>
      <w:pPr>
        <w:pStyle w:val="Style18"/>
        <w:keepNext w:val="0"/>
        <w:keepLines w:val="0"/>
        <w:widowControl w:val="0"/>
        <w:numPr>
          <w:ilvl w:val="0"/>
          <w:numId w:val="73"/>
        </w:numPr>
        <w:shd w:val="clear" w:color="auto" w:fill="auto"/>
        <w:tabs>
          <w:tab w:pos="686" w:val="left"/>
        </w:tabs>
        <w:bidi w:val="0"/>
        <w:spacing w:before="0" w:after="100" w:line="322" w:lineRule="exact"/>
        <w:ind w:left="0" w:right="0"/>
        <w:jc w:val="both"/>
      </w:pPr>
      <w:bookmarkStart w:id="1009" w:name="bookmark1009"/>
      <w:bookmarkEnd w:id="1009"/>
      <w:r>
        <w:rPr>
          <w:color w:val="000000"/>
          <w:spacing w:val="0"/>
          <w:w w:val="100"/>
          <w:position w:val="0"/>
        </w:rPr>
        <w:t>通过非货币性资产交换取得的长期股权投资，如果该项交换具有商业实质且换入资产或换出资产的公允价值能可靠计 量，则以换出资产的公允价值和相关税费作为初始投资成本，换出资产的公允价值与账面价值之间的差额计入当期损益；若 非货币资产交换不同时具备上述两个条件，则按换出资产的账面价值和相关税费作为初始投资成本。</w:t>
      </w:r>
    </w:p>
    <w:p>
      <w:pPr>
        <w:pStyle w:val="Style18"/>
        <w:keepNext w:val="0"/>
        <w:keepLines w:val="0"/>
        <w:widowControl w:val="0"/>
        <w:numPr>
          <w:ilvl w:val="0"/>
          <w:numId w:val="73"/>
        </w:numPr>
        <w:shd w:val="clear" w:color="auto" w:fill="auto"/>
        <w:tabs>
          <w:tab w:pos="681" w:val="left"/>
        </w:tabs>
        <w:bidi w:val="0"/>
        <w:spacing w:before="0" w:after="100" w:line="326" w:lineRule="exact"/>
        <w:ind w:left="0" w:right="0"/>
        <w:jc w:val="both"/>
      </w:pPr>
      <w:bookmarkStart w:id="1010" w:name="bookmark1010"/>
      <w:bookmarkEnd w:id="1010"/>
      <w:r>
        <w:rPr>
          <w:color w:val="000000"/>
          <w:spacing w:val="0"/>
          <w:w w:val="100"/>
          <w:position w:val="0"/>
        </w:rPr>
        <w:t>通过债务重组取得的长期股权投资，以所放弃债权的公允价值和可直接归属于该资产的税金等其他成本确定其入账价 值，并将所放弃债权的公允价值与账面价值之间的差额，计入当期损益。</w:t>
      </w:r>
    </w:p>
    <w:p>
      <w:pPr>
        <w:pStyle w:val="Style18"/>
        <w:keepNext w:val="0"/>
        <w:keepLines w:val="0"/>
        <w:widowControl w:val="0"/>
        <w:shd w:val="clear" w:color="auto" w:fill="auto"/>
        <w:tabs>
          <w:tab w:pos="797" w:val="left"/>
        </w:tabs>
        <w:bidi w:val="0"/>
        <w:spacing w:before="0" w:after="100" w:line="317" w:lineRule="exact"/>
        <w:ind w:left="0" w:right="0"/>
        <w:jc w:val="both"/>
      </w:pPr>
      <w:bookmarkStart w:id="1011" w:name="bookmark1011"/>
      <w:r>
        <w:rPr>
          <w:b/>
          <w:bCs/>
          <w:color w:val="000000"/>
          <w:spacing w:val="0"/>
          <w:w w:val="100"/>
          <w:position w:val="0"/>
        </w:rPr>
        <w:t>（</w:t>
      </w:r>
      <w:bookmarkEnd w:id="101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后续计量及损益确认方法</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本公司能够对被投资单位实施控制的长期股权投资采用成本法核算;对联营企业和合营企业的长期股权投资采用权益法 核算。</w:t>
      </w:r>
    </w:p>
    <w:p>
      <w:pPr>
        <w:pStyle w:val="Style18"/>
        <w:keepNext w:val="0"/>
        <w:keepLines w:val="0"/>
        <w:widowControl w:val="0"/>
        <w:numPr>
          <w:ilvl w:val="0"/>
          <w:numId w:val="75"/>
        </w:numPr>
        <w:shd w:val="clear" w:color="auto" w:fill="auto"/>
        <w:tabs>
          <w:tab w:pos="736" w:val="left"/>
        </w:tabs>
        <w:bidi w:val="0"/>
        <w:spacing w:before="0" w:after="120" w:line="312" w:lineRule="exact"/>
        <w:ind w:left="0" w:right="0"/>
        <w:jc w:val="both"/>
      </w:pPr>
      <w:bookmarkStart w:id="1012" w:name="bookmark1012"/>
      <w:bookmarkEnd w:id="1012"/>
      <w:r>
        <w:rPr>
          <w:color w:val="000000"/>
          <w:spacing w:val="0"/>
          <w:w w:val="100"/>
          <w:position w:val="0"/>
        </w:rPr>
        <w:t>成本法</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采用成本法核算的长期股权投资，追加或收回投资时调整长期股权投资的成本;被投资单位宣告分派的现金股利或利润， 确认为当期投资收益。</w:t>
      </w:r>
    </w:p>
    <w:p>
      <w:pPr>
        <w:pStyle w:val="Style18"/>
        <w:keepNext w:val="0"/>
        <w:keepLines w:val="0"/>
        <w:widowControl w:val="0"/>
        <w:numPr>
          <w:ilvl w:val="0"/>
          <w:numId w:val="75"/>
        </w:numPr>
        <w:shd w:val="clear" w:color="auto" w:fill="auto"/>
        <w:tabs>
          <w:tab w:pos="736" w:val="left"/>
        </w:tabs>
        <w:bidi w:val="0"/>
        <w:spacing w:before="0" w:after="120" w:line="312" w:lineRule="exact"/>
        <w:ind w:left="0" w:right="0"/>
        <w:jc w:val="both"/>
      </w:pPr>
      <w:bookmarkStart w:id="1013" w:name="bookmark1013"/>
      <w:bookmarkEnd w:id="1013"/>
      <w:r>
        <w:rPr>
          <w:color w:val="000000"/>
          <w:spacing w:val="0"/>
          <w:w w:val="100"/>
          <w:position w:val="0"/>
        </w:rPr>
        <w:t>权益法</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按照权益法核算的长期股权投资，一般会计处理为：</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本公司长期股权投资的投资成本大于投资时应享有被投资单位可辨认净资产公允价值份额的，不调整长期股权投资的初 始投资成本；长期股权投资的初始投资成本小于投资时应享有被投资单位可辨认净资产公允价值份额的，其差额计入当期损 益，同时调整长期股权投资的成本。</w:t>
      </w:r>
    </w:p>
    <w:p>
      <w:pPr>
        <w:pStyle w:val="Style18"/>
        <w:keepNext w:val="0"/>
        <w:keepLines w:val="0"/>
        <w:widowControl w:val="0"/>
        <w:shd w:val="clear" w:color="auto" w:fill="auto"/>
        <w:bidi w:val="0"/>
        <w:spacing w:before="0" w:after="120" w:line="313" w:lineRule="exact"/>
        <w:ind w:left="0" w:right="0"/>
        <w:jc w:val="both"/>
      </w:pPr>
      <w:r>
        <w:rPr>
          <w:color w:val="000000"/>
          <w:spacing w:val="0"/>
          <w:w w:val="100"/>
          <w:position w:val="0"/>
        </w:rPr>
        <w:t>本公司按照应享有或应分担的被投资单位实现的净损益和其他综合收益的份额，分别确认投资收益和其他综合收益，同 时调整长期股权投资的账面价值；本公司按照被投资单位宣告分派的利润或现金股利计算应享有的部分，相应减少长期股权 投资的账面价值；被投资单位除净损益、其他综合收益和利润分配以外所有者权益的其他变动，调整长期股权投资的账面价 值并计入所有者权益。在确认应享有被投资单位净损益的份额时，以取得投资时被投资单位可辨认净资产的公允价值为基础， 对被投资单位的净利润进行调整后确认。被投资单位采用的会计政策及会计期间与本公司不一致的，应按照本公司的会计政 策及会计期间对被投资单位的财务报表进行调整，并据以确认投资收益和其他综合收益等。本公司与联营企业及合营企业之 间发生的未实现内部交易损益按照享有的比例计算归属于本公司的部分予以抵销，在此基础上确认投资损益。本公司与被投 资单位发生的未实现内部交易损失属于资产减值损失的，应全额确认。</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因追加投资等原因能够对被投资单位施加重大影响或实施共同控制但不构成控制的，按照原持有的股权投资的公允价值 加上新增投资成本之和，作为改按权益法核算的初始投资成本。原持有的股权投资分类为其他权益工具投资的，其公允价值 与账面价值之间的差额，以及原计入其他综合收益的累计利得或损失应当在改按权益法核算的当期从其他综合收益中转出， 计入留存收益。</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因处置部分股权投资等原因丧失了对被投资单位的共同控制或重大影响的，处置后的剩余股权改按公允价值计量，其在 丧失共同控制或重大影响之日的公允价值与账面价值之间的差额计入当期损益。原股权投资因采用权益法核算而确认的其他 综合收益，在终止采用权益法核算时采用与被投资单位直接处置相关资产或负债相同的基础进行会计处理。</w:t>
      </w:r>
    </w:p>
    <w:p>
      <w:pPr>
        <w:pStyle w:val="Style18"/>
        <w:keepNext w:val="0"/>
        <w:keepLines w:val="0"/>
        <w:widowControl w:val="0"/>
        <w:shd w:val="clear" w:color="auto" w:fill="auto"/>
        <w:tabs>
          <w:tab w:pos="812" w:val="left"/>
        </w:tabs>
        <w:bidi w:val="0"/>
        <w:spacing w:before="0" w:after="120" w:line="312" w:lineRule="exact"/>
        <w:ind w:left="0" w:right="0"/>
        <w:jc w:val="both"/>
      </w:pPr>
      <w:bookmarkStart w:id="1014" w:name="bookmark1014"/>
      <w:r>
        <w:rPr>
          <w:b/>
          <w:bCs/>
          <w:color w:val="000000"/>
          <w:spacing w:val="0"/>
          <w:w w:val="100"/>
          <w:position w:val="0"/>
        </w:rPr>
        <w:t>（</w:t>
      </w:r>
      <w:bookmarkEnd w:id="101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持有待售的权益性投资</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对于未划分为持有待售资产的剩余权益性投资，采用权益法进行会计处理。</w:t>
      </w:r>
    </w:p>
    <w:p>
      <w:pPr>
        <w:pStyle w:val="Style18"/>
        <w:keepNext w:val="0"/>
        <w:keepLines w:val="0"/>
        <w:widowControl w:val="0"/>
        <w:shd w:val="clear" w:color="auto" w:fill="auto"/>
        <w:bidi w:val="0"/>
        <w:spacing w:before="0" w:after="120" w:line="307" w:lineRule="exact"/>
        <w:ind w:left="0" w:right="0"/>
        <w:jc w:val="both"/>
      </w:pPr>
      <w:r>
        <w:rPr>
          <w:color w:val="000000"/>
          <w:spacing w:val="0"/>
          <w:w w:val="100"/>
          <w:position w:val="0"/>
        </w:rPr>
        <w:t>已划分为持有待售的对联营企业或合营企业的权益性投资，不再符合持有待售资产分类条件的，从被分类为持有待售资 产之日起采用权益法进行追溯调整。分类为持有待售期间的财务报表做相应调整。</w:t>
      </w:r>
    </w:p>
    <w:p>
      <w:pPr>
        <w:pStyle w:val="Style18"/>
        <w:keepNext w:val="0"/>
        <w:keepLines w:val="0"/>
        <w:widowControl w:val="0"/>
        <w:shd w:val="clear" w:color="auto" w:fill="auto"/>
        <w:tabs>
          <w:tab w:pos="812" w:val="left"/>
        </w:tabs>
        <w:bidi w:val="0"/>
        <w:spacing w:before="0" w:after="120" w:line="312" w:lineRule="exact"/>
        <w:ind w:left="0" w:right="0"/>
        <w:jc w:val="both"/>
      </w:pPr>
      <w:bookmarkStart w:id="1015" w:name="bookmark1015"/>
      <w:r>
        <w:rPr>
          <w:b/>
          <w:bCs/>
          <w:color w:val="000000"/>
          <w:spacing w:val="0"/>
          <w:w w:val="100"/>
          <w:position w:val="0"/>
        </w:rPr>
        <w:t>（</w:t>
      </w:r>
      <w:bookmarkEnd w:id="101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减值测试方法及减值准备计提方法</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016"/>
      <w:bookmarkEnd w:id="1017"/>
      <w:bookmarkEnd w:id="1019"/>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020"/>
      <w:bookmarkEnd w:id="1021"/>
      <w:bookmarkEnd w:id="1023"/>
    </w:p>
    <w:p>
      <w:pPr>
        <w:pStyle w:val="Style40"/>
        <w:keepNext/>
        <w:keepLines/>
        <w:widowControl w:val="0"/>
        <w:shd w:val="clear" w:color="auto" w:fill="auto"/>
        <w:tabs>
          <w:tab w:pos="493" w:val="left"/>
        </w:tabs>
        <w:bidi w:val="0"/>
        <w:spacing w:before="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1024"/>
      <w:bookmarkEnd w:id="1025"/>
      <w:bookmarkEnd w:id="102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固定资产在同时满足下列条件时，按取得时的实际成本予以确认：</w:t>
      </w:r>
    </w:p>
    <w:p>
      <w:pPr>
        <w:pStyle w:val="Style18"/>
        <w:keepNext w:val="0"/>
        <w:keepLines w:val="0"/>
        <w:widowControl w:val="0"/>
        <w:numPr>
          <w:ilvl w:val="0"/>
          <w:numId w:val="77"/>
        </w:numPr>
        <w:shd w:val="clear" w:color="auto" w:fill="auto"/>
        <w:tabs>
          <w:tab w:pos="373" w:val="left"/>
        </w:tabs>
        <w:bidi w:val="0"/>
        <w:spacing w:before="0" w:after="120" w:line="240" w:lineRule="auto"/>
        <w:ind w:left="0" w:right="0" w:firstLine="0"/>
        <w:jc w:val="left"/>
      </w:pPr>
      <w:bookmarkStart w:id="1028" w:name="bookmark1028"/>
      <w:bookmarkEnd w:id="1028"/>
      <w:r>
        <w:rPr>
          <w:color w:val="000000"/>
          <w:spacing w:val="0"/>
          <w:w w:val="100"/>
          <w:position w:val="0"/>
        </w:rPr>
        <w:t>与该固定资产有关的经济利益很可能流入企业。</w:t>
      </w:r>
    </w:p>
    <w:p>
      <w:pPr>
        <w:pStyle w:val="Style18"/>
        <w:keepNext w:val="0"/>
        <w:keepLines w:val="0"/>
        <w:widowControl w:val="0"/>
        <w:numPr>
          <w:ilvl w:val="0"/>
          <w:numId w:val="77"/>
        </w:numPr>
        <w:shd w:val="clear" w:color="auto" w:fill="auto"/>
        <w:tabs>
          <w:tab w:pos="373" w:val="left"/>
        </w:tabs>
        <w:bidi w:val="0"/>
        <w:spacing w:before="0" w:after="120" w:line="240" w:lineRule="auto"/>
        <w:ind w:left="0" w:right="0" w:firstLine="0"/>
        <w:jc w:val="left"/>
      </w:pPr>
      <w:bookmarkStart w:id="1029" w:name="bookmark1029"/>
      <w:bookmarkEnd w:id="1029"/>
      <w:r>
        <w:rPr>
          <w:color w:val="000000"/>
          <w:spacing w:val="0"/>
          <w:w w:val="100"/>
          <w:position w:val="0"/>
        </w:rPr>
        <w:t>该固定资产的成本能够可靠地计量。</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固定资产发生的后续支出，符合固定资产确认条件的计入固定资产成本;不符合固定资产确认条件的在发生时计入当期损益。</w:t>
      </w:r>
    </w:p>
    <w:p>
      <w:pPr>
        <w:pStyle w:val="Style40"/>
        <w:keepNext/>
        <w:keepLines/>
        <w:widowControl w:val="0"/>
        <w:shd w:val="clear" w:color="auto" w:fill="auto"/>
        <w:tabs>
          <w:tab w:pos="493"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1030"/>
      <w:bookmarkEnd w:id="1031"/>
      <w:bookmarkEnd w:id="1033"/>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bl>
    <w:p>
      <w:pPr>
        <w:widowControl w:val="0"/>
        <w:spacing w:after="59" w:line="1" w:lineRule="exact"/>
      </w:pPr>
    </w:p>
    <w:p>
      <w:pPr>
        <w:pStyle w:val="Style18"/>
        <w:keepNext w:val="0"/>
        <w:keepLines w:val="0"/>
        <w:widowControl w:val="0"/>
        <w:shd w:val="clear" w:color="auto" w:fill="auto"/>
        <w:bidi w:val="0"/>
        <w:spacing w:before="0" w:after="120" w:line="307" w:lineRule="exact"/>
        <w:ind w:left="0" w:right="0"/>
        <w:jc w:val="left"/>
      </w:pPr>
      <w:r>
        <w:rPr>
          <w:color w:val="000000"/>
          <w:spacing w:val="0"/>
          <w:w w:val="100"/>
          <w:position w:val="0"/>
        </w:rPr>
        <w:t>对于已经计提减值准备的固定资产，在计提折旧时扣除已计提的固定资产减值准备。</w:t>
      </w:r>
    </w:p>
    <w:p>
      <w:pPr>
        <w:pStyle w:val="Style18"/>
        <w:keepNext w:val="0"/>
        <w:keepLines w:val="0"/>
        <w:widowControl w:val="0"/>
        <w:shd w:val="clear" w:color="auto" w:fill="auto"/>
        <w:bidi w:val="0"/>
        <w:spacing w:before="0" w:after="800" w:line="307" w:lineRule="exact"/>
        <w:ind w:left="0" w:right="0"/>
        <w:jc w:val="left"/>
      </w:pPr>
      <w:r>
        <w:rPr>
          <w:color w:val="000000"/>
          <w:spacing w:val="0"/>
          <w:w w:val="100"/>
          <w:position w:val="0"/>
        </w:rPr>
        <w:t>每年年度终了，公司对固定资产的使用寿命、预计净残值和折旧方法进行复核。使用寿命预计数与原先估计数有差异的， 调整固定资产使用寿命。</w:t>
      </w:r>
    </w:p>
    <w:p>
      <w:pPr>
        <w:pStyle w:val="Style40"/>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34"/>
      <w:bookmarkEnd w:id="1035"/>
      <w:bookmarkEnd w:id="1037"/>
    </w:p>
    <w:p>
      <w:pPr>
        <w:pStyle w:val="Style29"/>
        <w:keepNext/>
        <w:keepLines/>
        <w:widowControl w:val="0"/>
        <w:shd w:val="clear" w:color="auto" w:fill="auto"/>
        <w:tabs>
          <w:tab w:pos="483" w:val="left"/>
        </w:tabs>
        <w:bidi w:val="0"/>
        <w:spacing w:before="0" w:after="28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bookmarkEnd w:id="1040"/>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38"/>
      <w:bookmarkEnd w:id="1039"/>
      <w:bookmarkEnd w:id="1041"/>
    </w:p>
    <w:p>
      <w:pPr>
        <w:pStyle w:val="Style18"/>
        <w:keepNext w:val="0"/>
        <w:keepLines w:val="0"/>
        <w:widowControl w:val="0"/>
        <w:shd w:val="clear" w:color="auto" w:fill="auto"/>
        <w:tabs>
          <w:tab w:pos="825" w:val="left"/>
        </w:tabs>
        <w:bidi w:val="0"/>
        <w:spacing w:before="0" w:after="120" w:line="312" w:lineRule="exact"/>
        <w:ind w:left="0" w:right="0"/>
        <w:jc w:val="both"/>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在建工程以立项项目分类核算。</w:t>
      </w:r>
    </w:p>
    <w:p>
      <w:pPr>
        <w:pStyle w:val="Style18"/>
        <w:keepNext w:val="0"/>
        <w:keepLines w:val="0"/>
        <w:widowControl w:val="0"/>
        <w:shd w:val="clear" w:color="auto" w:fill="auto"/>
        <w:tabs>
          <w:tab w:pos="825" w:val="left"/>
        </w:tabs>
        <w:bidi w:val="0"/>
        <w:spacing w:before="0" w:after="120" w:line="312" w:lineRule="exact"/>
        <w:ind w:left="0" w:right="0"/>
        <w:jc w:val="both"/>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p>
    <w:p>
      <w:pPr>
        <w:pStyle w:val="Style18"/>
        <w:keepNext w:val="0"/>
        <w:keepLines w:val="0"/>
        <w:widowControl w:val="0"/>
        <w:shd w:val="clear" w:color="auto" w:fill="auto"/>
        <w:bidi w:val="0"/>
        <w:spacing w:before="0" w:after="800" w:line="312" w:lineRule="exact"/>
        <w:ind w:left="0" w:right="0"/>
        <w:jc w:val="both"/>
      </w:pPr>
      <w:r>
        <w:rPr>
          <w:color w:val="000000"/>
          <w:spacing w:val="0"/>
          <w:w w:val="100"/>
          <w:position w:val="0"/>
        </w:rPr>
        <w:t>在建工程项目按建造该项资产达到预定可使用状态前所发生的全部支出，作为固定资产的入账价值。包括建筑费用、机 器设备原价、其他为使在建工程达到预定可使用状态所发生的必要支出以及在资产达到预定可使用状态之前为该项目专门借 款所发生的借款费用及占用的一般借款发生的借款费用。本公司在工程安装或建设完成达到预定可使用状态时将在建工程转 入固定资产。所建造的已达到预定可使用状态、但尚未办理竣工决算的固定资产，自达到预定可使用状态之日起，根据工程 预算、造价或者工程实际成本等，按估计的价值转入固定资产，并按本公司固定资产折旧政策计提固定资产的折旧，待办理 竣工决算后，再按实际成本调整原来的暂估价值，但不调整原已计提的折旧额。</w:t>
      </w:r>
    </w:p>
    <w:p>
      <w:pPr>
        <w:pStyle w:val="Style29"/>
        <w:keepNext/>
        <w:keepLines/>
        <w:widowControl w:val="0"/>
        <w:shd w:val="clear" w:color="auto" w:fill="auto"/>
        <w:tabs>
          <w:tab w:pos="483" w:val="left"/>
        </w:tabs>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bookmarkEnd w:id="104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44"/>
      <w:bookmarkEnd w:id="1045"/>
      <w:bookmarkEnd w:id="1047"/>
    </w:p>
    <w:p>
      <w:pPr>
        <w:pStyle w:val="Style18"/>
        <w:keepNext w:val="0"/>
        <w:keepLines w:val="0"/>
        <w:widowControl w:val="0"/>
        <w:shd w:val="clear" w:color="auto" w:fill="auto"/>
        <w:bidi w:val="0"/>
        <w:spacing w:before="0" w:after="320" w:line="240" w:lineRule="auto"/>
        <w:ind w:left="0" w:right="0"/>
        <w:jc w:val="both"/>
      </w:pPr>
      <w:bookmarkStart w:id="1048" w:name="bookmark1048"/>
      <w:r>
        <w:rPr>
          <w:b/>
          <w:bCs/>
          <w:color w:val="000000"/>
          <w:spacing w:val="0"/>
          <w:w w:val="100"/>
          <w:position w:val="0"/>
        </w:rPr>
        <w:t>（</w:t>
      </w:r>
      <w:bookmarkEnd w:id="1048"/>
      <w:r>
        <w:rPr>
          <w:rFonts w:ascii="Times New Roman" w:eastAsia="Times New Roman" w:hAnsi="Times New Roman" w:cs="Times New Roman"/>
          <w:b/>
          <w:bCs/>
          <w:color w:val="000000"/>
          <w:spacing w:val="0"/>
          <w:w w:val="100"/>
          <w:position w:val="0"/>
        </w:rPr>
        <w:t>1</w:t>
      </w:r>
      <w:r>
        <w:rPr>
          <w:b/>
          <w:bCs/>
          <w:color w:val="000000"/>
          <w:spacing w:val="0"/>
          <w:w w:val="100"/>
          <w:position w:val="0"/>
        </w:rPr>
        <w:t>）借款费用资本化的确认原则和资本化期间</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本公司发生的可直接归属于符合资本化条件的资产的购建或生产的借款费用在同时满足下列条件时予以资本化计入相 关资产成本：</w:t>
      </w:r>
    </w:p>
    <w:p>
      <w:pPr>
        <w:pStyle w:val="Style18"/>
        <w:keepNext w:val="0"/>
        <w:keepLines w:val="0"/>
        <w:widowControl w:val="0"/>
        <w:numPr>
          <w:ilvl w:val="0"/>
          <w:numId w:val="79"/>
        </w:numPr>
        <w:shd w:val="clear" w:color="auto" w:fill="auto"/>
        <w:tabs>
          <w:tab w:pos="753" w:val="left"/>
        </w:tabs>
        <w:bidi w:val="0"/>
        <w:spacing w:before="0" w:after="100" w:line="311" w:lineRule="exact"/>
        <w:ind w:left="0" w:right="0"/>
        <w:jc w:val="both"/>
      </w:pPr>
      <w:bookmarkStart w:id="1049" w:name="bookmark1049"/>
      <w:bookmarkEnd w:id="1049"/>
      <w:r>
        <w:rPr>
          <w:color w:val="000000"/>
          <w:spacing w:val="0"/>
          <w:w w:val="100"/>
          <w:position w:val="0"/>
        </w:rPr>
        <w:t>资产支出已经发生；</w:t>
      </w:r>
    </w:p>
    <w:p>
      <w:pPr>
        <w:pStyle w:val="Style18"/>
        <w:keepNext w:val="0"/>
        <w:keepLines w:val="0"/>
        <w:widowControl w:val="0"/>
        <w:numPr>
          <w:ilvl w:val="0"/>
          <w:numId w:val="79"/>
        </w:numPr>
        <w:shd w:val="clear" w:color="auto" w:fill="auto"/>
        <w:tabs>
          <w:tab w:pos="753" w:val="left"/>
        </w:tabs>
        <w:bidi w:val="0"/>
        <w:spacing w:before="0" w:after="100" w:line="311" w:lineRule="exact"/>
        <w:ind w:left="0" w:right="0"/>
        <w:jc w:val="both"/>
      </w:pPr>
      <w:bookmarkStart w:id="1050" w:name="bookmark1050"/>
      <w:bookmarkEnd w:id="1050"/>
      <w:r>
        <w:rPr>
          <w:color w:val="000000"/>
          <w:spacing w:val="0"/>
          <w:w w:val="100"/>
          <w:position w:val="0"/>
        </w:rPr>
        <w:t>借款费用已经发生；</w:t>
      </w:r>
    </w:p>
    <w:p>
      <w:pPr>
        <w:pStyle w:val="Style18"/>
        <w:keepNext w:val="0"/>
        <w:keepLines w:val="0"/>
        <w:widowControl w:val="0"/>
        <w:numPr>
          <w:ilvl w:val="0"/>
          <w:numId w:val="79"/>
        </w:numPr>
        <w:shd w:val="clear" w:color="auto" w:fill="auto"/>
        <w:tabs>
          <w:tab w:pos="753" w:val="left"/>
        </w:tabs>
        <w:bidi w:val="0"/>
        <w:spacing w:before="0" w:after="100" w:line="311" w:lineRule="exact"/>
        <w:ind w:left="0" w:right="0"/>
        <w:jc w:val="both"/>
      </w:pPr>
      <w:bookmarkStart w:id="1051" w:name="bookmark1051"/>
      <w:bookmarkEnd w:id="1051"/>
      <w:r>
        <w:rPr>
          <w:color w:val="000000"/>
          <w:spacing w:val="0"/>
          <w:w w:val="100"/>
          <w:position w:val="0"/>
        </w:rPr>
        <w:t>为使资产达到预定可使用状态所必要的购建或者生产活动已经开始。</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其他的借款利息、折价或溢价和汇兑差额，计入发生当期的损益。</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当购建或者生产符合资本化条件的资产达到预定可使用或者可销售状态时，停止其借款费用的资本化；以后发生的借款 费用于发生当期确认为费用。</w:t>
      </w:r>
    </w:p>
    <w:p>
      <w:pPr>
        <w:pStyle w:val="Style18"/>
        <w:keepNext w:val="0"/>
        <w:keepLines w:val="0"/>
        <w:widowControl w:val="0"/>
        <w:shd w:val="clear" w:color="auto" w:fill="auto"/>
        <w:bidi w:val="0"/>
        <w:spacing w:before="0" w:after="100" w:line="311" w:lineRule="exact"/>
        <w:ind w:left="0" w:right="0"/>
        <w:jc w:val="both"/>
      </w:pPr>
      <w:bookmarkStart w:id="1052" w:name="bookmark1052"/>
      <w:r>
        <w:rPr>
          <w:b/>
          <w:bCs/>
          <w:color w:val="000000"/>
          <w:spacing w:val="0"/>
          <w:w w:val="100"/>
          <w:position w:val="0"/>
        </w:rPr>
        <w:t>（</w:t>
      </w:r>
      <w:bookmarkEnd w:id="1052"/>
      <w:r>
        <w:rPr>
          <w:rFonts w:ascii="Times New Roman" w:eastAsia="Times New Roman" w:hAnsi="Times New Roman" w:cs="Times New Roman"/>
          <w:b/>
          <w:bCs/>
          <w:color w:val="000000"/>
          <w:spacing w:val="0"/>
          <w:w w:val="100"/>
          <w:position w:val="0"/>
        </w:rPr>
        <w:t>2</w:t>
      </w:r>
      <w:r>
        <w:rPr>
          <w:b/>
          <w:bCs/>
          <w:color w:val="000000"/>
          <w:spacing w:val="0"/>
          <w:w w:val="100"/>
          <w:position w:val="0"/>
        </w:rPr>
        <w:t>）借款费用资本化率以及资本化金额的计算方法</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为购建或者生产符合资本化条件的资产而借入专门借款的，以专门借款当期实际发生的利息费用，减去将尚未动用的借 款资金存入银行取得的利息收入或者进行暂时性投资取得的投资收益后的金额，确定为专门借款利息费用的资本化金额。</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购建或者生产符合资本化条件的资产占用了一般借款的，一般借款应予资本化的利息金额按累计资产支出超过专门借款 部分的资产支出加权平均数乘以所占用一般借款的资本化率，计算确定一般借款应予资本化的利息金额。资本化率根据一般 借款加权平均利率计算确定。</w:t>
      </w:r>
    </w:p>
    <w:p>
      <w:pPr>
        <w:pStyle w:val="Style29"/>
        <w:keepNext/>
        <w:keepLines/>
        <w:widowControl w:val="0"/>
        <w:shd w:val="clear" w:color="auto" w:fill="auto"/>
        <w:tabs>
          <w:tab w:pos="483" w:val="left"/>
        </w:tabs>
        <w:bidi w:val="0"/>
        <w:spacing w:before="0" w:after="26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53"/>
      <w:bookmarkEnd w:id="1054"/>
      <w:bookmarkEnd w:id="1056"/>
    </w:p>
    <w:p>
      <w:pPr>
        <w:pStyle w:val="Style1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57"/>
      <w:bookmarkEnd w:id="1058"/>
      <w:bookmarkEnd w:id="1060"/>
    </w:p>
    <w:p>
      <w:pPr>
        <w:pStyle w:val="Style1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61"/>
      <w:bookmarkEnd w:id="1062"/>
      <w:bookmarkEnd w:id="1064"/>
    </w:p>
    <w:p>
      <w:pPr>
        <w:pStyle w:val="Style18"/>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本集团使用权资产类别主要包括房屋建筑物。在租赁期开始日，本集团将其可在租赁期内使用租赁资产的权利确认为使用权 资产，包括：租赁负债的初始计量金额；在租赁期开始日或之前支付的租赁付款额；承租人发生的初始直接费用；承租人为 拆卸及移除租赁资产、复原租赁资产所在场地或将租赁资产恢复至租赁条款约定状态预计将发生的成本。本集团在租赁期内 按年限平均法对使用权资产计提折旧。租赁付款额现值发生变动，本集团按照变动后的租赁付款额的现值重新计量租赁负 债，相应调整使用权资产的账面价值，并按调整后的使用权资产在租赁资产的剩余租赁期内按年限平均法计提折旧。</w:t>
      </w:r>
    </w:p>
    <w:p>
      <w:pPr>
        <w:pStyle w:val="Style29"/>
        <w:keepNext/>
        <w:keepLines/>
        <w:widowControl w:val="0"/>
        <w:shd w:val="clear" w:color="auto" w:fill="auto"/>
        <w:tabs>
          <w:tab w:pos="483"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065"/>
      <w:bookmarkEnd w:id="1066"/>
      <w:bookmarkEnd w:id="1068"/>
    </w:p>
    <w:p>
      <w:pPr>
        <w:pStyle w:val="Style40"/>
        <w:keepNext/>
        <w:keepLines/>
        <w:widowControl w:val="0"/>
        <w:shd w:val="clear" w:color="auto" w:fill="auto"/>
        <w:bidi w:val="0"/>
        <w:spacing w:before="0" w:after="2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69"/>
      <w:bookmarkEnd w:id="1070"/>
      <w:bookmarkEnd w:id="1072"/>
    </w:p>
    <w:p>
      <w:pPr>
        <w:pStyle w:val="Style18"/>
        <w:keepNext w:val="0"/>
        <w:keepLines w:val="0"/>
        <w:widowControl w:val="0"/>
        <w:shd w:val="clear" w:color="auto" w:fill="auto"/>
        <w:tabs>
          <w:tab w:pos="830" w:val="left"/>
        </w:tabs>
        <w:bidi w:val="0"/>
        <w:spacing w:before="0" w:after="100" w:line="311" w:lineRule="exact"/>
        <w:ind w:left="0" w:right="0"/>
        <w:jc w:val="both"/>
      </w:pPr>
      <w:bookmarkStart w:id="1073" w:name="bookmark1073"/>
      <w:r>
        <w:rPr>
          <w:b/>
          <w:bCs/>
          <w:color w:val="000000"/>
          <w:spacing w:val="0"/>
          <w:w w:val="100"/>
          <w:position w:val="0"/>
        </w:rPr>
        <w:t>（</w:t>
      </w:r>
      <w:bookmarkEnd w:id="107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无形资产的计价方法</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按取得时的实际成本入账。</w:t>
      </w:r>
    </w:p>
    <w:p>
      <w:pPr>
        <w:pStyle w:val="Style18"/>
        <w:keepNext w:val="0"/>
        <w:keepLines w:val="0"/>
        <w:widowControl w:val="0"/>
        <w:shd w:val="clear" w:color="auto" w:fill="auto"/>
        <w:tabs>
          <w:tab w:pos="830" w:val="left"/>
        </w:tabs>
        <w:bidi w:val="0"/>
        <w:spacing w:before="0" w:after="260" w:line="311" w:lineRule="exact"/>
        <w:ind w:left="0" w:right="0"/>
        <w:jc w:val="both"/>
      </w:pPr>
      <w:bookmarkStart w:id="1074" w:name="bookmark1074"/>
      <w:r>
        <w:rPr>
          <w:b/>
          <w:bCs/>
          <w:color w:val="000000"/>
          <w:spacing w:val="0"/>
          <w:w w:val="100"/>
          <w:position w:val="0"/>
        </w:rPr>
        <w:t>（</w:t>
      </w:r>
      <w:bookmarkEnd w:id="107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无形资产使用寿命及摊销</w:t>
      </w:r>
    </w:p>
    <w:p>
      <w:pPr>
        <w:pStyle w:val="Style18"/>
        <w:keepNext w:val="0"/>
        <w:keepLines w:val="0"/>
        <w:widowControl w:val="0"/>
        <w:shd w:val="clear" w:color="auto" w:fill="auto"/>
        <w:bidi w:val="0"/>
        <w:spacing w:before="0" w:after="180" w:line="240" w:lineRule="auto"/>
        <w:ind w:left="0" w:right="0"/>
        <w:jc w:val="both"/>
      </w:pPr>
      <w:r>
        <w:rPr>
          <w:color w:val="000000"/>
          <w:spacing w:val="0"/>
          <w:w w:val="100"/>
          <w:position w:val="0"/>
        </w:rPr>
        <w:t>①使用寿命有限的无形资产的使用寿命估计情况:</w:t>
      </w:r>
    </w:p>
    <w:tbl>
      <w:tblPr>
        <w:tblOverlap w:val="never"/>
        <w:jc w:val="left"/>
        <w:tblLayout w:type="fixed"/>
      </w:tblPr>
      <w:tblGrid>
        <w:gridCol w:w="2323"/>
        <w:gridCol w:w="2318"/>
        <w:gridCol w:w="4037"/>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法定使用年限</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2-10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widowControl w:val="0"/>
        <w:spacing w:after="59" w:line="1" w:lineRule="exact"/>
      </w:pP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每年年度终了，公司对使用寿命有限的无形资产的使用寿命及摊销方法进行复核。经复核，本期末无形资产的使用寿命 及摊销方法与以前估计未有不同。</w:t>
      </w:r>
    </w:p>
    <w:p>
      <w:pPr>
        <w:pStyle w:val="Style18"/>
        <w:keepNext w:val="0"/>
        <w:keepLines w:val="0"/>
        <w:widowControl w:val="0"/>
        <w:numPr>
          <w:ilvl w:val="0"/>
          <w:numId w:val="81"/>
        </w:numPr>
        <w:shd w:val="clear" w:color="auto" w:fill="auto"/>
        <w:tabs>
          <w:tab w:pos="728" w:val="left"/>
        </w:tabs>
        <w:bidi w:val="0"/>
        <w:spacing w:before="0" w:after="100" w:line="312" w:lineRule="exact"/>
        <w:ind w:left="0" w:right="0"/>
        <w:jc w:val="both"/>
      </w:pPr>
      <w:bookmarkStart w:id="1075" w:name="bookmark1075"/>
      <w:bookmarkEnd w:id="1075"/>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18"/>
        <w:keepNext w:val="0"/>
        <w:keepLines w:val="0"/>
        <w:widowControl w:val="0"/>
        <w:numPr>
          <w:ilvl w:val="0"/>
          <w:numId w:val="81"/>
        </w:numPr>
        <w:shd w:val="clear" w:color="auto" w:fill="auto"/>
        <w:tabs>
          <w:tab w:pos="753" w:val="left"/>
        </w:tabs>
        <w:bidi w:val="0"/>
        <w:spacing w:before="0" w:after="100" w:line="312" w:lineRule="exact"/>
        <w:ind w:left="0" w:right="0"/>
        <w:jc w:val="both"/>
      </w:pPr>
      <w:bookmarkStart w:id="1076" w:name="bookmark1076"/>
      <w:bookmarkEnd w:id="1076"/>
      <w:r>
        <w:rPr>
          <w:color w:val="000000"/>
          <w:spacing w:val="0"/>
          <w:w w:val="100"/>
          <w:position w:val="0"/>
        </w:rPr>
        <w:t>无形资产的摊销</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对于使用寿命有限的无形资产，本公司在取得时确定其使用寿命，在使用寿命内采用直线法系统合理摊销，摊销金额按 受益项目计入当期损益。具体应摊销金额为其成本扣除预计残值后的金额。已计提减值准备的无形资产，还应扣除已计提的 无形资产减值准备累计金额。使用寿命有限的无形资产，其残值视为零，但下列情况除外：有第三方承诺在无形资产使用寿 命结束时购买该无形资产或可以根据活跃市场得到预计残值信息，并且该市场在无形资产使用寿命结束时很可能存在。</w:t>
      </w:r>
    </w:p>
    <w:p>
      <w:pPr>
        <w:pStyle w:val="Style18"/>
        <w:keepNext w:val="0"/>
        <w:keepLines w:val="0"/>
        <w:widowControl w:val="0"/>
        <w:shd w:val="clear" w:color="auto" w:fill="auto"/>
        <w:bidi w:val="0"/>
        <w:spacing w:before="0" w:after="780" w:line="312" w:lineRule="exact"/>
        <w:ind w:left="0" w:right="0"/>
        <w:jc w:val="both"/>
      </w:pPr>
      <w:r>
        <w:rPr>
          <w:color w:val="000000"/>
          <w:spacing w:val="0"/>
          <w:w w:val="100"/>
          <w:position w:val="0"/>
        </w:rPr>
        <w:t>对使用寿命不确定的无形资产，不予摊销。每年年度终了对使用寿命不确定的无形资产的使用寿命进行复核，如果有证 据表明无形资产的使用寿命是有限的，估计其使用寿命并在预计使用年限内系统合理摊销。</w:t>
      </w:r>
    </w:p>
    <w:p>
      <w:pPr>
        <w:pStyle w:val="Style40"/>
        <w:keepNext/>
        <w:keepLines/>
        <w:widowControl w:val="0"/>
        <w:shd w:val="clear" w:color="auto" w:fill="auto"/>
        <w:bidi w:val="0"/>
        <w:spacing w:before="0" w:after="2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77"/>
      <w:bookmarkEnd w:id="1078"/>
      <w:bookmarkEnd w:id="1080"/>
    </w:p>
    <w:p>
      <w:pPr>
        <w:pStyle w:val="Style18"/>
        <w:keepNext w:val="0"/>
        <w:keepLines w:val="0"/>
        <w:widowControl w:val="0"/>
        <w:shd w:val="clear" w:color="auto" w:fill="auto"/>
        <w:tabs>
          <w:tab w:pos="830" w:val="left"/>
        </w:tabs>
        <w:bidi w:val="0"/>
        <w:spacing w:before="0" w:after="100" w:line="314" w:lineRule="exact"/>
        <w:ind w:left="0" w:right="0"/>
        <w:jc w:val="left"/>
      </w:pPr>
      <w:bookmarkStart w:id="1081" w:name="bookmark1081"/>
      <w:r>
        <w:rPr>
          <w:b/>
          <w:bCs/>
          <w:color w:val="000000"/>
          <w:spacing w:val="0"/>
          <w:w w:val="100"/>
          <w:position w:val="0"/>
        </w:rPr>
        <w:t>（</w:t>
      </w:r>
      <w:bookmarkEnd w:id="1081"/>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划分内部研究开发项目的研究阶段和开发阶段具体标准</w:t>
      </w:r>
    </w:p>
    <w:p>
      <w:pPr>
        <w:pStyle w:val="Style18"/>
        <w:keepNext w:val="0"/>
        <w:keepLines w:val="0"/>
        <w:widowControl w:val="0"/>
        <w:numPr>
          <w:ilvl w:val="0"/>
          <w:numId w:val="83"/>
        </w:numPr>
        <w:shd w:val="clear" w:color="auto" w:fill="auto"/>
        <w:tabs>
          <w:tab w:pos="718" w:val="left"/>
        </w:tabs>
        <w:bidi w:val="0"/>
        <w:spacing w:before="0" w:after="100" w:line="307" w:lineRule="exact"/>
        <w:ind w:left="0" w:right="0"/>
        <w:jc w:val="left"/>
      </w:pPr>
      <w:bookmarkStart w:id="1082" w:name="bookmark1082"/>
      <w:bookmarkEnd w:id="1082"/>
      <w:r>
        <w:rPr>
          <w:color w:val="000000"/>
          <w:spacing w:val="0"/>
          <w:w w:val="100"/>
          <w:position w:val="0"/>
        </w:rPr>
        <w:t>本公司将为进一步开发活动进行的资料及相关方面的准备活动作为研究阶段，无形资产研究阶段的支出在发生时计入 当期损益。</w:t>
      </w:r>
    </w:p>
    <w:p>
      <w:pPr>
        <w:pStyle w:val="Style18"/>
        <w:keepNext w:val="0"/>
        <w:keepLines w:val="0"/>
        <w:widowControl w:val="0"/>
        <w:numPr>
          <w:ilvl w:val="0"/>
          <w:numId w:val="83"/>
        </w:numPr>
        <w:shd w:val="clear" w:color="auto" w:fill="auto"/>
        <w:tabs>
          <w:tab w:pos="753" w:val="left"/>
        </w:tabs>
        <w:bidi w:val="0"/>
        <w:spacing w:before="0" w:after="100" w:line="314" w:lineRule="exact"/>
        <w:ind w:left="0" w:right="0"/>
        <w:jc w:val="left"/>
      </w:pPr>
      <w:bookmarkStart w:id="1083" w:name="bookmark1083"/>
      <w:bookmarkEnd w:id="1083"/>
      <w:r>
        <w:rPr>
          <w:color w:val="000000"/>
          <w:spacing w:val="0"/>
          <w:w w:val="100"/>
          <w:position w:val="0"/>
        </w:rPr>
        <w:t>在本公司已完成研究阶段的工作后再进行的开发活动作为开发阶段。</w:t>
      </w:r>
    </w:p>
    <w:p>
      <w:pPr>
        <w:pStyle w:val="Style18"/>
        <w:keepNext w:val="0"/>
        <w:keepLines w:val="0"/>
        <w:widowControl w:val="0"/>
        <w:shd w:val="clear" w:color="auto" w:fill="auto"/>
        <w:tabs>
          <w:tab w:pos="830" w:val="left"/>
        </w:tabs>
        <w:bidi w:val="0"/>
        <w:spacing w:before="0" w:after="100" w:line="314" w:lineRule="exact"/>
        <w:ind w:left="0" w:right="0"/>
        <w:jc w:val="left"/>
      </w:pPr>
      <w:bookmarkStart w:id="1084" w:name="bookmark1084"/>
      <w:r>
        <w:rPr>
          <w:b/>
          <w:bCs/>
          <w:color w:val="000000"/>
          <w:spacing w:val="0"/>
          <w:w w:val="100"/>
          <w:position w:val="0"/>
        </w:rPr>
        <w:t>（</w:t>
      </w:r>
      <w:bookmarkEnd w:id="108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开发阶段支出资本化的具体条件</w:t>
      </w: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开发阶段的支出同时满足下列条件时，才能确认为无形资产：</w:t>
      </w:r>
    </w:p>
    <w:p>
      <w:pPr>
        <w:pStyle w:val="Style18"/>
        <w:keepNext w:val="0"/>
        <w:keepLines w:val="0"/>
        <w:widowControl w:val="0"/>
        <w:numPr>
          <w:ilvl w:val="0"/>
          <w:numId w:val="85"/>
        </w:numPr>
        <w:shd w:val="clear" w:color="auto" w:fill="auto"/>
        <w:tabs>
          <w:tab w:pos="743" w:val="left"/>
        </w:tabs>
        <w:bidi w:val="0"/>
        <w:spacing w:before="0" w:after="100" w:line="314" w:lineRule="exact"/>
        <w:ind w:left="0" w:right="0"/>
        <w:jc w:val="left"/>
      </w:pPr>
      <w:bookmarkStart w:id="1085" w:name="bookmark1085"/>
      <w:bookmarkEnd w:id="1085"/>
      <w:r>
        <w:rPr>
          <w:color w:val="000000"/>
          <w:spacing w:val="0"/>
          <w:w w:val="100"/>
          <w:position w:val="0"/>
        </w:rPr>
        <w:t>完成该无形资产以使其能够使用或出售在技术上具有可行性；</w:t>
      </w:r>
    </w:p>
    <w:p>
      <w:pPr>
        <w:pStyle w:val="Style18"/>
        <w:keepNext w:val="0"/>
        <w:keepLines w:val="0"/>
        <w:widowControl w:val="0"/>
        <w:numPr>
          <w:ilvl w:val="0"/>
          <w:numId w:val="85"/>
        </w:numPr>
        <w:shd w:val="clear" w:color="auto" w:fill="auto"/>
        <w:tabs>
          <w:tab w:pos="743" w:val="left"/>
        </w:tabs>
        <w:bidi w:val="0"/>
        <w:spacing w:before="0" w:after="100" w:line="314" w:lineRule="exact"/>
        <w:ind w:left="0" w:right="0"/>
        <w:jc w:val="left"/>
      </w:pPr>
      <w:bookmarkStart w:id="1086" w:name="bookmark1086"/>
      <w:bookmarkEnd w:id="1086"/>
      <w:r>
        <w:rPr>
          <w:color w:val="000000"/>
          <w:spacing w:val="0"/>
          <w:w w:val="100"/>
          <w:position w:val="0"/>
        </w:rPr>
        <w:t>具有完成该无形资产并使用或出售的意图；</w:t>
      </w:r>
    </w:p>
    <w:p>
      <w:pPr>
        <w:pStyle w:val="Style18"/>
        <w:keepNext w:val="0"/>
        <w:keepLines w:val="0"/>
        <w:widowControl w:val="0"/>
        <w:numPr>
          <w:ilvl w:val="0"/>
          <w:numId w:val="85"/>
        </w:numPr>
        <w:shd w:val="clear" w:color="auto" w:fill="auto"/>
        <w:tabs>
          <w:tab w:pos="723" w:val="left"/>
        </w:tabs>
        <w:bidi w:val="0"/>
        <w:spacing w:before="0" w:after="100" w:line="322" w:lineRule="exact"/>
        <w:ind w:left="0" w:right="0"/>
        <w:jc w:val="left"/>
      </w:pPr>
      <w:bookmarkStart w:id="1087" w:name="bookmark1087"/>
      <w:bookmarkEnd w:id="1087"/>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18"/>
        <w:keepNext w:val="0"/>
        <w:keepLines w:val="0"/>
        <w:widowControl w:val="0"/>
        <w:numPr>
          <w:ilvl w:val="0"/>
          <w:numId w:val="85"/>
        </w:numPr>
        <w:shd w:val="clear" w:color="auto" w:fill="auto"/>
        <w:tabs>
          <w:tab w:pos="723" w:val="left"/>
        </w:tabs>
        <w:bidi w:val="0"/>
        <w:spacing w:before="0" w:after="100" w:line="314" w:lineRule="exact"/>
        <w:ind w:left="0" w:right="0" w:firstLine="360"/>
        <w:jc w:val="left"/>
      </w:pPr>
      <w:bookmarkStart w:id="1088" w:name="bookmark1088"/>
      <w:bookmarkEnd w:id="1088"/>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85"/>
        </w:numPr>
        <w:shd w:val="clear" w:color="auto" w:fill="auto"/>
        <w:tabs>
          <w:tab w:pos="723" w:val="left"/>
        </w:tabs>
        <w:bidi w:val="0"/>
        <w:spacing w:before="0" w:after="780" w:line="314" w:lineRule="exact"/>
        <w:ind w:left="0" w:right="0" w:firstLine="360"/>
        <w:jc w:val="left"/>
      </w:pPr>
      <w:bookmarkStart w:id="1089" w:name="bookmark1089"/>
      <w:bookmarkEnd w:id="1089"/>
      <w:r>
        <w:rPr>
          <w:color w:val="000000"/>
          <w:spacing w:val="0"/>
          <w:w w:val="100"/>
          <w:position w:val="0"/>
        </w:rPr>
        <w:t>归属于该无形资产开发阶段的支出能够可靠地计量。</w:t>
      </w:r>
    </w:p>
    <w:p>
      <w:pPr>
        <w:pStyle w:val="Style29"/>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1090"/>
      <w:bookmarkEnd w:id="1091"/>
      <w:bookmarkEnd w:id="1093"/>
    </w:p>
    <w:p>
      <w:pPr>
        <w:pStyle w:val="Style18"/>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 xml:space="preserve">对子公司、联营企业和合营企业的长期股权投资、采用成本模式进行后续计量的投资性房地产、固定资产、在建工程、 </w:t>
      </w:r>
      <w:r>
        <w:rPr>
          <w:color w:val="000000"/>
          <w:spacing w:val="0"/>
          <w:w w:val="100"/>
          <w:position w:val="0"/>
        </w:rPr>
        <w:t>无形资产、商誉等（存货、按公允价值模式计量的投资性房地产、递延所得税资产、金融资产除外）的资产减值，按以下方 法确定：</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18"/>
        <w:keepNext w:val="0"/>
        <w:keepLines w:val="0"/>
        <w:widowControl w:val="0"/>
        <w:shd w:val="clear" w:color="auto" w:fill="auto"/>
        <w:bidi w:val="0"/>
        <w:spacing w:before="0" w:after="120" w:line="307" w:lineRule="exact"/>
        <w:ind w:left="0" w:right="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18"/>
        <w:keepNext w:val="0"/>
        <w:keepLines w:val="0"/>
        <w:widowControl w:val="0"/>
        <w:shd w:val="clear" w:color="auto" w:fill="auto"/>
        <w:bidi w:val="0"/>
        <w:spacing w:before="0" w:after="340" w:line="311" w:lineRule="exact"/>
        <w:ind w:left="0" w:right="0"/>
        <w:jc w:val="both"/>
      </w:pPr>
      <w:r>
        <w:rPr>
          <w:color w:val="000000"/>
          <w:spacing w:val="0"/>
          <w:w w:val="100"/>
          <w:position w:val="0"/>
        </w:rPr>
        <w:t>资产减值损失一经确认，在以后会计期间不再转回。</w:t>
      </w:r>
    </w:p>
    <w:p>
      <w:pPr>
        <w:pStyle w:val="Style29"/>
        <w:keepNext/>
        <w:keepLines/>
        <w:widowControl w:val="0"/>
        <w:shd w:val="clear" w:color="auto" w:fill="auto"/>
        <w:bidi w:val="0"/>
        <w:spacing w:before="0" w:after="28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3</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1094"/>
      <w:bookmarkEnd w:id="1095"/>
      <w:bookmarkEnd w:id="1097"/>
    </w:p>
    <w:p>
      <w:pPr>
        <w:pStyle w:val="Style18"/>
        <w:keepNext w:val="0"/>
        <w:keepLines w:val="0"/>
        <w:widowControl w:val="0"/>
        <w:shd w:val="clear" w:color="auto" w:fill="auto"/>
        <w:bidi w:val="0"/>
        <w:spacing w:before="0" w:after="120" w:line="311" w:lineRule="exact"/>
        <w:ind w:left="0" w:right="0"/>
        <w:jc w:val="both"/>
      </w:pPr>
      <w:r>
        <w:rPr>
          <w:color w:val="000000"/>
          <w:spacing w:val="0"/>
          <w:w w:val="100"/>
          <w:position w:val="0"/>
        </w:rPr>
        <w:t>长期待摊费用核算本公司已经发生但应由本期和以后各期负担的分摊期限在一年以上的各项费用。</w:t>
      </w:r>
    </w:p>
    <w:p>
      <w:pPr>
        <w:pStyle w:val="Style18"/>
        <w:keepNext w:val="0"/>
        <w:keepLines w:val="0"/>
        <w:widowControl w:val="0"/>
        <w:shd w:val="clear" w:color="auto" w:fill="auto"/>
        <w:tabs>
          <w:tab w:leader="underscore" w:pos="8650" w:val="left"/>
        </w:tabs>
        <w:bidi w:val="0"/>
        <w:spacing w:before="0" w:after="0" w:line="311" w:lineRule="exact"/>
        <w:ind w:left="0" w:right="0"/>
        <w:jc w:val="both"/>
      </w:pPr>
      <w:r>
        <w:rPr>
          <w:color w:val="000000"/>
          <w:spacing w:val="0"/>
          <w:w w:val="100"/>
          <w:position w:val="0"/>
          <w:u w:val="single"/>
        </w:rPr>
        <w:t>本公司长期待摊费用在受益期内平均摊销，各项费用摊销的年限如下:</w:t>
      </w:r>
      <w:r>
        <w:rPr>
          <w:color w:val="000000"/>
          <w:spacing w:val="0"/>
          <w:w w:val="100"/>
          <w:position w:val="0"/>
        </w:rPr>
        <w:tab/>
      </w:r>
    </w:p>
    <w:p>
      <w:pPr>
        <w:pStyle w:val="Style18"/>
        <w:keepNext w:val="0"/>
        <w:keepLines w:val="0"/>
        <w:widowControl w:val="0"/>
        <w:shd w:val="clear" w:color="auto" w:fill="auto"/>
        <w:tabs>
          <w:tab w:pos="6165" w:val="left"/>
        </w:tabs>
        <w:bidi w:val="0"/>
        <w:spacing w:before="0" w:after="0" w:line="311" w:lineRule="exact"/>
        <w:ind w:left="1960" w:right="0" w:firstLine="0"/>
        <w:jc w:val="both"/>
      </w:pPr>
      <w:r>
        <w:rPr>
          <w:color w:val="000000"/>
          <w:spacing w:val="0"/>
          <w:w w:val="100"/>
          <w:position w:val="0"/>
          <w:u w:val="single"/>
        </w:rPr>
        <w:t>项目</w:t>
        <w:tab/>
        <w:t>摊销年限</w:t>
      </w:r>
    </w:p>
    <w:p>
      <w:pPr>
        <w:pStyle w:val="Style18"/>
        <w:keepNext w:val="0"/>
        <w:keepLines w:val="0"/>
        <w:widowControl w:val="0"/>
        <w:shd w:val="clear" w:color="auto" w:fill="auto"/>
        <w:tabs>
          <w:tab w:pos="5952" w:val="left"/>
        </w:tabs>
        <w:bidi w:val="0"/>
        <w:spacing w:before="0" w:after="1120" w:line="311" w:lineRule="exact"/>
        <w:ind w:left="0" w:right="0" w:firstLine="0"/>
        <w:jc w:val="left"/>
      </w:pPr>
      <w:r>
        <w:rPr>
          <w:color w:val="000000"/>
          <w:spacing w:val="0"/>
          <w:w w:val="100"/>
          <w:position w:val="0"/>
        </w:rPr>
        <w:t>房屋装修费</w:t>
        <w:tab/>
        <w:t>租赁合同期限</w:t>
      </w:r>
    </w:p>
    <w:p>
      <w:pPr>
        <w:pStyle w:val="Style29"/>
        <w:keepNext/>
        <w:keepLines/>
        <w:widowControl w:val="0"/>
        <w:shd w:val="clear" w:color="auto" w:fill="auto"/>
        <w:tabs>
          <w:tab w:pos="483" w:val="left"/>
        </w:tabs>
        <w:bidi w:val="0"/>
        <w:spacing w:before="0" w:after="2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98"/>
      <w:bookmarkEnd w:id="1099"/>
      <w:bookmarkEnd w:id="1101"/>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提供服务而有权收取的对价（且该权利取决于时间流逝之外的其他因素）列示为合同资产。本公司已收或应收客户对价而应 向客户转让商品或提供服务的义务列示为合同负债。</w:t>
      </w:r>
    </w:p>
    <w:p>
      <w:pPr>
        <w:pStyle w:val="Style18"/>
        <w:keepNext w:val="0"/>
        <w:keepLines w:val="0"/>
        <w:widowControl w:val="0"/>
        <w:shd w:val="clear" w:color="auto" w:fill="auto"/>
        <w:bidi w:val="0"/>
        <w:spacing w:before="0" w:after="340" w:line="312" w:lineRule="exact"/>
        <w:ind w:left="0" w:right="0" w:firstLine="300"/>
        <w:jc w:val="both"/>
      </w:pPr>
      <w:r>
        <w:rPr>
          <w:color w:val="000000"/>
          <w:spacing w:val="0"/>
          <w:w w:val="100"/>
          <w:position w:val="0"/>
        </w:rPr>
        <w:t>合同资产和合同负债在资产负债表中单独列示。同一合同下的合同资产和合同负债以净额列示，净额为借方余额的，根 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 负债</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9"/>
        <w:keepNext/>
        <w:keepLines/>
        <w:widowControl w:val="0"/>
        <w:shd w:val="clear" w:color="auto" w:fill="auto"/>
        <w:tabs>
          <w:tab w:pos="483" w:val="left"/>
        </w:tabs>
        <w:bidi w:val="0"/>
        <w:spacing w:before="0" w:after="34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02"/>
      <w:bookmarkEnd w:id="1103"/>
      <w:bookmarkEnd w:id="1105"/>
    </w:p>
    <w:p>
      <w:pPr>
        <w:pStyle w:val="Style40"/>
        <w:keepNext/>
        <w:keepLines/>
        <w:widowControl w:val="0"/>
        <w:shd w:val="clear" w:color="auto" w:fill="auto"/>
        <w:bidi w:val="0"/>
        <w:spacing w:before="0" w:after="28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106"/>
      <w:bookmarkEnd w:id="1107"/>
      <w:bookmarkEnd w:id="1109"/>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职工薪酬，是指本公司为获得职工提供的服务或解除劳动关系而给予的各种形式的报酬或补偿。职工薪酬包括短期薪酬、 </w:t>
      </w:r>
      <w:r>
        <w:rPr>
          <w:color w:val="000000"/>
          <w:spacing w:val="0"/>
          <w:w w:val="100"/>
          <w:position w:val="0"/>
        </w:rPr>
        <w:t>离职后福利、辞退福利和其他长期职工福利。本公司提供给职工配偶、子女、受赡养人、已故员工遗属及其他受益人等的福 利，也属于职工薪酬。</w:t>
      </w: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根据流动性，职工薪酬分别列示于资产负债表的</w:t>
      </w:r>
      <w:r>
        <w:rPr>
          <w:rFonts w:ascii="Times New Roman" w:eastAsia="Times New Roman" w:hAnsi="Times New Roman" w:cs="Times New Roman"/>
          <w:color w:val="000000"/>
          <w:spacing w:val="0"/>
          <w:w w:val="100"/>
          <w:position w:val="0"/>
        </w:rPr>
        <w:t>“</w:t>
      </w:r>
      <w:r>
        <w:rPr>
          <w:color w:val="000000"/>
          <w:spacing w:val="0"/>
          <w:w w:val="100"/>
          <w:position w:val="0"/>
        </w:rPr>
        <w:t>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项目和</w:t>
      </w:r>
      <w:r>
        <w:rPr>
          <w:rFonts w:ascii="Times New Roman" w:eastAsia="Times New Roman" w:hAnsi="Times New Roman" w:cs="Times New Roman"/>
          <w:color w:val="000000"/>
          <w:spacing w:val="0"/>
          <w:w w:val="100"/>
          <w:position w:val="0"/>
        </w:rPr>
        <w:t>“</w:t>
      </w:r>
      <w:r>
        <w:rPr>
          <w:color w:val="000000"/>
          <w:spacing w:val="0"/>
          <w:w w:val="100"/>
          <w:position w:val="0"/>
        </w:rPr>
        <w:t>长期应付职工薪酬</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18"/>
        <w:keepNext w:val="0"/>
        <w:keepLines w:val="0"/>
        <w:widowControl w:val="0"/>
        <w:shd w:val="clear" w:color="auto" w:fill="auto"/>
        <w:bidi w:val="0"/>
        <w:spacing w:before="0" w:after="100" w:line="314"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）短期薪酬的会计处理方法</w:t>
      </w:r>
    </w:p>
    <w:p>
      <w:pPr>
        <w:pStyle w:val="Style18"/>
        <w:keepNext w:val="0"/>
        <w:keepLines w:val="0"/>
        <w:widowControl w:val="0"/>
        <w:numPr>
          <w:ilvl w:val="0"/>
          <w:numId w:val="87"/>
        </w:numPr>
        <w:shd w:val="clear" w:color="auto" w:fill="auto"/>
        <w:tabs>
          <w:tab w:pos="753" w:val="left"/>
        </w:tabs>
        <w:bidi w:val="0"/>
        <w:spacing w:before="0" w:after="100" w:line="314" w:lineRule="exact"/>
        <w:ind w:left="0" w:right="0"/>
        <w:jc w:val="both"/>
      </w:pPr>
      <w:bookmarkStart w:id="1110" w:name="bookmark1110"/>
      <w:bookmarkEnd w:id="1110"/>
      <w:r>
        <w:rPr>
          <w:color w:val="000000"/>
          <w:spacing w:val="0"/>
          <w:w w:val="100"/>
          <w:position w:val="0"/>
        </w:rPr>
        <w:t>职工基本薪酬（工资、奖金、津贴、补贴）</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本公司在职工为其提供服务的会计期间，将实际发生的短期薪酬确认为负债，并计入当期损益，其他会计准则要求或允 许计入资产成本的除外。</w:t>
      </w:r>
    </w:p>
    <w:p>
      <w:pPr>
        <w:pStyle w:val="Style18"/>
        <w:keepNext w:val="0"/>
        <w:keepLines w:val="0"/>
        <w:widowControl w:val="0"/>
        <w:numPr>
          <w:ilvl w:val="0"/>
          <w:numId w:val="87"/>
        </w:numPr>
        <w:shd w:val="clear" w:color="auto" w:fill="auto"/>
        <w:tabs>
          <w:tab w:pos="753" w:val="left"/>
        </w:tabs>
        <w:bidi w:val="0"/>
        <w:spacing w:before="0" w:after="100" w:line="314" w:lineRule="exact"/>
        <w:ind w:left="0" w:right="0"/>
        <w:jc w:val="both"/>
      </w:pPr>
      <w:bookmarkStart w:id="1111" w:name="bookmark1111"/>
      <w:bookmarkEnd w:id="1111"/>
      <w:r>
        <w:rPr>
          <w:color w:val="000000"/>
          <w:spacing w:val="0"/>
          <w:w w:val="100"/>
          <w:position w:val="0"/>
        </w:rPr>
        <w:t>职工福利费</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本公司发生的职工福利费，在实际发生时根据实际发生额计入当期损益或相关资产成本。职工福利费为非货币性福利的， 按照公允价值计量。</w:t>
      </w:r>
    </w:p>
    <w:p>
      <w:pPr>
        <w:pStyle w:val="Style18"/>
        <w:keepNext w:val="0"/>
        <w:keepLines w:val="0"/>
        <w:widowControl w:val="0"/>
        <w:numPr>
          <w:ilvl w:val="0"/>
          <w:numId w:val="87"/>
        </w:numPr>
        <w:shd w:val="clear" w:color="auto" w:fill="auto"/>
        <w:tabs>
          <w:tab w:pos="753" w:val="left"/>
        </w:tabs>
        <w:bidi w:val="0"/>
        <w:spacing w:before="0" w:after="100" w:line="314" w:lineRule="exact"/>
        <w:ind w:left="0" w:right="0"/>
        <w:jc w:val="both"/>
      </w:pPr>
      <w:bookmarkStart w:id="1112" w:name="bookmark1112"/>
      <w:bookmarkEnd w:id="1112"/>
      <w:r>
        <w:rPr>
          <w:color w:val="000000"/>
          <w:spacing w:val="0"/>
          <w:w w:val="100"/>
          <w:position w:val="0"/>
        </w:rPr>
        <w:t>医疗保险费、工伤保险费、生育保险费等社会保险费和住房公积金，以及工会经费和职工教育经费</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本公司为职工缴纳的医疗保险费、工伤保险费、生育保险费等社会保险费和住房公积金，以及按规定提取的工会经费和 职工教育经费，在职工为其提供服务的会计期间，根据规定的计提基础和计提比例计算确定相应的职工薪酬金额，并确认相 应负债，计入当期损益或相关资产成本。</w:t>
      </w:r>
    </w:p>
    <w:p>
      <w:pPr>
        <w:pStyle w:val="Style18"/>
        <w:keepNext w:val="0"/>
        <w:keepLines w:val="0"/>
        <w:widowControl w:val="0"/>
        <w:numPr>
          <w:ilvl w:val="0"/>
          <w:numId w:val="87"/>
        </w:numPr>
        <w:shd w:val="clear" w:color="auto" w:fill="auto"/>
        <w:tabs>
          <w:tab w:pos="753" w:val="left"/>
        </w:tabs>
        <w:bidi w:val="0"/>
        <w:spacing w:before="0" w:after="100" w:line="314" w:lineRule="exact"/>
        <w:ind w:left="0" w:right="0"/>
        <w:jc w:val="both"/>
      </w:pPr>
      <w:bookmarkStart w:id="1113" w:name="bookmark1113"/>
      <w:bookmarkEnd w:id="1113"/>
      <w:r>
        <w:rPr>
          <w:color w:val="000000"/>
          <w:spacing w:val="0"/>
          <w:w w:val="100"/>
          <w:position w:val="0"/>
        </w:rPr>
        <w:t>短期带薪缺勤</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18"/>
        <w:keepNext w:val="0"/>
        <w:keepLines w:val="0"/>
        <w:widowControl w:val="0"/>
        <w:numPr>
          <w:ilvl w:val="0"/>
          <w:numId w:val="87"/>
        </w:numPr>
        <w:shd w:val="clear" w:color="auto" w:fill="auto"/>
        <w:tabs>
          <w:tab w:pos="753" w:val="left"/>
        </w:tabs>
        <w:bidi w:val="0"/>
        <w:spacing w:before="0" w:after="100" w:line="314" w:lineRule="exact"/>
        <w:ind w:left="0" w:right="0"/>
        <w:jc w:val="both"/>
      </w:pPr>
      <w:bookmarkStart w:id="1114" w:name="bookmark1114"/>
      <w:bookmarkEnd w:id="1114"/>
      <w:r>
        <w:rPr>
          <w:color w:val="000000"/>
          <w:spacing w:val="0"/>
          <w:w w:val="100"/>
          <w:position w:val="0"/>
        </w:rPr>
        <w:t>短期利润分享计划</w:t>
      </w:r>
    </w:p>
    <w:p>
      <w:pPr>
        <w:pStyle w:val="Style18"/>
        <w:keepNext w:val="0"/>
        <w:keepLines w:val="0"/>
        <w:widowControl w:val="0"/>
        <w:shd w:val="clear" w:color="auto" w:fill="auto"/>
        <w:bidi w:val="0"/>
        <w:spacing w:before="0" w:after="200" w:line="314" w:lineRule="exact"/>
        <w:ind w:left="0" w:right="0"/>
        <w:jc w:val="both"/>
      </w:pPr>
      <w:r>
        <w:rPr>
          <w:color w:val="000000"/>
          <w:spacing w:val="0"/>
          <w:w w:val="100"/>
          <w:position w:val="0"/>
        </w:rPr>
        <w:t>利润分享计划同时满足下列条件的，本公司确认相关的应付职工薪酬：</w:t>
      </w:r>
    </w:p>
    <w:p>
      <w:pPr>
        <w:pStyle w:val="Style18"/>
        <w:keepNext w:val="0"/>
        <w:keepLines w:val="0"/>
        <w:widowControl w:val="0"/>
        <w:numPr>
          <w:ilvl w:val="0"/>
          <w:numId w:val="89"/>
        </w:numPr>
        <w:shd w:val="clear" w:color="auto" w:fill="auto"/>
        <w:bidi w:val="0"/>
        <w:spacing w:before="0" w:after="100"/>
        <w:ind w:left="0" w:right="0"/>
        <w:jc w:val="left"/>
      </w:pPr>
      <w:bookmarkStart w:id="1115" w:name="bookmark1115"/>
      <w:bookmarkEnd w:id="1115"/>
      <w:r>
        <w:rPr>
          <w:color w:val="000000"/>
          <w:spacing w:val="0"/>
          <w:w w:val="100"/>
          <w:position w:val="0"/>
        </w:rPr>
        <w:t>企业因过去事项导致现在具有支付职工薪酬的法定义务或推定义务；</w:t>
      </w:r>
    </w:p>
    <w:p>
      <w:pPr>
        <w:pStyle w:val="Style18"/>
        <w:keepNext w:val="0"/>
        <w:keepLines w:val="0"/>
        <w:widowControl w:val="0"/>
        <w:numPr>
          <w:ilvl w:val="0"/>
          <w:numId w:val="89"/>
        </w:numPr>
        <w:shd w:val="clear" w:color="auto" w:fill="auto"/>
        <w:bidi w:val="0"/>
        <w:spacing w:before="0" w:after="280"/>
        <w:ind w:left="0" w:right="0" w:firstLine="0"/>
        <w:jc w:val="left"/>
      </w:pPr>
      <w:bookmarkStart w:id="1116" w:name="bookmark1116"/>
      <w:bookmarkEnd w:id="1116"/>
      <w:r>
        <w:rPr>
          <w:color w:val="000000"/>
          <w:spacing w:val="0"/>
          <w:w w:val="100"/>
          <w:position w:val="0"/>
        </w:rPr>
        <w:t>因利润分享计划所产生的应付职工薪酬义务金额能够可靠估计。</w:t>
      </w:r>
    </w:p>
    <w:p>
      <w:pPr>
        <w:pStyle w:val="Style40"/>
        <w:keepNext/>
        <w:keepLines/>
        <w:widowControl w:val="0"/>
        <w:shd w:val="clear" w:color="auto" w:fill="auto"/>
        <w:bidi w:val="0"/>
        <w:spacing w:before="0" w:after="28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117"/>
      <w:bookmarkEnd w:id="1118"/>
      <w:bookmarkEnd w:id="1120"/>
    </w:p>
    <w:p>
      <w:pPr>
        <w:pStyle w:val="Style18"/>
        <w:keepNext w:val="0"/>
        <w:keepLines w:val="0"/>
        <w:widowControl w:val="0"/>
        <w:numPr>
          <w:ilvl w:val="0"/>
          <w:numId w:val="91"/>
        </w:numPr>
        <w:shd w:val="clear" w:color="auto" w:fill="auto"/>
        <w:tabs>
          <w:tab w:pos="753" w:val="left"/>
        </w:tabs>
        <w:bidi w:val="0"/>
        <w:spacing w:before="0" w:after="100" w:line="314" w:lineRule="exact"/>
        <w:ind w:left="0" w:right="0"/>
        <w:jc w:val="both"/>
      </w:pPr>
      <w:bookmarkStart w:id="1121" w:name="bookmark1121"/>
      <w:bookmarkEnd w:id="1121"/>
      <w:r>
        <w:rPr>
          <w:color w:val="000000"/>
          <w:spacing w:val="0"/>
          <w:w w:val="100"/>
          <w:position w:val="0"/>
        </w:rPr>
        <w:t>设定提存计划</w:t>
      </w:r>
    </w:p>
    <w:p>
      <w:pPr>
        <w:pStyle w:val="Style18"/>
        <w:keepNext w:val="0"/>
        <w:keepLines w:val="0"/>
        <w:widowControl w:val="0"/>
        <w:shd w:val="clear" w:color="auto" w:fill="auto"/>
        <w:bidi w:val="0"/>
        <w:spacing w:before="0" w:after="100" w:line="326" w:lineRule="exact"/>
        <w:ind w:left="0" w:right="0"/>
        <w:jc w:val="both"/>
      </w:pPr>
      <w:r>
        <w:rPr>
          <w:color w:val="000000"/>
          <w:spacing w:val="0"/>
          <w:w w:val="100"/>
          <w:position w:val="0"/>
        </w:rPr>
        <w:t>本公司在职工为其提供服务的会计期间，将根据设定提存计划计算的应缴存金额确认为负债，并计入当期损益或相关资 产成本。</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根据设定提存计划，预期不会在职工提供相关服务的年度报告期结束后十二个月内支付全部应缴存金额的，本公司参照 相应的折现率（根据资产负债表日与设定提存计划义务期限和币种相匹配的国债或活跃市场上的高质量公司债券的市场收益 率确定），将全部应缴存金额以折现后的金额计量应付职工薪酬。</w:t>
      </w:r>
    </w:p>
    <w:p>
      <w:pPr>
        <w:pStyle w:val="Style18"/>
        <w:keepNext w:val="0"/>
        <w:keepLines w:val="0"/>
        <w:widowControl w:val="0"/>
        <w:numPr>
          <w:ilvl w:val="0"/>
          <w:numId w:val="91"/>
        </w:numPr>
        <w:shd w:val="clear" w:color="auto" w:fill="auto"/>
        <w:tabs>
          <w:tab w:pos="753" w:val="left"/>
        </w:tabs>
        <w:bidi w:val="0"/>
        <w:spacing w:before="0" w:after="200" w:line="314" w:lineRule="exact"/>
        <w:ind w:left="0" w:right="0"/>
        <w:jc w:val="both"/>
      </w:pPr>
      <w:bookmarkStart w:id="1122" w:name="bookmark1122"/>
      <w:bookmarkEnd w:id="1122"/>
      <w:r>
        <w:rPr>
          <w:color w:val="000000"/>
          <w:spacing w:val="0"/>
          <w:w w:val="100"/>
          <w:position w:val="0"/>
        </w:rPr>
        <w:t>设定受益计划</w:t>
      </w:r>
    </w:p>
    <w:p>
      <w:pPr>
        <w:pStyle w:val="Style18"/>
        <w:keepNext w:val="0"/>
        <w:keepLines w:val="0"/>
        <w:widowControl w:val="0"/>
        <w:numPr>
          <w:ilvl w:val="0"/>
          <w:numId w:val="93"/>
        </w:numPr>
        <w:shd w:val="clear" w:color="auto" w:fill="auto"/>
        <w:tabs>
          <w:tab w:pos="743" w:val="left"/>
        </w:tabs>
        <w:bidi w:val="0"/>
        <w:spacing w:before="0" w:after="0"/>
        <w:ind w:left="0" w:right="0"/>
        <w:jc w:val="both"/>
      </w:pPr>
      <w:bookmarkStart w:id="1123" w:name="bookmark1123"/>
      <w:bookmarkEnd w:id="1123"/>
      <w:r>
        <w:rPr>
          <w:color w:val="000000"/>
          <w:spacing w:val="0"/>
          <w:w w:val="100"/>
          <w:position w:val="0"/>
        </w:rPr>
        <w:t>确定设定受益计划义务的现值和当期服务成本</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根据预期累计福利单位法，采用无偏且相互一致的精算假设对有关人口统计变量和财务变量等做出估计，计量设定受益 计划所产生的义务，并确定相关义务的归属期间。本公司按照相应的折现率（根据资产负债表日与设定受益计划义务期限和 币种相匹配的国债或活跃市场上的高质量公司债券的市场收益率确定）将设定受益计划所产生的义务予以折现，以确定设定 受益计划义务的现值和当期服务成本。</w:t>
      </w:r>
    </w:p>
    <w:p>
      <w:pPr>
        <w:pStyle w:val="Style18"/>
        <w:keepNext w:val="0"/>
        <w:keepLines w:val="0"/>
        <w:widowControl w:val="0"/>
        <w:numPr>
          <w:ilvl w:val="0"/>
          <w:numId w:val="93"/>
        </w:numPr>
        <w:shd w:val="clear" w:color="auto" w:fill="auto"/>
        <w:tabs>
          <w:tab w:pos="743" w:val="left"/>
        </w:tabs>
        <w:bidi w:val="0"/>
        <w:spacing w:before="0" w:after="100"/>
        <w:ind w:left="0" w:right="0"/>
        <w:jc w:val="both"/>
      </w:pPr>
      <w:bookmarkStart w:id="1124" w:name="bookmark1124"/>
      <w:bookmarkEnd w:id="1124"/>
      <w:r>
        <w:rPr>
          <w:color w:val="000000"/>
          <w:spacing w:val="0"/>
          <w:w w:val="100"/>
          <w:position w:val="0"/>
        </w:rPr>
        <w:t>确认设定受益计划净负债或净资产</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设定受益计划存在资产的，本公司将设定受益计划义务现值减去设定受益计划资产公允价值所形成的赤字或盈余确认为 一项设定受益计划净负债或净资产。</w:t>
      </w:r>
    </w:p>
    <w:p>
      <w:pPr>
        <w:pStyle w:val="Style18"/>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设定受益计划存在盈余的，本公司以设定受益计划的盈余和资产上限两项的孰低者计量设定受益计划净资产。</w:t>
      </w:r>
    </w:p>
    <w:p>
      <w:pPr>
        <w:pStyle w:val="Style18"/>
        <w:keepNext w:val="0"/>
        <w:keepLines w:val="0"/>
        <w:widowControl w:val="0"/>
        <w:numPr>
          <w:ilvl w:val="0"/>
          <w:numId w:val="93"/>
        </w:numPr>
        <w:shd w:val="clear" w:color="auto" w:fill="auto"/>
        <w:tabs>
          <w:tab w:pos="704" w:val="left"/>
        </w:tabs>
        <w:bidi w:val="0"/>
        <w:spacing w:before="0" w:after="0"/>
        <w:ind w:left="0" w:right="0" w:firstLine="360"/>
        <w:jc w:val="both"/>
      </w:pPr>
      <w:bookmarkStart w:id="1125" w:name="bookmark1125"/>
      <w:bookmarkEnd w:id="1125"/>
      <w:r>
        <w:rPr>
          <w:color w:val="000000"/>
          <w:spacing w:val="0"/>
          <w:w w:val="100"/>
          <w:position w:val="0"/>
        </w:rPr>
        <w:t>确定应计入资产成本或当期损益的金额</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服务成本，包括当期服务成本、过去服务成本和结算利得或损失。其中，除了其他会计准则要求或允许计入资产成本的 当期服务成本之外，其他服务成本均计入当期损益。</w:t>
      </w:r>
    </w:p>
    <w:p>
      <w:pPr>
        <w:pStyle w:val="Style18"/>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设定受益计划净负债或净资产的利息净额，包括计划资产的利息收益、设定受益计划义务的利息费用以及资产上限影响 的利息，均计入当期损益。</w:t>
      </w:r>
    </w:p>
    <w:p>
      <w:pPr>
        <w:pStyle w:val="Style18"/>
        <w:keepNext w:val="0"/>
        <w:keepLines w:val="0"/>
        <w:widowControl w:val="0"/>
        <w:numPr>
          <w:ilvl w:val="0"/>
          <w:numId w:val="93"/>
        </w:numPr>
        <w:shd w:val="clear" w:color="auto" w:fill="auto"/>
        <w:tabs>
          <w:tab w:pos="718" w:val="left"/>
        </w:tabs>
        <w:bidi w:val="0"/>
        <w:spacing w:before="0" w:after="0"/>
        <w:ind w:left="0" w:right="0" w:firstLine="360"/>
        <w:jc w:val="both"/>
      </w:pPr>
      <w:bookmarkStart w:id="1126" w:name="bookmark1126"/>
      <w:bookmarkEnd w:id="1126"/>
      <w:r>
        <w:rPr>
          <w:color w:val="000000"/>
          <w:spacing w:val="0"/>
          <w:w w:val="100"/>
          <w:position w:val="0"/>
        </w:rPr>
        <w:t>确定应计入其他综合收益的金额</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重新计量设定受益计划净负债或净资产所产生的变动，包括：</w:t>
      </w:r>
    </w:p>
    <w:p>
      <w:pPr>
        <w:pStyle w:val="Style18"/>
        <w:keepNext w:val="0"/>
        <w:keepLines w:val="0"/>
        <w:widowControl w:val="0"/>
        <w:shd w:val="clear" w:color="auto" w:fill="auto"/>
        <w:tabs>
          <w:tab w:pos="790" w:val="left"/>
        </w:tabs>
        <w:bidi w:val="0"/>
        <w:spacing w:before="0" w:after="100" w:line="312" w:lineRule="exact"/>
        <w:ind w:left="0" w:right="0" w:firstLine="360"/>
        <w:jc w:val="both"/>
      </w:pPr>
      <w:bookmarkStart w:id="1127" w:name="bookmark1127"/>
      <w:r>
        <w:rPr>
          <w:color w:val="000000"/>
          <w:spacing w:val="0"/>
          <w:w w:val="100"/>
          <w:position w:val="0"/>
        </w:rPr>
        <w:t>（</w:t>
      </w:r>
      <w:bookmarkEnd w:id="1127"/>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精算利得或损失，即由于精算假设和经验调整导致之前所计量的设定受益计划义务现值的增加或减少；</w:t>
      </w:r>
    </w:p>
    <w:p>
      <w:pPr>
        <w:pStyle w:val="Style18"/>
        <w:keepNext w:val="0"/>
        <w:keepLines w:val="0"/>
        <w:widowControl w:val="0"/>
        <w:shd w:val="clear" w:color="auto" w:fill="auto"/>
        <w:tabs>
          <w:tab w:pos="805" w:val="left"/>
        </w:tabs>
        <w:bidi w:val="0"/>
        <w:spacing w:before="0" w:after="100" w:line="312" w:lineRule="exact"/>
        <w:ind w:left="0" w:right="0" w:firstLine="360"/>
        <w:jc w:val="both"/>
      </w:pPr>
      <w:bookmarkStart w:id="1128" w:name="bookmark1128"/>
      <w:r>
        <w:rPr>
          <w:color w:val="000000"/>
          <w:spacing w:val="0"/>
          <w:w w:val="100"/>
          <w:position w:val="0"/>
        </w:rPr>
        <w:t>（</w:t>
      </w:r>
      <w:bookmarkEnd w:id="1128"/>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18"/>
        <w:keepNext w:val="0"/>
        <w:keepLines w:val="0"/>
        <w:widowControl w:val="0"/>
        <w:shd w:val="clear" w:color="auto" w:fill="auto"/>
        <w:tabs>
          <w:tab w:pos="805" w:val="left"/>
        </w:tabs>
        <w:bidi w:val="0"/>
        <w:spacing w:before="0" w:after="100" w:line="312" w:lineRule="exact"/>
        <w:ind w:left="0" w:right="0" w:firstLine="360"/>
        <w:jc w:val="both"/>
      </w:pPr>
      <w:bookmarkStart w:id="1129" w:name="bookmark1129"/>
      <w:r>
        <w:rPr>
          <w:color w:val="000000"/>
          <w:spacing w:val="0"/>
          <w:w w:val="100"/>
          <w:position w:val="0"/>
        </w:rPr>
        <w:t>（</w:t>
      </w:r>
      <w:bookmarkEnd w:id="1129"/>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资产上限影响的变动，扣除包括在设定受益计划净负债或净资产的利息净额中的金额。</w:t>
      </w:r>
    </w:p>
    <w:p>
      <w:pPr>
        <w:pStyle w:val="Style18"/>
        <w:keepNext w:val="0"/>
        <w:keepLines w:val="0"/>
        <w:widowControl w:val="0"/>
        <w:shd w:val="clear" w:color="auto" w:fill="auto"/>
        <w:bidi w:val="0"/>
        <w:spacing w:before="0" w:after="360" w:line="307" w:lineRule="exact"/>
        <w:ind w:left="0" w:right="0" w:firstLine="36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并且在后续会计期间不允许转回至 损益，但本公司可以在权益范围内转移这些在其他综合收益中确认的金额。</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30"/>
      <w:bookmarkEnd w:id="1131"/>
      <w:bookmarkEnd w:id="1133"/>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本公司向职工提供辞退福利的，在下列两者孰早日确认辞退福利产生的职工薪酬负债，并计入当期损益：</w:t>
      </w:r>
    </w:p>
    <w:p>
      <w:pPr>
        <w:pStyle w:val="Style18"/>
        <w:keepNext w:val="0"/>
        <w:keepLines w:val="0"/>
        <w:widowControl w:val="0"/>
        <w:numPr>
          <w:ilvl w:val="0"/>
          <w:numId w:val="95"/>
        </w:numPr>
        <w:shd w:val="clear" w:color="auto" w:fill="auto"/>
        <w:tabs>
          <w:tab w:pos="733" w:val="left"/>
        </w:tabs>
        <w:bidi w:val="0"/>
        <w:spacing w:before="0" w:after="100" w:line="312" w:lineRule="exact"/>
        <w:ind w:left="0" w:right="0" w:firstLine="360"/>
        <w:jc w:val="both"/>
      </w:pPr>
      <w:bookmarkStart w:id="1134" w:name="bookmark1134"/>
      <w:bookmarkEnd w:id="1134"/>
      <w:r>
        <w:rPr>
          <w:color w:val="000000"/>
          <w:spacing w:val="0"/>
          <w:w w:val="100"/>
          <w:position w:val="0"/>
        </w:rPr>
        <w:t>企业不能单方面撤回因解除劳动关系计划或裁减建议所提供的辞退福利时；</w:t>
      </w:r>
    </w:p>
    <w:p>
      <w:pPr>
        <w:pStyle w:val="Style18"/>
        <w:keepNext w:val="0"/>
        <w:keepLines w:val="0"/>
        <w:widowControl w:val="0"/>
        <w:numPr>
          <w:ilvl w:val="0"/>
          <w:numId w:val="95"/>
        </w:numPr>
        <w:shd w:val="clear" w:color="auto" w:fill="auto"/>
        <w:tabs>
          <w:tab w:pos="733" w:val="left"/>
        </w:tabs>
        <w:bidi w:val="0"/>
        <w:spacing w:before="0" w:after="100" w:line="312" w:lineRule="exact"/>
        <w:ind w:left="0" w:right="0" w:firstLine="360"/>
        <w:jc w:val="both"/>
      </w:pPr>
      <w:bookmarkStart w:id="1135" w:name="bookmark1135"/>
      <w:bookmarkEnd w:id="1135"/>
      <w:r>
        <w:rPr>
          <w:color w:val="000000"/>
          <w:spacing w:val="0"/>
          <w:w w:val="100"/>
          <w:position w:val="0"/>
        </w:rPr>
        <w:t>企业确认与涉及支付辞退福利的重组相关的成本或费用时。</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辞退福利预期在年度报告期结束后十二个月内不能完全支付的，参照相应的折现率（根据资产负债表日与设定受益计划 义务期限和币种相匹配的国债或活跃市场上的高质量公司债券的市场收益率确定）将辞退福利金额予以折现，以折现后的金 额计量应付职工薪酬。</w:t>
      </w:r>
    </w:p>
    <w:p>
      <w:pPr>
        <w:pStyle w:val="Style40"/>
        <w:keepNext/>
        <w:keepLines/>
        <w:widowControl w:val="0"/>
        <w:shd w:val="clear" w:color="auto" w:fill="auto"/>
        <w:tabs>
          <w:tab w:pos="493" w:val="left"/>
        </w:tabs>
        <w:bidi w:val="0"/>
        <w:spacing w:before="0" w:after="280" w:line="240" w:lineRule="auto"/>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36"/>
      <w:bookmarkEnd w:id="1137"/>
      <w:bookmarkEnd w:id="1139"/>
    </w:p>
    <w:p>
      <w:pPr>
        <w:pStyle w:val="Style18"/>
        <w:keepNext w:val="0"/>
        <w:keepLines w:val="0"/>
        <w:widowControl w:val="0"/>
        <w:numPr>
          <w:ilvl w:val="0"/>
          <w:numId w:val="97"/>
        </w:numPr>
        <w:shd w:val="clear" w:color="auto" w:fill="auto"/>
        <w:tabs>
          <w:tab w:pos="733" w:val="left"/>
        </w:tabs>
        <w:bidi w:val="0"/>
        <w:spacing w:before="0" w:after="100" w:line="312" w:lineRule="exact"/>
        <w:ind w:left="0" w:right="0" w:firstLine="360"/>
        <w:jc w:val="both"/>
      </w:pPr>
      <w:bookmarkStart w:id="1140" w:name="bookmark1140"/>
      <w:bookmarkEnd w:id="1140"/>
      <w:r>
        <w:rPr>
          <w:color w:val="000000"/>
          <w:spacing w:val="0"/>
          <w:w w:val="100"/>
          <w:position w:val="0"/>
        </w:rPr>
        <w:t>符合设定提存计划条件的</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本公司向职工提供的其他长期职工福利，符合设定提存计划条件的，将全部应缴存金额以折现后的金额计量应付职工薪 酬。</w:t>
      </w:r>
    </w:p>
    <w:p>
      <w:pPr>
        <w:pStyle w:val="Style18"/>
        <w:keepNext w:val="0"/>
        <w:keepLines w:val="0"/>
        <w:widowControl w:val="0"/>
        <w:numPr>
          <w:ilvl w:val="0"/>
          <w:numId w:val="97"/>
        </w:numPr>
        <w:shd w:val="clear" w:color="auto" w:fill="auto"/>
        <w:tabs>
          <w:tab w:pos="733" w:val="left"/>
        </w:tabs>
        <w:bidi w:val="0"/>
        <w:spacing w:before="0" w:after="100" w:line="312" w:lineRule="exact"/>
        <w:ind w:left="0" w:right="0" w:firstLine="360"/>
        <w:jc w:val="both"/>
      </w:pPr>
      <w:bookmarkStart w:id="1141" w:name="bookmark1141"/>
      <w:bookmarkEnd w:id="1141"/>
      <w:r>
        <w:rPr>
          <w:color w:val="000000"/>
          <w:spacing w:val="0"/>
          <w:w w:val="100"/>
          <w:position w:val="0"/>
        </w:rPr>
        <w:t>符合设定受益计划条件的</w:t>
      </w:r>
    </w:p>
    <w:p>
      <w:pPr>
        <w:pStyle w:val="Style18"/>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在报告期末，本公司将其他长期职工福利产生的职工薪酬成本确认为下列组成部分：</w:t>
      </w:r>
    </w:p>
    <w:p>
      <w:pPr>
        <w:pStyle w:val="Style18"/>
        <w:keepNext w:val="0"/>
        <w:keepLines w:val="0"/>
        <w:widowControl w:val="0"/>
        <w:numPr>
          <w:ilvl w:val="0"/>
          <w:numId w:val="99"/>
        </w:numPr>
        <w:shd w:val="clear" w:color="auto" w:fill="auto"/>
        <w:tabs>
          <w:tab w:pos="723" w:val="left"/>
        </w:tabs>
        <w:bidi w:val="0"/>
        <w:spacing w:before="0" w:after="100"/>
        <w:ind w:left="0" w:right="0" w:firstLine="360"/>
        <w:jc w:val="both"/>
      </w:pPr>
      <w:bookmarkStart w:id="1142" w:name="bookmark1142"/>
      <w:bookmarkEnd w:id="1142"/>
      <w:r>
        <w:rPr>
          <w:color w:val="000000"/>
          <w:spacing w:val="0"/>
          <w:w w:val="100"/>
          <w:position w:val="0"/>
        </w:rPr>
        <w:t>服务成本；</w:t>
      </w:r>
    </w:p>
    <w:p>
      <w:pPr>
        <w:pStyle w:val="Style18"/>
        <w:keepNext w:val="0"/>
        <w:keepLines w:val="0"/>
        <w:widowControl w:val="0"/>
        <w:numPr>
          <w:ilvl w:val="0"/>
          <w:numId w:val="99"/>
        </w:numPr>
        <w:shd w:val="clear" w:color="auto" w:fill="auto"/>
        <w:tabs>
          <w:tab w:pos="723" w:val="left"/>
        </w:tabs>
        <w:bidi w:val="0"/>
        <w:spacing w:before="0" w:after="100"/>
        <w:ind w:left="0" w:right="0" w:firstLine="360"/>
        <w:jc w:val="both"/>
      </w:pPr>
      <w:bookmarkStart w:id="1143" w:name="bookmark1143"/>
      <w:bookmarkEnd w:id="1143"/>
      <w:r>
        <w:rPr>
          <w:color w:val="000000"/>
          <w:spacing w:val="0"/>
          <w:w w:val="100"/>
          <w:position w:val="0"/>
        </w:rPr>
        <w:t>其他长期职工福利净负债或净资产的利息净额；</w:t>
      </w:r>
    </w:p>
    <w:p>
      <w:pPr>
        <w:pStyle w:val="Style18"/>
        <w:keepNext w:val="0"/>
        <w:keepLines w:val="0"/>
        <w:widowControl w:val="0"/>
        <w:numPr>
          <w:ilvl w:val="0"/>
          <w:numId w:val="99"/>
        </w:numPr>
        <w:shd w:val="clear" w:color="auto" w:fill="auto"/>
        <w:tabs>
          <w:tab w:pos="723" w:val="left"/>
        </w:tabs>
        <w:bidi w:val="0"/>
        <w:spacing w:before="0" w:after="0"/>
        <w:ind w:left="0" w:right="0" w:firstLine="360"/>
        <w:jc w:val="both"/>
      </w:pPr>
      <w:bookmarkStart w:id="1144" w:name="bookmark1144"/>
      <w:bookmarkEnd w:id="1144"/>
      <w:r>
        <w:rPr>
          <w:color w:val="000000"/>
          <w:spacing w:val="0"/>
          <w:w w:val="100"/>
          <w:position w:val="0"/>
        </w:rPr>
        <w:t>重新计量其他长期职工福利净负债或净资产所产生的变动。</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为简化相关会计处理，上述项目的总净额计入当期损益或相关资产成本。</w:t>
      </w:r>
    </w:p>
    <w:p>
      <w:pPr>
        <w:pStyle w:val="Style29"/>
        <w:keepNext/>
        <w:keepLines/>
        <w:widowControl w:val="0"/>
        <w:shd w:val="clear" w:color="auto" w:fill="auto"/>
        <w:tabs>
          <w:tab w:pos="503" w:val="left"/>
        </w:tabs>
        <w:bidi w:val="0"/>
        <w:spacing w:before="0" w:after="2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45"/>
      <w:bookmarkEnd w:id="1146"/>
      <w:bookmarkEnd w:id="1148"/>
    </w:p>
    <w:p>
      <w:pPr>
        <w:pStyle w:val="Style18"/>
        <w:keepNext w:val="0"/>
        <w:keepLines w:val="0"/>
        <w:widowControl w:val="0"/>
        <w:shd w:val="clear" w:color="auto" w:fill="auto"/>
        <w:bidi w:val="0"/>
        <w:spacing w:before="0" w:after="40" w:line="312" w:lineRule="exact"/>
        <w:ind w:left="0" w:right="0" w:firstLine="160"/>
        <w:jc w:val="both"/>
      </w:pPr>
      <w:r>
        <w:rPr>
          <w:color w:val="000000"/>
          <w:spacing w:val="0"/>
          <w:w w:val="100"/>
          <w:position w:val="0"/>
        </w:rPr>
        <w:t>在租赁期开始日，本集团将尚未支付的租赁付款额的现值确认为租赁负债（短期租赁和低价值资产租赁除外）。本公司的 租赁付款额主要包括固定付款额及取决于指数或比率的可变租赁付款额。在计算租赁付款额的现值时，本集团采用承租人增 量借款利率作为折现率。本集团按照折现率计算租赁期内各期间的利息费用，并计入当期损益。未纳入租赁负债计量的可变 租赁付款额于实际发生时计入当期损益。租赁期开始日后，当实质固定付款额发生变动、用于确定租赁付款额的指数或比率 发生变动、购买选择权、续租选择权或终止选择权的评估结果或实际行权情况发生变化时，本集团按照变动后的租赁付款额 的现值重新计量租赁负债。</w:t>
      </w:r>
    </w:p>
    <w:p>
      <w:pPr>
        <w:pStyle w:val="Style18"/>
        <w:keepNext w:val="0"/>
        <w:keepLines w:val="0"/>
        <w:widowControl w:val="0"/>
        <w:shd w:val="clear" w:color="auto" w:fill="auto"/>
        <w:bidi w:val="0"/>
        <w:spacing w:before="0" w:after="360" w:line="312" w:lineRule="exact"/>
        <w:ind w:left="0" w:right="0" w:firstLine="240"/>
        <w:jc w:val="left"/>
      </w:pPr>
      <w:r>
        <w:rPr>
          <w:color w:val="000000"/>
          <w:spacing w:val="0"/>
          <w:w w:val="100"/>
          <w:position w:val="0"/>
        </w:rPr>
        <w:t>本集团将自资产负债表日起一年内</w:t>
      </w:r>
      <w:r>
        <w:rPr>
          <w:rFonts w:ascii="Times New Roman" w:eastAsia="Times New Roman" w:hAnsi="Times New Roman" w:cs="Times New Roman"/>
          <w:color w:val="000000"/>
          <w:spacing w:val="0"/>
          <w:w w:val="100"/>
          <w:position w:val="0"/>
        </w:rPr>
        <w:t>（</w:t>
      </w:r>
      <w:r>
        <w:rPr>
          <w:color w:val="000000"/>
          <w:spacing w:val="0"/>
          <w:w w:val="100"/>
          <w:position w:val="0"/>
        </w:rPr>
        <w:t>含一年</w:t>
      </w:r>
      <w:r>
        <w:rPr>
          <w:rFonts w:ascii="Times New Roman" w:eastAsia="Times New Roman" w:hAnsi="Times New Roman" w:cs="Times New Roman"/>
          <w:color w:val="000000"/>
          <w:spacing w:val="0"/>
          <w:w w:val="100"/>
          <w:position w:val="0"/>
        </w:rPr>
        <w:t>）</w:t>
      </w:r>
      <w:r>
        <w:rPr>
          <w:color w:val="000000"/>
          <w:spacing w:val="0"/>
          <w:w w:val="100"/>
          <w:position w:val="0"/>
        </w:rPr>
        <w:t>支付的租赁负债，列示为一年内到期的非流动负债。</w:t>
      </w:r>
    </w:p>
    <w:p>
      <w:pPr>
        <w:pStyle w:val="Style29"/>
        <w:keepNext/>
        <w:keepLines/>
        <w:widowControl w:val="0"/>
        <w:shd w:val="clear" w:color="auto" w:fill="auto"/>
        <w:tabs>
          <w:tab w:pos="503" w:val="left"/>
        </w:tabs>
        <w:bidi w:val="0"/>
        <w:spacing w:before="0" w:after="2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49"/>
      <w:bookmarkEnd w:id="1150"/>
      <w:bookmarkEnd w:id="1152"/>
    </w:p>
    <w:p>
      <w:pPr>
        <w:pStyle w:val="Style18"/>
        <w:keepNext w:val="0"/>
        <w:keepLines w:val="0"/>
        <w:widowControl w:val="0"/>
        <w:shd w:val="clear" w:color="auto" w:fill="auto"/>
        <w:tabs>
          <w:tab w:pos="830" w:val="left"/>
        </w:tabs>
        <w:bidi w:val="0"/>
        <w:spacing w:before="0" w:after="100" w:line="312" w:lineRule="exact"/>
        <w:ind w:left="0" w:right="0"/>
        <w:jc w:val="left"/>
      </w:pPr>
      <w:bookmarkStart w:id="1153" w:name="bookmark1153"/>
      <w:r>
        <w:rPr>
          <w:b/>
          <w:bCs/>
          <w:color w:val="000000"/>
          <w:spacing w:val="0"/>
          <w:w w:val="100"/>
          <w:position w:val="0"/>
        </w:rPr>
        <w:t>（</w:t>
      </w:r>
      <w:bookmarkEnd w:id="115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预计负债的确认标准</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如果与或有事项相关的义务同时符合以下条件，本公司将其确认为预计负债：</w:t>
      </w:r>
    </w:p>
    <w:p>
      <w:pPr>
        <w:pStyle w:val="Style18"/>
        <w:keepNext w:val="0"/>
        <w:keepLines w:val="0"/>
        <w:widowControl w:val="0"/>
        <w:numPr>
          <w:ilvl w:val="0"/>
          <w:numId w:val="101"/>
        </w:numPr>
        <w:shd w:val="clear" w:color="auto" w:fill="auto"/>
        <w:tabs>
          <w:tab w:pos="753" w:val="left"/>
        </w:tabs>
        <w:bidi w:val="0"/>
        <w:spacing w:before="0" w:after="100" w:line="312" w:lineRule="exact"/>
        <w:ind w:left="0" w:right="0"/>
        <w:jc w:val="left"/>
      </w:pPr>
      <w:bookmarkStart w:id="1154" w:name="bookmark1154"/>
      <w:bookmarkEnd w:id="1154"/>
      <w:r>
        <w:rPr>
          <w:color w:val="000000"/>
          <w:spacing w:val="0"/>
          <w:w w:val="100"/>
          <w:position w:val="0"/>
        </w:rPr>
        <w:t>该义务是本公司承担的现时义务；</w:t>
      </w:r>
    </w:p>
    <w:p>
      <w:pPr>
        <w:pStyle w:val="Style18"/>
        <w:keepNext w:val="0"/>
        <w:keepLines w:val="0"/>
        <w:widowControl w:val="0"/>
        <w:numPr>
          <w:ilvl w:val="0"/>
          <w:numId w:val="101"/>
        </w:numPr>
        <w:shd w:val="clear" w:color="auto" w:fill="auto"/>
        <w:tabs>
          <w:tab w:pos="753" w:val="left"/>
        </w:tabs>
        <w:bidi w:val="0"/>
        <w:spacing w:before="0" w:after="100" w:line="312" w:lineRule="exact"/>
        <w:ind w:left="0" w:right="0"/>
        <w:jc w:val="left"/>
      </w:pPr>
      <w:bookmarkStart w:id="1155" w:name="bookmark1155"/>
      <w:bookmarkEnd w:id="1155"/>
      <w:r>
        <w:rPr>
          <w:color w:val="000000"/>
          <w:spacing w:val="0"/>
          <w:w w:val="100"/>
          <w:position w:val="0"/>
        </w:rPr>
        <w:t>该义务的履行很可能导致经济利益流出本公司；</w:t>
      </w:r>
    </w:p>
    <w:p>
      <w:pPr>
        <w:pStyle w:val="Style18"/>
        <w:keepNext w:val="0"/>
        <w:keepLines w:val="0"/>
        <w:widowControl w:val="0"/>
        <w:numPr>
          <w:ilvl w:val="0"/>
          <w:numId w:val="101"/>
        </w:numPr>
        <w:shd w:val="clear" w:color="auto" w:fill="auto"/>
        <w:tabs>
          <w:tab w:pos="753" w:val="left"/>
        </w:tabs>
        <w:bidi w:val="0"/>
        <w:spacing w:before="0" w:after="100" w:line="312" w:lineRule="exact"/>
        <w:ind w:left="0" w:right="0"/>
        <w:jc w:val="left"/>
      </w:pPr>
      <w:bookmarkStart w:id="1156" w:name="bookmark1156"/>
      <w:bookmarkEnd w:id="1156"/>
      <w:r>
        <w:rPr>
          <w:color w:val="000000"/>
          <w:spacing w:val="0"/>
          <w:w w:val="100"/>
          <w:position w:val="0"/>
        </w:rPr>
        <w:t>该义务的金额能够可靠地计量。</w:t>
      </w:r>
    </w:p>
    <w:p>
      <w:pPr>
        <w:pStyle w:val="Style18"/>
        <w:keepNext w:val="0"/>
        <w:keepLines w:val="0"/>
        <w:widowControl w:val="0"/>
        <w:shd w:val="clear" w:color="auto" w:fill="auto"/>
        <w:tabs>
          <w:tab w:pos="830" w:val="left"/>
        </w:tabs>
        <w:bidi w:val="0"/>
        <w:spacing w:before="0" w:after="100" w:line="312" w:lineRule="exact"/>
        <w:ind w:left="0" w:right="0"/>
        <w:jc w:val="both"/>
      </w:pPr>
      <w:bookmarkStart w:id="1157" w:name="bookmark1157"/>
      <w:r>
        <w:rPr>
          <w:b/>
          <w:bCs/>
          <w:color w:val="000000"/>
          <w:spacing w:val="0"/>
          <w:w w:val="100"/>
          <w:position w:val="0"/>
        </w:rPr>
        <w:t>（</w:t>
      </w:r>
      <w:bookmarkEnd w:id="115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货币时间价值等因素。每个资产负债表日对预计负债的账面价值进行复核。有确凿证据表明该账面价值不能反映当前最佳估 计数的，按照当前最佳估计数对该账面价值进行调整。</w:t>
      </w:r>
    </w:p>
    <w:p>
      <w:pPr>
        <w:pStyle w:val="Style29"/>
        <w:keepNext/>
        <w:keepLines/>
        <w:widowControl w:val="0"/>
        <w:shd w:val="clear" w:color="auto" w:fill="auto"/>
        <w:tabs>
          <w:tab w:pos="503" w:val="left"/>
        </w:tabs>
        <w:bidi w:val="0"/>
        <w:spacing w:before="0" w:after="2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58"/>
      <w:bookmarkEnd w:id="1159"/>
      <w:bookmarkEnd w:id="1161"/>
    </w:p>
    <w:p>
      <w:pPr>
        <w:pStyle w:val="Style18"/>
        <w:keepNext w:val="0"/>
        <w:keepLines w:val="0"/>
        <w:widowControl w:val="0"/>
        <w:shd w:val="clear" w:color="auto" w:fill="auto"/>
        <w:tabs>
          <w:tab w:pos="830" w:val="left"/>
        </w:tabs>
        <w:bidi w:val="0"/>
        <w:spacing w:before="0" w:after="100" w:line="312" w:lineRule="exact"/>
        <w:ind w:left="0" w:right="0"/>
        <w:jc w:val="both"/>
      </w:pPr>
      <w:bookmarkStart w:id="1162" w:name="bookmark1162"/>
      <w:r>
        <w:rPr>
          <w:b/>
          <w:bCs/>
          <w:color w:val="000000"/>
          <w:spacing w:val="0"/>
          <w:w w:val="100"/>
          <w:position w:val="0"/>
        </w:rPr>
        <w:t>（</w:t>
      </w:r>
      <w:bookmarkEnd w:id="116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本公司股份支付包括以现金结算的股份支付和以权益结算的股份支付。</w:t>
      </w:r>
    </w:p>
    <w:p>
      <w:pPr>
        <w:pStyle w:val="Style18"/>
        <w:keepNext w:val="0"/>
        <w:keepLines w:val="0"/>
        <w:widowControl w:val="0"/>
        <w:shd w:val="clear" w:color="auto" w:fill="auto"/>
        <w:tabs>
          <w:tab w:pos="830" w:val="left"/>
        </w:tabs>
        <w:bidi w:val="0"/>
        <w:spacing w:before="0" w:after="100" w:line="312" w:lineRule="exact"/>
        <w:ind w:left="0" w:right="0"/>
        <w:jc w:val="both"/>
      </w:pPr>
      <w:bookmarkStart w:id="1163" w:name="bookmark1163"/>
      <w:r>
        <w:rPr>
          <w:b/>
          <w:bCs/>
          <w:color w:val="000000"/>
          <w:spacing w:val="0"/>
          <w:w w:val="100"/>
          <w:position w:val="0"/>
        </w:rPr>
        <w:t>（</w:t>
      </w:r>
      <w:bookmarkEnd w:id="116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18"/>
        <w:keepNext w:val="0"/>
        <w:keepLines w:val="0"/>
        <w:widowControl w:val="0"/>
        <w:numPr>
          <w:ilvl w:val="0"/>
          <w:numId w:val="103"/>
        </w:numPr>
        <w:shd w:val="clear" w:color="auto" w:fill="auto"/>
        <w:bidi w:val="0"/>
        <w:spacing w:before="0" w:after="100" w:line="312" w:lineRule="exact"/>
        <w:ind w:left="0" w:right="0"/>
        <w:jc w:val="both"/>
      </w:pPr>
      <w:bookmarkStart w:id="1164" w:name="bookmark1164"/>
      <w:bookmarkEnd w:id="1164"/>
      <w:r>
        <w:rPr>
          <w:color w:val="000000"/>
          <w:spacing w:val="0"/>
          <w:w w:val="100"/>
          <w:position w:val="0"/>
        </w:rPr>
        <w:t>对于授予职工的股份，其公允价值按公司股份的市场价格计量，同时考虑授予股份所依据的条款和条件（不包括市场 条件之外的可行权条件）进行调整。②对于授予职工的股票期权，在许多情况下难以获得其市场价格。如果不存在条款和条 件相似的交易期权，公司选择适用的期权定价模型估计所授予的期权的公允价值。</w:t>
      </w:r>
    </w:p>
    <w:p>
      <w:pPr>
        <w:pStyle w:val="Style18"/>
        <w:keepNext w:val="0"/>
        <w:keepLines w:val="0"/>
        <w:widowControl w:val="0"/>
        <w:shd w:val="clear" w:color="auto" w:fill="auto"/>
        <w:tabs>
          <w:tab w:pos="830" w:val="left"/>
        </w:tabs>
        <w:bidi w:val="0"/>
        <w:spacing w:before="0" w:after="100" w:line="312" w:lineRule="exact"/>
        <w:ind w:left="0" w:right="0"/>
        <w:jc w:val="both"/>
      </w:pPr>
      <w:bookmarkStart w:id="1165" w:name="bookmark1165"/>
      <w:r>
        <w:rPr>
          <w:b/>
          <w:bCs/>
          <w:color w:val="000000"/>
          <w:spacing w:val="0"/>
          <w:w w:val="100"/>
          <w:position w:val="0"/>
        </w:rPr>
        <w:t>（</w:t>
      </w:r>
      <w:bookmarkEnd w:id="116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在等待期内每个资产负债表日，公司根据最新取得的可行权职工人数变动等后续信息作出最佳估计，修正预计可行权的 权益工具数量，以作出可行权权益工具的最佳估计。</w:t>
      </w:r>
    </w:p>
    <w:p>
      <w:pPr>
        <w:pStyle w:val="Style18"/>
        <w:keepNext w:val="0"/>
        <w:keepLines w:val="0"/>
        <w:widowControl w:val="0"/>
        <w:shd w:val="clear" w:color="auto" w:fill="auto"/>
        <w:tabs>
          <w:tab w:pos="830" w:val="left"/>
        </w:tabs>
        <w:bidi w:val="0"/>
        <w:spacing w:before="0" w:after="100" w:line="312" w:lineRule="exact"/>
        <w:ind w:left="0" w:right="0"/>
        <w:jc w:val="both"/>
      </w:pPr>
      <w:bookmarkStart w:id="1166" w:name="bookmark1166"/>
      <w:r>
        <w:rPr>
          <w:b/>
          <w:bCs/>
          <w:color w:val="000000"/>
          <w:spacing w:val="0"/>
          <w:w w:val="100"/>
          <w:position w:val="0"/>
        </w:rPr>
        <w:t>（</w:t>
      </w:r>
      <w:bookmarkEnd w:id="116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股份支付计划实施的会计处理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以现金结算的股份支付</w:t>
      </w:r>
    </w:p>
    <w:p>
      <w:pPr>
        <w:pStyle w:val="Style18"/>
        <w:keepNext w:val="0"/>
        <w:keepLines w:val="0"/>
        <w:widowControl w:val="0"/>
        <w:numPr>
          <w:ilvl w:val="0"/>
          <w:numId w:val="105"/>
        </w:numPr>
        <w:shd w:val="clear" w:color="auto" w:fill="auto"/>
        <w:tabs>
          <w:tab w:pos="723" w:val="left"/>
        </w:tabs>
        <w:bidi w:val="0"/>
        <w:spacing w:before="0" w:after="100" w:line="317" w:lineRule="exact"/>
        <w:ind w:left="0" w:right="0"/>
        <w:jc w:val="both"/>
      </w:pPr>
      <w:bookmarkStart w:id="1167" w:name="bookmark1167"/>
      <w:bookmarkEnd w:id="1167"/>
      <w:r>
        <w:rPr>
          <w:color w:val="000000"/>
          <w:spacing w:val="0"/>
          <w:w w:val="100"/>
          <w:position w:val="0"/>
        </w:rPr>
        <w:t>授予后立即可行权的以现金结算的股份支付，在授予日以本公司承担负债的公允价值计入相关成本或费用，相应增加 负债。并在结算前的每个资产负债表日和结算日对负债的公允价值重新计量，将其变动计入损益。</w:t>
      </w:r>
    </w:p>
    <w:p>
      <w:pPr>
        <w:pStyle w:val="Style18"/>
        <w:keepNext w:val="0"/>
        <w:keepLines w:val="0"/>
        <w:widowControl w:val="0"/>
        <w:numPr>
          <w:ilvl w:val="0"/>
          <w:numId w:val="105"/>
        </w:numPr>
        <w:shd w:val="clear" w:color="auto" w:fill="auto"/>
        <w:tabs>
          <w:tab w:pos="733" w:val="left"/>
        </w:tabs>
        <w:bidi w:val="0"/>
        <w:spacing w:before="0" w:after="100" w:line="312" w:lineRule="exact"/>
        <w:ind w:left="0" w:right="0"/>
        <w:jc w:val="both"/>
      </w:pPr>
      <w:bookmarkStart w:id="1168" w:name="bookmark1168"/>
      <w:bookmarkEnd w:id="1168"/>
      <w:r>
        <w:rPr>
          <w:color w:val="000000"/>
          <w:spacing w:val="0"/>
          <w:w w:val="100"/>
          <w:position w:val="0"/>
        </w:rPr>
        <w:t>完成等待期内的服务或达到规定业绩条件以后才可行权的以现金结算的股份支付，在等待期内的每个资产负债表日以 对可行权情况的最佳估计为基础，按本公司承担负债的公允价值金额，将当期取得的服务计入成本或费用和相应的负债。</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以权益结算的股份支付</w:t>
      </w:r>
    </w:p>
    <w:p>
      <w:pPr>
        <w:pStyle w:val="Style18"/>
        <w:keepNext w:val="0"/>
        <w:keepLines w:val="0"/>
        <w:widowControl w:val="0"/>
        <w:numPr>
          <w:ilvl w:val="0"/>
          <w:numId w:val="107"/>
        </w:numPr>
        <w:shd w:val="clear" w:color="auto" w:fill="auto"/>
        <w:tabs>
          <w:tab w:pos="728" w:val="left"/>
        </w:tabs>
        <w:bidi w:val="0"/>
        <w:spacing w:before="0" w:after="120" w:line="298" w:lineRule="exact"/>
        <w:ind w:left="0" w:right="0"/>
        <w:jc w:val="both"/>
      </w:pPr>
      <w:bookmarkStart w:id="1169" w:name="bookmark1169"/>
      <w:bookmarkEnd w:id="1169"/>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18"/>
        <w:keepNext w:val="0"/>
        <w:keepLines w:val="0"/>
        <w:widowControl w:val="0"/>
        <w:numPr>
          <w:ilvl w:val="0"/>
          <w:numId w:val="107"/>
        </w:numPr>
        <w:shd w:val="clear" w:color="auto" w:fill="auto"/>
        <w:tabs>
          <w:tab w:pos="733" w:val="left"/>
        </w:tabs>
        <w:bidi w:val="0"/>
        <w:spacing w:before="0" w:after="120" w:line="312" w:lineRule="exact"/>
        <w:ind w:left="0" w:right="0"/>
        <w:jc w:val="both"/>
      </w:pPr>
      <w:bookmarkStart w:id="1170" w:name="bookmark1170"/>
      <w:bookmarkEnd w:id="1170"/>
      <w:r>
        <w:rPr>
          <w:color w:val="000000"/>
          <w:spacing w:val="0"/>
          <w:w w:val="100"/>
          <w:position w:val="0"/>
        </w:rPr>
        <w:t>完成等待期内的服务或达到规定业绩条件以后才可行权换取职工服务的以权益结算的股份支付，在等待期内的每个资 产负债表日，以对可行权权益工具数量的最佳估计为基础，按权益工具授予日的公允价值，将当期取得的服务计入成本或费 用和资本公积。</w:t>
      </w:r>
    </w:p>
    <w:p>
      <w:pPr>
        <w:pStyle w:val="Style18"/>
        <w:keepNext w:val="0"/>
        <w:keepLines w:val="0"/>
        <w:widowControl w:val="0"/>
        <w:shd w:val="clear" w:color="auto" w:fill="auto"/>
        <w:tabs>
          <w:tab w:pos="830" w:val="left"/>
        </w:tabs>
        <w:bidi w:val="0"/>
        <w:spacing w:before="0" w:after="120" w:line="310" w:lineRule="exact"/>
        <w:ind w:left="0" w:right="0"/>
        <w:jc w:val="both"/>
      </w:pPr>
      <w:bookmarkStart w:id="1171" w:name="bookmark1171"/>
      <w:r>
        <w:rPr>
          <w:b/>
          <w:bCs/>
          <w:color w:val="000000"/>
          <w:spacing w:val="0"/>
          <w:w w:val="100"/>
          <w:position w:val="0"/>
        </w:rPr>
        <w:t>（</w:t>
      </w:r>
      <w:bookmarkEnd w:id="117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股份支付计划修改的会计处理</w:t>
      </w:r>
    </w:p>
    <w:p>
      <w:pPr>
        <w:pStyle w:val="Style18"/>
        <w:keepNext w:val="0"/>
        <w:keepLines w:val="0"/>
        <w:widowControl w:val="0"/>
        <w:shd w:val="clear" w:color="auto" w:fill="auto"/>
        <w:bidi w:val="0"/>
        <w:spacing w:before="0" w:after="120" w:line="304" w:lineRule="exact"/>
        <w:ind w:left="0" w:right="0"/>
        <w:jc w:val="both"/>
      </w:pPr>
      <w:r>
        <w:rPr>
          <w:color w:val="000000"/>
          <w:spacing w:val="0"/>
          <w:w w:val="100"/>
          <w:position w:val="0"/>
        </w:rPr>
        <w:t>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18"/>
        <w:keepNext w:val="0"/>
        <w:keepLines w:val="0"/>
        <w:widowControl w:val="0"/>
        <w:shd w:val="clear" w:color="auto" w:fill="auto"/>
        <w:tabs>
          <w:tab w:pos="830" w:val="left"/>
        </w:tabs>
        <w:bidi w:val="0"/>
        <w:spacing w:before="0" w:after="120" w:line="310" w:lineRule="exact"/>
        <w:ind w:left="0" w:right="0"/>
        <w:jc w:val="both"/>
      </w:pPr>
      <w:bookmarkStart w:id="1172" w:name="bookmark1172"/>
      <w:r>
        <w:rPr>
          <w:b/>
          <w:bCs/>
          <w:color w:val="000000"/>
          <w:spacing w:val="0"/>
          <w:w w:val="100"/>
          <w:position w:val="0"/>
        </w:rPr>
        <w:t>（</w:t>
      </w:r>
      <w:bookmarkEnd w:id="117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股份支付计划终止的会计处理</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如果在等待期内取消了所授予的权益工具或结算了所授予的权益工具（因未满足可行权条件而被取消的除外），本公司：</w:t>
      </w:r>
    </w:p>
    <w:p>
      <w:pPr>
        <w:pStyle w:val="Style18"/>
        <w:keepNext w:val="0"/>
        <w:keepLines w:val="0"/>
        <w:widowControl w:val="0"/>
        <w:numPr>
          <w:ilvl w:val="0"/>
          <w:numId w:val="109"/>
        </w:numPr>
        <w:shd w:val="clear" w:color="auto" w:fill="auto"/>
        <w:tabs>
          <w:tab w:pos="753" w:val="left"/>
        </w:tabs>
        <w:bidi w:val="0"/>
        <w:spacing w:before="0" w:after="120" w:line="310" w:lineRule="exact"/>
        <w:ind w:left="0" w:right="0"/>
        <w:jc w:val="both"/>
      </w:pPr>
      <w:bookmarkStart w:id="1173" w:name="bookmark1173"/>
      <w:bookmarkEnd w:id="1173"/>
      <w:r>
        <w:rPr>
          <w:color w:val="000000"/>
          <w:spacing w:val="0"/>
          <w:w w:val="100"/>
          <w:position w:val="0"/>
        </w:rPr>
        <w:t>将取消或结算作为加速可行权处理，立即确认原本应在剩余等待期内确认的金额；</w:t>
      </w:r>
    </w:p>
    <w:p>
      <w:pPr>
        <w:pStyle w:val="Style18"/>
        <w:keepNext w:val="0"/>
        <w:keepLines w:val="0"/>
        <w:widowControl w:val="0"/>
        <w:numPr>
          <w:ilvl w:val="0"/>
          <w:numId w:val="109"/>
        </w:numPr>
        <w:shd w:val="clear" w:color="auto" w:fill="auto"/>
        <w:tabs>
          <w:tab w:pos="728" w:val="left"/>
        </w:tabs>
        <w:bidi w:val="0"/>
        <w:spacing w:before="0" w:after="120" w:line="307" w:lineRule="exact"/>
        <w:ind w:left="0" w:right="0"/>
        <w:jc w:val="both"/>
      </w:pPr>
      <w:bookmarkStart w:id="1174" w:name="bookmark1174"/>
      <w:bookmarkEnd w:id="1174"/>
      <w:r>
        <w:rPr>
          <w:color w:val="000000"/>
          <w:spacing w:val="0"/>
          <w:w w:val="100"/>
          <w:position w:val="0"/>
        </w:rPr>
        <w:t>在取消或结算时支付给职工的所有款项均作为权益的回购处理，回购支付的金额高于该权益工具在回购日公允价值的 部分，计入当期费用。</w:t>
      </w:r>
    </w:p>
    <w:p>
      <w:pPr>
        <w:pStyle w:val="Style18"/>
        <w:keepNext w:val="0"/>
        <w:keepLines w:val="0"/>
        <w:widowControl w:val="0"/>
        <w:shd w:val="clear" w:color="auto" w:fill="auto"/>
        <w:bidi w:val="0"/>
        <w:spacing w:before="0" w:after="360" w:line="322" w:lineRule="exact"/>
        <w:ind w:left="0" w:right="0"/>
        <w:jc w:val="both"/>
      </w:pPr>
      <w:r>
        <w:rPr>
          <w:color w:val="000000"/>
          <w:spacing w:val="0"/>
          <w:w w:val="100"/>
          <w:position w:val="0"/>
        </w:rPr>
        <w:t>本公司如果回购其职工已可行权的权益工具，冲减企业的所有者权益；回购支付的款项高于该权益工具在回购日公允价 值的部分，计入当期损益。</w:t>
      </w:r>
    </w:p>
    <w:p>
      <w:pPr>
        <w:pStyle w:val="Style29"/>
        <w:keepNext/>
        <w:keepLines/>
        <w:widowControl w:val="0"/>
        <w:shd w:val="clear" w:color="auto" w:fill="auto"/>
        <w:tabs>
          <w:tab w:pos="597" w:val="left"/>
        </w:tabs>
        <w:bidi w:val="0"/>
        <w:spacing w:before="0" w:after="2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3</w:t>
      </w:r>
      <w:bookmarkEnd w:id="117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75"/>
      <w:bookmarkEnd w:id="1176"/>
      <w:bookmarkEnd w:id="1178"/>
    </w:p>
    <w:p>
      <w:pPr>
        <w:pStyle w:val="Style18"/>
        <w:keepNext w:val="0"/>
        <w:keepLines w:val="0"/>
        <w:widowControl w:val="0"/>
        <w:shd w:val="clear" w:color="auto" w:fill="auto"/>
        <w:tabs>
          <w:tab w:pos="830" w:val="left"/>
        </w:tabs>
        <w:bidi w:val="0"/>
        <w:spacing w:before="0" w:after="120" w:line="310" w:lineRule="exact"/>
        <w:ind w:left="0" w:right="0"/>
        <w:jc w:val="both"/>
      </w:pPr>
      <w:bookmarkStart w:id="1179" w:name="bookmark1179"/>
      <w:r>
        <w:rPr>
          <w:b/>
          <w:bCs/>
          <w:color w:val="000000"/>
          <w:spacing w:val="0"/>
          <w:w w:val="100"/>
          <w:position w:val="0"/>
        </w:rPr>
        <w:t>（</w:t>
      </w:r>
      <w:bookmarkEnd w:id="1179"/>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优先股、永续债等其他金融工具的分类依据</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本公司发行的优先股、永续债等其他金融工具划分为金融负债还是权益工具，根据相关合同或协议中具体内容，按实质 重于形式的原则进行判断。本公司发行的优先股、永续债等其他金融工具如果不包括交付现金或其他金融资产给其他方，或 在其他潜在不利条件下与其他方交换金融资产或金融负债的合同义务，则分类为权益工具。</w:t>
      </w:r>
    </w:p>
    <w:p>
      <w:pPr>
        <w:pStyle w:val="Style18"/>
        <w:keepNext w:val="0"/>
        <w:keepLines w:val="0"/>
        <w:widowControl w:val="0"/>
        <w:shd w:val="clear" w:color="auto" w:fill="auto"/>
        <w:tabs>
          <w:tab w:pos="830" w:val="left"/>
        </w:tabs>
        <w:bidi w:val="0"/>
        <w:spacing w:before="0" w:after="120" w:line="310" w:lineRule="exact"/>
        <w:ind w:left="0" w:right="0"/>
        <w:jc w:val="both"/>
      </w:pPr>
      <w:bookmarkStart w:id="1180" w:name="bookmark1180"/>
      <w:r>
        <w:rPr>
          <w:b/>
          <w:bCs/>
          <w:color w:val="000000"/>
          <w:spacing w:val="0"/>
          <w:w w:val="100"/>
          <w:position w:val="0"/>
        </w:rPr>
        <w:t>（</w:t>
      </w:r>
      <w:bookmarkEnd w:id="118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优先股、永续债等其他金融工具的会计处理方法</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本公司以所发行金融工具的分类为基础，确定该工具利息支出或股利分配等的会计处理。对于归类为权益工具的金融工 具，无论其名称中是否包含</w:t>
      </w:r>
      <w:r>
        <w:rPr>
          <w:rFonts w:ascii="Times New Roman" w:eastAsia="Times New Roman" w:hAnsi="Times New Roman" w:cs="Times New Roman"/>
          <w:color w:val="000000"/>
          <w:spacing w:val="0"/>
          <w:w w:val="100"/>
          <w:position w:val="0"/>
        </w:rPr>
        <w:t>“</w:t>
      </w:r>
      <w:r>
        <w:rPr>
          <w:color w:val="000000"/>
          <w:spacing w:val="0"/>
          <w:w w:val="100"/>
          <w:position w:val="0"/>
        </w:rPr>
        <w:t>债</w:t>
      </w:r>
      <w:r>
        <w:rPr>
          <w:rFonts w:ascii="Times New Roman" w:eastAsia="Times New Roman" w:hAnsi="Times New Roman" w:cs="Times New Roman"/>
          <w:color w:val="000000"/>
          <w:spacing w:val="0"/>
          <w:w w:val="100"/>
          <w:position w:val="0"/>
        </w:rPr>
        <w:t>”</w:t>
      </w:r>
      <w:r>
        <w:rPr>
          <w:color w:val="000000"/>
          <w:spacing w:val="0"/>
          <w:w w:val="100"/>
          <w:position w:val="0"/>
        </w:rPr>
        <w:t>，其利息支出或股利分配都作为本公司（发行企业）的利润分配，其回购、注销等作为权益 的变动处理；对于归类为金融负债的金融工具，无论其名称中是否包含</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，其利息支出或股利分配原则上按照借款费用进 行处理，其回购或赎回产生的利得或损失等计入当期损益。</w:t>
      </w:r>
    </w:p>
    <w:p>
      <w:pPr>
        <w:pStyle w:val="Style29"/>
        <w:keepNext/>
        <w:keepLines/>
        <w:widowControl w:val="0"/>
        <w:shd w:val="clear" w:color="auto" w:fill="auto"/>
        <w:tabs>
          <w:tab w:pos="597" w:val="left"/>
        </w:tabs>
        <w:bidi w:val="0"/>
        <w:spacing w:before="0" w:after="28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81"/>
      <w:bookmarkEnd w:id="1182"/>
      <w:bookmarkEnd w:id="1184"/>
    </w:p>
    <w:p>
      <w:pPr>
        <w:pStyle w:val="Style18"/>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18"/>
        <w:keepNext w:val="0"/>
        <w:keepLines w:val="0"/>
        <w:widowControl w:val="0"/>
        <w:shd w:val="clear" w:color="auto" w:fill="auto"/>
        <w:bidi w:val="0"/>
        <w:spacing w:before="0" w:after="120" w:line="310"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）一般原则</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本公司在履行了合同中的履约义务，即在客户取得相关商品控制权时确认收入。取得相关商品控制权，是指能够主导该 商品的使用并从中获得几乎全部的经济利益。</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numPr>
          <w:ilvl w:val="0"/>
          <w:numId w:val="111"/>
        </w:numPr>
        <w:shd w:val="clear" w:color="auto" w:fill="auto"/>
        <w:tabs>
          <w:tab w:pos="723" w:val="left"/>
        </w:tabs>
        <w:bidi w:val="0"/>
        <w:spacing w:before="0" w:after="100" w:line="312" w:lineRule="exact"/>
        <w:ind w:left="0" w:right="0"/>
        <w:jc w:val="both"/>
      </w:pPr>
      <w:bookmarkStart w:id="1185" w:name="bookmark1185"/>
      <w:bookmarkEnd w:id="1185"/>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111"/>
        </w:numPr>
        <w:shd w:val="clear" w:color="auto" w:fill="auto"/>
        <w:tabs>
          <w:tab w:pos="723" w:val="left"/>
        </w:tabs>
        <w:bidi w:val="0"/>
        <w:spacing w:before="0" w:after="100" w:line="312" w:lineRule="exact"/>
        <w:ind w:left="0" w:right="0"/>
        <w:jc w:val="both"/>
      </w:pPr>
      <w:bookmarkStart w:id="1186" w:name="bookmark1186"/>
      <w:bookmarkEnd w:id="1186"/>
      <w:r>
        <w:rPr>
          <w:color w:val="000000"/>
          <w:spacing w:val="0"/>
          <w:w w:val="100"/>
          <w:position w:val="0"/>
        </w:rPr>
        <w:t>客户能够控制本公司履约过程中在建的商品；</w:t>
      </w:r>
    </w:p>
    <w:p>
      <w:pPr>
        <w:pStyle w:val="Style18"/>
        <w:keepNext w:val="0"/>
        <w:keepLines w:val="0"/>
        <w:widowControl w:val="0"/>
        <w:numPr>
          <w:ilvl w:val="0"/>
          <w:numId w:val="111"/>
        </w:numPr>
        <w:shd w:val="clear" w:color="auto" w:fill="auto"/>
        <w:tabs>
          <w:tab w:pos="698" w:val="left"/>
        </w:tabs>
        <w:bidi w:val="0"/>
        <w:spacing w:before="0" w:after="100" w:line="312" w:lineRule="exact"/>
        <w:ind w:left="0" w:right="0"/>
        <w:jc w:val="both"/>
      </w:pPr>
      <w:bookmarkStart w:id="1187" w:name="bookmark1187"/>
      <w:bookmarkEnd w:id="1187"/>
      <w:r>
        <w:rPr>
          <w:color w:val="000000"/>
          <w:spacing w:val="0"/>
          <w:w w:val="100"/>
          <w:position w:val="0"/>
        </w:rPr>
        <w:t>本公司履约过程中所产出的商品具有不可替代用途，且本公司在整个合同期间内有权就累计至今已完成的履约部分收 取款项。</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本公司按照产出法确定提供服务的履约进度。当履约进度不能合理确定时，本公司已经发生的成本预计能够得到补偿的，按 照已经发生的成本金额确认收入，直到履约进度能够合理确定为止。</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18"/>
        <w:keepNext w:val="0"/>
        <w:keepLines w:val="0"/>
        <w:widowControl w:val="0"/>
        <w:numPr>
          <w:ilvl w:val="0"/>
          <w:numId w:val="113"/>
        </w:numPr>
        <w:shd w:val="clear" w:color="auto" w:fill="auto"/>
        <w:tabs>
          <w:tab w:pos="723" w:val="left"/>
        </w:tabs>
        <w:bidi w:val="0"/>
        <w:spacing w:before="0" w:after="100" w:line="312" w:lineRule="exact"/>
        <w:ind w:left="0" w:right="0"/>
        <w:jc w:val="left"/>
      </w:pPr>
      <w:bookmarkStart w:id="1188" w:name="bookmark1188"/>
      <w:bookmarkEnd w:id="1188"/>
      <w:r>
        <w:rPr>
          <w:color w:val="000000"/>
          <w:spacing w:val="0"/>
          <w:w w:val="100"/>
          <w:position w:val="0"/>
        </w:rPr>
        <w:t>本公司就该商品或服务享有现时收款权利，即客户就该商品负有现时付款义务；</w:t>
      </w:r>
    </w:p>
    <w:p>
      <w:pPr>
        <w:pStyle w:val="Style18"/>
        <w:keepNext w:val="0"/>
        <w:keepLines w:val="0"/>
        <w:widowControl w:val="0"/>
        <w:numPr>
          <w:ilvl w:val="0"/>
          <w:numId w:val="113"/>
        </w:numPr>
        <w:shd w:val="clear" w:color="auto" w:fill="auto"/>
        <w:tabs>
          <w:tab w:pos="723" w:val="left"/>
        </w:tabs>
        <w:bidi w:val="0"/>
        <w:spacing w:before="0" w:after="100" w:line="312" w:lineRule="exact"/>
        <w:ind w:left="0" w:right="0"/>
        <w:jc w:val="left"/>
      </w:pPr>
      <w:bookmarkStart w:id="1189" w:name="bookmark1189"/>
      <w:bookmarkEnd w:id="1189"/>
      <w:r>
        <w:rPr>
          <w:color w:val="000000"/>
          <w:spacing w:val="0"/>
          <w:w w:val="100"/>
          <w:position w:val="0"/>
        </w:rPr>
        <w:t>本公司已将该商品的法定所有权转移给客户，即客户已拥有了该商品的法定所有权；</w:t>
      </w:r>
    </w:p>
    <w:p>
      <w:pPr>
        <w:pStyle w:val="Style18"/>
        <w:keepNext w:val="0"/>
        <w:keepLines w:val="0"/>
        <w:widowControl w:val="0"/>
        <w:numPr>
          <w:ilvl w:val="0"/>
          <w:numId w:val="113"/>
        </w:numPr>
        <w:shd w:val="clear" w:color="auto" w:fill="auto"/>
        <w:tabs>
          <w:tab w:pos="723" w:val="left"/>
        </w:tabs>
        <w:bidi w:val="0"/>
        <w:spacing w:before="0" w:after="100" w:line="312" w:lineRule="exact"/>
        <w:ind w:left="0" w:right="0"/>
        <w:jc w:val="left"/>
      </w:pPr>
      <w:bookmarkStart w:id="1190" w:name="bookmark1190"/>
      <w:bookmarkEnd w:id="1190"/>
      <w:r>
        <w:rPr>
          <w:color w:val="000000"/>
          <w:spacing w:val="0"/>
          <w:w w:val="100"/>
          <w:position w:val="0"/>
        </w:rPr>
        <w:t>本公司已将该商品的实物转移给客户，即客户已实物占有该商品；</w:t>
      </w:r>
    </w:p>
    <w:p>
      <w:pPr>
        <w:pStyle w:val="Style18"/>
        <w:keepNext w:val="0"/>
        <w:keepLines w:val="0"/>
        <w:widowControl w:val="0"/>
        <w:numPr>
          <w:ilvl w:val="0"/>
          <w:numId w:val="113"/>
        </w:numPr>
        <w:shd w:val="clear" w:color="auto" w:fill="auto"/>
        <w:tabs>
          <w:tab w:pos="723" w:val="left"/>
        </w:tabs>
        <w:bidi w:val="0"/>
        <w:spacing w:before="0" w:after="100" w:line="312" w:lineRule="exact"/>
        <w:ind w:left="0" w:right="0"/>
        <w:jc w:val="left"/>
      </w:pPr>
      <w:bookmarkStart w:id="1191" w:name="bookmark1191"/>
      <w:bookmarkEnd w:id="1191"/>
      <w:r>
        <w:rPr>
          <w:color w:val="000000"/>
          <w:spacing w:val="0"/>
          <w:w w:val="100"/>
          <w:position w:val="0"/>
        </w:rPr>
        <w:t>本公司已将该商品所有权上的主要风险和报酬转移给客户，即客户已取得该商品所有权上的主要风险和报酬；</w:t>
      </w:r>
    </w:p>
    <w:p>
      <w:pPr>
        <w:pStyle w:val="Style18"/>
        <w:keepNext w:val="0"/>
        <w:keepLines w:val="0"/>
        <w:widowControl w:val="0"/>
        <w:numPr>
          <w:ilvl w:val="0"/>
          <w:numId w:val="113"/>
        </w:numPr>
        <w:shd w:val="clear" w:color="auto" w:fill="auto"/>
        <w:tabs>
          <w:tab w:pos="723" w:val="left"/>
        </w:tabs>
        <w:bidi w:val="0"/>
        <w:spacing w:before="0" w:after="100" w:line="312" w:lineRule="exact"/>
        <w:ind w:left="0" w:right="0"/>
        <w:jc w:val="both"/>
      </w:pPr>
      <w:bookmarkStart w:id="1192" w:name="bookmark1192"/>
      <w:bookmarkEnd w:id="1192"/>
      <w:r>
        <w:rPr>
          <w:color w:val="000000"/>
          <w:spacing w:val="0"/>
          <w:w w:val="100"/>
          <w:position w:val="0"/>
        </w:rPr>
        <w:t>客户已接受该商品。</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质保义务</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根据合同约定、法律规定等，本公司为所销售的商品、所建造的工程等提供质量保证。对于为向客户保证所销售的商品 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号——或有事项》进行会计处理。对于为向客户保证所 销售的商品符合既定标准之外提供了一项单独服务的服务类质量保证，本公司将其作为一项单项履约义务，按照提供商品和 服务类质量保证的单独售价的相对比例，将部分交易价格分摊至服务类质量保证，并在客户取得服务控制权时确认收入。在 评估质量保证是否在向客户保证所销售商品符合既定标准之外提供了一项单独服务时，本公司考虑该质量保证是否为法定要 求、质量保证期限以及本公司承诺履行任务的性质等因素。</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主要责任人与代理人</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人还是代理人。本公司在向客户转让商品或服务前能够控制该商品或服务的，本公司是主要责任人，按照已收或应收对价总 额确认收入。否则，本公司为代理人，按照预期有权收取的佣金或手续费的金额确认收入，该金额应当按照已收或应收对价 总额扣除应支付给其他相关方的价款后的净额，或者按照既定的佣金金额或比例等确定。</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客户未行使的合同权利</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本公司向客户预收销售商品或服务款项的，首先将该款项确认为负债，待履行了相关履约义务时再转为收入。当本公司 预收款项无需退回，且客户可能会放弃其全部或部分合同权利时，本公司预期将有权获得与客户所放弃的合同权利相关的金 </w:t>
      </w:r>
      <w:r>
        <w:rPr>
          <w:color w:val="000000"/>
          <w:spacing w:val="0"/>
          <w:w w:val="100"/>
          <w:position w:val="0"/>
        </w:rPr>
        <w:t>额的，按照客户行使合同权利的模式按比例将上述金额确认为收入；否则，本公司只有在客户要求履行剩余履约义务的可能 性极低时，才将上述负债的相关余额转为收入。</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合同变更</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本公司与客户之间的建造合同发生合同变更时：</w:t>
      </w:r>
    </w:p>
    <w:p>
      <w:pPr>
        <w:pStyle w:val="Style18"/>
        <w:keepNext w:val="0"/>
        <w:keepLines w:val="0"/>
        <w:widowControl w:val="0"/>
        <w:numPr>
          <w:ilvl w:val="0"/>
          <w:numId w:val="115"/>
        </w:numPr>
        <w:shd w:val="clear" w:color="auto" w:fill="auto"/>
        <w:tabs>
          <w:tab w:pos="728" w:val="left"/>
        </w:tabs>
        <w:bidi w:val="0"/>
        <w:spacing w:before="0" w:after="120" w:line="312" w:lineRule="exact"/>
        <w:ind w:left="0" w:right="0"/>
        <w:jc w:val="both"/>
      </w:pPr>
      <w:bookmarkStart w:id="1193" w:name="bookmark1193"/>
      <w:bookmarkEnd w:id="1193"/>
      <w:r>
        <w:rPr>
          <w:color w:val="000000"/>
          <w:spacing w:val="0"/>
          <w:w w:val="100"/>
          <w:position w:val="0"/>
        </w:rPr>
        <w:t>如果合同变更增加了可明确区分的建造服务及合同价款，且新增合同价款反映了新增建造服务单独售价的，本公司将 该合同变更作为一份单独的合同进行会计处理；</w:t>
      </w:r>
    </w:p>
    <w:p>
      <w:pPr>
        <w:pStyle w:val="Style18"/>
        <w:keepNext w:val="0"/>
        <w:keepLines w:val="0"/>
        <w:widowControl w:val="0"/>
        <w:numPr>
          <w:ilvl w:val="0"/>
          <w:numId w:val="115"/>
        </w:numPr>
        <w:shd w:val="clear" w:color="auto" w:fill="auto"/>
        <w:tabs>
          <w:tab w:pos="723" w:val="left"/>
        </w:tabs>
        <w:bidi w:val="0"/>
        <w:spacing w:before="0" w:after="120" w:line="317" w:lineRule="exact"/>
        <w:ind w:left="0" w:right="0"/>
        <w:jc w:val="both"/>
      </w:pPr>
      <w:bookmarkStart w:id="1194" w:name="bookmark1194"/>
      <w:bookmarkEnd w:id="1194"/>
      <w:r>
        <w:rPr>
          <w:color w:val="000000"/>
          <w:spacing w:val="0"/>
          <w:w w:val="100"/>
          <w:position w:val="0"/>
        </w:rPr>
        <w:t>如果合同变更不属于上述第①种情形，且在合同变更日已转让的建造服务与未转让的建造服务之间可明确区分的，本 公司将其视为原合同终止，同时，将原合同未履约部分与合同变更部分合并为新合同进行会计处理；</w:t>
      </w:r>
    </w:p>
    <w:p>
      <w:pPr>
        <w:pStyle w:val="Style18"/>
        <w:keepNext w:val="0"/>
        <w:keepLines w:val="0"/>
        <w:widowControl w:val="0"/>
        <w:numPr>
          <w:ilvl w:val="0"/>
          <w:numId w:val="115"/>
        </w:numPr>
        <w:shd w:val="clear" w:color="auto" w:fill="auto"/>
        <w:tabs>
          <w:tab w:pos="723" w:val="left"/>
        </w:tabs>
        <w:bidi w:val="0"/>
        <w:spacing w:before="0" w:after="120" w:line="312" w:lineRule="exact"/>
        <w:ind w:left="0" w:right="0"/>
        <w:jc w:val="both"/>
      </w:pPr>
      <w:bookmarkStart w:id="1195" w:name="bookmark1195"/>
      <w:bookmarkEnd w:id="1195"/>
      <w:r>
        <w:rPr>
          <w:color w:val="000000"/>
          <w:spacing w:val="0"/>
          <w:w w:val="100"/>
          <w:position w:val="0"/>
        </w:rPr>
        <w:t>如果合同变更不属于上述第①种情形，且在合同变更日已转让的建造服务与未转让的建造服务之间不可明确区分，本 公司将该合同变更部分作为原合同的组成部分进行会计处理，由此产生的对已确认收入的影响，在合同变更日调整当期收入。</w:t>
      </w:r>
    </w:p>
    <w:p>
      <w:pPr>
        <w:pStyle w:val="Style18"/>
        <w:keepNext w:val="0"/>
        <w:keepLines w:val="0"/>
        <w:widowControl w:val="0"/>
        <w:shd w:val="clear" w:color="auto" w:fill="auto"/>
        <w:bidi w:val="0"/>
        <w:spacing w:before="0" w:after="12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）具体方法</w:t>
      </w:r>
    </w:p>
    <w:p>
      <w:pPr>
        <w:pStyle w:val="Style18"/>
        <w:keepNext w:val="0"/>
        <w:keepLines w:val="0"/>
        <w:widowControl w:val="0"/>
        <w:numPr>
          <w:ilvl w:val="0"/>
          <w:numId w:val="117"/>
        </w:numPr>
        <w:shd w:val="clear" w:color="auto" w:fill="auto"/>
        <w:tabs>
          <w:tab w:pos="753" w:val="left"/>
        </w:tabs>
        <w:bidi w:val="0"/>
        <w:spacing w:before="0" w:after="120" w:line="312" w:lineRule="exact"/>
        <w:ind w:left="0" w:right="0"/>
        <w:jc w:val="both"/>
      </w:pPr>
      <w:bookmarkStart w:id="1196" w:name="bookmark1196"/>
      <w:bookmarkEnd w:id="1196"/>
      <w:r>
        <w:rPr>
          <w:color w:val="000000"/>
          <w:spacing w:val="0"/>
          <w:w w:val="100"/>
          <w:position w:val="0"/>
        </w:rPr>
        <w:t>本公司通信网络管维收入确认的具体方法如下：</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在合同约定的服务期限内，公司依据业经客户确认的代维费用结算单或按合同约定分期确认提供通信网络维护服务的收 入金额；通信网络建设服务与通信网络优化服务合同中明确约定按阶段对完成工作量出具工作量确认单，公司依据业经客户 或第三方监理确认的工作量确认单金额确认收入，在客户或第三方监理进行项目决算审计并出具审定单后，公司在取得审定 单当月调整对应项目收入，对于不符合上述条件的服务收入，于客户最终确认或验收后确认收入。</w:t>
      </w:r>
    </w:p>
    <w:p>
      <w:pPr>
        <w:pStyle w:val="Style18"/>
        <w:keepNext w:val="0"/>
        <w:keepLines w:val="0"/>
        <w:widowControl w:val="0"/>
        <w:numPr>
          <w:ilvl w:val="0"/>
          <w:numId w:val="117"/>
        </w:numPr>
        <w:shd w:val="clear" w:color="auto" w:fill="auto"/>
        <w:tabs>
          <w:tab w:pos="753" w:val="left"/>
        </w:tabs>
        <w:bidi w:val="0"/>
        <w:spacing w:before="0" w:after="120" w:line="312" w:lineRule="exact"/>
        <w:ind w:left="0" w:right="0"/>
        <w:jc w:val="both"/>
      </w:pPr>
      <w:bookmarkStart w:id="1197" w:name="bookmark1197"/>
      <w:bookmarkEnd w:id="1197"/>
      <w:r>
        <w:rPr>
          <w:color w:val="000000"/>
          <w:spacing w:val="0"/>
          <w:w w:val="100"/>
          <w:position w:val="0"/>
        </w:rPr>
        <w:t>本公司信息网络管维、能源网络管维收入确认的具体方法如下：</w:t>
      </w:r>
    </w:p>
    <w:p>
      <w:pPr>
        <w:pStyle w:val="Style18"/>
        <w:keepNext w:val="0"/>
        <w:keepLines w:val="0"/>
        <w:widowControl w:val="0"/>
        <w:shd w:val="clear" w:color="auto" w:fill="auto"/>
        <w:bidi w:val="0"/>
        <w:spacing w:before="0" w:after="800" w:line="307" w:lineRule="exact"/>
        <w:ind w:left="0" w:right="0"/>
        <w:jc w:val="both"/>
      </w:pPr>
      <w:r>
        <w:rPr>
          <w:color w:val="000000"/>
          <w:spacing w:val="0"/>
          <w:w w:val="100"/>
          <w:position w:val="0"/>
        </w:rPr>
        <w:t>对含设备销售的系统解决方案，公司于设备安装调试完成，并经客户验收后确认收入；不含设备销售的系统解决方案， 公司在已根据合同约定提供了相应服务并经客户验收后确认收入。</w:t>
      </w:r>
    </w:p>
    <w:p>
      <w:pPr>
        <w:pStyle w:val="Style29"/>
        <w:keepNext/>
        <w:keepLines/>
        <w:widowControl w:val="0"/>
        <w:shd w:val="clear" w:color="auto" w:fill="auto"/>
        <w:bidi w:val="0"/>
        <w:spacing w:before="0" w:after="2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w:t>
      </w:r>
      <w:bookmarkEnd w:id="1200"/>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98"/>
      <w:bookmarkEnd w:id="1199"/>
      <w:bookmarkEnd w:id="1201"/>
    </w:p>
    <w:p>
      <w:pPr>
        <w:pStyle w:val="Style18"/>
        <w:keepNext w:val="0"/>
        <w:keepLines w:val="0"/>
        <w:widowControl w:val="0"/>
        <w:shd w:val="clear" w:color="auto" w:fill="auto"/>
        <w:tabs>
          <w:tab w:pos="830" w:val="left"/>
        </w:tabs>
        <w:bidi w:val="0"/>
        <w:spacing w:before="0" w:after="120" w:line="309" w:lineRule="exact"/>
        <w:ind w:left="0" w:right="0"/>
        <w:jc w:val="left"/>
      </w:pPr>
      <w:bookmarkStart w:id="1202" w:name="bookmark1202"/>
      <w:r>
        <w:rPr>
          <w:b/>
          <w:bCs/>
          <w:color w:val="000000"/>
          <w:spacing w:val="0"/>
          <w:w w:val="100"/>
          <w:position w:val="0"/>
        </w:rPr>
        <w:t>（</w:t>
      </w:r>
      <w:bookmarkEnd w:id="120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政府补助的确认</w:t>
      </w:r>
    </w:p>
    <w:p>
      <w:pPr>
        <w:pStyle w:val="Style18"/>
        <w:keepNext w:val="0"/>
        <w:keepLines w:val="0"/>
        <w:widowControl w:val="0"/>
        <w:shd w:val="clear" w:color="auto" w:fill="auto"/>
        <w:bidi w:val="0"/>
        <w:spacing w:before="0" w:after="120" w:line="309" w:lineRule="exact"/>
        <w:ind w:left="0" w:right="0"/>
        <w:jc w:val="left"/>
      </w:pPr>
      <w:r>
        <w:rPr>
          <w:color w:val="000000"/>
          <w:spacing w:val="0"/>
          <w:w w:val="100"/>
          <w:position w:val="0"/>
        </w:rPr>
        <w:t>政府补助同时满足下列条件的，才能予以确认：</w:t>
      </w:r>
    </w:p>
    <w:p>
      <w:pPr>
        <w:pStyle w:val="Style18"/>
        <w:keepNext w:val="0"/>
        <w:keepLines w:val="0"/>
        <w:widowControl w:val="0"/>
        <w:numPr>
          <w:ilvl w:val="0"/>
          <w:numId w:val="119"/>
        </w:numPr>
        <w:shd w:val="clear" w:color="auto" w:fill="auto"/>
        <w:tabs>
          <w:tab w:pos="753" w:val="left"/>
        </w:tabs>
        <w:bidi w:val="0"/>
        <w:spacing w:before="0" w:after="120" w:line="309" w:lineRule="exact"/>
        <w:ind w:left="0" w:right="0"/>
        <w:jc w:val="left"/>
      </w:pPr>
      <w:bookmarkStart w:id="1203" w:name="bookmark1203"/>
      <w:bookmarkEnd w:id="1203"/>
      <w:r>
        <w:rPr>
          <w:color w:val="000000"/>
          <w:spacing w:val="0"/>
          <w:w w:val="100"/>
          <w:position w:val="0"/>
        </w:rPr>
        <w:t>本公司能够满足政府补助所附条件；</w:t>
      </w:r>
    </w:p>
    <w:p>
      <w:pPr>
        <w:pStyle w:val="Style18"/>
        <w:keepNext w:val="0"/>
        <w:keepLines w:val="0"/>
        <w:widowControl w:val="0"/>
        <w:numPr>
          <w:ilvl w:val="0"/>
          <w:numId w:val="119"/>
        </w:numPr>
        <w:shd w:val="clear" w:color="auto" w:fill="auto"/>
        <w:tabs>
          <w:tab w:pos="753" w:val="left"/>
        </w:tabs>
        <w:bidi w:val="0"/>
        <w:spacing w:before="0" w:after="120" w:line="309" w:lineRule="exact"/>
        <w:ind w:left="0" w:right="0"/>
        <w:jc w:val="left"/>
      </w:pPr>
      <w:bookmarkStart w:id="1204" w:name="bookmark1204"/>
      <w:bookmarkEnd w:id="1204"/>
      <w:r>
        <w:rPr>
          <w:color w:val="000000"/>
          <w:spacing w:val="0"/>
          <w:w w:val="100"/>
          <w:position w:val="0"/>
        </w:rPr>
        <w:t>本公司能够收到政府补助。</w:t>
      </w:r>
    </w:p>
    <w:p>
      <w:pPr>
        <w:pStyle w:val="Style18"/>
        <w:keepNext w:val="0"/>
        <w:keepLines w:val="0"/>
        <w:widowControl w:val="0"/>
        <w:shd w:val="clear" w:color="auto" w:fill="auto"/>
        <w:tabs>
          <w:tab w:pos="830" w:val="left"/>
        </w:tabs>
        <w:bidi w:val="0"/>
        <w:spacing w:before="0" w:after="120" w:line="309" w:lineRule="exact"/>
        <w:ind w:left="0" w:right="0"/>
        <w:jc w:val="left"/>
      </w:pPr>
      <w:bookmarkStart w:id="1205" w:name="bookmark1205"/>
      <w:r>
        <w:rPr>
          <w:b/>
          <w:bCs/>
          <w:color w:val="000000"/>
          <w:spacing w:val="0"/>
          <w:w w:val="100"/>
          <w:position w:val="0"/>
        </w:rPr>
        <w:t>（</w:t>
      </w:r>
      <w:bookmarkEnd w:id="120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政府补助的计量</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政府补助为货币性资产的，按照收到或应收的金额计量。政府补助为非货币性资产的，按照公允价值计量；公允价值不 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18"/>
        <w:keepNext w:val="0"/>
        <w:keepLines w:val="0"/>
        <w:widowControl w:val="0"/>
        <w:shd w:val="clear" w:color="auto" w:fill="auto"/>
        <w:tabs>
          <w:tab w:pos="830" w:val="left"/>
        </w:tabs>
        <w:bidi w:val="0"/>
        <w:spacing w:before="0" w:after="120" w:line="309" w:lineRule="exact"/>
        <w:ind w:left="0" w:right="0"/>
        <w:jc w:val="both"/>
      </w:pPr>
      <w:bookmarkStart w:id="1206" w:name="bookmark1206"/>
      <w:r>
        <w:rPr>
          <w:b/>
          <w:bCs/>
          <w:color w:val="000000"/>
          <w:spacing w:val="0"/>
          <w:w w:val="100"/>
          <w:position w:val="0"/>
        </w:rPr>
        <w:t>（</w:t>
      </w:r>
      <w:bookmarkEnd w:id="120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政府补助的会计处理</w:t>
      </w:r>
    </w:p>
    <w:p>
      <w:pPr>
        <w:pStyle w:val="Style18"/>
        <w:keepNext w:val="0"/>
        <w:keepLines w:val="0"/>
        <w:widowControl w:val="0"/>
        <w:shd w:val="clear" w:color="auto" w:fill="auto"/>
        <w:bidi w:val="0"/>
        <w:spacing w:before="0" w:after="120" w:line="309" w:lineRule="exact"/>
        <w:ind w:left="0" w:right="0"/>
        <w:jc w:val="both"/>
      </w:pPr>
      <w:r>
        <w:rPr>
          <w:color w:val="000000"/>
          <w:spacing w:val="0"/>
          <w:w w:val="100"/>
          <w:position w:val="0"/>
        </w:rPr>
        <w:t>①与资产相关的政府补助</w:t>
      </w:r>
    </w:p>
    <w:p>
      <w:pPr>
        <w:pStyle w:val="Style18"/>
        <w:keepNext w:val="0"/>
        <w:keepLines w:val="0"/>
        <w:widowControl w:val="0"/>
        <w:shd w:val="clear" w:color="auto" w:fill="auto"/>
        <w:bidi w:val="0"/>
        <w:spacing w:before="0" w:after="200" w:line="309" w:lineRule="exact"/>
        <w:ind w:left="0" w:right="0"/>
        <w:jc w:val="both"/>
      </w:pPr>
      <w:r>
        <w:rPr>
          <w:color w:val="000000"/>
          <w:spacing w:val="0"/>
          <w:w w:val="100"/>
          <w:position w:val="0"/>
        </w:rPr>
        <w:t>公司取得的、用于购建或以其他方式形成长期资产的政府补助划分为与资产相关的政府补助。与资产相关的政府补助确 认为递延收益，在相关资产使用期限内按照合理、系统的方法分期计入损益。按照名义金额计量的政府补助，直接计入当期 损益。相关资产在使用寿命结束前被出售、转让、报废或发生毁损的，将尚未分配的相关递延收益余额转入资产处置当期的 损益。</w:t>
      </w:r>
    </w:p>
    <w:p>
      <w:pPr>
        <w:pStyle w:val="Style18"/>
        <w:keepNext w:val="0"/>
        <w:keepLines w:val="0"/>
        <w:widowControl w:val="0"/>
        <w:shd w:val="clear" w:color="auto" w:fill="auto"/>
        <w:bidi w:val="0"/>
        <w:spacing w:before="0" w:after="120" w:line="240" w:lineRule="auto"/>
        <w:ind w:left="0" w:right="0"/>
        <w:jc w:val="both"/>
      </w:pPr>
      <w:r>
        <w:rPr>
          <w:color w:val="000000"/>
          <w:spacing w:val="0"/>
          <w:w w:val="100"/>
          <w:position w:val="0"/>
        </w:rPr>
        <w:t>②与收益相关的政府补助</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除与资产相关的政府补助之外的政府补助划分为与收益相关的政府补助。与收益相关的政府补助，分情况按照以下规定 进行会计处理：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用于补偿本公司以后期间的相关成本费用或损失的，确认为递延收益，并在确认相关成本费用或损失的期间，计入当期 损益；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用于补偿本公司已发生的相关成本费用或损失的，直接计入当期损益。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18"/>
        <w:keepNext w:val="0"/>
        <w:keepLines w:val="0"/>
        <w:widowControl w:val="0"/>
        <w:shd w:val="clear" w:color="auto" w:fill="auto"/>
        <w:bidi w:val="0"/>
        <w:spacing w:before="0" w:after="100" w:line="326" w:lineRule="exact"/>
        <w:ind w:left="0" w:right="0"/>
        <w:jc w:val="both"/>
      </w:pPr>
      <w:r>
        <w:rPr>
          <w:color w:val="000000"/>
          <w:spacing w:val="0"/>
          <w:w w:val="100"/>
          <w:position w:val="0"/>
        </w:rPr>
        <w:t>与本公司日常活动相关的政府补助，按照经济业务实质，计入其他收益。与本公司日常活动无关的政府补助，计入营业 外收支。</w:t>
      </w:r>
    </w:p>
    <w:p>
      <w:pPr>
        <w:pStyle w:val="Style18"/>
        <w:keepNext w:val="0"/>
        <w:keepLines w:val="0"/>
        <w:widowControl w:val="0"/>
        <w:numPr>
          <w:ilvl w:val="0"/>
          <w:numId w:val="119"/>
        </w:numPr>
        <w:shd w:val="clear" w:color="auto" w:fill="auto"/>
        <w:tabs>
          <w:tab w:pos="753" w:val="left"/>
        </w:tabs>
        <w:bidi w:val="0"/>
        <w:spacing w:before="0" w:after="100" w:line="312" w:lineRule="exact"/>
        <w:ind w:left="0" w:right="0"/>
        <w:jc w:val="both"/>
      </w:pPr>
      <w:bookmarkStart w:id="1207" w:name="bookmark1207"/>
      <w:bookmarkEnd w:id="1207"/>
      <w:r>
        <w:rPr>
          <w:color w:val="000000"/>
          <w:spacing w:val="0"/>
          <w:w w:val="100"/>
          <w:position w:val="0"/>
        </w:rPr>
        <w:t>政策性优惠贷款贴息</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财政将贴息资金拨付给贷款银行，由贷款银行以政策性优惠利率向本公司提供贷款的，以实际收到的借款金额作为借款 的入账价值，按照借款本金和该政策性优惠利率计算相关借款费用。</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财政将贴息资金直接拨付给本公司，本公司将对应的贴息冲减相关借款费用。</w:t>
      </w:r>
    </w:p>
    <w:p>
      <w:pPr>
        <w:pStyle w:val="Style18"/>
        <w:keepNext w:val="0"/>
        <w:keepLines w:val="0"/>
        <w:widowControl w:val="0"/>
        <w:numPr>
          <w:ilvl w:val="0"/>
          <w:numId w:val="119"/>
        </w:numPr>
        <w:shd w:val="clear" w:color="auto" w:fill="auto"/>
        <w:tabs>
          <w:tab w:pos="753" w:val="left"/>
        </w:tabs>
        <w:bidi w:val="0"/>
        <w:spacing w:before="0" w:after="100" w:line="312" w:lineRule="exact"/>
        <w:ind w:left="0" w:right="0"/>
        <w:jc w:val="both"/>
      </w:pPr>
      <w:bookmarkStart w:id="1208" w:name="bookmark1208"/>
      <w:bookmarkEnd w:id="1208"/>
      <w:r>
        <w:rPr>
          <w:color w:val="000000"/>
          <w:spacing w:val="0"/>
          <w:w w:val="100"/>
          <w:position w:val="0"/>
        </w:rPr>
        <w:t>政府补助退回</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29"/>
        <w:keepNext/>
        <w:keepLines/>
        <w:widowControl w:val="0"/>
        <w:shd w:val="clear" w:color="auto" w:fill="auto"/>
        <w:bidi w:val="0"/>
        <w:spacing w:before="0" w:after="26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4</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9"/>
      <w:bookmarkEnd w:id="1210"/>
      <w:bookmarkEnd w:id="1212"/>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本公司通常根据资产与负债在资产负债表日的账面价值与计税基础之间的暂时性差异，采用资产负债表债务法将应纳税 暂时性差异或可抵扣暂时性差异对所得税的影响额确认和计量为递延所得税负债或递延所得税资产。本公司不对递延所得税 资产和递延所得税负债进行折现。</w:t>
      </w:r>
    </w:p>
    <w:p>
      <w:pPr>
        <w:pStyle w:val="Style18"/>
        <w:keepNext w:val="0"/>
        <w:keepLines w:val="0"/>
        <w:widowControl w:val="0"/>
        <w:shd w:val="clear" w:color="auto" w:fill="auto"/>
        <w:bidi w:val="0"/>
        <w:spacing w:before="0" w:after="10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）递延所得税资产的确认</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对于可抵扣暂时性差异、能够结转以后年度的可抵扣亏损和税款抵减，其对所得税的影响额按预计转回期间的所得税税 率计算，并将该影响额确认为递延所得税资产，但是以本公司很可能取得用来抵扣可抵扣暂时性差异、可抵扣亏损和税款抵 减的未来应纳税所得额为限。</w:t>
      </w:r>
    </w:p>
    <w:p>
      <w:pPr>
        <w:pStyle w:val="Style18"/>
        <w:keepNext w:val="0"/>
        <w:keepLines w:val="0"/>
        <w:widowControl w:val="0"/>
        <w:shd w:val="clear" w:color="auto" w:fill="auto"/>
        <w:bidi w:val="0"/>
        <w:spacing w:before="0" w:after="200" w:line="293" w:lineRule="exact"/>
        <w:ind w:left="0" w:right="0"/>
        <w:jc w:val="both"/>
      </w:pPr>
      <w:r>
        <w:rPr>
          <w:color w:val="000000"/>
          <w:spacing w:val="0"/>
          <w:w w:val="100"/>
          <w:position w:val="0"/>
        </w:rPr>
        <w:t>同时具有下列特征的交易或事项中因资产或负债的初始确认所产生的可抵扣暂时性差异对所得税的影响额不确认为递 延所得税资产：</w:t>
      </w:r>
    </w:p>
    <w:p>
      <w:pPr>
        <w:pStyle w:val="Style18"/>
        <w:keepNext w:val="0"/>
        <w:keepLines w:val="0"/>
        <w:widowControl w:val="0"/>
        <w:numPr>
          <w:ilvl w:val="0"/>
          <w:numId w:val="121"/>
        </w:numPr>
        <w:shd w:val="clear" w:color="auto" w:fill="auto"/>
        <w:tabs>
          <w:tab w:pos="743" w:val="left"/>
        </w:tabs>
        <w:bidi w:val="0"/>
        <w:spacing w:before="0" w:after="100"/>
        <w:ind w:left="0" w:right="0"/>
        <w:jc w:val="both"/>
      </w:pPr>
      <w:bookmarkStart w:id="1213" w:name="bookmark1213"/>
      <w:bookmarkEnd w:id="1213"/>
      <w:r>
        <w:rPr>
          <w:color w:val="000000"/>
          <w:spacing w:val="0"/>
          <w:w w:val="100"/>
          <w:position w:val="0"/>
        </w:rPr>
        <w:t>该项交易不是企业合并；</w:t>
      </w:r>
    </w:p>
    <w:p>
      <w:pPr>
        <w:pStyle w:val="Style18"/>
        <w:keepNext w:val="0"/>
        <w:keepLines w:val="0"/>
        <w:widowControl w:val="0"/>
        <w:numPr>
          <w:ilvl w:val="0"/>
          <w:numId w:val="121"/>
        </w:numPr>
        <w:shd w:val="clear" w:color="auto" w:fill="auto"/>
        <w:tabs>
          <w:tab w:pos="743" w:val="left"/>
        </w:tabs>
        <w:bidi w:val="0"/>
        <w:spacing w:before="0" w:after="0"/>
        <w:ind w:left="0" w:right="0"/>
        <w:jc w:val="both"/>
      </w:pPr>
      <w:bookmarkStart w:id="1214" w:name="bookmark1214"/>
      <w:bookmarkEnd w:id="1214"/>
      <w:r>
        <w:rPr>
          <w:color w:val="000000"/>
          <w:spacing w:val="0"/>
          <w:w w:val="100"/>
          <w:position w:val="0"/>
        </w:rPr>
        <w:t>交易发生时既不影响会计利润也不影响应纳税所得额（或可抵扣亏损）。</w:t>
      </w:r>
    </w:p>
    <w:p>
      <w:pPr>
        <w:pStyle w:val="Style18"/>
        <w:keepNext w:val="0"/>
        <w:keepLines w:val="0"/>
        <w:widowControl w:val="0"/>
        <w:shd w:val="clear" w:color="auto" w:fill="auto"/>
        <w:bidi w:val="0"/>
        <w:spacing w:before="0" w:after="200" w:line="317" w:lineRule="exact"/>
        <w:ind w:left="0" w:right="0"/>
        <w:jc w:val="both"/>
      </w:pPr>
      <w:r>
        <w:rPr>
          <w:color w:val="000000"/>
          <w:spacing w:val="0"/>
          <w:w w:val="100"/>
          <w:position w:val="0"/>
        </w:rPr>
        <w:t>本公司对与子公司、联营公司及合营企业投资相关的可抵扣暂时性差异，同时满足下列两项条件的，其对所得税的影响 额（才能）确认为递延所得税资产：</w:t>
      </w:r>
    </w:p>
    <w:p>
      <w:pPr>
        <w:pStyle w:val="Style18"/>
        <w:keepNext w:val="0"/>
        <w:keepLines w:val="0"/>
        <w:widowControl w:val="0"/>
        <w:numPr>
          <w:ilvl w:val="0"/>
          <w:numId w:val="123"/>
        </w:numPr>
        <w:shd w:val="clear" w:color="auto" w:fill="auto"/>
        <w:tabs>
          <w:tab w:pos="743" w:val="left"/>
        </w:tabs>
        <w:bidi w:val="0"/>
        <w:spacing w:before="0" w:after="100"/>
        <w:ind w:left="0" w:right="0"/>
        <w:jc w:val="both"/>
      </w:pPr>
      <w:bookmarkStart w:id="1215" w:name="bookmark1215"/>
      <w:bookmarkEnd w:id="1215"/>
      <w:r>
        <w:rPr>
          <w:color w:val="000000"/>
          <w:spacing w:val="0"/>
          <w:w w:val="100"/>
          <w:position w:val="0"/>
        </w:rPr>
        <w:t>暂时性差异在可预见的未来很可能转回；</w:t>
      </w:r>
    </w:p>
    <w:p>
      <w:pPr>
        <w:pStyle w:val="Style18"/>
        <w:keepNext w:val="0"/>
        <w:keepLines w:val="0"/>
        <w:widowControl w:val="0"/>
        <w:numPr>
          <w:ilvl w:val="0"/>
          <w:numId w:val="123"/>
        </w:numPr>
        <w:shd w:val="clear" w:color="auto" w:fill="auto"/>
        <w:tabs>
          <w:tab w:pos="743" w:val="left"/>
        </w:tabs>
        <w:bidi w:val="0"/>
        <w:spacing w:before="0" w:after="0"/>
        <w:ind w:left="0" w:right="0"/>
        <w:jc w:val="both"/>
      </w:pPr>
      <w:bookmarkStart w:id="1216" w:name="bookmark1216"/>
      <w:bookmarkEnd w:id="1216"/>
      <w:r>
        <w:rPr>
          <w:color w:val="000000"/>
          <w:spacing w:val="0"/>
          <w:w w:val="100"/>
          <w:position w:val="0"/>
        </w:rPr>
        <w:t>未来很可能获得用来抵扣可抵扣暂时性差异的应纳税所得额；</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资产负债表日，有确凿证据表明未来期间很可能获得足够的应纳税所得额用来抵扣可抵扣暂时性差异的，确认以前期间 未确认的递延所得税资产。</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在资产负债表日，本公司对递延所得税资产的账面价值进行复核。如果未来期间很可能无法获得足够的应纳税所得额用 </w:t>
      </w:r>
      <w:r>
        <w:rPr>
          <w:color w:val="000000"/>
          <w:spacing w:val="0"/>
          <w:w w:val="100"/>
          <w:position w:val="0"/>
        </w:rPr>
        <w:t>以抵扣递延所得税资产的利益，减记递延所得税资产的账面价值。在很可能获得足够的应纳税所得额时，减记的金额予以转 回。</w:t>
      </w:r>
    </w:p>
    <w:p>
      <w:pPr>
        <w:pStyle w:val="Style18"/>
        <w:keepNext w:val="0"/>
        <w:keepLines w:val="0"/>
        <w:widowControl w:val="0"/>
        <w:shd w:val="clear" w:color="auto" w:fill="auto"/>
        <w:tabs>
          <w:tab w:pos="829" w:val="left"/>
        </w:tabs>
        <w:bidi w:val="0"/>
        <w:spacing w:before="0" w:after="100" w:line="314" w:lineRule="exact"/>
        <w:ind w:left="0" w:right="0"/>
        <w:jc w:val="both"/>
      </w:pPr>
      <w:bookmarkStart w:id="1217" w:name="bookmark1217"/>
      <w:r>
        <w:rPr>
          <w:b/>
          <w:bCs/>
          <w:color w:val="000000"/>
          <w:spacing w:val="0"/>
          <w:w w:val="100"/>
          <w:position w:val="0"/>
        </w:rPr>
        <w:t>（</w:t>
      </w:r>
      <w:bookmarkEnd w:id="1217"/>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递延所得税负债的确认</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本公司所有应纳税暂时性差异均按预计转回期间的所得税税率计量对所得税的影响，并将该影响额确认为递延所得税负 债，但下列情况的除外：</w:t>
      </w:r>
    </w:p>
    <w:p>
      <w:pPr>
        <w:pStyle w:val="Style18"/>
        <w:keepNext w:val="0"/>
        <w:keepLines w:val="0"/>
        <w:widowControl w:val="0"/>
        <w:numPr>
          <w:ilvl w:val="0"/>
          <w:numId w:val="125"/>
        </w:numPr>
        <w:shd w:val="clear" w:color="auto" w:fill="auto"/>
        <w:tabs>
          <w:tab w:pos="733" w:val="left"/>
        </w:tabs>
        <w:bidi w:val="0"/>
        <w:spacing w:before="0" w:after="200" w:line="314" w:lineRule="exact"/>
        <w:ind w:left="0" w:right="0" w:firstLine="360"/>
        <w:jc w:val="left"/>
      </w:pPr>
      <w:bookmarkStart w:id="1218" w:name="bookmark1218"/>
      <w:bookmarkEnd w:id="1218"/>
      <w:r>
        <w:rPr>
          <w:color w:val="000000"/>
          <w:spacing w:val="0"/>
          <w:w w:val="100"/>
          <w:position w:val="0"/>
        </w:rPr>
        <w:t>因下列交易或事项中产生的应纳税暂时性差异对所得税的影响不确认为递延所得税负债：</w:t>
      </w:r>
    </w:p>
    <w:p>
      <w:pPr>
        <w:pStyle w:val="Style18"/>
        <w:keepNext w:val="0"/>
        <w:keepLines w:val="0"/>
        <w:widowControl w:val="0"/>
        <w:numPr>
          <w:ilvl w:val="0"/>
          <w:numId w:val="127"/>
        </w:numPr>
        <w:shd w:val="clear" w:color="auto" w:fill="auto"/>
        <w:tabs>
          <w:tab w:pos="723" w:val="left"/>
        </w:tabs>
        <w:bidi w:val="0"/>
        <w:spacing w:before="0" w:after="0"/>
        <w:ind w:left="0" w:right="0" w:firstLine="360"/>
        <w:jc w:val="left"/>
      </w:pPr>
      <w:bookmarkStart w:id="1219" w:name="bookmark1219"/>
      <w:bookmarkEnd w:id="1219"/>
      <w:r>
        <w:rPr>
          <w:color w:val="000000"/>
          <w:spacing w:val="0"/>
          <w:w w:val="100"/>
          <w:position w:val="0"/>
        </w:rPr>
        <w:t>商誉的初始确认；</w:t>
      </w:r>
    </w:p>
    <w:p>
      <w:pPr>
        <w:pStyle w:val="Style18"/>
        <w:keepNext w:val="0"/>
        <w:keepLines w:val="0"/>
        <w:widowControl w:val="0"/>
        <w:numPr>
          <w:ilvl w:val="0"/>
          <w:numId w:val="127"/>
        </w:numPr>
        <w:shd w:val="clear" w:color="auto" w:fill="auto"/>
        <w:tabs>
          <w:tab w:pos="713" w:val="left"/>
        </w:tabs>
        <w:bidi w:val="0"/>
        <w:spacing w:before="0" w:after="100" w:line="317" w:lineRule="exact"/>
        <w:ind w:left="0" w:right="0"/>
        <w:jc w:val="both"/>
      </w:pPr>
      <w:bookmarkStart w:id="1220" w:name="bookmark1220"/>
      <w:bookmarkEnd w:id="1220"/>
      <w:r>
        <w:rPr>
          <w:color w:val="000000"/>
          <w:spacing w:val="0"/>
          <w:w w:val="100"/>
          <w:position w:val="0"/>
        </w:rPr>
        <w:t>具有以下特征的交易中产生的资产或负债的初始确认：该交易不是企业合并，并且交易发生时既不影响会计利润也不 影响应纳税所得额或可抵扣亏损。</w:t>
      </w:r>
    </w:p>
    <w:p>
      <w:pPr>
        <w:pStyle w:val="Style18"/>
        <w:keepNext w:val="0"/>
        <w:keepLines w:val="0"/>
        <w:widowControl w:val="0"/>
        <w:numPr>
          <w:ilvl w:val="0"/>
          <w:numId w:val="125"/>
        </w:numPr>
        <w:shd w:val="clear" w:color="auto" w:fill="auto"/>
        <w:tabs>
          <w:tab w:pos="723" w:val="left"/>
        </w:tabs>
        <w:bidi w:val="0"/>
        <w:spacing w:before="0" w:after="200" w:line="317" w:lineRule="exact"/>
        <w:ind w:left="0" w:right="0"/>
        <w:jc w:val="both"/>
      </w:pPr>
      <w:bookmarkStart w:id="1221" w:name="bookmark1221"/>
      <w:bookmarkEnd w:id="1221"/>
      <w:r>
        <w:rPr>
          <w:color w:val="000000"/>
          <w:spacing w:val="0"/>
          <w:w w:val="100"/>
          <w:position w:val="0"/>
        </w:rPr>
        <w:t>本公司对与子公司、合营企业及联营企业投资相关的应纳税暂时性差异，其对所得税的影响额一般确认为递延所得税 负债，但同时满足以下两项条件的除外：</w:t>
      </w:r>
    </w:p>
    <w:p>
      <w:pPr>
        <w:pStyle w:val="Style18"/>
        <w:keepNext w:val="0"/>
        <w:keepLines w:val="0"/>
        <w:widowControl w:val="0"/>
        <w:numPr>
          <w:ilvl w:val="0"/>
          <w:numId w:val="129"/>
        </w:numPr>
        <w:shd w:val="clear" w:color="auto" w:fill="auto"/>
        <w:tabs>
          <w:tab w:pos="743" w:val="left"/>
        </w:tabs>
        <w:bidi w:val="0"/>
        <w:spacing w:before="0" w:after="100"/>
        <w:ind w:left="0" w:right="0"/>
        <w:jc w:val="both"/>
      </w:pPr>
      <w:bookmarkStart w:id="1222" w:name="bookmark1222"/>
      <w:bookmarkEnd w:id="1222"/>
      <w:r>
        <w:rPr>
          <w:color w:val="000000"/>
          <w:spacing w:val="0"/>
          <w:w w:val="100"/>
          <w:position w:val="0"/>
        </w:rPr>
        <w:t>本公司能够控制暂时性差异转回的时间；</w:t>
      </w:r>
    </w:p>
    <w:p>
      <w:pPr>
        <w:pStyle w:val="Style18"/>
        <w:keepNext w:val="0"/>
        <w:keepLines w:val="0"/>
        <w:widowControl w:val="0"/>
        <w:numPr>
          <w:ilvl w:val="0"/>
          <w:numId w:val="129"/>
        </w:numPr>
        <w:shd w:val="clear" w:color="auto" w:fill="auto"/>
        <w:tabs>
          <w:tab w:pos="743" w:val="left"/>
        </w:tabs>
        <w:bidi w:val="0"/>
        <w:spacing w:before="0" w:after="0"/>
        <w:ind w:left="0" w:right="0"/>
        <w:jc w:val="both"/>
      </w:pPr>
      <w:bookmarkStart w:id="1223" w:name="bookmark1223"/>
      <w:bookmarkEnd w:id="1223"/>
      <w:r>
        <w:rPr>
          <w:color w:val="000000"/>
          <w:spacing w:val="0"/>
          <w:w w:val="100"/>
          <w:position w:val="0"/>
        </w:rPr>
        <w:t>该暂时性差异在可预见的未来很可能不会转回。</w:t>
      </w:r>
    </w:p>
    <w:p>
      <w:pPr>
        <w:pStyle w:val="Style18"/>
        <w:keepNext w:val="0"/>
        <w:keepLines w:val="0"/>
        <w:widowControl w:val="0"/>
        <w:shd w:val="clear" w:color="auto" w:fill="auto"/>
        <w:tabs>
          <w:tab w:pos="829" w:val="left"/>
        </w:tabs>
        <w:bidi w:val="0"/>
        <w:spacing w:before="0" w:after="100" w:line="314" w:lineRule="exact"/>
        <w:ind w:left="0" w:right="0"/>
        <w:jc w:val="both"/>
      </w:pPr>
      <w:bookmarkStart w:id="1224" w:name="bookmark1224"/>
      <w:r>
        <w:rPr>
          <w:b/>
          <w:bCs/>
          <w:color w:val="000000"/>
          <w:spacing w:val="0"/>
          <w:w w:val="100"/>
          <w:position w:val="0"/>
        </w:rPr>
        <w:t>（</w:t>
      </w:r>
      <w:bookmarkEnd w:id="122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特定交易或事项所涉及的递延所得税负债或资产的确认</w:t>
      </w:r>
    </w:p>
    <w:p>
      <w:pPr>
        <w:pStyle w:val="Style18"/>
        <w:keepNext w:val="0"/>
        <w:keepLines w:val="0"/>
        <w:widowControl w:val="0"/>
        <w:numPr>
          <w:ilvl w:val="0"/>
          <w:numId w:val="131"/>
        </w:numPr>
        <w:shd w:val="clear" w:color="auto" w:fill="auto"/>
        <w:tabs>
          <w:tab w:pos="753" w:val="left"/>
        </w:tabs>
        <w:bidi w:val="0"/>
        <w:spacing w:before="0" w:after="100" w:line="314" w:lineRule="exact"/>
        <w:ind w:left="0" w:right="0"/>
        <w:jc w:val="both"/>
      </w:pPr>
      <w:bookmarkStart w:id="1225" w:name="bookmark1225"/>
      <w:bookmarkEnd w:id="1225"/>
      <w:r>
        <w:rPr>
          <w:color w:val="000000"/>
          <w:spacing w:val="0"/>
          <w:w w:val="100"/>
          <w:position w:val="0"/>
        </w:rPr>
        <w:t>与企业合并相关的递延所得税负债或资产</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非同一控制下企业合并产生的应纳税暂时性差异或可抵扣暂时性差异，在确认递延所得税负债或递延所得税资产的同时， 相关的递延所得税费用（或收益），通常调整企业合并中所确认的商誉。</w:t>
      </w:r>
    </w:p>
    <w:p>
      <w:pPr>
        <w:pStyle w:val="Style18"/>
        <w:keepNext w:val="0"/>
        <w:keepLines w:val="0"/>
        <w:widowControl w:val="0"/>
        <w:numPr>
          <w:ilvl w:val="0"/>
          <w:numId w:val="131"/>
        </w:numPr>
        <w:shd w:val="clear" w:color="auto" w:fill="auto"/>
        <w:tabs>
          <w:tab w:pos="753" w:val="left"/>
        </w:tabs>
        <w:bidi w:val="0"/>
        <w:spacing w:before="0" w:after="100" w:line="314" w:lineRule="exact"/>
        <w:ind w:left="0" w:right="0"/>
        <w:jc w:val="both"/>
      </w:pPr>
      <w:bookmarkStart w:id="1226" w:name="bookmark1226"/>
      <w:bookmarkEnd w:id="1226"/>
      <w:r>
        <w:rPr>
          <w:color w:val="000000"/>
          <w:spacing w:val="0"/>
          <w:w w:val="100"/>
          <w:position w:val="0"/>
        </w:rPr>
        <w:t>直接计入所有者权益的项目</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与直接计入所有者权益的交易或者事项相关的当期所得税和递延所得税，计入所有者权益。暂时性差异对所得税的影响 计入所有者权益的交易或事项包括：其他债权投资公允价值变动等形成的其他综合收益、会计政策变更采用追溯调整法或对 前期（重要）会计差错更正差异追溯重述法调整期初留存收益、同时包含负债成份及权益成份的混合金融工具在初始确认时 计入所有者权益等。</w:t>
      </w:r>
    </w:p>
    <w:p>
      <w:pPr>
        <w:pStyle w:val="Style18"/>
        <w:keepNext w:val="0"/>
        <w:keepLines w:val="0"/>
        <w:widowControl w:val="0"/>
        <w:numPr>
          <w:ilvl w:val="0"/>
          <w:numId w:val="131"/>
        </w:numPr>
        <w:shd w:val="clear" w:color="auto" w:fill="auto"/>
        <w:tabs>
          <w:tab w:pos="753" w:val="left"/>
        </w:tabs>
        <w:bidi w:val="0"/>
        <w:spacing w:before="0" w:after="200" w:line="314" w:lineRule="exact"/>
        <w:ind w:left="0" w:right="0"/>
        <w:jc w:val="both"/>
      </w:pPr>
      <w:bookmarkStart w:id="1227" w:name="bookmark1227"/>
      <w:bookmarkEnd w:id="1227"/>
      <w:r>
        <w:rPr>
          <w:color w:val="000000"/>
          <w:spacing w:val="0"/>
          <w:w w:val="100"/>
          <w:position w:val="0"/>
        </w:rPr>
        <w:t>可弥补亏损和税款抵减</w:t>
      </w:r>
    </w:p>
    <w:p>
      <w:pPr>
        <w:pStyle w:val="Style18"/>
        <w:keepNext w:val="0"/>
        <w:keepLines w:val="0"/>
        <w:widowControl w:val="0"/>
        <w:numPr>
          <w:ilvl w:val="0"/>
          <w:numId w:val="133"/>
        </w:numPr>
        <w:shd w:val="clear" w:color="auto" w:fill="auto"/>
        <w:tabs>
          <w:tab w:pos="743" w:val="left"/>
        </w:tabs>
        <w:bidi w:val="0"/>
        <w:spacing w:before="0" w:after="0"/>
        <w:ind w:left="0" w:right="0"/>
        <w:jc w:val="both"/>
      </w:pPr>
      <w:bookmarkStart w:id="1228" w:name="bookmark1228"/>
      <w:bookmarkEnd w:id="1228"/>
      <w:r>
        <w:rPr>
          <w:color w:val="000000"/>
          <w:spacing w:val="0"/>
          <w:w w:val="100"/>
          <w:position w:val="0"/>
        </w:rPr>
        <w:t>本公司自身经营产生的可弥补亏损以及税款抵减</w:t>
      </w:r>
    </w:p>
    <w:p>
      <w:pPr>
        <w:pStyle w:val="Style18"/>
        <w:keepNext w:val="0"/>
        <w:keepLines w:val="0"/>
        <w:widowControl w:val="0"/>
        <w:shd w:val="clear" w:color="auto" w:fill="auto"/>
        <w:bidi w:val="0"/>
        <w:spacing w:before="0" w:after="200" w:line="312" w:lineRule="exact"/>
        <w:ind w:left="0" w:right="0"/>
        <w:jc w:val="both"/>
      </w:pPr>
      <w:r>
        <w:rPr>
          <w:color w:val="000000"/>
          <w:spacing w:val="0"/>
          <w:w w:val="100"/>
          <w:position w:val="0"/>
        </w:rPr>
        <w:t>可抵扣亏损是指按照税法规定计算确定的准予用以后年度的应纳税所得额弥补的亏损。对于按照税法规定可以结转以后 年度的未弥补亏损（可抵扣亏损）和税款抵减，视同可抵扣暂时性差异处理。在预计可利用可弥补亏损或税款抵减的未来期 间内很可能取得足够的应纳税所得额时，以很可能取得的应纳税所得额为限，确认相应的递延所得税资产，同时减少当期利 润表中的所得税费用。</w:t>
      </w:r>
    </w:p>
    <w:p>
      <w:pPr>
        <w:pStyle w:val="Style18"/>
        <w:keepNext w:val="0"/>
        <w:keepLines w:val="0"/>
        <w:widowControl w:val="0"/>
        <w:numPr>
          <w:ilvl w:val="0"/>
          <w:numId w:val="133"/>
        </w:numPr>
        <w:shd w:val="clear" w:color="auto" w:fill="auto"/>
        <w:tabs>
          <w:tab w:pos="743" w:val="left"/>
        </w:tabs>
        <w:bidi w:val="0"/>
        <w:spacing w:before="0" w:after="0"/>
        <w:ind w:left="0" w:right="0"/>
        <w:jc w:val="both"/>
      </w:pPr>
      <w:bookmarkStart w:id="1229" w:name="bookmark1229"/>
      <w:bookmarkEnd w:id="1229"/>
      <w:r>
        <w:rPr>
          <w:color w:val="000000"/>
          <w:spacing w:val="0"/>
          <w:w w:val="100"/>
          <w:position w:val="0"/>
        </w:rPr>
        <w:t>因企业合并而形成的可弥补的被合并企业的未弥补亏损</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18"/>
        <w:keepNext w:val="0"/>
        <w:keepLines w:val="0"/>
        <w:widowControl w:val="0"/>
        <w:numPr>
          <w:ilvl w:val="0"/>
          <w:numId w:val="131"/>
        </w:numPr>
        <w:shd w:val="clear" w:color="auto" w:fill="auto"/>
        <w:tabs>
          <w:tab w:pos="753" w:val="left"/>
        </w:tabs>
        <w:bidi w:val="0"/>
        <w:spacing w:before="0" w:after="100" w:line="314" w:lineRule="exact"/>
        <w:ind w:left="0" w:right="0"/>
        <w:jc w:val="both"/>
      </w:pPr>
      <w:bookmarkStart w:id="1230" w:name="bookmark1230"/>
      <w:bookmarkEnd w:id="1230"/>
      <w:r>
        <w:rPr>
          <w:color w:val="000000"/>
          <w:spacing w:val="0"/>
          <w:w w:val="100"/>
          <w:position w:val="0"/>
        </w:rPr>
        <w:t>合并抵销形成的暂时性差异</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本公司在编制合并财务报表时，因抵销未实现内部销售损益导致合并资产负债表中资产、负债的账面价值与其在所属纳 税主体的计税基础之间产生暂时性差异的，在合并资产负债表中确认递延所得税资产或递延所得税负债，同时调整合并利润 表中的所得税费用，但与直接计入所有者权益的交易或事项及企业合并相关的递延所得税除外。</w:t>
      </w:r>
    </w:p>
    <w:p>
      <w:pPr>
        <w:pStyle w:val="Style18"/>
        <w:keepNext w:val="0"/>
        <w:keepLines w:val="0"/>
        <w:widowControl w:val="0"/>
        <w:numPr>
          <w:ilvl w:val="0"/>
          <w:numId w:val="131"/>
        </w:numPr>
        <w:shd w:val="clear" w:color="auto" w:fill="auto"/>
        <w:bidi w:val="0"/>
        <w:spacing w:before="0" w:after="120" w:line="310" w:lineRule="exact"/>
        <w:ind w:left="0" w:right="0"/>
        <w:jc w:val="left"/>
      </w:pPr>
      <w:bookmarkStart w:id="1231" w:name="bookmark1231"/>
      <w:bookmarkEnd w:id="1231"/>
      <w:r>
        <w:rPr>
          <w:color w:val="000000"/>
          <w:spacing w:val="0"/>
          <w:w w:val="100"/>
          <w:position w:val="0"/>
        </w:rPr>
        <w:t>以权益结算的股份支付</w:t>
      </w:r>
    </w:p>
    <w:p>
      <w:pPr>
        <w:pStyle w:val="Style18"/>
        <w:keepNext w:val="0"/>
        <w:keepLines w:val="0"/>
        <w:widowControl w:val="0"/>
        <w:shd w:val="clear" w:color="auto" w:fill="auto"/>
        <w:bidi w:val="0"/>
        <w:spacing w:before="0" w:after="800" w:line="310" w:lineRule="exact"/>
        <w:ind w:left="0" w:right="0"/>
        <w:jc w:val="both"/>
      </w:pPr>
      <w:r>
        <w:rPr>
          <w:color w:val="000000"/>
          <w:spacing w:val="0"/>
          <w:w w:val="100"/>
          <w:position w:val="0"/>
        </w:rPr>
        <w:t>如果税法规定与股份支付相关的支出允许税前扣除，在按照会计准则规定确认成本费用的期间内，本公司根据会计期末 取得信息估计可税前扣除的金额计算确定其计税基础及由此产生的暂时性差异，符合确认条件的情况下确认相关的递延所得 税。其中预计未来期间可税前扣除的金额超过按照会计准则规定确认的与股份支付相关的成本费用，超过部分的所得税影响 应直接计入所有者权益。</w:t>
      </w:r>
    </w:p>
    <w:p>
      <w:pPr>
        <w:pStyle w:val="Style29"/>
        <w:keepNext/>
        <w:keepLines/>
        <w:widowControl w:val="0"/>
        <w:shd w:val="clear" w:color="auto" w:fill="auto"/>
        <w:bidi w:val="0"/>
        <w:spacing w:before="0" w:after="34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4</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232"/>
      <w:bookmarkEnd w:id="1233"/>
      <w:bookmarkEnd w:id="1235"/>
    </w:p>
    <w:p>
      <w:pPr>
        <w:pStyle w:val="Style40"/>
        <w:keepNext/>
        <w:keepLines/>
        <w:widowControl w:val="0"/>
        <w:shd w:val="clear" w:color="auto" w:fill="auto"/>
        <w:bidi w:val="0"/>
        <w:spacing w:before="0" w:after="70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236"/>
      <w:bookmarkEnd w:id="1237"/>
      <w:bookmarkEnd w:id="1239"/>
    </w:p>
    <w:p>
      <w:pPr>
        <w:pStyle w:val="Style18"/>
        <w:keepNext w:val="0"/>
        <w:keepLines w:val="0"/>
        <w:widowControl w:val="0"/>
        <w:shd w:val="clear" w:color="auto" w:fill="auto"/>
        <w:bidi w:val="0"/>
        <w:spacing w:before="0" w:after="120" w:line="310" w:lineRule="exact"/>
        <w:ind w:left="0" w:right="0"/>
        <w:jc w:val="left"/>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18"/>
        <w:keepNext w:val="0"/>
        <w:keepLines w:val="0"/>
        <w:widowControl w:val="0"/>
        <w:shd w:val="clear" w:color="auto" w:fill="auto"/>
        <w:tabs>
          <w:tab w:pos="830" w:val="left"/>
        </w:tabs>
        <w:bidi w:val="0"/>
        <w:spacing w:before="0" w:after="120" w:line="310" w:lineRule="exact"/>
        <w:ind w:left="0" w:right="0"/>
        <w:jc w:val="left"/>
      </w:pPr>
      <w:bookmarkStart w:id="1240" w:name="bookmark1240"/>
      <w:r>
        <w:rPr>
          <w:b/>
          <w:bCs/>
          <w:color w:val="000000"/>
          <w:spacing w:val="0"/>
          <w:w w:val="100"/>
          <w:position w:val="0"/>
        </w:rPr>
        <w:t>（</w:t>
      </w:r>
      <w:bookmarkEnd w:id="124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租赁的识别</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资产使用的权利以换取对价，则该合同为租赁或者包含租赁。为确定合同是否让渡了在一定期间内控制已识别资产使用的权 利，本公司评估合同中的客户是否有权获得在使用期间内因使用已识别资产所产生的几乎全部经济利益，并有权在该使用期 间主导已识别资产的使用。</w:t>
      </w:r>
    </w:p>
    <w:p>
      <w:pPr>
        <w:pStyle w:val="Style18"/>
        <w:keepNext w:val="0"/>
        <w:keepLines w:val="0"/>
        <w:widowControl w:val="0"/>
        <w:shd w:val="clear" w:color="auto" w:fill="auto"/>
        <w:tabs>
          <w:tab w:pos="830" w:val="left"/>
        </w:tabs>
        <w:bidi w:val="0"/>
        <w:spacing w:before="0" w:after="120" w:line="310" w:lineRule="exact"/>
        <w:ind w:left="0" w:right="0"/>
        <w:jc w:val="both"/>
      </w:pPr>
      <w:bookmarkStart w:id="1241" w:name="bookmark1241"/>
      <w:r>
        <w:rPr>
          <w:b/>
          <w:bCs/>
          <w:color w:val="000000"/>
          <w:spacing w:val="0"/>
          <w:w w:val="100"/>
          <w:position w:val="0"/>
        </w:rPr>
        <w:t>（</w:t>
      </w:r>
      <w:bookmarkEnd w:id="124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单独租赁的识别</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合同中同时包含多项单独租赁的，本公司将合同予以分拆，并分别各项单独租赁进行会计处理。同时符合下列条件的， 使用已识别资产的权利构成合同中的一项单独租赁:①承租人可从单独使用该资产或将其与易于获得的其他资源一起使用中 获利；②该资产与合同中的其他资产不存在高度依赖或高度关联关系。</w:t>
      </w:r>
    </w:p>
    <w:p>
      <w:pPr>
        <w:pStyle w:val="Style18"/>
        <w:keepNext w:val="0"/>
        <w:keepLines w:val="0"/>
        <w:widowControl w:val="0"/>
        <w:shd w:val="clear" w:color="auto" w:fill="auto"/>
        <w:tabs>
          <w:tab w:pos="830" w:val="left"/>
        </w:tabs>
        <w:bidi w:val="0"/>
        <w:spacing w:before="0" w:after="120" w:line="310" w:lineRule="exact"/>
        <w:ind w:left="0" w:right="0"/>
        <w:jc w:val="both"/>
      </w:pPr>
      <w:bookmarkStart w:id="1242" w:name="bookmark1242"/>
      <w:r>
        <w:rPr>
          <w:b/>
          <w:bCs/>
          <w:color w:val="000000"/>
          <w:spacing w:val="0"/>
          <w:w w:val="100"/>
          <w:position w:val="0"/>
        </w:rPr>
        <w:t>（</w:t>
      </w:r>
      <w:bookmarkEnd w:id="124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本公司作为承租人的会计处理方法</w:t>
      </w:r>
    </w:p>
    <w:p>
      <w:pPr>
        <w:pStyle w:val="Style18"/>
        <w:keepNext w:val="0"/>
        <w:keepLines w:val="0"/>
        <w:widowControl w:val="0"/>
        <w:shd w:val="clear" w:color="auto" w:fill="auto"/>
        <w:bidi w:val="0"/>
        <w:spacing w:before="0" w:after="120" w:line="317" w:lineRule="exact"/>
        <w:ind w:left="0" w:right="0"/>
        <w:jc w:val="both"/>
      </w:pPr>
      <w:r>
        <w:rPr>
          <w:color w:val="000000"/>
          <w:spacing w:val="0"/>
          <w:w w:val="100"/>
          <w:position w:val="0"/>
        </w:rPr>
        <w:t>在租赁期开始日，本公司将租赁期不超过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个月，且不包含购买选择权的租赁认定为短期租赁；将单项租赁资产为全新 资产时价值低于</w:t>
      </w:r>
      <w:r>
        <w:rPr>
          <w:rFonts w:ascii="Times New Roman" w:eastAsia="Times New Roman" w:hAnsi="Times New Roman" w:cs="Times New Roman"/>
          <w:color w:val="000000"/>
          <w:spacing w:val="0"/>
          <w:w w:val="100"/>
          <w:position w:val="0"/>
        </w:rPr>
        <w:t>40</w:t>
      </w:r>
      <w:r>
        <w:rPr>
          <w:rFonts w:ascii="Times New Roman" w:eastAsia="Times New Roman" w:hAnsi="Times New Roman" w:cs="Times New Roman"/>
          <w:color w:val="000000"/>
          <w:spacing w:val="0"/>
          <w:w w:val="100"/>
          <w:position w:val="0"/>
        </w:rPr>
        <w:t>,000.00</w:t>
      </w:r>
      <w:r>
        <w:rPr>
          <w:color w:val="000000"/>
          <w:spacing w:val="0"/>
          <w:w w:val="100"/>
          <w:position w:val="0"/>
        </w:rPr>
        <w:t>元的租赁认定为低价值资产租赁。本公司转租或预期转租租赁资产的，原租赁不认定为低价值资产 租赁。</w:t>
      </w:r>
    </w:p>
    <w:p>
      <w:pPr>
        <w:pStyle w:val="Style18"/>
        <w:keepNext w:val="0"/>
        <w:keepLines w:val="0"/>
        <w:widowControl w:val="0"/>
        <w:shd w:val="clear" w:color="auto" w:fill="auto"/>
        <w:bidi w:val="0"/>
        <w:spacing w:before="0" w:after="120" w:line="298" w:lineRule="exact"/>
        <w:ind w:left="0" w:right="0"/>
        <w:jc w:val="both"/>
      </w:pPr>
      <w:r>
        <w:rPr>
          <w:color w:val="000000"/>
          <w:spacing w:val="0"/>
          <w:w w:val="100"/>
          <w:position w:val="0"/>
        </w:rPr>
        <w:t>对于所有短期租赁和低价值资产租赁，本公司在租赁期内各个期间按照直线法将租赁付款额计入相关资产成本或当期损 益。</w:t>
      </w:r>
    </w:p>
    <w:p>
      <w:pPr>
        <w:pStyle w:val="Style18"/>
        <w:keepNext w:val="0"/>
        <w:keepLines w:val="0"/>
        <w:widowControl w:val="0"/>
        <w:shd w:val="clear" w:color="auto" w:fill="auto"/>
        <w:bidi w:val="0"/>
        <w:spacing w:before="0" w:after="120" w:line="310" w:lineRule="exact"/>
        <w:ind w:left="0" w:right="0"/>
        <w:jc w:val="left"/>
      </w:pPr>
      <w:r>
        <w:rPr>
          <w:color w:val="000000"/>
          <w:spacing w:val="0"/>
          <w:w w:val="100"/>
          <w:position w:val="0"/>
        </w:rPr>
        <w:t>除上述采用简化处理的短期租赁和低价值资产租赁外，在租赁期开始日，公司对租赁确认使用权资产和租赁负债。</w:t>
      </w:r>
    </w:p>
    <w:p>
      <w:pPr>
        <w:pStyle w:val="Style18"/>
        <w:keepNext w:val="0"/>
        <w:keepLines w:val="0"/>
        <w:widowControl w:val="0"/>
        <w:shd w:val="clear" w:color="auto" w:fill="auto"/>
        <w:bidi w:val="0"/>
        <w:spacing w:before="0" w:after="120" w:line="310" w:lineRule="exact"/>
        <w:ind w:left="0" w:right="0"/>
        <w:jc w:val="left"/>
      </w:pPr>
      <w:r>
        <w:rPr>
          <w:color w:val="000000"/>
          <w:spacing w:val="0"/>
          <w:w w:val="100"/>
          <w:position w:val="0"/>
        </w:rPr>
        <w:t>①使用权资产</w:t>
      </w:r>
    </w:p>
    <w:p>
      <w:pPr>
        <w:pStyle w:val="Style18"/>
        <w:keepNext w:val="0"/>
        <w:keepLines w:val="0"/>
        <w:widowControl w:val="0"/>
        <w:shd w:val="clear" w:color="auto" w:fill="auto"/>
        <w:bidi w:val="0"/>
        <w:spacing w:before="0" w:after="120" w:line="310" w:lineRule="exact"/>
        <w:ind w:left="0" w:right="0"/>
        <w:jc w:val="left"/>
      </w:pPr>
      <w:r>
        <w:rPr>
          <w:color w:val="000000"/>
          <w:spacing w:val="0"/>
          <w:w w:val="100"/>
          <w:position w:val="0"/>
        </w:rPr>
        <w:t>使用权资产，是指承租人可在租赁期内使用租赁资产的权利。</w:t>
      </w:r>
    </w:p>
    <w:p>
      <w:pPr>
        <w:pStyle w:val="Style18"/>
        <w:keepNext w:val="0"/>
        <w:keepLines w:val="0"/>
        <w:widowControl w:val="0"/>
        <w:shd w:val="clear" w:color="auto" w:fill="auto"/>
        <w:bidi w:val="0"/>
        <w:spacing w:before="0" w:after="120" w:line="310" w:lineRule="exact"/>
        <w:ind w:left="0" w:right="0"/>
        <w:jc w:val="left"/>
      </w:pPr>
      <w:r>
        <w:rPr>
          <w:color w:val="000000"/>
          <w:spacing w:val="0"/>
          <w:w w:val="100"/>
          <w:position w:val="0"/>
        </w:rPr>
        <w:t>在租赁期开始日，使用权资产按照成本进行初始计量。该成本包括：</w:t>
      </w:r>
    </w:p>
    <w:p>
      <w:pPr>
        <w:pStyle w:val="Style18"/>
        <w:keepNext w:val="0"/>
        <w:keepLines w:val="0"/>
        <w:widowControl w:val="0"/>
        <w:shd w:val="clear" w:color="auto" w:fill="auto"/>
        <w:bidi w:val="0"/>
        <w:spacing w:before="0" w:after="120" w:line="310" w:lineRule="exact"/>
        <w:ind w:left="0" w:right="0" w:firstLine="560"/>
        <w:jc w:val="left"/>
      </w:pPr>
      <w:r>
        <w:rPr>
          <w:color w:val="000000"/>
          <w:spacing w:val="0"/>
          <w:w w:val="100"/>
          <w:position w:val="0"/>
        </w:rPr>
        <w:t>•</w:t>
      </w:r>
      <w:r>
        <w:rPr>
          <w:color w:val="000000"/>
          <w:spacing w:val="0"/>
          <w:w w:val="100"/>
          <w:position w:val="0"/>
        </w:rPr>
        <w:t>租赁负债的初始计量金额；</w:t>
      </w:r>
    </w:p>
    <w:p>
      <w:pPr>
        <w:pStyle w:val="Style18"/>
        <w:keepNext w:val="0"/>
        <w:keepLines w:val="0"/>
        <w:widowControl w:val="0"/>
        <w:shd w:val="clear" w:color="auto" w:fill="auto"/>
        <w:bidi w:val="0"/>
        <w:spacing w:before="0" w:after="120" w:line="310" w:lineRule="exact"/>
        <w:ind w:left="0" w:right="0" w:firstLine="560"/>
        <w:jc w:val="left"/>
      </w:pPr>
      <w:r>
        <w:rPr>
          <w:color w:val="000000"/>
          <w:spacing w:val="0"/>
          <w:w w:val="100"/>
          <w:position w:val="0"/>
        </w:rPr>
        <w:t>•</w:t>
      </w: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120" w:line="310" w:lineRule="exact"/>
        <w:ind w:left="0" w:right="0" w:firstLine="560"/>
        <w:jc w:val="left"/>
      </w:pPr>
      <w:r>
        <w:rPr>
          <w:color w:val="000000"/>
          <w:spacing w:val="0"/>
          <w:w w:val="100"/>
          <w:position w:val="0"/>
        </w:rPr>
        <w:t>•</w:t>
      </w:r>
      <w:r>
        <w:rPr>
          <w:color w:val="000000"/>
          <w:spacing w:val="0"/>
          <w:w w:val="100"/>
          <w:position w:val="0"/>
        </w:rPr>
        <w:t>承租人发生的初始直接费用；</w:t>
      </w:r>
    </w:p>
    <w:p>
      <w:pPr>
        <w:pStyle w:val="Style18"/>
        <w:keepNext w:val="0"/>
        <w:keepLines w:val="0"/>
        <w:widowControl w:val="0"/>
        <w:shd w:val="clear" w:color="auto" w:fill="auto"/>
        <w:bidi w:val="0"/>
        <w:spacing w:before="0" w:after="120" w:line="312" w:lineRule="exact"/>
        <w:ind w:left="920" w:right="0" w:hanging="360"/>
        <w:jc w:val="left"/>
      </w:pPr>
      <w:r>
        <w:rPr>
          <w:color w:val="000000"/>
          <w:spacing w:val="0"/>
          <w:w w:val="100"/>
          <w:position w:val="0"/>
        </w:rPr>
        <w:t>•</w:t>
      </w:r>
      <w:r>
        <w:rPr>
          <w:color w:val="000000"/>
          <w:spacing w:val="0"/>
          <w:w w:val="100"/>
          <w:position w:val="0"/>
        </w:rPr>
        <w:t>承租人为拆卸及移除租赁资产、复原租赁资产所在场地或将租赁资产恢复至租赁条款约定状态预计将发生的成本。 本公司按照预计负债的确认标准和计量方法对该成本进行确认和计量，详见附注五、</w:t>
      </w:r>
      <w:r>
        <w:rPr>
          <w:rFonts w:ascii="Times New Roman" w:eastAsia="Times New Roman" w:hAnsi="Times New Roman" w:cs="Times New Roman"/>
          <w:color w:val="000000"/>
          <w:spacing w:val="0"/>
          <w:w w:val="100"/>
          <w:position w:val="0"/>
        </w:rPr>
        <w:t>36</w:t>
      </w:r>
      <w:r>
        <w:rPr>
          <w:color w:val="000000"/>
          <w:spacing w:val="0"/>
          <w:w w:val="100"/>
          <w:position w:val="0"/>
        </w:rPr>
        <w:t>。前述成本属于为生产存 货而发生的将计入存货成本。</w:t>
      </w:r>
    </w:p>
    <w:p>
      <w:pPr>
        <w:pStyle w:val="Style18"/>
        <w:keepNext w:val="0"/>
        <w:keepLines w:val="0"/>
        <w:widowControl w:val="0"/>
        <w:shd w:val="clear" w:color="auto" w:fill="auto"/>
        <w:bidi w:val="0"/>
        <w:spacing w:before="0" w:after="180" w:line="305" w:lineRule="exact"/>
        <w:ind w:left="0" w:right="0"/>
        <w:jc w:val="left"/>
      </w:pPr>
      <w:r>
        <w:rPr>
          <w:color w:val="000000"/>
          <w:spacing w:val="0"/>
          <w:w w:val="100"/>
          <w:position w:val="0"/>
        </w:rPr>
        <w:t>使用权资产折旧采用年限平均法分类计提。对于能合理确定租赁期届满时将会取得租赁资产所有权的，在租赁资产预计 剩余使用寿命内，根据使用权资产类别和预计净残值率确定折旧率；对于无法合理确定租赁期届满时将会取得租赁资产所有 权的，在租赁期与租赁资产剩余使用寿命两者孰短的期间内，根据使用权资产类别确定折旧率。</w:t>
      </w:r>
    </w:p>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各类使用权资产折旧方法、折旧年限、残值率和年折旧率如下:</w:t>
      </w:r>
    </w:p>
    <w:tbl>
      <w:tblPr>
        <w:tblOverlap w:val="never"/>
        <w:jc w:val="left"/>
        <w:tblLayout w:type="fixed"/>
      </w:tblPr>
      <w:tblGrid>
        <w:gridCol w:w="1594"/>
        <w:gridCol w:w="1882"/>
        <w:gridCol w:w="1666"/>
        <w:gridCol w:w="1810"/>
        <w:gridCol w:w="1728"/>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r>
              <w:rPr>
                <w:rFonts w:ascii="Times New Roman" w:eastAsia="Times New Roman" w:hAnsi="Times New Roman" w:cs="Times New Roman"/>
                <w:color w:val="000000"/>
                <w:spacing w:val="0"/>
                <w:w w:val="100"/>
                <w:position w:val="0"/>
              </w:rPr>
              <w:t>U</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合同约定租期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合同约定租期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合同约定租期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合同约定租期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18"/>
        <w:keepNext w:val="0"/>
        <w:keepLines w:val="0"/>
        <w:widowControl w:val="0"/>
        <w:shd w:val="clear" w:color="auto" w:fill="auto"/>
        <w:bidi w:val="0"/>
        <w:spacing w:before="0" w:after="180" w:line="240" w:lineRule="auto"/>
        <w:ind w:left="0" w:right="0"/>
        <w:jc w:val="left"/>
      </w:pPr>
      <w:r>
        <w:rPr>
          <w:color w:val="000000"/>
          <w:spacing w:val="0"/>
          <w:w w:val="100"/>
          <w:position w:val="0"/>
        </w:rPr>
        <w:t>②租赁负债</w:t>
      </w:r>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租赁负债应当按照租赁期开始日尚未支付的租赁付款额的现值进行初始计量。租赁付款额包括以下五项内容</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100" w:line="312" w:lineRule="exact"/>
        <w:ind w:left="0" w:right="0" w:firstLine="560"/>
        <w:jc w:val="left"/>
      </w:pPr>
      <w:r>
        <w:rPr>
          <w:color w:val="000000"/>
          <w:spacing w:val="0"/>
          <w:w w:val="100"/>
          <w:position w:val="0"/>
        </w:rPr>
        <w:t>•</w:t>
      </w:r>
      <w:r>
        <w:rPr>
          <w:color w:val="000000"/>
          <w:spacing w:val="0"/>
          <w:w w:val="100"/>
          <w:position w:val="0"/>
        </w:rPr>
        <w:t>固定付款额及实质固定付款额，存在租赁激励的，扣除租赁激励相关金额；</w:t>
      </w:r>
    </w:p>
    <w:p>
      <w:pPr>
        <w:pStyle w:val="Style18"/>
        <w:keepNext w:val="0"/>
        <w:keepLines w:val="0"/>
        <w:widowControl w:val="0"/>
        <w:shd w:val="clear" w:color="auto" w:fill="auto"/>
        <w:bidi w:val="0"/>
        <w:spacing w:before="0" w:after="100" w:line="312" w:lineRule="exact"/>
        <w:ind w:left="0" w:right="0" w:firstLine="560"/>
        <w:jc w:val="left"/>
      </w:pPr>
      <w:r>
        <w:rPr>
          <w:color w:val="000000"/>
          <w:spacing w:val="0"/>
          <w:w w:val="100"/>
          <w:position w:val="0"/>
        </w:rPr>
        <w:t>•</w:t>
      </w: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100" w:line="312" w:lineRule="exact"/>
        <w:ind w:left="0" w:right="0" w:firstLine="560"/>
        <w:jc w:val="left"/>
      </w:pPr>
      <w:r>
        <w:rPr>
          <w:color w:val="000000"/>
          <w:spacing w:val="0"/>
          <w:w w:val="100"/>
          <w:position w:val="0"/>
        </w:rPr>
        <w:t>•</w:t>
      </w:r>
      <w:r>
        <w:rPr>
          <w:color w:val="000000"/>
          <w:spacing w:val="0"/>
          <w:w w:val="100"/>
          <w:position w:val="0"/>
        </w:rPr>
        <w:t>购买选择权的行权价格，前提是承租人合理确定将行使该选择权；</w:t>
      </w:r>
    </w:p>
    <w:p>
      <w:pPr>
        <w:pStyle w:val="Style18"/>
        <w:keepNext w:val="0"/>
        <w:keepLines w:val="0"/>
        <w:widowControl w:val="0"/>
        <w:shd w:val="clear" w:color="auto" w:fill="auto"/>
        <w:bidi w:val="0"/>
        <w:spacing w:before="0" w:after="100" w:line="312" w:lineRule="exact"/>
        <w:ind w:left="0" w:right="0" w:firstLine="560"/>
        <w:jc w:val="left"/>
      </w:pPr>
      <w:r>
        <w:rPr>
          <w:color w:val="000000"/>
          <w:spacing w:val="0"/>
          <w:w w:val="100"/>
          <w:position w:val="0"/>
        </w:rPr>
        <w:t>•</w:t>
      </w:r>
      <w:r>
        <w:rPr>
          <w:color w:val="000000"/>
          <w:spacing w:val="0"/>
          <w:w w:val="100"/>
          <w:position w:val="0"/>
        </w:rPr>
        <w:t>行使终止租赁选择权需支付的款项，前提是租赁期反映出承租人将行使终止租赁选择权；</w:t>
      </w:r>
    </w:p>
    <w:p>
      <w:pPr>
        <w:pStyle w:val="Style18"/>
        <w:keepNext w:val="0"/>
        <w:keepLines w:val="0"/>
        <w:widowControl w:val="0"/>
        <w:shd w:val="clear" w:color="auto" w:fill="auto"/>
        <w:bidi w:val="0"/>
        <w:spacing w:before="0" w:after="100" w:line="312" w:lineRule="exact"/>
        <w:ind w:left="0" w:right="0" w:firstLine="560"/>
        <w:jc w:val="left"/>
      </w:pPr>
      <w:r>
        <w:rPr>
          <w:color w:val="000000"/>
          <w:spacing w:val="0"/>
          <w:w w:val="100"/>
          <w:position w:val="0"/>
        </w:rPr>
        <w:t>•</w:t>
      </w:r>
      <w:r>
        <w:rPr>
          <w:color w:val="000000"/>
          <w:spacing w:val="0"/>
          <w:w w:val="100"/>
          <w:position w:val="0"/>
        </w:rPr>
        <w:t>根据承租人提供的担保余值预计应支付的款项。</w:t>
      </w:r>
    </w:p>
    <w:p>
      <w:pPr>
        <w:pStyle w:val="Style18"/>
        <w:keepNext w:val="0"/>
        <w:keepLines w:val="0"/>
        <w:widowControl w:val="0"/>
        <w:shd w:val="clear" w:color="auto" w:fill="auto"/>
        <w:bidi w:val="0"/>
        <w:spacing w:before="0" w:after="100" w:line="310" w:lineRule="exact"/>
        <w:ind w:left="0" w:right="0"/>
        <w:jc w:val="left"/>
      </w:pPr>
      <w:r>
        <w:rPr>
          <w:color w:val="000000"/>
          <w:spacing w:val="0"/>
          <w:w w:val="100"/>
          <w:position w:val="0"/>
        </w:rPr>
        <w:t>计算租赁付款额现值时采用租赁内含利率作为折现率，无法确定租赁内含利率的，采用公司增量借款利率作为折现率。 租赁付款额与其现值之间的差额作为未确认融资费用，在租赁期各个期间内按照确认租赁付款额现值的折现率确认利息费用， 并计入当期损益。未纳入租赁负债计量的可变租赁付款额于实际发生时计入当期损益。</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w:t>
      </w:r>
    </w:p>
    <w:p>
      <w:pPr>
        <w:pStyle w:val="Style18"/>
        <w:keepNext w:val="0"/>
        <w:keepLines w:val="0"/>
        <w:widowControl w:val="0"/>
        <w:shd w:val="clear" w:color="auto" w:fill="auto"/>
        <w:tabs>
          <w:tab w:pos="830" w:val="left"/>
        </w:tabs>
        <w:bidi w:val="0"/>
        <w:spacing w:before="0" w:after="100" w:line="312" w:lineRule="exact"/>
        <w:ind w:left="0" w:right="0"/>
        <w:jc w:val="left"/>
      </w:pPr>
      <w:bookmarkStart w:id="1243" w:name="bookmark1243"/>
      <w:r>
        <w:rPr>
          <w:b/>
          <w:bCs/>
          <w:color w:val="000000"/>
          <w:spacing w:val="0"/>
          <w:w w:val="100"/>
          <w:position w:val="0"/>
        </w:rPr>
        <w:t>（</w:t>
      </w:r>
      <w:bookmarkEnd w:id="124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本公司作为出租人的会计处理方法</w:t>
      </w:r>
    </w:p>
    <w:p>
      <w:pPr>
        <w:pStyle w:val="Style18"/>
        <w:keepNext w:val="0"/>
        <w:keepLines w:val="0"/>
        <w:widowControl w:val="0"/>
        <w:shd w:val="clear" w:color="auto" w:fill="auto"/>
        <w:bidi w:val="0"/>
        <w:spacing w:before="0" w:after="100" w:line="317" w:lineRule="exact"/>
        <w:ind w:left="0" w:right="0"/>
        <w:jc w:val="left"/>
      </w:pPr>
      <w:r>
        <w:rPr>
          <w:color w:val="000000"/>
          <w:spacing w:val="0"/>
          <w:w w:val="100"/>
          <w:position w:val="0"/>
        </w:rPr>
        <w:t>在租赁开始日，本公司将实质上转移了与租赁资产所有权有关的几乎全部风险和报酬的租赁划分为融资租赁，除此之外 的均为经营租赁。</w:t>
      </w:r>
    </w:p>
    <w:p>
      <w:pPr>
        <w:pStyle w:val="Style18"/>
        <w:keepNext w:val="0"/>
        <w:keepLines w:val="0"/>
        <w:widowControl w:val="0"/>
        <w:numPr>
          <w:ilvl w:val="0"/>
          <w:numId w:val="135"/>
        </w:numPr>
        <w:shd w:val="clear" w:color="auto" w:fill="auto"/>
        <w:tabs>
          <w:tab w:pos="753" w:val="left"/>
        </w:tabs>
        <w:bidi w:val="0"/>
        <w:spacing w:before="0" w:after="100" w:line="312" w:lineRule="exact"/>
        <w:ind w:left="0" w:right="0"/>
        <w:jc w:val="both"/>
      </w:pPr>
      <w:bookmarkStart w:id="1244" w:name="bookmark1244"/>
      <w:bookmarkEnd w:id="1244"/>
      <w:r>
        <w:rPr>
          <w:color w:val="000000"/>
          <w:spacing w:val="0"/>
          <w:w w:val="100"/>
          <w:position w:val="0"/>
        </w:rPr>
        <w:t>经营租赁</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本公司在租赁期内各个期间按照直线法将租赁收款额确认为租金收入，发生的初始直接费用予以资本化并按照与租金收 入确认相同的基础进行分摊，分期计入当期损益。本公司取得的与经营租赁有关的未计入租赁收款额的可变租赁付款额在实 际发生时计入当期损益。</w:t>
      </w:r>
    </w:p>
    <w:p>
      <w:pPr>
        <w:pStyle w:val="Style18"/>
        <w:keepNext w:val="0"/>
        <w:keepLines w:val="0"/>
        <w:widowControl w:val="0"/>
        <w:numPr>
          <w:ilvl w:val="0"/>
          <w:numId w:val="135"/>
        </w:numPr>
        <w:shd w:val="clear" w:color="auto" w:fill="auto"/>
        <w:tabs>
          <w:tab w:pos="753" w:val="left"/>
        </w:tabs>
        <w:bidi w:val="0"/>
        <w:spacing w:before="0" w:after="100" w:line="312" w:lineRule="exact"/>
        <w:ind w:left="0" w:right="0"/>
        <w:jc w:val="left"/>
      </w:pPr>
      <w:bookmarkStart w:id="1245" w:name="bookmark1245"/>
      <w:bookmarkEnd w:id="1245"/>
      <w:r>
        <w:rPr>
          <w:color w:val="000000"/>
          <w:spacing w:val="0"/>
          <w:w w:val="100"/>
          <w:position w:val="0"/>
        </w:rPr>
        <w:t>融资租赁</w:t>
      </w: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在租赁开始日，本公司按照租赁投资净额</w:t>
      </w:r>
      <w:r>
        <w:rPr>
          <w:rFonts w:ascii="Times New Roman" w:eastAsia="Times New Roman" w:hAnsi="Times New Roman" w:cs="Times New Roman"/>
          <w:color w:val="000000"/>
          <w:spacing w:val="0"/>
          <w:w w:val="100"/>
          <w:position w:val="0"/>
        </w:rPr>
        <w:t>（</w:t>
      </w:r>
      <w:r>
        <w:rPr>
          <w:color w:val="000000"/>
          <w:spacing w:val="0"/>
          <w:w w:val="100"/>
          <w:position w:val="0"/>
        </w:rPr>
        <w:t>未担保余值和租赁期开始日尚未收到的租赁收款额按照租赁内含利率折现的 现值之和</w:t>
      </w:r>
      <w:r>
        <w:rPr>
          <w:rFonts w:ascii="Times New Roman" w:eastAsia="Times New Roman" w:hAnsi="Times New Roman" w:cs="Times New Roman"/>
          <w:color w:val="000000"/>
          <w:spacing w:val="0"/>
          <w:w w:val="100"/>
          <w:position w:val="0"/>
        </w:rPr>
        <w:t>）</w:t>
      </w:r>
      <w:r>
        <w:rPr>
          <w:color w:val="000000"/>
          <w:spacing w:val="0"/>
          <w:w w:val="100"/>
          <w:position w:val="0"/>
        </w:rPr>
        <w:t>确认应收融资租赁款，并终止确认融资租赁资产。在租赁期的各个期间，本公司按照租赁内含利率计算并确认利 息收入。</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本公司取得的未纳入租赁投资净额计量的可变租赁付款额在实际发生时计入当期损益。</w:t>
      </w:r>
    </w:p>
    <w:p>
      <w:pPr>
        <w:pStyle w:val="Style18"/>
        <w:keepNext w:val="0"/>
        <w:keepLines w:val="0"/>
        <w:widowControl w:val="0"/>
        <w:shd w:val="clear" w:color="auto" w:fill="auto"/>
        <w:tabs>
          <w:tab w:pos="830" w:val="left"/>
        </w:tabs>
        <w:bidi w:val="0"/>
        <w:spacing w:before="0" w:after="100" w:line="312" w:lineRule="exact"/>
        <w:ind w:left="0" w:right="0"/>
        <w:jc w:val="left"/>
      </w:pPr>
      <w:bookmarkStart w:id="1246" w:name="bookmark1246"/>
      <w:r>
        <w:rPr>
          <w:b/>
          <w:bCs/>
          <w:color w:val="000000"/>
          <w:spacing w:val="0"/>
          <w:w w:val="100"/>
          <w:position w:val="0"/>
        </w:rPr>
        <w:t>（</w:t>
      </w:r>
      <w:bookmarkEnd w:id="124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租赁变更的会计处理</w:t>
      </w:r>
    </w:p>
    <w:p>
      <w:pPr>
        <w:pStyle w:val="Style18"/>
        <w:keepNext w:val="0"/>
        <w:keepLines w:val="0"/>
        <w:widowControl w:val="0"/>
        <w:shd w:val="clear" w:color="auto" w:fill="auto"/>
        <w:bidi w:val="0"/>
        <w:spacing w:before="0" w:after="100" w:line="312" w:lineRule="exact"/>
        <w:ind w:left="0" w:right="0"/>
        <w:jc w:val="left"/>
      </w:pPr>
      <w:r>
        <w:rPr>
          <w:color w:val="000000"/>
          <w:spacing w:val="0"/>
          <w:w w:val="100"/>
          <w:position w:val="0"/>
        </w:rPr>
        <w:t>①租赁变更作为一项单独租赁</w:t>
      </w:r>
    </w:p>
    <w:p>
      <w:pPr>
        <w:pStyle w:val="Style18"/>
        <w:keepNext w:val="0"/>
        <w:keepLines w:val="0"/>
        <w:widowControl w:val="0"/>
        <w:shd w:val="clear" w:color="auto" w:fill="auto"/>
        <w:bidi w:val="0"/>
        <w:spacing w:before="0" w:after="120" w:line="314" w:lineRule="exact"/>
        <w:ind w:left="0" w:right="0"/>
        <w:jc w:val="both"/>
      </w:pPr>
      <w:r>
        <w:rPr>
          <w:color w:val="000000"/>
          <w:spacing w:val="0"/>
          <w:w w:val="100"/>
          <w:position w:val="0"/>
        </w:rPr>
        <w:t>租赁发生变更且同时符合下列条件的，本公司将该租赁变更作为一项单独租赁进行会计处理：</w:t>
      </w:r>
      <w:r>
        <w:rPr>
          <w:rFonts w:ascii="Times New Roman" w:eastAsia="Times New Roman" w:hAnsi="Times New Roman" w:cs="Times New Roman"/>
          <w:color w:val="000000"/>
          <w:spacing w:val="0"/>
          <w:w w:val="100"/>
          <w:position w:val="0"/>
        </w:rPr>
        <w:t>A.</w:t>
      </w:r>
      <w:r>
        <w:rPr>
          <w:color w:val="000000"/>
          <w:spacing w:val="0"/>
          <w:w w:val="100"/>
          <w:position w:val="0"/>
        </w:rPr>
        <w:t>该租赁变更通过增加一 项或多项租赁资产的使用权而扩大了租赁范围</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增加的对价与租赁范围扩大部分的单独价格按该合同情况调整后的金额相 当。</w:t>
      </w:r>
    </w:p>
    <w:p>
      <w:pPr>
        <w:pStyle w:val="Style18"/>
        <w:keepNext w:val="0"/>
        <w:keepLines w:val="0"/>
        <w:widowControl w:val="0"/>
        <w:shd w:val="clear" w:color="auto" w:fill="auto"/>
        <w:bidi w:val="0"/>
        <w:spacing w:before="0" w:after="200" w:line="311" w:lineRule="exact"/>
        <w:ind w:left="0" w:right="0"/>
        <w:jc w:val="both"/>
      </w:pPr>
      <w:r>
        <w:rPr>
          <w:color w:val="000000"/>
          <w:spacing w:val="0"/>
          <w:w w:val="100"/>
          <w:position w:val="0"/>
        </w:rPr>
        <w:t>②租赁变更未作为一项单独租赁</w:t>
      </w:r>
    </w:p>
    <w:p>
      <w:pPr>
        <w:pStyle w:val="Style18"/>
        <w:keepNext w:val="0"/>
        <w:keepLines w:val="0"/>
        <w:widowControl w:val="0"/>
        <w:numPr>
          <w:ilvl w:val="0"/>
          <w:numId w:val="137"/>
        </w:numPr>
        <w:shd w:val="clear" w:color="auto" w:fill="auto"/>
        <w:tabs>
          <w:tab w:pos="723" w:val="left"/>
        </w:tabs>
        <w:bidi w:val="0"/>
        <w:spacing w:before="0" w:after="0"/>
        <w:ind w:left="0" w:right="0" w:firstLine="360"/>
        <w:jc w:val="left"/>
      </w:pPr>
      <w:bookmarkStart w:id="1247" w:name="bookmark1247"/>
      <w:bookmarkEnd w:id="1247"/>
      <w:r>
        <w:rPr>
          <w:color w:val="000000"/>
          <w:spacing w:val="0"/>
          <w:w w:val="100"/>
          <w:position w:val="0"/>
        </w:rPr>
        <w:t>本公司作为承租人</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在租赁变更生效日，本公司重新确定租赁期，并采用修订后的折现率对变更后的租赁付款额进行折现，以重新计量租赁 负债。在计算变更后租赁付款额的现值时，采用剩余租赁期间的租赁内含利率作为折现率；无法确定剩余租赁期间的租赁内 含利率的，采用租赁变更生效日的增量借款利率作为折现率。</w:t>
      </w:r>
    </w:p>
    <w:p>
      <w:pPr>
        <w:pStyle w:val="Style18"/>
        <w:keepNext w:val="0"/>
        <w:keepLines w:val="0"/>
        <w:widowControl w:val="0"/>
        <w:shd w:val="clear" w:color="auto" w:fill="auto"/>
        <w:bidi w:val="0"/>
        <w:spacing w:before="0" w:after="120" w:line="311" w:lineRule="exact"/>
        <w:ind w:left="0" w:right="0"/>
        <w:jc w:val="both"/>
      </w:pPr>
      <w:r>
        <w:rPr>
          <w:color w:val="000000"/>
          <w:spacing w:val="0"/>
          <w:w w:val="100"/>
          <w:position w:val="0"/>
        </w:rPr>
        <w:t>就上述租赁负债调整的影响，区分以下情形进行会计处理：</w:t>
      </w:r>
    </w:p>
    <w:p>
      <w:pPr>
        <w:pStyle w:val="Style18"/>
        <w:keepNext w:val="0"/>
        <w:keepLines w:val="0"/>
        <w:widowControl w:val="0"/>
        <w:shd w:val="clear" w:color="auto" w:fill="auto"/>
        <w:bidi w:val="0"/>
        <w:spacing w:before="0" w:after="120" w:line="312" w:lineRule="exact"/>
        <w:ind w:left="920" w:right="0" w:hanging="360"/>
        <w:jc w:val="both"/>
      </w:pPr>
      <w:r>
        <w:rPr>
          <w:color w:val="000000"/>
          <w:spacing w:val="0"/>
          <w:w w:val="100"/>
          <w:position w:val="0"/>
        </w:rPr>
        <w:t>•</w:t>
      </w:r>
      <w:r>
        <w:rPr>
          <w:color w:val="000000"/>
          <w:spacing w:val="0"/>
          <w:w w:val="100"/>
          <w:position w:val="0"/>
        </w:rPr>
        <w:t>租赁变更导致租赁范围缩小或租赁期缩短的，调减使用权资产的账面价值，并将部分终止或完全终止租赁的相关 利得或损失计入当期损益；</w:t>
      </w:r>
    </w:p>
    <w:p>
      <w:pPr>
        <w:pStyle w:val="Style18"/>
        <w:keepNext w:val="0"/>
        <w:keepLines w:val="0"/>
        <w:widowControl w:val="0"/>
        <w:shd w:val="clear" w:color="auto" w:fill="auto"/>
        <w:bidi w:val="0"/>
        <w:spacing w:before="0" w:after="200" w:line="311" w:lineRule="exact"/>
        <w:ind w:left="0" w:right="0" w:firstLine="560"/>
        <w:jc w:val="both"/>
      </w:pPr>
      <w:r>
        <w:rPr>
          <w:color w:val="000000"/>
          <w:spacing w:val="0"/>
          <w:w w:val="100"/>
          <w:position w:val="0"/>
        </w:rPr>
        <w:t>•</w:t>
      </w:r>
      <w:r>
        <w:rPr>
          <w:color w:val="000000"/>
          <w:spacing w:val="0"/>
          <w:w w:val="100"/>
          <w:position w:val="0"/>
        </w:rPr>
        <w:t>其他租赁变更，相应调整使用权资产的账面价值。</w:t>
      </w:r>
    </w:p>
    <w:p>
      <w:pPr>
        <w:pStyle w:val="Style18"/>
        <w:keepNext w:val="0"/>
        <w:keepLines w:val="0"/>
        <w:widowControl w:val="0"/>
        <w:numPr>
          <w:ilvl w:val="0"/>
          <w:numId w:val="137"/>
        </w:numPr>
        <w:shd w:val="clear" w:color="auto" w:fill="auto"/>
        <w:tabs>
          <w:tab w:pos="743" w:val="left"/>
        </w:tabs>
        <w:bidi w:val="0"/>
        <w:spacing w:before="0" w:after="0"/>
        <w:ind w:left="0" w:right="0"/>
        <w:jc w:val="both"/>
      </w:pPr>
      <w:bookmarkStart w:id="1248" w:name="bookmark1248"/>
      <w:bookmarkEnd w:id="1248"/>
      <w:r>
        <w:rPr>
          <w:color w:val="000000"/>
          <w:spacing w:val="0"/>
          <w:w w:val="100"/>
          <w:position w:val="0"/>
        </w:rPr>
        <w:t>本公司作为出租人</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经营租赁发生变更的，本公司自变更生效日起将其作为一项新租赁进行会计处理，与变更前租赁有关的预收或应收租赁 收款额视为新租赁的收款额。</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融资租赁的变更未作为一项单独租赁进行会计处理的，本公司分别下列情形对变更后的租赁进行处理：如果租赁变更在 租赁开始日生效，该租赁会被分类为经营租赁的，本公司自租赁变更生效日开始将其作为一项新租赁进行会计处理，并以租 赁变更生效日前的租赁投资净额作为租赁资产的账面价值;如果租赁变更在租赁开始日生效，该租赁会被分类为融资租赁的， 本公司按照关于修改或重新议定合同的规定进行会计处理。</w:t>
      </w:r>
    </w:p>
    <w:p>
      <w:pPr>
        <w:pStyle w:val="Style18"/>
        <w:keepNext w:val="0"/>
        <w:keepLines w:val="0"/>
        <w:widowControl w:val="0"/>
        <w:shd w:val="clear" w:color="auto" w:fill="auto"/>
        <w:bidi w:val="0"/>
        <w:spacing w:before="0" w:after="120" w:line="311" w:lineRule="exact"/>
        <w:ind w:left="0" w:right="0"/>
        <w:jc w:val="both"/>
      </w:pPr>
      <w:r>
        <w:rPr>
          <w:b/>
          <w:bCs/>
          <w:i/>
          <w:iCs/>
          <w:color w:val="000000"/>
          <w:spacing w:val="0"/>
          <w:w w:val="100"/>
          <w:position w:val="0"/>
        </w:rPr>
        <w:t>以下经营租赁和融资租赁会计政策适用于</w:t>
      </w:r>
      <w:r>
        <w:rPr>
          <w:rFonts w:ascii="Times New Roman" w:eastAsia="Times New Roman" w:hAnsi="Times New Roman" w:cs="Times New Roman"/>
          <w:b/>
          <w:bCs/>
          <w:i/>
          <w:iCs/>
          <w:color w:val="000000"/>
          <w:spacing w:val="0"/>
          <w:w w:val="100"/>
          <w:position w:val="0"/>
        </w:rPr>
        <w:t>2020</w:t>
      </w:r>
      <w:r>
        <w:rPr>
          <w:b/>
          <w:bCs/>
          <w:i/>
          <w:iCs/>
          <w:color w:val="000000"/>
          <w:spacing w:val="0"/>
          <w:w w:val="100"/>
          <w:position w:val="0"/>
        </w:rPr>
        <w:t>年度及以前</w:t>
      </w:r>
    </w:p>
    <w:p>
      <w:pPr>
        <w:pStyle w:val="Style18"/>
        <w:keepNext w:val="0"/>
        <w:keepLines w:val="0"/>
        <w:widowControl w:val="0"/>
        <w:shd w:val="clear" w:color="auto" w:fill="auto"/>
        <w:bidi w:val="0"/>
        <w:spacing w:before="0" w:after="120" w:line="311" w:lineRule="exact"/>
        <w:ind w:left="0" w:right="0"/>
        <w:jc w:val="both"/>
      </w:pPr>
      <w:r>
        <w:rPr>
          <w:color w:val="000000"/>
          <w:spacing w:val="0"/>
          <w:w w:val="100"/>
          <w:position w:val="0"/>
        </w:rPr>
        <w:t>本公司将实质上转移了与资产所有权有关的全部风险和报酬的租赁为融资租赁，除此之外的均为经营租赁。</w:t>
      </w:r>
    </w:p>
    <w:p>
      <w:pPr>
        <w:pStyle w:val="Style18"/>
        <w:keepNext w:val="0"/>
        <w:keepLines w:val="0"/>
        <w:widowControl w:val="0"/>
        <w:shd w:val="clear" w:color="auto" w:fill="auto"/>
        <w:bidi w:val="0"/>
        <w:spacing w:before="0" w:after="120" w:line="311"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）经营租赁的会计处理方法</w:t>
      </w:r>
    </w:p>
    <w:p>
      <w:pPr>
        <w:pStyle w:val="Style18"/>
        <w:keepNext w:val="0"/>
        <w:keepLines w:val="0"/>
        <w:widowControl w:val="0"/>
        <w:numPr>
          <w:ilvl w:val="0"/>
          <w:numId w:val="139"/>
        </w:numPr>
        <w:shd w:val="clear" w:color="auto" w:fill="auto"/>
        <w:tabs>
          <w:tab w:pos="733" w:val="left"/>
        </w:tabs>
        <w:bidi w:val="0"/>
        <w:spacing w:before="0" w:after="120" w:line="310" w:lineRule="exact"/>
        <w:ind w:left="0" w:right="0"/>
        <w:jc w:val="both"/>
      </w:pPr>
      <w:bookmarkStart w:id="1249" w:name="bookmark1249"/>
      <w:bookmarkEnd w:id="1249"/>
      <w:r>
        <w:rPr>
          <w:color w:val="000000"/>
          <w:spacing w:val="0"/>
          <w:w w:val="100"/>
          <w:position w:val="0"/>
        </w:rPr>
        <w:t>本公司作为经营租赁承租人时，将经营租赁的租金支出，在租赁期内各个期间按照直线法或根据租赁资产的使用量计 入当期损益。出租人提供免租期的，本公司将租金总额在不扣除免租期的整个租赁期内，按直线法或其他合理的方法进行分 摊，免租期内确认租金费用及相应的负债。出租人承担了承租人某些费用的，本公司按该费用从租金费用总额中扣除后的租 金费用余额在租赁期内进行分摊。</w:t>
      </w:r>
    </w:p>
    <w:p>
      <w:pPr>
        <w:pStyle w:val="Style18"/>
        <w:keepNext w:val="0"/>
        <w:keepLines w:val="0"/>
        <w:widowControl w:val="0"/>
        <w:shd w:val="clear" w:color="auto" w:fill="auto"/>
        <w:bidi w:val="0"/>
        <w:spacing w:before="0" w:after="120" w:line="311" w:lineRule="exact"/>
        <w:ind w:left="0" w:right="0"/>
        <w:jc w:val="both"/>
      </w:pPr>
      <w:r>
        <w:rPr>
          <w:color w:val="000000"/>
          <w:spacing w:val="0"/>
          <w:w w:val="100"/>
          <w:position w:val="0"/>
        </w:rPr>
        <w:t>初始直接费用，计入当期损益。如协议约定或有租金的在实际发生时计入当期损益。</w:t>
      </w:r>
    </w:p>
    <w:p>
      <w:pPr>
        <w:pStyle w:val="Style18"/>
        <w:keepNext w:val="0"/>
        <w:keepLines w:val="0"/>
        <w:widowControl w:val="0"/>
        <w:numPr>
          <w:ilvl w:val="0"/>
          <w:numId w:val="139"/>
        </w:numPr>
        <w:shd w:val="clear" w:color="auto" w:fill="auto"/>
        <w:tabs>
          <w:tab w:pos="728" w:val="left"/>
        </w:tabs>
        <w:bidi w:val="0"/>
        <w:spacing w:before="0" w:after="120" w:line="310" w:lineRule="exact"/>
        <w:ind w:left="0" w:right="0"/>
        <w:jc w:val="both"/>
      </w:pPr>
      <w:bookmarkStart w:id="1250" w:name="bookmark1250"/>
      <w:bookmarkEnd w:id="1250"/>
      <w:r>
        <w:rPr>
          <w:color w:val="000000"/>
          <w:spacing w:val="0"/>
          <w:w w:val="100"/>
          <w:position w:val="0"/>
        </w:rPr>
        <w:t>本公司作为经营租赁出租人时，采用直线法将收到的租金在租赁期内确认为收益。出租人提供免租期的，出租人将租 金总额在不扣除免租期的整个租赁期内，按直线法或其他合理的方法进行分配，免租期内出租人也确认租金收入。承担了承 租人某些费用的，本公司按该费用自租金收入总额中扣除后的租金收入余额在租赁期内进行分配。</w:t>
      </w:r>
    </w:p>
    <w:p>
      <w:pPr>
        <w:pStyle w:val="Style18"/>
        <w:keepNext w:val="0"/>
        <w:keepLines w:val="0"/>
        <w:widowControl w:val="0"/>
        <w:shd w:val="clear" w:color="auto" w:fill="auto"/>
        <w:bidi w:val="0"/>
        <w:spacing w:before="0" w:after="680" w:line="307" w:lineRule="exact"/>
        <w:ind w:left="0" w:right="0" w:firstLine="0"/>
        <w:jc w:val="both"/>
      </w:pPr>
      <w:r>
        <w:rPr>
          <w:color w:val="000000"/>
          <w:spacing w:val="0"/>
          <w:w w:val="100"/>
          <w:position w:val="0"/>
        </w:rPr>
        <w:t>初始直接费用，计入当期损益。金额较大的予以资本化，在整个经营租赁期内按照与确认租金收入相同的基础分期计入当期 损益。如协议约定或有租金的在实际发生时计入当期收益。</w:t>
      </w:r>
    </w:p>
    <w:p>
      <w:pPr>
        <w:pStyle w:val="Style40"/>
        <w:keepNext/>
        <w:keepLines/>
        <w:widowControl w:val="0"/>
        <w:shd w:val="clear" w:color="auto" w:fill="auto"/>
        <w:bidi w:val="0"/>
        <w:spacing w:before="0" w:line="240" w:lineRule="auto"/>
        <w:ind w:left="0" w:right="0" w:firstLine="0"/>
        <w:jc w:val="both"/>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51"/>
      <w:bookmarkEnd w:id="1252"/>
      <w:bookmarkEnd w:id="1254"/>
    </w:p>
    <w:p>
      <w:pPr>
        <w:pStyle w:val="Style18"/>
        <w:keepNext w:val="0"/>
        <w:keepLines w:val="0"/>
        <w:widowControl w:val="0"/>
        <w:shd w:val="clear" w:color="auto" w:fill="auto"/>
        <w:bidi w:val="0"/>
        <w:spacing w:before="0" w:after="200" w:line="240" w:lineRule="auto"/>
        <w:ind w:left="0" w:right="0" w:firstLine="36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）融资租赁的会计处理方法</w:t>
      </w:r>
    </w:p>
    <w:p>
      <w:pPr>
        <w:pStyle w:val="Style1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①本公司作为融资租赁承租人时，在租赁期开始日，将租赁开始日租赁资产公允价值与最低租赁付款额现值两者中较低 </w:t>
      </w:r>
      <w:r>
        <w:rPr>
          <w:color w:val="000000"/>
          <w:spacing w:val="0"/>
          <w:w w:val="100"/>
          <w:position w:val="0"/>
        </w:rPr>
        <w:t>者作为租入资产的入账价值，将最低租赁付款额作为长期应付款的入账价值，其差额作为未确认融资费用。在租赁期内各个 期间采用实际利率法进行分摊，确认为当期融资费用，计入财务费用。</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发生的初始直接费用，计入租入资产价值。</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在计提融资租赁资产折旧时，本公司采用与自有应折旧资产相一致的折旧政策，折旧期间以租赁合同而定。如果能够合 理确定租赁期届满时本公司将会取得租赁资产所有权，以租赁期开始日租赁资产的寿命作为折旧期间；如果无法合理确定租 赁期届满后本公司是否能够取得租赁资产的所有权，以租赁期与租赁资产寿命两者中较短者作为折旧期间。</w:t>
      </w:r>
    </w:p>
    <w:p>
      <w:pPr>
        <w:pStyle w:val="Style18"/>
        <w:keepNext w:val="0"/>
        <w:keepLines w:val="0"/>
        <w:widowControl w:val="0"/>
        <w:shd w:val="clear" w:color="auto" w:fill="auto"/>
        <w:bidi w:val="0"/>
        <w:spacing w:before="0" w:after="340" w:line="312" w:lineRule="exact"/>
        <w:ind w:left="0" w:right="0"/>
        <w:jc w:val="both"/>
      </w:pPr>
      <w:r>
        <w:rPr>
          <w:color w:val="000000"/>
          <w:spacing w:val="0"/>
          <w:w w:val="100"/>
          <w:position w:val="0"/>
        </w:rPr>
        <w:t>②本公司作为融资租赁出租人时，于租赁期开始日将租赁开始日最低租赁应收款额与初始直接费用之和作为应收融资租 赁款的入账价值，计入资产负债表的长期应收款，同时记录未担保余值；将最低租赁应收款额、初始直接费用及未担保余值 之和与其现值之和的差额作为未实现融资收益，在租赁期内各个期间采用实际利率法确认为租赁收入。</w:t>
      </w:r>
    </w:p>
    <w:p>
      <w:pPr>
        <w:pStyle w:val="Style29"/>
        <w:keepNext/>
        <w:keepLines/>
        <w:widowControl w:val="0"/>
        <w:shd w:val="clear" w:color="auto" w:fill="auto"/>
        <w:tabs>
          <w:tab w:pos="490" w:val="left"/>
        </w:tabs>
        <w:bidi w:val="0"/>
        <w:spacing w:before="0" w:after="34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255"/>
      <w:bookmarkEnd w:id="1256"/>
      <w:bookmarkEnd w:id="1258"/>
    </w:p>
    <w:p>
      <w:pPr>
        <w:pStyle w:val="Style20"/>
        <w:keepNext w:val="0"/>
        <w:keepLines w:val="0"/>
        <w:widowControl w:val="0"/>
        <w:shd w:val="clear" w:color="auto" w:fill="auto"/>
        <w:bidi w:val="0"/>
        <w:spacing w:before="0" w:after="340" w:line="240" w:lineRule="auto"/>
        <w:ind w:left="0" w:right="0" w:firstLine="500"/>
        <w:jc w:val="left"/>
        <w:rPr>
          <w:sz w:val="24"/>
          <w:szCs w:val="24"/>
        </w:rPr>
      </w:pPr>
      <w:r>
        <w:rPr>
          <w:color w:val="000000"/>
          <w:spacing w:val="0"/>
          <w:w w:val="100"/>
          <w:position w:val="0"/>
          <w:sz w:val="24"/>
          <w:szCs w:val="24"/>
        </w:rPr>
        <w:t>无</w:t>
      </w:r>
    </w:p>
    <w:p>
      <w:pPr>
        <w:pStyle w:val="Style29"/>
        <w:keepNext/>
        <w:keepLines/>
        <w:widowControl w:val="0"/>
        <w:shd w:val="clear" w:color="auto" w:fill="auto"/>
        <w:tabs>
          <w:tab w:pos="490" w:val="left"/>
        </w:tabs>
        <w:bidi w:val="0"/>
        <w:spacing w:before="0" w:after="34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4</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259"/>
      <w:bookmarkEnd w:id="1260"/>
      <w:bookmarkEnd w:id="1262"/>
    </w:p>
    <w:p>
      <w:pPr>
        <w:pStyle w:val="Style40"/>
        <w:keepNext/>
        <w:keepLines/>
        <w:widowControl w:val="0"/>
        <w:shd w:val="clear" w:color="auto" w:fill="auto"/>
        <w:bidi w:val="0"/>
        <w:spacing w:before="0" w:after="34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63"/>
      <w:bookmarkEnd w:id="1264"/>
      <w:bookmarkEnd w:id="1266"/>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第四届董事会第十一次会议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8"/>
        <w:keepNext w:val="0"/>
        <w:keepLines w:val="0"/>
        <w:widowControl w:val="0"/>
        <w:shd w:val="clear" w:color="auto" w:fill="auto"/>
        <w:bidi w:val="0"/>
        <w:spacing w:before="0" w:after="100" w:line="317" w:lineRule="exact"/>
        <w:ind w:left="0" w:right="0" w:firstLine="300"/>
        <w:jc w:val="both"/>
      </w:pPr>
      <w:r>
        <w:rPr>
          <w:b/>
          <w:bCs/>
          <w:i/>
          <w:iCs/>
          <w:color w:val="000000"/>
          <w:spacing w:val="0"/>
          <w:w w:val="100"/>
          <w:position w:val="0"/>
        </w:rPr>
        <w:t>执行新租赁准则</w:t>
      </w:r>
    </w:p>
    <w:p>
      <w:pPr>
        <w:pStyle w:val="Style18"/>
        <w:keepNext w:val="0"/>
        <w:keepLines w:val="0"/>
        <w:widowControl w:val="0"/>
        <w:shd w:val="clear" w:color="auto" w:fill="auto"/>
        <w:bidi w:val="0"/>
        <w:spacing w:before="0" w:after="100" w:line="317"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执行新租赁准则，对会计政策的相关内容进行调整，详见附注五、</w:t>
      </w:r>
      <w:r>
        <w:rPr>
          <w:rFonts w:ascii="Times New Roman" w:eastAsia="Times New Roman" w:hAnsi="Times New Roman" w:cs="Times New Roman"/>
          <w:color w:val="000000"/>
          <w:spacing w:val="0"/>
          <w:w w:val="100"/>
          <w:position w:val="0"/>
        </w:rPr>
        <w:t>42</w:t>
      </w:r>
      <w:r>
        <w:rPr>
          <w:color w:val="000000"/>
          <w:spacing w:val="0"/>
          <w:w w:val="100"/>
          <w:position w:val="0"/>
        </w:rPr>
        <w:t>。</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对于首次执行日前已存在的合同，本公司在首次执行日选择不重新评估其是否为租赁或者包含租赁。</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对于首次执行日之后签订或变更的合同，本公司按照新租赁准则中租赁的定义评估合同是否为租赁或者包含租赁。</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①本公司作为承租人</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本公司选择首次执行新租赁准则的累积影响数调整首次执行当年年初（即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日）留存收益及财务报表其他相 关项目金额，对可比期间信息不予调整：</w:t>
      </w:r>
    </w:p>
    <w:p>
      <w:pPr>
        <w:pStyle w:val="Style18"/>
        <w:keepNext w:val="0"/>
        <w:keepLines w:val="0"/>
        <w:widowControl w:val="0"/>
        <w:numPr>
          <w:ilvl w:val="0"/>
          <w:numId w:val="141"/>
        </w:numPr>
        <w:shd w:val="clear" w:color="auto" w:fill="auto"/>
        <w:tabs>
          <w:tab w:pos="709" w:val="left"/>
        </w:tabs>
        <w:bidi w:val="0"/>
        <w:spacing w:before="0" w:after="100" w:line="312" w:lineRule="exact"/>
        <w:ind w:left="0" w:right="0"/>
        <w:jc w:val="both"/>
      </w:pPr>
      <w:bookmarkStart w:id="1267" w:name="bookmark1267"/>
      <w:bookmarkEnd w:id="1267"/>
      <w:r>
        <w:rPr>
          <w:color w:val="000000"/>
          <w:spacing w:val="0"/>
          <w:w w:val="100"/>
          <w:position w:val="0"/>
        </w:rPr>
        <w:t>对于首次执行日前的融资租赁，本公司在首次执行日按照融资租入资产和应付融资租赁款的原账面价值，分别计量使 用权资产和租赁负债；</w:t>
      </w:r>
    </w:p>
    <w:p>
      <w:pPr>
        <w:pStyle w:val="Style18"/>
        <w:keepNext w:val="0"/>
        <w:keepLines w:val="0"/>
        <w:widowControl w:val="0"/>
        <w:numPr>
          <w:ilvl w:val="0"/>
          <w:numId w:val="141"/>
        </w:numPr>
        <w:shd w:val="clear" w:color="auto" w:fill="auto"/>
        <w:tabs>
          <w:tab w:pos="714" w:val="left"/>
        </w:tabs>
        <w:bidi w:val="0"/>
        <w:spacing w:before="0" w:after="100" w:line="326" w:lineRule="exact"/>
        <w:ind w:left="0" w:right="0"/>
        <w:jc w:val="both"/>
      </w:pPr>
      <w:bookmarkStart w:id="1268" w:name="bookmark1268"/>
      <w:bookmarkEnd w:id="1268"/>
      <w:r>
        <w:rPr>
          <w:color w:val="000000"/>
          <w:spacing w:val="0"/>
          <w:w w:val="100"/>
          <w:position w:val="0"/>
        </w:rPr>
        <w:t>对于首次执行日前的经营租赁，本公司在首次执行日根据剩余租赁付款额按首次执行日承租人增量借款利率折现的现 值计量租赁负债，并根据每项租赁按照与租赁负债相等的金额及预付租金进行必要调整计量使用权资产。</w:t>
      </w:r>
    </w:p>
    <w:p>
      <w:pPr>
        <w:pStyle w:val="Style18"/>
        <w:keepNext w:val="0"/>
        <w:keepLines w:val="0"/>
        <w:widowControl w:val="0"/>
        <w:numPr>
          <w:ilvl w:val="0"/>
          <w:numId w:val="141"/>
        </w:numPr>
        <w:shd w:val="clear" w:color="auto" w:fill="auto"/>
        <w:tabs>
          <w:tab w:pos="743" w:val="left"/>
        </w:tabs>
        <w:bidi w:val="0"/>
        <w:spacing w:before="0" w:after="100" w:line="317" w:lineRule="exact"/>
        <w:ind w:left="0" w:right="0"/>
        <w:jc w:val="both"/>
      </w:pPr>
      <w:bookmarkStart w:id="1269" w:name="bookmark1269"/>
      <w:bookmarkEnd w:id="1269"/>
      <w:r>
        <w:rPr>
          <w:color w:val="000000"/>
          <w:spacing w:val="0"/>
          <w:w w:val="100"/>
          <w:position w:val="0"/>
        </w:rPr>
        <w:t>在首次执行日，本公司按照附注五、</w:t>
      </w:r>
      <w:r>
        <w:rPr>
          <w:rFonts w:ascii="Times New Roman" w:eastAsia="Times New Roman" w:hAnsi="Times New Roman" w:cs="Times New Roman"/>
          <w:color w:val="000000"/>
          <w:spacing w:val="0"/>
          <w:w w:val="100"/>
          <w:position w:val="0"/>
        </w:rPr>
        <w:t>31</w:t>
      </w:r>
      <w:r>
        <w:rPr>
          <w:color w:val="000000"/>
          <w:spacing w:val="0"/>
          <w:w w:val="100"/>
          <w:position w:val="0"/>
        </w:rPr>
        <w:t>，对使用权资产进行减值测试并进行相应会计处理。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本公司首次执行日之前租赁资产属于低价值资产的经营租赁，采用简化处理，未确认使用权资产和租赁负债。除此之外， 本公司对于首次执行日前的经营租赁，采用下列一项或多项简化处理：</w:t>
      </w:r>
    </w:p>
    <w:p>
      <w:pPr>
        <w:pStyle w:val="Style18"/>
        <w:keepNext w:val="0"/>
        <w:keepLines w:val="0"/>
        <w:widowControl w:val="0"/>
        <w:shd w:val="clear" w:color="auto" w:fill="auto"/>
        <w:bidi w:val="0"/>
        <w:spacing w:before="0" w:after="100" w:line="317" w:lineRule="exact"/>
        <w:ind w:left="0" w:right="0" w:firstLine="560"/>
        <w:jc w:val="left"/>
      </w:pPr>
      <w:r>
        <w:rPr>
          <w:color w:val="000000"/>
          <w:spacing w:val="0"/>
          <w:w w:val="100"/>
          <w:position w:val="0"/>
        </w:rPr>
        <w:t>•</w:t>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r>
        <w:rPr>
          <w:color w:val="000000"/>
          <w:spacing w:val="0"/>
          <w:w w:val="100"/>
          <w:position w:val="0"/>
        </w:rPr>
        <w:t>；</w:t>
      </w:r>
    </w:p>
    <w:p>
      <w:pPr>
        <w:pStyle w:val="Style18"/>
        <w:keepNext w:val="0"/>
        <w:keepLines w:val="0"/>
        <w:widowControl w:val="0"/>
        <w:shd w:val="clear" w:color="auto" w:fill="auto"/>
        <w:bidi w:val="0"/>
        <w:spacing w:before="0" w:after="100" w:line="317" w:lineRule="exact"/>
        <w:ind w:left="0" w:right="0" w:firstLine="560"/>
        <w:jc w:val="left"/>
      </w:pPr>
      <w:r>
        <w:rPr>
          <w:color w:val="000000"/>
          <w:spacing w:val="0"/>
          <w:w w:val="100"/>
          <w:position w:val="0"/>
        </w:rPr>
        <w:t>•</w:t>
      </w:r>
      <w:r>
        <w:rPr>
          <w:color w:val="000000"/>
          <w:spacing w:val="0"/>
          <w:w w:val="100"/>
          <w:position w:val="0"/>
        </w:rPr>
        <w:t>计量租赁负债时，具有相似特征的租赁采用同一折现率；</w:t>
      </w:r>
    </w:p>
    <w:p>
      <w:pPr>
        <w:pStyle w:val="Style18"/>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使用权资产的计量不包含初始直接费用；</w:t>
      </w:r>
    </w:p>
    <w:p>
      <w:pPr>
        <w:pStyle w:val="Style18"/>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存在续租选择权或终止租赁选择权的，本公司根据首次执行日前选择权的实际行使及其他最新情况确定租赁期；</w:t>
      </w:r>
    </w:p>
    <w:p>
      <w:pPr>
        <w:pStyle w:val="Style18"/>
        <w:keepNext w:val="0"/>
        <w:keepLines w:val="0"/>
        <w:widowControl w:val="0"/>
        <w:shd w:val="clear" w:color="auto" w:fill="auto"/>
        <w:bidi w:val="0"/>
        <w:spacing w:before="0" w:after="100" w:line="312" w:lineRule="exact"/>
        <w:ind w:left="900" w:right="0" w:hanging="360"/>
        <w:jc w:val="both"/>
      </w:pPr>
      <w:r>
        <w:rPr>
          <w:color w:val="000000"/>
          <w:spacing w:val="0"/>
          <w:w w:val="100"/>
          <w:position w:val="0"/>
        </w:rPr>
        <w:t>•</w:t>
      </w:r>
      <w:r>
        <w:rPr>
          <w:color w:val="000000"/>
          <w:spacing w:val="0"/>
          <w:w w:val="100"/>
          <w:position w:val="0"/>
        </w:rPr>
        <w:t>作为使用权资产减值测试的替代，本公司根据《企业会计准则第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号——或有事项》评估包含租赁的合同在首次 执行日前是否为亏损合同，并根据首次执行日前计入资产负债表的亏损准备金额调整使用权资产；</w:t>
      </w:r>
    </w:p>
    <w:p>
      <w:pPr>
        <w:pStyle w:val="Style18"/>
        <w:keepNext w:val="0"/>
        <w:keepLines w:val="0"/>
        <w:widowControl w:val="0"/>
        <w:shd w:val="clear" w:color="auto" w:fill="auto"/>
        <w:bidi w:val="0"/>
        <w:spacing w:before="0" w:after="100" w:line="312" w:lineRule="exact"/>
        <w:ind w:left="0" w:right="0" w:firstLine="540"/>
        <w:jc w:val="both"/>
      </w:pPr>
      <w:r>
        <w:rPr>
          <w:color w:val="000000"/>
          <w:spacing w:val="0"/>
          <w:w w:val="100"/>
          <w:position w:val="0"/>
        </w:rPr>
        <w:t>•</w:t>
      </w:r>
      <w:r>
        <w:rPr>
          <w:color w:val="000000"/>
          <w:spacing w:val="0"/>
          <w:w w:val="100"/>
          <w:position w:val="0"/>
        </w:rPr>
        <w:t>首次执行日之前发生租赁变更的，本公司根据租赁变更的最终安排进行会计处理。</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②本公司作为出租人</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对于首次执行日前划分为经营租赁且在首次执行日后仍存续的转租赁，本公司作为转租出租人在首次执行日基于原租赁 和转租赁的剩余合同期限和条款进行重新评估并做出分类。除此之外，本公司未对作为出租人的租赁按照衔接规定进行调整， 而是自首次执行日起按照新租赁准则进行会计处理。</w:t>
      </w:r>
    </w:p>
    <w:p>
      <w:pPr>
        <w:pStyle w:val="Style37"/>
        <w:keepNext w:val="0"/>
        <w:keepLines w:val="0"/>
        <w:widowControl w:val="0"/>
        <w:shd w:val="clear" w:color="auto" w:fill="auto"/>
        <w:bidi w:val="0"/>
        <w:spacing w:before="0" w:after="680" w:line="310" w:lineRule="exact"/>
        <w:ind w:left="0" w:right="0" w:firstLine="360"/>
        <w:jc w:val="both"/>
      </w:pPr>
      <w:r>
        <w:rPr>
          <w:rFonts w:ascii="SimSun" w:eastAsia="SimSun" w:hAnsi="SimSun" w:cs="SimSun"/>
          <w:b w:val="0"/>
          <w:bCs w:val="0"/>
          <w:color w:val="000000"/>
          <w:spacing w:val="0"/>
          <w:w w:val="100"/>
          <w:position w:val="0"/>
        </w:rPr>
        <w:t>因执行新租赁准则，本公司合并财务报表相应调整</w:t>
      </w: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1</w:t>
      </w:r>
      <w:r>
        <w:rPr>
          <w:rFonts w:ascii="SimSun" w:eastAsia="SimSun" w:hAnsi="SimSun" w:cs="SimSun"/>
          <w:b w:val="0"/>
          <w:bCs w:val="0"/>
          <w:color w:val="000000"/>
          <w:spacing w:val="0"/>
          <w:w w:val="100"/>
          <w:position w:val="0"/>
        </w:rPr>
        <w:t>月</w:t>
      </w:r>
      <w:r>
        <w:rPr>
          <w:b w:val="0"/>
          <w:bCs w:val="0"/>
          <w:color w:val="000000"/>
          <w:spacing w:val="0"/>
          <w:w w:val="100"/>
          <w:position w:val="0"/>
        </w:rPr>
        <w:t>1</w:t>
      </w:r>
      <w:r>
        <w:rPr>
          <w:rFonts w:ascii="SimSun" w:eastAsia="SimSun" w:hAnsi="SimSun" w:cs="SimSun"/>
          <w:b w:val="0"/>
          <w:bCs w:val="0"/>
          <w:color w:val="000000"/>
          <w:spacing w:val="0"/>
          <w:w w:val="100"/>
          <w:position w:val="0"/>
        </w:rPr>
        <w:t>日使用权资产</w:t>
      </w:r>
      <w:r>
        <w:rPr>
          <w:b w:val="0"/>
          <w:bCs w:val="0"/>
          <w:color w:val="000000"/>
          <w:spacing w:val="0"/>
          <w:w w:val="100"/>
          <w:position w:val="0"/>
        </w:rPr>
        <w:t>24,835,847.41</w:t>
      </w:r>
      <w:r>
        <w:rPr>
          <w:rFonts w:ascii="SimSun" w:eastAsia="SimSun" w:hAnsi="SimSun" w:cs="SimSun"/>
          <w:b w:val="0"/>
          <w:bCs w:val="0"/>
          <w:color w:val="000000"/>
          <w:spacing w:val="0"/>
          <w:w w:val="100"/>
          <w:position w:val="0"/>
        </w:rPr>
        <w:t>元、租赁负债</w:t>
      </w:r>
      <w:r>
        <w:rPr>
          <w:b w:val="0"/>
          <w:bCs w:val="0"/>
          <w:color w:val="000000"/>
          <w:spacing w:val="0"/>
          <w:w w:val="100"/>
          <w:position w:val="0"/>
        </w:rPr>
        <w:t xml:space="preserve">24,163,341.56 </w:t>
      </w:r>
      <w:r>
        <w:rPr>
          <w:rFonts w:ascii="SimSun" w:eastAsia="SimSun" w:hAnsi="SimSun" w:cs="SimSun"/>
          <w:b w:val="0"/>
          <w:bCs w:val="0"/>
          <w:color w:val="000000"/>
          <w:spacing w:val="0"/>
          <w:w w:val="100"/>
          <w:position w:val="0"/>
        </w:rPr>
        <w:t>元、预付款项</w:t>
      </w:r>
      <w:r>
        <w:rPr>
          <w:b w:val="0"/>
          <w:bCs w:val="0"/>
          <w:color w:val="000000"/>
          <w:spacing w:val="0"/>
          <w:w w:val="100"/>
          <w:position w:val="0"/>
        </w:rPr>
        <w:t>271,378.12</w:t>
      </w:r>
      <w:r>
        <w:rPr>
          <w:rFonts w:ascii="SimSun" w:eastAsia="SimSun" w:hAnsi="SimSun" w:cs="SimSun"/>
          <w:b w:val="0"/>
          <w:bCs w:val="0"/>
          <w:color w:val="000000"/>
          <w:spacing w:val="0"/>
          <w:w w:val="100"/>
          <w:position w:val="0"/>
        </w:rPr>
        <w:t>元及其他应收款</w:t>
      </w:r>
      <w:r>
        <w:rPr>
          <w:b w:val="0"/>
          <w:bCs w:val="0"/>
          <w:color w:val="000000"/>
          <w:spacing w:val="0"/>
          <w:w w:val="100"/>
          <w:position w:val="0"/>
        </w:rPr>
        <w:t>401,127.73</w:t>
      </w:r>
      <w:r>
        <w:rPr>
          <w:rFonts w:ascii="SimSun" w:eastAsia="SimSun" w:hAnsi="SimSun" w:cs="SimSun"/>
          <w:b w:val="0"/>
          <w:bCs w:val="0"/>
          <w:color w:val="000000"/>
          <w:spacing w:val="0"/>
          <w:w w:val="100"/>
          <w:position w:val="0"/>
        </w:rPr>
        <w:t>元。本公司母公司财务报表相应调整</w:t>
      </w: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1</w:t>
      </w:r>
      <w:r>
        <w:rPr>
          <w:rFonts w:ascii="SimSun" w:eastAsia="SimSun" w:hAnsi="SimSun" w:cs="SimSun"/>
          <w:b w:val="0"/>
          <w:bCs w:val="0"/>
          <w:color w:val="000000"/>
          <w:spacing w:val="0"/>
          <w:w w:val="100"/>
          <w:position w:val="0"/>
        </w:rPr>
        <w:t>月</w:t>
      </w:r>
      <w:r>
        <w:rPr>
          <w:b w:val="0"/>
          <w:bCs w:val="0"/>
          <w:color w:val="000000"/>
          <w:spacing w:val="0"/>
          <w:w w:val="100"/>
          <w:position w:val="0"/>
        </w:rPr>
        <w:t>1</w:t>
      </w:r>
      <w:r>
        <w:rPr>
          <w:rFonts w:ascii="SimSun" w:eastAsia="SimSun" w:hAnsi="SimSun" w:cs="SimSun"/>
          <w:b w:val="0"/>
          <w:bCs w:val="0"/>
          <w:color w:val="000000"/>
          <w:spacing w:val="0"/>
          <w:w w:val="100"/>
          <w:position w:val="0"/>
        </w:rPr>
        <w:t xml:space="preserve">日使用权资产 </w:t>
      </w:r>
      <w:r>
        <w:rPr>
          <w:b w:val="0"/>
          <w:bCs w:val="0"/>
          <w:color w:val="000000"/>
          <w:spacing w:val="0"/>
          <w:w w:val="100"/>
          <w:position w:val="0"/>
        </w:rPr>
        <w:t>12,028,538.00</w:t>
      </w:r>
      <w:r>
        <w:rPr>
          <w:rFonts w:ascii="SimSun" w:eastAsia="SimSun" w:hAnsi="SimSun" w:cs="SimSun"/>
          <w:b w:val="0"/>
          <w:bCs w:val="0"/>
          <w:color w:val="000000"/>
          <w:spacing w:val="0"/>
          <w:w w:val="100"/>
          <w:position w:val="0"/>
        </w:rPr>
        <w:t>元、租赁负债</w:t>
      </w:r>
      <w:r>
        <w:rPr>
          <w:b w:val="0"/>
          <w:bCs w:val="0"/>
          <w:color w:val="000000"/>
          <w:spacing w:val="0"/>
          <w:w w:val="100"/>
          <w:position w:val="0"/>
        </w:rPr>
        <w:t>11,534,506.5</w:t>
      </w:r>
      <w:r>
        <w:rPr>
          <w:b w:val="0"/>
          <w:bCs w:val="0"/>
          <w:color w:val="000000"/>
          <w:spacing w:val="0"/>
          <w:w w:val="100"/>
          <w:position w:val="0"/>
        </w:rPr>
        <w:t>1</w:t>
      </w:r>
      <w:r>
        <w:rPr>
          <w:rFonts w:ascii="SimSun" w:eastAsia="SimSun" w:hAnsi="SimSun" w:cs="SimSun"/>
          <w:b w:val="0"/>
          <w:bCs w:val="0"/>
          <w:color w:val="000000"/>
          <w:spacing w:val="0"/>
          <w:w w:val="100"/>
          <w:position w:val="0"/>
        </w:rPr>
        <w:t>元、预付款项</w:t>
      </w:r>
      <w:r>
        <w:rPr>
          <w:b w:val="0"/>
          <w:bCs w:val="0"/>
          <w:color w:val="000000"/>
          <w:spacing w:val="0"/>
          <w:w w:val="100"/>
          <w:position w:val="0"/>
        </w:rPr>
        <w:t>92,903.76</w:t>
      </w:r>
      <w:r>
        <w:rPr>
          <w:rFonts w:ascii="SimSun" w:eastAsia="SimSun" w:hAnsi="SimSun" w:cs="SimSun"/>
          <w:b w:val="0"/>
          <w:bCs w:val="0"/>
          <w:color w:val="000000"/>
          <w:spacing w:val="0"/>
          <w:w w:val="100"/>
          <w:position w:val="0"/>
        </w:rPr>
        <w:t>元及其他应收款</w:t>
      </w:r>
      <w:r>
        <w:rPr>
          <w:b w:val="0"/>
          <w:bCs w:val="0"/>
          <w:color w:val="000000"/>
          <w:spacing w:val="0"/>
          <w:w w:val="100"/>
          <w:position w:val="0"/>
        </w:rPr>
        <w:t>401,127.73</w:t>
      </w:r>
      <w:r>
        <w:rPr>
          <w:rFonts w:ascii="SimSun" w:eastAsia="SimSun" w:hAnsi="SimSun" w:cs="SimSun"/>
          <w:b w:val="0"/>
          <w:bCs w:val="0"/>
          <w:color w:val="000000"/>
          <w:spacing w:val="0"/>
          <w:w w:val="100"/>
          <w:position w:val="0"/>
        </w:rPr>
        <w:t>元。</w:t>
      </w:r>
    </w:p>
    <w:p>
      <w:pPr>
        <w:pStyle w:val="Style40"/>
        <w:keepNext/>
        <w:keepLines/>
        <w:widowControl w:val="0"/>
        <w:shd w:val="clear" w:color="auto" w:fill="auto"/>
        <w:tabs>
          <w:tab w:pos="493" w:val="left"/>
        </w:tabs>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70"/>
      <w:bookmarkEnd w:id="1271"/>
      <w:bookmarkEnd w:id="1273"/>
    </w:p>
    <w:p>
      <w:pPr>
        <w:pStyle w:val="Style1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both"/>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74"/>
      <w:bookmarkEnd w:id="1275"/>
      <w:bookmarkEnd w:id="1277"/>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2,025,545,930.28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2,025,545,930.28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40,044,072.85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40,044,072.85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14,564,440.26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14,564,440.26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1,326,928,886.08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1,326,928,886.08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87,413,211.07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87,413,211.07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-271,378.12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103,952,804.14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103,952,804.14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-401,127.73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933,320,988.76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933,320,988.76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698,408,580.93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698,408,580.93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35,520,397.30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35,520,397.30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45,466,902.04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45,466,902.04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5,312,145,813.71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5,312,145,813.71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-672,505.85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40,474,498.47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40,474,498.47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188,534,607.71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188,534,607.71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90,392,190.36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90,392,190.36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24,835,847.41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24,835,847.41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37,761,619.75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37,761,619.75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161,430,965.24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161,430,965.24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5,519,695.06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5,519,695.06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53,432,718.85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53,432,718.85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1,048,270,188.36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1,048,270,188.36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1,626,191,483.80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1,626,191,483.80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24,835,847.41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6,938,337,297.51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6,938,337,297.51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24,163,341.56</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255,292,083.32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255,292,083.32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789,577,445.38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789,577,445.38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1,108,439,919.93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1,108,439,919.93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261,743,529.20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261,743,529.20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93,296,807.36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93,296,807.36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109,967,237.91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109,967,237.91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44,501,780.87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44,501,780.87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7,850,917.50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23,749,305.74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23,749,305.74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2,686,811,082.31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2,686,811,082.31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7,850,917.50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939,719,036.58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939,719,036.58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16,312,424.06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16,312,424.06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1,775,008.42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1,775,008.42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943,260,845.00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943,260,845.00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16,312,424.06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3,630,071,927.31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3,630,071,927.31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24,163,341.56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220,746,347.00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220,746,347.00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143,750,878.21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143,750,878.21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1,424,697,484.78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1,424,697,484.78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58,677,999.65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58,677,999.65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126,212,480.46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126,212,480.46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1,257,286,319.92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1,257,286,319.92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3,231,369,495.63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3,231,369,495.63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76,895,874.57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76,895,874.57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3,308,265,370.20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3,308,265,370.20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6,938,337,297.51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6,938,337,297.51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24,163,341.56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539" w:line="1" w:lineRule="exact"/>
      </w:pPr>
    </w:p>
    <w:p>
      <w:pPr>
        <w:pStyle w:val="Style18"/>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、使用权资产、租赁负债、预付款项、其他应收款、一年内到期的非流动负债</w:t>
      </w:r>
    </w:p>
    <w:p>
      <w:pPr>
        <w:pStyle w:val="Style18"/>
        <w:keepNext w:val="0"/>
        <w:keepLines w:val="0"/>
        <w:widowControl w:val="0"/>
        <w:shd w:val="clear" w:color="auto" w:fill="auto"/>
        <w:bidi w:val="0"/>
        <w:spacing w:before="0" w:after="480" w:line="314" w:lineRule="exact"/>
        <w:ind w:left="0" w:right="0" w:firstLine="3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rPr>
        <w:t>24,163,341.56</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,850,917.50</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24,835,847.41</w:t>
      </w:r>
      <w:r>
        <w:rPr>
          <w:color w:val="000000"/>
          <w:spacing w:val="0"/>
          <w:w w:val="100"/>
          <w:position w:val="0"/>
        </w:rPr>
        <w:t>元；同时，预付款项减少</w:t>
      </w:r>
      <w:r>
        <w:rPr>
          <w:rFonts w:ascii="Times New Roman" w:eastAsia="Times New Roman" w:hAnsi="Times New Roman" w:cs="Times New Roman"/>
          <w:color w:val="000000"/>
          <w:spacing w:val="0"/>
          <w:w w:val="100"/>
          <w:position w:val="0"/>
        </w:rPr>
        <w:t>271,378.12</w:t>
      </w:r>
      <w:r>
        <w:rPr>
          <w:color w:val="000000"/>
          <w:spacing w:val="0"/>
          <w:w w:val="100"/>
          <w:position w:val="0"/>
        </w:rPr>
        <w:t>元、 其他应收款减少</w:t>
      </w:r>
      <w:r>
        <w:rPr>
          <w:rFonts w:ascii="Times New Roman" w:eastAsia="Times New Roman" w:hAnsi="Times New Roman" w:cs="Times New Roman"/>
          <w:color w:val="000000"/>
          <w:spacing w:val="0"/>
          <w:w w:val="100"/>
          <w:position w:val="0"/>
        </w:rPr>
        <w:t>401,127.73</w:t>
      </w:r>
      <w:r>
        <w:rPr>
          <w:color w:val="000000"/>
          <w:spacing w:val="0"/>
          <w:w w:val="100"/>
          <w:position w:val="0"/>
        </w:rPr>
        <w:t>元。</w:t>
      </w:r>
    </w:p>
    <w:p>
      <w:pPr>
        <w:pStyle w:val="Style18"/>
        <w:keepNext w:val="0"/>
        <w:keepLines w:val="0"/>
        <w:widowControl w:val="0"/>
        <w:shd w:val="clear" w:color="auto" w:fill="auto"/>
        <w:bidi w:val="0"/>
        <w:spacing w:before="0" w:after="40" w:line="314" w:lineRule="exact"/>
        <w:ind w:left="0" w:right="0" w:firstLine="0"/>
        <w:jc w:val="both"/>
      </w:pPr>
      <w:r>
        <w:rPr>
          <w:color w:val="000000"/>
          <w:spacing w:val="0"/>
          <w:w w:val="100"/>
          <w:position w:val="0"/>
        </w:rPr>
        <w:t>母公司资产负债表</w:t>
      </w:r>
    </w:p>
    <w:p>
      <w:pPr>
        <w:pStyle w:val="Style18"/>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1,779,086,720.54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1,779,086,720.54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20,422,949.56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20,422,949.56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9,159,796.71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9,159,796.71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1,137,235,755.15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1,137,235,755.15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57,510,144.48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57,417,240.72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-92,903.76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362,593,536.24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362,593,536.24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-401,127.73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678,309,080.48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678,309,080.48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692,218,116.51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692,218,116.51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35,520,397.30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35,520,397.30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23,989,608.59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23,989,608.59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4,796,846,105.56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419,609,649.23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-494,031.49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449,344,968.09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449,344,968.09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183,084,198.91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183,084,198.91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12,028,538.00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12,028,538.00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3,303,960.31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3,303,960.31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10,212,316.57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10,212,316.57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3,942,328.72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3,942,328.72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42,870,464.46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42,870,464.46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1,040,469,589.38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1,040,469,589.38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1,733,602,826.44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12,028,538.00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12,028,538.00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6,530,448,932.00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431,638,187.23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11,534,506.51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250,252,083.32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250,252,083.32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788,953,445.38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788,953,445.38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951,156,730.73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951,156,730.73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146,119,839.54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146,119,839.54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81,560,099.64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81,560,099.64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95,109,256.31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95,109,256.31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43,353,445.01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43,353,445.01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4,481,242.79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4,481,242.79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14,921,947.52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14,921,947.52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2,371,650,820.05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4,481,242.79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4,481,242.79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939,719,036.58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939,719,036.58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7,053,263.72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7,053,263.72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63,442.43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63,442.43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941,282,479.01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7,053,263.72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7,053,263.72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3,312,933,299.06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11,534,506.51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11,534,506.51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220,746,347.00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220,746,347.00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143,750,878.21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143,750,878.21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1,422,843,858.58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1,422,843,858.58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58,677,999.65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58,677,999.65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126,212,480.46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126,212,480.46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1,245,284,069.04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1,245,284,069.04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3,217,515,632.94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3,217,515,632.94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6,530,448,932.00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11,534,506.51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11,534,506.51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99" w:line="1" w:lineRule="exact"/>
      </w:pPr>
    </w:p>
    <w:p>
      <w:pPr>
        <w:pStyle w:val="Style18"/>
        <w:keepNext w:val="0"/>
        <w:keepLines w:val="0"/>
        <w:widowControl w:val="0"/>
        <w:shd w:val="clear" w:color="auto" w:fill="auto"/>
        <w:bidi w:val="0"/>
        <w:spacing w:before="0" w:after="100" w:line="314"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、使用权资产、租赁负债、预付款项、其他应收款、一年内到期的非流动负债</w:t>
      </w:r>
    </w:p>
    <w:p>
      <w:pPr>
        <w:pStyle w:val="Style18"/>
        <w:keepNext w:val="0"/>
        <w:keepLines w:val="0"/>
        <w:widowControl w:val="0"/>
        <w:shd w:val="clear" w:color="auto" w:fill="auto"/>
        <w:bidi w:val="0"/>
        <w:spacing w:before="0" w:after="360" w:line="314" w:lineRule="exact"/>
        <w:ind w:left="0" w:right="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日，对于首次执行日前的经营租赁，本公司采用首次执行日前增量借款利率折现后的现值计量租赁负债， 金额为</w:t>
      </w:r>
      <w:r>
        <w:rPr>
          <w:rFonts w:ascii="Times New Roman" w:eastAsia="Times New Roman" w:hAnsi="Times New Roman" w:cs="Times New Roman"/>
          <w:color w:val="000000"/>
          <w:spacing w:val="0"/>
          <w:w w:val="100"/>
          <w:position w:val="0"/>
        </w:rPr>
        <w:t>11,534,506.51</w:t>
      </w:r>
      <w:r>
        <w:rPr>
          <w:color w:val="000000"/>
          <w:spacing w:val="0"/>
          <w:w w:val="100"/>
          <w:position w:val="0"/>
        </w:rPr>
        <w:t>元，其中将于一年内到期的金额</w:t>
      </w:r>
      <w:r>
        <w:rPr>
          <w:rFonts w:ascii="Times New Roman" w:eastAsia="Times New Roman" w:hAnsi="Times New Roman" w:cs="Times New Roman"/>
          <w:color w:val="000000"/>
          <w:spacing w:val="0"/>
          <w:w w:val="100"/>
          <w:position w:val="0"/>
        </w:rPr>
        <w:t>4,481,242.79</w:t>
      </w:r>
      <w:r>
        <w:rPr>
          <w:color w:val="000000"/>
          <w:spacing w:val="0"/>
          <w:w w:val="100"/>
          <w:position w:val="0"/>
        </w:rPr>
        <w:t>元重分类至一年内到期的非流动负债。本公司按照与租赁负 债相等的金额，并根据预付租金进行必要调整计量使用权资产，金额为</w:t>
      </w:r>
      <w:r>
        <w:rPr>
          <w:rFonts w:ascii="Times New Roman" w:eastAsia="Times New Roman" w:hAnsi="Times New Roman" w:cs="Times New Roman"/>
          <w:color w:val="000000"/>
          <w:spacing w:val="0"/>
          <w:w w:val="100"/>
          <w:position w:val="0"/>
        </w:rPr>
        <w:t>12,028,538.00</w:t>
      </w:r>
      <w:r>
        <w:rPr>
          <w:color w:val="000000"/>
          <w:spacing w:val="0"/>
          <w:w w:val="100"/>
          <w:position w:val="0"/>
        </w:rPr>
        <w:t>元；同时，预付款项减少</w:t>
      </w:r>
      <w:r>
        <w:rPr>
          <w:rFonts w:ascii="Times New Roman" w:eastAsia="Times New Roman" w:hAnsi="Times New Roman" w:cs="Times New Roman"/>
          <w:color w:val="000000"/>
          <w:spacing w:val="0"/>
          <w:w w:val="100"/>
          <w:position w:val="0"/>
        </w:rPr>
        <w:t>92,903.76</w:t>
      </w:r>
      <w:r>
        <w:rPr>
          <w:color w:val="000000"/>
          <w:spacing w:val="0"/>
          <w:w w:val="100"/>
          <w:position w:val="0"/>
        </w:rPr>
        <w:t>元、 其他应收款减少</w:t>
      </w:r>
      <w:r>
        <w:rPr>
          <w:rFonts w:ascii="Times New Roman" w:eastAsia="Times New Roman" w:hAnsi="Times New Roman" w:cs="Times New Roman"/>
          <w:color w:val="000000"/>
          <w:spacing w:val="0"/>
          <w:w w:val="100"/>
          <w:position w:val="0"/>
        </w:rPr>
        <w:t>401,127.73</w:t>
      </w:r>
      <w:r>
        <w:rPr>
          <w:color w:val="000000"/>
          <w:spacing w:val="0"/>
          <w:w w:val="100"/>
          <w:position w:val="0"/>
        </w:rPr>
        <w:t>元。</w:t>
      </w:r>
    </w:p>
    <w:p>
      <w:pPr>
        <w:pStyle w:val="Style40"/>
        <w:keepNext/>
        <w:keepLines/>
        <w:widowControl w:val="0"/>
        <w:shd w:val="clear" w:color="auto" w:fill="auto"/>
        <w:bidi w:val="0"/>
        <w:spacing w:before="0" w:after="3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78"/>
      <w:bookmarkEnd w:id="1279"/>
      <w:bookmarkEnd w:id="1281"/>
    </w:p>
    <w:p>
      <w:pPr>
        <w:pStyle w:val="Style1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82"/>
      <w:bookmarkEnd w:id="1283"/>
      <w:bookmarkEnd w:id="1285"/>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sz w:val="24"/>
          <w:szCs w:val="24"/>
        </w:rPr>
        <w:t>六</w:t>
      </w:r>
      <w:bookmarkEnd w:id="1288"/>
      <w:r>
        <w:rPr>
          <w:color w:val="000000"/>
          <w:spacing w:val="0"/>
          <w:w w:val="100"/>
          <w:position w:val="0"/>
          <w:sz w:val="24"/>
          <w:szCs w:val="24"/>
        </w:rPr>
        <w:t>、税项</w:t>
      </w:r>
      <w:bookmarkEnd w:id="1286"/>
      <w:bookmarkEnd w:id="1287"/>
      <w:bookmarkEnd w:id="1289"/>
    </w:p>
    <w:p>
      <w:pPr>
        <w:pStyle w:val="Style29"/>
        <w:keepNext/>
        <w:keepLines/>
        <w:widowControl w:val="0"/>
        <w:shd w:val="clear" w:color="auto" w:fill="auto"/>
        <w:bidi w:val="0"/>
        <w:spacing w:before="0" w:after="3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color w:val="000000"/>
          <w:spacing w:val="0"/>
          <w:w w:val="100"/>
          <w:position w:val="0"/>
        </w:rPr>
        <w:t>、主要税种及税率</w:t>
      </w:r>
      <w:bookmarkEnd w:id="1290"/>
      <w:bookmarkEnd w:id="1291"/>
      <w:bookmarkEnd w:id="129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销售货物、应税服务、销售无形资产或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者不动产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3%</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广西诚本规划设计咨询有限公司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广西润联检测技术有限公司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广州卓联科技有限公司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长嘉科技有限公司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润沃科技（山东）有限公司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广东南粤云视科技有限公司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广西信安锐达科技有限公司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润建（广东）有限公司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润建智慧能源有限责任公司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湖南润玖科技有限公司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广州市泺立能源科技有限公司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广州市赛皓达智能科技有限公司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广州恒泰电力工程有限公司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广州鑫广源电力设计有限公司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广东鹰扬电力设计有限公司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广东博深咨询有限公司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润建国际有限公司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R&amp;JINTERNATIONAL(SINGAPORE)PTE.LTD.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PT.RJGFINTERNATIONALINDONESIA</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PT.RJIINTERNATIONALINDONESIA</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RJGFPHILPPINECORP.</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上海润建科技有限公司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天津安可达科技有限公司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广东润建电力科技有限公司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R&amp;J Technologies GmbH</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山东旋几工业自动化有限公司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广西旋几工业技术有限公司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陕西旋几工业自动化有限公司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广东旋几工业自动化有限公司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润和世联数据科技有限公司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海南禹尧数据科技有限公司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广西云数工程咨询有限公司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广州智海信息科技有限公司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润建数智教育科技有限公司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润建新能源（广西）有限公司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广西润佳新能源有限公司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广西润捷新能源有限公司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广州润盛新能源有限公司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润建新能源有限责任公司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广东润捷设计有限公司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永福润福能源有限公司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横州润曦能源有限公司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广西云视数乡科技有限公司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深圳广润建设发展有限公司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广州研通通信工程有限公司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color w:val="000000"/>
          <w:spacing w:val="0"/>
          <w:w w:val="100"/>
          <w:position w:val="0"/>
        </w:rPr>
        <w:t>、税收优惠</w:t>
      </w:r>
      <w:bookmarkEnd w:id="1294"/>
      <w:bookmarkEnd w:id="1295"/>
      <w:bookmarkEnd w:id="1297"/>
    </w:p>
    <w:p>
      <w:pPr>
        <w:pStyle w:val="Style1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rPr>
        <w:t>GR201945000136</w:t>
      </w:r>
      <w:r>
        <w:rPr>
          <w:color w:val="000000"/>
          <w:spacing w:val="0"/>
          <w:w w:val="100"/>
          <w:position w:val="0"/>
        </w:rPr>
        <w:t>,</w:t>
      </w:r>
      <w:r>
        <w:rPr>
          <w:color w:val="000000"/>
          <w:spacing w:val="0"/>
          <w:w w:val="100"/>
          <w:position w:val="0"/>
        </w:rPr>
        <w:t>有效期三年，根据《中华人民共和国企业 所得税法》规定，本公司</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税率计缴企业所得税。</w:t>
      </w:r>
    </w:p>
    <w:p>
      <w:pPr>
        <w:pStyle w:val="Style18"/>
        <w:keepNext w:val="0"/>
        <w:keepLines w:val="0"/>
        <w:widowControl w:val="0"/>
        <w:shd w:val="clear" w:color="auto" w:fill="auto"/>
        <w:bidi w:val="0"/>
        <w:spacing w:before="0" w:after="100" w:line="322" w:lineRule="exact"/>
        <w:ind w:left="0" w:right="0"/>
        <w:jc w:val="both"/>
      </w:pPr>
      <w:r>
        <w:rPr>
          <w:color w:val="000000"/>
          <w:spacing w:val="0"/>
          <w:w w:val="100"/>
          <w:position w:val="0"/>
        </w:rPr>
        <w:t>本公司子公司鑫广源于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rPr>
        <w:t>GR201744009977</w:t>
      </w:r>
      <w:r>
        <w:rPr>
          <w:color w:val="000000"/>
          <w:spacing w:val="0"/>
          <w:w w:val="100"/>
          <w:position w:val="0"/>
        </w:rPr>
        <w:t>，</w:t>
      </w:r>
      <w:r>
        <w:rPr>
          <w:color w:val="000000"/>
          <w:spacing w:val="0"/>
          <w:w w:val="100"/>
          <w:position w:val="0"/>
        </w:rPr>
        <w:t>有效期三年，并于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日通过复审，有效期三年。根据《中华人民共和国企业所得税法》规定，子公司鑫广源</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税率计缴企业 所得税。</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本公司子公司泺立能源于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rPr>
        <w:t>GR202044002875</w:t>
      </w:r>
      <w:r>
        <w:rPr>
          <w:color w:val="000000"/>
          <w:spacing w:val="0"/>
          <w:w w:val="100"/>
          <w:position w:val="0"/>
        </w:rPr>
        <w:t>，有效期三年。根据《中华 人民共和国企业所得税法》规定，子公司泺立能源</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税率计缴企业所得税。</w:t>
      </w:r>
    </w:p>
    <w:p>
      <w:pPr>
        <w:pStyle w:val="Style1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本公司子公司润和世联于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rPr>
        <w:t>GR201844004840</w:t>
      </w:r>
      <w:r>
        <w:rPr>
          <w:color w:val="000000"/>
          <w:spacing w:val="0"/>
          <w:w w:val="100"/>
          <w:position w:val="0"/>
        </w:rPr>
        <w:t>，</w:t>
      </w:r>
      <w:r>
        <w:rPr>
          <w:color w:val="000000"/>
          <w:spacing w:val="0"/>
          <w:w w:val="100"/>
          <w:position w:val="0"/>
        </w:rPr>
        <w:t>有效期三年，并于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日通过复审，有效期三年。根据《中华人民共和国企业所得税法》规定，子公司润和世联</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税率计 缴企业所得税。</w:t>
      </w:r>
    </w:p>
    <w:p>
      <w:pPr>
        <w:pStyle w:val="Style1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本公司孙公司赛皓达于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月取得高新技术企业证书，证书编号：</w:t>
      </w:r>
      <w:r>
        <w:rPr>
          <w:rFonts w:ascii="Times New Roman" w:eastAsia="Times New Roman" w:hAnsi="Times New Roman" w:cs="Times New Roman"/>
          <w:color w:val="000000"/>
          <w:spacing w:val="0"/>
          <w:w w:val="100"/>
          <w:position w:val="0"/>
        </w:rPr>
        <w:t>GR201844002127</w:t>
      </w:r>
      <w:r>
        <w:rPr>
          <w:color w:val="000000"/>
          <w:spacing w:val="0"/>
          <w:w w:val="100"/>
          <w:position w:val="0"/>
        </w:rPr>
        <w:t>，</w:t>
      </w:r>
      <w:r>
        <w:rPr>
          <w:color w:val="000000"/>
          <w:spacing w:val="0"/>
          <w:w w:val="100"/>
          <w:position w:val="0"/>
        </w:rPr>
        <w:t>有效期三年，并于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日通过复审，有效期三年。根据《中华人民共和国企业所得税法》规定，公司</w:t>
      </w:r>
      <w:r>
        <w:rPr>
          <w:rFonts w:ascii="Times New Roman" w:eastAsia="Times New Roman" w:hAnsi="Times New Roman" w:cs="Times New Roman"/>
          <w:color w:val="000000"/>
          <w:spacing w:val="0"/>
          <w:w w:val="100"/>
          <w:position w:val="0"/>
        </w:rPr>
        <w:t>2021</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税率计缴企业所得税。</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根据《财政部税务总局关于实施小微企业普惠性税收减免政策的通知》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 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 税。根据《财政部税务总局关于实施小微企业和个体工商户所得税优惠政策的公告》（财政部税务总局公告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 </w:t>
      </w:r>
      <w:r>
        <w:rPr>
          <w:color w:val="000000"/>
          <w:spacing w:val="0"/>
          <w:w w:val="100"/>
          <w:position w:val="0"/>
        </w:rPr>
        <w:t>规定，对小型微利企业年应纳税所得额不超过</w:t>
      </w:r>
      <w:r>
        <w:rPr>
          <w:rFonts w:ascii="Times New Roman" w:eastAsia="Times New Roman" w:hAnsi="Times New Roman" w:cs="Times New Roman"/>
          <w:color w:val="000000"/>
          <w:spacing w:val="0"/>
          <w:w w:val="100"/>
          <w:position w:val="0"/>
        </w:rPr>
        <w:t>10 0</w:t>
      </w:r>
      <w:r>
        <w:rPr>
          <w:color w:val="000000"/>
          <w:spacing w:val="0"/>
          <w:w w:val="100"/>
          <w:position w:val="0"/>
        </w:rPr>
        <w:t>万元的部分，在原优惠政策的基础上，再减半征收企业所得税。</w:t>
      </w:r>
    </w:p>
    <w:p>
      <w:pPr>
        <w:pStyle w:val="Style18"/>
        <w:keepNext w:val="0"/>
        <w:keepLines w:val="0"/>
        <w:widowControl w:val="0"/>
        <w:shd w:val="clear" w:color="auto" w:fill="auto"/>
        <w:bidi w:val="0"/>
        <w:spacing w:before="0" w:after="10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年度本公司子公司诚本规划、润联信息、卓联科技、长嘉科技、润沃科技、南粤云视、润建（广东）、智慧能源、 博深咨询、润建科技、安可达、润建电力、山东旋几、润建数智、新能源（广西）、润佳新能源、润盛新能源、润建新能源、 润捷设计、永福润福、横州润曦、云视数乡、深圳广润、研通通信，孙公司鹰扬电力、湖南润玖、广西旋几、陕西旋几、广 东旋几、海南禹尧、云数工程、润捷新能源适用小型微利企业税收优惠政策。</w:t>
      </w:r>
    </w:p>
    <w:p>
      <w:pPr>
        <w:pStyle w:val="Style18"/>
        <w:keepNext w:val="0"/>
        <w:keepLines w:val="0"/>
        <w:widowControl w:val="0"/>
        <w:shd w:val="clear" w:color="auto" w:fill="auto"/>
        <w:bidi w:val="0"/>
        <w:spacing w:before="0" w:after="40" w:line="317" w:lineRule="exact"/>
        <w:ind w:left="0" w:right="0"/>
        <w:jc w:val="left"/>
      </w:pP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号《关于深化增值税改革有关政策的公告》规定，自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日，本公司子公司鑫广源、智慧能源、博深咨询、山东旋几、南粤云视、诚本规划，孙公司赛皓达、鹰扬电力、润 和世联、润建电力可按照当期可抵扣进项税额加计抵减应纳税额。</w:t>
      </w:r>
    </w:p>
    <w:p>
      <w:pPr>
        <w:pStyle w:val="Style18"/>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pStyle w:val="Style29"/>
        <w:keepNext/>
        <w:keepLines/>
        <w:widowControl w:val="0"/>
        <w:shd w:val="clear" w:color="auto" w:fill="auto"/>
        <w:bidi w:val="0"/>
        <w:spacing w:before="0" w:after="34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color w:val="000000"/>
          <w:spacing w:val="0"/>
          <w:w w:val="100"/>
          <w:position w:val="0"/>
        </w:rPr>
        <w:t>、其他</w:t>
      </w:r>
      <w:bookmarkEnd w:id="1298"/>
      <w:bookmarkEnd w:id="1299"/>
      <w:bookmarkEnd w:id="1301"/>
    </w:p>
    <w:p>
      <w:pPr>
        <w:pStyle w:val="Style23"/>
        <w:keepNext/>
        <w:keepLines/>
        <w:widowControl w:val="0"/>
        <w:shd w:val="clear" w:color="auto" w:fill="auto"/>
        <w:bidi w:val="0"/>
        <w:spacing w:before="0" w:after="34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sz w:val="24"/>
          <w:szCs w:val="24"/>
        </w:rPr>
        <w:t>七</w:t>
      </w:r>
      <w:bookmarkEnd w:id="1304"/>
      <w:r>
        <w:rPr>
          <w:color w:val="000000"/>
          <w:spacing w:val="0"/>
          <w:w w:val="100"/>
          <w:position w:val="0"/>
          <w:sz w:val="24"/>
          <w:szCs w:val="24"/>
        </w:rPr>
        <w:t>、合并财务报表项目注释</w:t>
      </w:r>
      <w:bookmarkEnd w:id="1302"/>
      <w:bookmarkEnd w:id="1303"/>
      <w:bookmarkEnd w:id="1305"/>
    </w:p>
    <w:p>
      <w:pPr>
        <w:pStyle w:val="Style29"/>
        <w:keepNext/>
        <w:keepLines/>
        <w:widowControl w:val="0"/>
        <w:shd w:val="clear" w:color="auto" w:fill="auto"/>
        <w:bidi w:val="0"/>
        <w:spacing w:before="0" w:after="34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color w:val="000000"/>
          <w:spacing w:val="0"/>
          <w:w w:val="100"/>
          <w:position w:val="0"/>
        </w:rPr>
        <w:t>、货币资金</w:t>
      </w:r>
      <w:bookmarkEnd w:id="1306"/>
      <w:bookmarkEnd w:id="1307"/>
      <w:bookmarkEnd w:id="13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194,655.86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2,197,422,356.14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1,893,004,596.26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263,177,034.17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132,346,678.16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2,460,677,998.67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2,025,545,930.28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8,560,799.30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3,857,535.12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340" w:line="314" w:lineRule="exact"/>
        <w:ind w:left="0" w:right="0"/>
        <w:jc w:val="both"/>
      </w:pPr>
      <w:r>
        <w:rPr>
          <w:color w:val="000000"/>
          <w:spacing w:val="0"/>
          <w:w w:val="100"/>
          <w:position w:val="0"/>
        </w:rPr>
        <w:t>注：其他货币资金主要系本公司存入的银行保函保证金、承兑汇票保证金、证券户及支付宝账户等余额，银行保函保证 金、承兑汇票保证金余额</w:t>
      </w:r>
      <w:r>
        <w:rPr>
          <w:rFonts w:ascii="Times New Roman" w:eastAsia="Times New Roman" w:hAnsi="Times New Roman" w:cs="Times New Roman"/>
          <w:color w:val="000000"/>
          <w:spacing w:val="0"/>
          <w:w w:val="100"/>
          <w:position w:val="0"/>
        </w:rPr>
        <w:t>259,155,616.24</w:t>
      </w:r>
      <w:r>
        <w:rPr>
          <w:color w:val="000000"/>
          <w:spacing w:val="0"/>
          <w:w w:val="100"/>
          <w:position w:val="0"/>
        </w:rPr>
        <w:t>元为使用受限金额，除此之外，其他货币资金中无其他因抵押、质押或冻结等对使 用有限制、有潜在回收风险的款项；银行存款中</w:t>
      </w:r>
      <w:r>
        <w:rPr>
          <w:rFonts w:ascii="Times New Roman" w:eastAsia="Times New Roman" w:hAnsi="Times New Roman" w:cs="Times New Roman"/>
          <w:color w:val="000000"/>
          <w:spacing w:val="0"/>
          <w:w w:val="100"/>
          <w:position w:val="0"/>
        </w:rPr>
        <w:t>2,876.79</w:t>
      </w:r>
      <w:r>
        <w:rPr>
          <w:color w:val="000000"/>
          <w:spacing w:val="0"/>
          <w:w w:val="100"/>
          <w:position w:val="0"/>
        </w:rPr>
        <w:t>元为久悬账户使用受限金额，除此之外，银行存款中无其他因抵押、 质押或冻结等对使用有限制、有潜在回收风险的款项。</w:t>
      </w:r>
    </w:p>
    <w:p>
      <w:pPr>
        <w:pStyle w:val="Style29"/>
        <w:keepNext/>
        <w:keepLines/>
        <w:widowControl w:val="0"/>
        <w:shd w:val="clear" w:color="auto" w:fill="auto"/>
        <w:bidi w:val="0"/>
        <w:spacing w:before="0" w:after="34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bookmarkEnd w:id="1312"/>
      <w:r>
        <w:rPr>
          <w:color w:val="000000"/>
          <w:spacing w:val="0"/>
          <w:w w:val="100"/>
          <w:position w:val="0"/>
        </w:rPr>
        <w:t>、交易性金融资产</w:t>
      </w:r>
      <w:bookmarkEnd w:id="1310"/>
      <w:bookmarkEnd w:id="1311"/>
      <w:bookmarkEnd w:id="13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187,050,471.12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40,044,072.85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债务投资工具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187,050,471.12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40,044,072.85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187,050,471.12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40,044,072.85</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color w:val="000000"/>
          <w:spacing w:val="0"/>
          <w:w w:val="100"/>
          <w:position w:val="0"/>
        </w:rPr>
        <w:t>、衍生金融资产</w:t>
      </w:r>
      <w:bookmarkEnd w:id="1314"/>
      <w:bookmarkEnd w:id="1315"/>
      <w:bookmarkEnd w:id="13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color w:val="000000"/>
          <w:spacing w:val="0"/>
          <w:w w:val="100"/>
          <w:position w:val="0"/>
        </w:rPr>
        <w:t>、应收票据</w:t>
      </w:r>
      <w:bookmarkEnd w:id="1318"/>
      <w:bookmarkEnd w:id="1319"/>
      <w:bookmarkEnd w:id="1321"/>
    </w:p>
    <w:p>
      <w:pPr>
        <w:pStyle w:val="Style40"/>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22"/>
      <w:bookmarkEnd w:id="1323"/>
      <w:bookmarkEnd w:id="13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8,179,501.46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1,945,642.08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11,021,018.06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12,618,798.18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19,200,519.52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14,564,440.26</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3"/>
        <w:gridCol w:w="802"/>
        <w:gridCol w:w="926"/>
        <w:gridCol w:w="802"/>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20,196,7</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996,217.</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19,200,51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15,330,98</w:t>
            </w:r>
          </w:p>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766,549.49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14,564,44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11,601,0</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580,053.</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11,021,01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13,282,94</w:t>
            </w:r>
          </w:p>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664,147.28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12,618,79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8,595,66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416,164.</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8,179,501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2,048,044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102,402.21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1,945,642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20,196,7</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996,217.</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19,200,51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15,330,98</w:t>
            </w:r>
          </w:p>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766,549.49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14,564,44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996,217.61</w:t>
      </w:r>
    </w:p>
    <w:p>
      <w:pPr>
        <w:widowControl w:val="0"/>
        <w:spacing w:after="79" w:line="1" w:lineRule="exact"/>
      </w:pPr>
    </w:p>
    <w:p>
      <w:pPr>
        <w:pStyle w:val="Style18"/>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4.93%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11,601,071.64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580,053.58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8,595,665.49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416,164.03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20,196,737.13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996,217.61</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59" w:line="1" w:lineRule="exact"/>
      </w:pPr>
    </w:p>
    <w:p>
      <w:pPr>
        <w:pStyle w:val="Style18"/>
        <w:keepNext w:val="0"/>
        <w:keepLines w:val="0"/>
        <w:widowControl w:val="0"/>
        <w:shd w:val="clear" w:color="auto" w:fill="auto"/>
        <w:bidi w:val="0"/>
        <w:spacing w:before="0" w:after="100" w:line="240" w:lineRule="auto"/>
        <w:ind w:left="0" w:right="0"/>
        <w:jc w:val="left"/>
      </w:pPr>
      <w:r>
        <w:rPr>
          <w:color w:val="000000"/>
          <w:spacing w:val="0"/>
          <w:w w:val="100"/>
          <w:position w:val="0"/>
        </w:rPr>
        <w:t>按组合计提坏账准备的确认标准及说明见附注五、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26"/>
      <w:bookmarkEnd w:id="1327"/>
      <w:bookmarkEnd w:id="1329"/>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商业承兑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664,147.28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-84,093.70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580,053.58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银行承兑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102,402.21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313,761.82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416,164.03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766,549.49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229,668.12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996,217.61</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330"/>
      <w:bookmarkEnd w:id="1331"/>
      <w:bookmarkEnd w:id="13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554,400.00</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334"/>
      <w:bookmarkEnd w:id="1335"/>
      <w:bookmarkEnd w:id="13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3,286,511.47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4,076,692.32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7,363,203.79</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338"/>
      <w:bookmarkEnd w:id="1339"/>
      <w:bookmarkEnd w:id="13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342"/>
      <w:bookmarkEnd w:id="1343"/>
      <w:bookmarkEnd w:id="13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5</w:t>
      </w:r>
      <w:bookmarkEnd w:id="1348"/>
      <w:r>
        <w:rPr>
          <w:color w:val="000000"/>
          <w:spacing w:val="0"/>
          <w:w w:val="100"/>
          <w:position w:val="0"/>
        </w:rPr>
        <w:t>、应收账款</w:t>
      </w:r>
      <w:bookmarkEnd w:id="1346"/>
      <w:bookmarkEnd w:id="1347"/>
      <w:bookmarkEnd w:id="1349"/>
    </w:p>
    <w:p>
      <w:pPr>
        <w:pStyle w:val="Style40"/>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50"/>
      <w:bookmarkEnd w:id="1351"/>
      <w:bookmarkEnd w:id="13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25,086,8</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25,086,8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3,242,09</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249,532,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2,992,566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1,451,839</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124,910,3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1,326,928,8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 内关联方客户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925,275.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925,275.1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1,688,644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1,688,644.6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应收中央企业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2,364,57</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0,405.32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176,596,</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2,187,973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1,204,544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95,295,13</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1,109,248,8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应收国企、政 府及事业单位客户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488,922,</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43,518,1</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445,404,5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108,520,2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15,281,60</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93,238,667.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应收其他客户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387,680,</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29,418,0</w:t>
            </w:r>
          </w:p>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358,262,7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137,086,2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14,333,57</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122,752,68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3,267,18</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6,072.23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274,619,</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597.61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2,992,566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1,451,839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124,910,3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1,326,928,8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2,774,625,999.35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299,574,597.88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100,070,292.04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92,915,182.96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40,045,783.57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23,993,504.20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28,875,895.19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3,267,186,072.23</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公司需要遵守《深圳证券交易所上市公司自律监管指引第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号——行业信息披露》中软件与信息技术服务业的披露要求</w:t>
      </w:r>
    </w:p>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54"/>
      <w:bookmarkEnd w:id="1355"/>
      <w:bookmarkEnd w:id="1357"/>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r>
        <w:br w:type="page"/>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12,622,889.81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25,086,858.98</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应收中央 企业客户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95,295,136.44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81,301,398.69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176,596,535.13</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应收国企、 政府及事业单位 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15,281,606.14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27,006,633.88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43,518,126.97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14,333,570.65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15,040,042.33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29,418,076.53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124,910,313.23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135,970,964.71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-2,506.03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274,619,597.61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5"/>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注：本期非同一控制下企业合并，应收账款坏账准备转入</w:t>
      </w:r>
      <w:r>
        <w:rPr>
          <w:rFonts w:ascii="Times New Roman" w:eastAsia="Times New Roman" w:hAnsi="Times New Roman" w:cs="Times New Roman"/>
          <w:color w:val="000000"/>
          <w:spacing w:val="0"/>
          <w:w w:val="100"/>
          <w:position w:val="0"/>
        </w:rPr>
        <w:t>13,736,793.02</w:t>
      </w:r>
      <w:r>
        <w:rPr>
          <w:color w:val="000000"/>
          <w:spacing w:val="0"/>
          <w:w w:val="100"/>
          <w:position w:val="0"/>
        </w:rPr>
        <w:t>元；外币报表折算形成的其他变动</w:t>
      </w:r>
      <w:r>
        <w:rPr>
          <w:rFonts w:ascii="Times New Roman" w:eastAsia="Times New Roman" w:hAnsi="Times New Roman" w:cs="Times New Roman"/>
          <w:color w:val="000000"/>
          <w:spacing w:val="0"/>
          <w:w w:val="100"/>
          <w:position w:val="0"/>
        </w:rPr>
        <w:t>-639.76</w:t>
      </w:r>
      <w:r>
        <w:rPr>
          <w:color w:val="000000"/>
          <w:spacing w:val="0"/>
          <w:w w:val="100"/>
          <w:position w:val="0"/>
        </w:rPr>
        <w:t>元。</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58"/>
      <w:bookmarkEnd w:id="1359"/>
      <w:bookmarkEnd w:id="13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w:t>
      </w:r>
      <w:bookmarkEnd w:id="13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62"/>
      <w:bookmarkEnd w:id="1363"/>
      <w:bookmarkEnd w:id="13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中国移动通信集团广东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512,447,418.10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30,550,663.61</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中国移动通信集团广西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209,495,436.99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11,868,653.39</w:t>
            </w:r>
          </w:p>
        </w:tc>
      </w:tr>
    </w:tbl>
    <w:p>
      <w:pPr>
        <w:widowControl w:val="0"/>
        <w:spacing w:line="1" w:lineRule="exact"/>
      </w:pPr>
    </w:p>
    <w:tbl>
      <w:tblPr>
        <w:tblOverlap w:val="never"/>
        <w:jc w:val="center"/>
        <w:tblLayout w:type="fixed"/>
      </w:tblPr>
      <w:tblGrid>
        <w:gridCol w:w="1987"/>
        <w:gridCol w:w="2530"/>
        <w:gridCol w:w="2530"/>
        <w:gridCol w:w="2539"/>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数字广西集团有限公司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118,582,890.68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5,929,144.53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中国移动通信集团贵州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102,652,547.62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5,773,643.73</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广州城市电力工程有限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89,267,193.86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4,463,359.69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1,032,445,487.25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366"/>
      <w:bookmarkEnd w:id="1367"/>
      <w:bookmarkEnd w:id="136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本期无因转移应收账款且继续涉入形成的资产、负债。</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370"/>
      <w:bookmarkEnd w:id="1371"/>
      <w:bookmarkEnd w:id="1373"/>
    </w:p>
    <w:p>
      <w:pPr>
        <w:pStyle w:val="Style18"/>
        <w:keepNext w:val="0"/>
        <w:keepLines w:val="0"/>
        <w:widowControl w:val="0"/>
        <w:shd w:val="clear" w:color="auto" w:fill="auto"/>
        <w:bidi w:val="0"/>
        <w:spacing w:before="0" w:after="660" w:line="240" w:lineRule="auto"/>
        <w:ind w:left="0" w:right="0" w:firstLine="500"/>
        <w:jc w:val="left"/>
      </w:pPr>
      <w:r>
        <w:rPr>
          <w:color w:val="000000"/>
          <w:spacing w:val="0"/>
          <w:w w:val="100"/>
          <w:position w:val="0"/>
        </w:rPr>
        <w:t>本期无因金融资产转移而终止确认的应收账款</w:t>
      </w:r>
    </w:p>
    <w:p>
      <w:pPr>
        <w:pStyle w:val="Style29"/>
        <w:keepNext/>
        <w:keepLines/>
        <w:widowControl w:val="0"/>
        <w:shd w:val="clear" w:color="auto" w:fill="auto"/>
        <w:bidi w:val="0"/>
        <w:spacing w:before="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6</w:t>
      </w:r>
      <w:bookmarkEnd w:id="1376"/>
      <w:r>
        <w:rPr>
          <w:color w:val="000000"/>
          <w:spacing w:val="0"/>
          <w:w w:val="100"/>
          <w:position w:val="0"/>
        </w:rPr>
        <w:t>、应收款项融资</w:t>
      </w:r>
      <w:bookmarkEnd w:id="1374"/>
      <w:bookmarkEnd w:id="1375"/>
      <w:bookmarkEnd w:id="137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2,871,300.00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979,600.00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2,871,300.00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979,600.00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122"/>
        <w:gridCol w:w="2016"/>
        <w:gridCol w:w="1781"/>
        <w:gridCol w:w="1536"/>
        <w:gridCol w:w="1219"/>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类另</w:t>
            </w:r>
            <w:r>
              <w:rPr>
                <w:rFonts w:ascii="Times New Roman" w:eastAsia="Times New Roman" w:hAnsi="Times New Roman" w:cs="Times New Roman"/>
                <w:color w:val="000000"/>
                <w:spacing w:val="0"/>
                <w:w w:val="100"/>
                <w:position w:val="0"/>
              </w:rPr>
              <w:t>U</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计提减值准备的基础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2,871,300.00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2,871,300.00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2,871,300.00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7</w:t>
      </w:r>
      <w:bookmarkEnd w:id="1380"/>
      <w:r>
        <w:rPr>
          <w:color w:val="000000"/>
          <w:spacing w:val="0"/>
          <w:w w:val="100"/>
          <w:position w:val="0"/>
        </w:rPr>
        <w:t>、预付款项</w:t>
      </w:r>
      <w:bookmarkEnd w:id="1378"/>
      <w:bookmarkEnd w:id="1379"/>
      <w:bookmarkEnd w:id="1381"/>
    </w:p>
    <w:p>
      <w:pPr>
        <w:pStyle w:val="Style40"/>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82"/>
      <w:bookmarkEnd w:id="1383"/>
      <w:bookmarkEnd w:id="1385"/>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119,888,788.88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72,980,679.69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6,913,705.42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13,918,841.39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253,124.20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153,560.62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260,565.79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126,969,045.13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87,413,211.07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40"/>
        <w:keepNext/>
        <w:keepLines/>
        <w:widowControl w:val="0"/>
        <w:numPr>
          <w:ilvl w:val="0"/>
          <w:numId w:val="143"/>
        </w:numPr>
        <w:shd w:val="clear" w:color="auto" w:fill="auto"/>
        <w:bidi w:val="0"/>
        <w:spacing w:before="0" w:after="34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按预付对象归集的期末余额前五名的预付款情况</w:t>
      </w:r>
      <w:bookmarkEnd w:id="1386"/>
      <w:bookmarkEnd w:id="1387"/>
      <w:bookmarkEnd w:id="1389"/>
    </w:p>
    <w:tbl>
      <w:tblPr>
        <w:tblOverlap w:val="never"/>
        <w:jc w:val="left"/>
        <w:tblLayout w:type="fixed"/>
      </w:tblPr>
      <w:tblGrid>
        <w:gridCol w:w="3278"/>
        <w:gridCol w:w="2774"/>
        <w:gridCol w:w="2621"/>
      </w:tblGrid>
      <w:tr>
        <w:trPr>
          <w:trHeight w:val="67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占预付款项期末余额合计数的比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陕西途安科电子科技有限公司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8,567,240.00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6.75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南京千佰驿科技有限公司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7,921,013.69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6.24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中建材信息技术股份有限公司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6,273,130.41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4.94</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贵州创视佳智能科技有限公司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6,203,398.90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广西锦材建筑技术有限公司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4,761,914.12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3.75</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33,726,697.12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26.57</w:t>
            </w:r>
          </w:p>
        </w:tc>
      </w:tr>
    </w:tbl>
    <w:p>
      <w:pPr>
        <w:widowControl w:val="0"/>
        <w:spacing w:after="3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8</w:t>
      </w:r>
      <w:bookmarkEnd w:id="1392"/>
      <w:r>
        <w:rPr>
          <w:color w:val="000000"/>
          <w:spacing w:val="0"/>
          <w:w w:val="100"/>
          <w:position w:val="0"/>
        </w:rPr>
        <w:t>、其他应收款</w:t>
      </w:r>
      <w:bookmarkEnd w:id="1390"/>
      <w:bookmarkEnd w:id="1391"/>
      <w:bookmarkEnd w:id="1393"/>
    </w:p>
    <w:tbl>
      <w:tblPr>
        <w:tblOverlap w:val="never"/>
        <w:jc w:val="center"/>
        <w:tblLayout w:type="fixed"/>
      </w:tblPr>
      <w:tblGrid>
        <w:gridCol w:w="3197"/>
        <w:gridCol w:w="3187"/>
        <w:gridCol w:w="3254"/>
      </w:tblGrid>
      <w:tr>
        <w:trPr>
          <w:trHeight w:val="312"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131,260,232.98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103,952,804.14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131,260,232.98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103,952,804.14</w:t>
            </w:r>
          </w:p>
        </w:tc>
      </w:tr>
    </w:tbl>
    <w:p>
      <w:pPr>
        <w:widowControl w:val="0"/>
        <w:spacing w:after="339" w:line="1" w:lineRule="exact"/>
      </w:pPr>
    </w:p>
    <w:p>
      <w:pPr>
        <w:pStyle w:val="Style40"/>
        <w:keepNext/>
        <w:keepLines/>
        <w:widowControl w:val="0"/>
        <w:numPr>
          <w:ilvl w:val="0"/>
          <w:numId w:val="145"/>
        </w:numPr>
        <w:shd w:val="clear" w:color="auto" w:fill="auto"/>
        <w:bidi w:val="0"/>
        <w:spacing w:before="0" w:after="340" w:line="240" w:lineRule="auto"/>
        <w:ind w:left="0" w:right="0" w:firstLine="0"/>
        <w:jc w:val="both"/>
      </w:pPr>
      <w:bookmarkStart w:id="1394" w:name="bookmark1394"/>
      <w:bookmarkStart w:id="1395" w:name="bookmark1395"/>
      <w:bookmarkStart w:id="1396" w:name="bookmark1396"/>
      <w:bookmarkStart w:id="1397" w:name="bookmark1397"/>
      <w:bookmarkEnd w:id="1396"/>
      <w:r>
        <w:rPr>
          <w:color w:val="000000"/>
          <w:spacing w:val="0"/>
          <w:w w:val="100"/>
          <w:position w:val="0"/>
        </w:rPr>
        <w:t>应收利息</w:t>
      </w:r>
      <w:bookmarkEnd w:id="1394"/>
      <w:bookmarkEnd w:id="1395"/>
      <w:bookmarkEnd w:id="1397"/>
    </w:p>
    <w:p>
      <w:pPr>
        <w:pStyle w:val="Style58"/>
        <w:keepNext/>
        <w:keepLines/>
        <w:widowControl w:val="0"/>
        <w:numPr>
          <w:ilvl w:val="0"/>
          <w:numId w:val="147"/>
        </w:numPr>
        <w:shd w:val="clear" w:color="auto" w:fill="auto"/>
        <w:tabs>
          <w:tab w:pos="387" w:val="left"/>
        </w:tabs>
        <w:bidi w:val="0"/>
        <w:spacing w:before="0" w:after="340" w:line="240" w:lineRule="auto"/>
        <w:ind w:left="0" w:right="0" w:firstLine="0"/>
        <w:jc w:val="both"/>
      </w:pPr>
      <w:bookmarkStart w:id="1398" w:name="bookmark1398"/>
      <w:bookmarkStart w:id="1399" w:name="bookmark1399"/>
      <w:bookmarkStart w:id="1400" w:name="bookmark1400"/>
      <w:bookmarkStart w:id="1401" w:name="bookmark1401"/>
      <w:bookmarkEnd w:id="1400"/>
      <w:r>
        <w:rPr>
          <w:color w:val="000000"/>
          <w:spacing w:val="0"/>
          <w:w w:val="100"/>
          <w:position w:val="0"/>
        </w:rPr>
        <w:t>应收利息分类</w:t>
      </w:r>
      <w:bookmarkEnd w:id="1398"/>
      <w:bookmarkEnd w:id="1399"/>
      <w:bookmarkEnd w:id="1401"/>
    </w:p>
    <w:p>
      <w:pPr>
        <w:pStyle w:val="Style18"/>
        <w:keepNext w:val="0"/>
        <w:keepLines w:val="0"/>
        <w:widowControl w:val="0"/>
        <w:shd w:val="clear" w:color="auto" w:fill="auto"/>
        <w:bidi w:val="0"/>
        <w:spacing w:before="0" w:after="65" w:line="240" w:lineRule="auto"/>
        <w:ind w:left="0" w:right="0" w:firstLine="0"/>
        <w:jc w:val="right"/>
      </w:pPr>
      <w:r>
        <w:rPr>
          <w:color w:val="000000"/>
          <w:spacing w:val="0"/>
          <w:w w:val="100"/>
          <w:position w:val="0"/>
        </w:rPr>
        <w:t>单位：元</w:t>
      </w:r>
    </w:p>
    <w:p>
      <w:pPr>
        <w:pStyle w:val="Style18"/>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971" w:val="left"/>
          <w:tab w:pos="6173" w:val="left"/>
        </w:tabs>
        <w:bidi w:val="0"/>
        <w:spacing w:before="0" w:after="270" w:line="240" w:lineRule="auto"/>
        <w:ind w:left="0" w:right="0" w:firstLine="0"/>
        <w:jc w:val="center"/>
      </w:pPr>
      <w:r>
        <w:rPr>
          <w:color w:val="000000"/>
          <w:spacing w:val="0"/>
          <w:w w:val="100"/>
          <w:position w:val="0"/>
        </w:rPr>
        <w:t>项目</w:t>
        <w:tab/>
        <w:t>期末余额</w:t>
        <w:tab/>
        <w:t>期初余额</w:t>
      </w:r>
    </w:p>
    <w:p>
      <w:pPr>
        <w:pStyle w:val="Style58"/>
        <w:keepNext/>
        <w:keepLines/>
        <w:widowControl w:val="0"/>
        <w:numPr>
          <w:ilvl w:val="0"/>
          <w:numId w:val="147"/>
        </w:numPr>
        <w:shd w:val="clear" w:color="auto" w:fill="auto"/>
        <w:tabs>
          <w:tab w:pos="397" w:val="left"/>
        </w:tabs>
        <w:bidi w:val="0"/>
        <w:spacing w:before="0" w:after="340" w:line="240" w:lineRule="auto"/>
        <w:ind w:left="0" w:right="0" w:firstLine="0"/>
        <w:jc w:val="both"/>
      </w:pPr>
      <w:bookmarkStart w:id="1402" w:name="bookmark1402"/>
      <w:bookmarkStart w:id="1403" w:name="bookmark1403"/>
      <w:bookmarkStart w:id="1404" w:name="bookmark1404"/>
      <w:bookmarkStart w:id="1405" w:name="bookmark1405"/>
      <w:bookmarkEnd w:id="1404"/>
      <w:r>
        <w:rPr>
          <w:color w:val="000000"/>
          <w:spacing w:val="0"/>
          <w:w w:val="100"/>
          <w:position w:val="0"/>
        </w:rPr>
        <w:t>重要逾期利息</w:t>
      </w:r>
      <w:bookmarkEnd w:id="1402"/>
      <w:bookmarkEnd w:id="1403"/>
      <w:bookmarkEnd w:id="1405"/>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58"/>
        <w:keepNext/>
        <w:keepLines/>
        <w:widowControl w:val="0"/>
        <w:shd w:val="clear" w:color="auto" w:fill="auto"/>
        <w:bidi w:val="0"/>
        <w:spacing w:before="0" w:after="34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color w:val="000000"/>
          <w:spacing w:val="0"/>
          <w:w w:val="100"/>
          <w:position w:val="0"/>
        </w:rPr>
        <w:t>）坏账准备计提情况</w:t>
      </w:r>
      <w:bookmarkEnd w:id="1406"/>
      <w:bookmarkEnd w:id="1407"/>
      <w:bookmarkEnd w:id="1409"/>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both"/>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410"/>
      <w:bookmarkEnd w:id="1411"/>
      <w:bookmarkEnd w:id="1413"/>
    </w:p>
    <w:p>
      <w:pPr>
        <w:pStyle w:val="Style58"/>
        <w:keepNext/>
        <w:keepLines/>
        <w:widowControl w:val="0"/>
        <w:shd w:val="clear" w:color="auto" w:fill="auto"/>
        <w:bidi w:val="0"/>
        <w:spacing w:before="0" w:after="34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bookmarkEnd w:id="1416"/>
      <w:r>
        <w:rPr>
          <w:color w:val="000000"/>
          <w:spacing w:val="0"/>
          <w:w w:val="100"/>
          <w:position w:val="0"/>
        </w:rPr>
        <w:t>）应收股利分类</w:t>
      </w:r>
      <w:bookmarkEnd w:id="1414"/>
      <w:bookmarkEnd w:id="1415"/>
      <w:bookmarkEnd w:id="141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418"/>
      <w:bookmarkEnd w:id="1419"/>
      <w:bookmarkEnd w:id="142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color w:val="000000"/>
          <w:spacing w:val="0"/>
          <w:w w:val="100"/>
          <w:position w:val="0"/>
        </w:rPr>
        <w:t>）坏账准备计提情况</w:t>
      </w:r>
      <w:bookmarkEnd w:id="1422"/>
      <w:bookmarkEnd w:id="1423"/>
      <w:bookmarkEnd w:id="1425"/>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426"/>
      <w:bookmarkEnd w:id="1427"/>
      <w:bookmarkEnd w:id="1429"/>
    </w:p>
    <w:p>
      <w:pPr>
        <w:pStyle w:val="Style58"/>
        <w:keepNext/>
        <w:keepLines/>
        <w:widowControl w:val="0"/>
        <w:shd w:val="clear" w:color="auto" w:fill="auto"/>
        <w:bidi w:val="0"/>
        <w:spacing w:before="0" w:after="34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1</w:t>
      </w:r>
      <w:bookmarkEnd w:id="1432"/>
      <w:r>
        <w:rPr>
          <w:color w:val="000000"/>
          <w:spacing w:val="0"/>
          <w:w w:val="100"/>
          <w:position w:val="0"/>
        </w:rPr>
        <w:t>）其他应收款按款项性质分类情况</w:t>
      </w:r>
      <w:bookmarkEnd w:id="1430"/>
      <w:bookmarkEnd w:id="1431"/>
      <w:bookmarkEnd w:id="14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127,727,865.28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108,179,346.27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27,243,343.83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30,495,440.83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1,892,891.04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3,566,129.34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6,513,182.53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18,828,457.07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4,026,539.55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-50,945,506.77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-42,314,651.85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131,260,232.98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103,952,804.14</w:t>
            </w:r>
          </w:p>
        </w:tc>
      </w:tr>
    </w:tbl>
    <w:p>
      <w:pPr>
        <w:spacing w:lineRule="exact" w:line="1"/>
        <w:rPr>
          <w:sz w:val="2"/>
          <w:szCs w:val="2"/>
        </w:rPr>
      </w:pPr>
      <w:r>
        <w:br w:type="page"/>
      </w:r>
    </w:p>
    <w:p>
      <w:pPr>
        <w:pStyle w:val="Style58"/>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color w:val="000000"/>
          <w:spacing w:val="0"/>
          <w:w w:val="100"/>
          <w:position w:val="0"/>
        </w:rPr>
        <w:t>）坏账准备计提情况</w:t>
      </w:r>
      <w:bookmarkEnd w:id="1434"/>
      <w:bookmarkEnd w:id="1435"/>
      <w:bookmarkEnd w:id="14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91,375,547.78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28,832,879.62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21,012,198.31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40,985,114.04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18,116,200.03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8,573,297.40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14,295,616.61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182,205,739.75</w:t>
            </w:r>
          </w:p>
        </w:tc>
      </w:tr>
    </w:tbl>
    <w:p>
      <w:pPr>
        <w:widowControl w:val="0"/>
        <w:spacing w:after="299" w:line="1" w:lineRule="exact"/>
      </w:pPr>
    </w:p>
    <w:p>
      <w:pPr>
        <w:pStyle w:val="Style58"/>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color w:val="000000"/>
          <w:spacing w:val="0"/>
          <w:w w:val="100"/>
          <w:position w:val="0"/>
        </w:rPr>
        <w:t>）本期计提、收回或转回的坏账准备情况</w:t>
      </w:r>
      <w:bookmarkEnd w:id="1438"/>
      <w:bookmarkEnd w:id="1439"/>
      <w:bookmarkEnd w:id="1441"/>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1"/>
        <w:gridCol w:w="1094"/>
        <w:gridCol w:w="1738"/>
        <w:gridCol w:w="173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2,595,271.99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487,860.62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3,083,132.61</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应收押金 和保证金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36,266,396.59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-3,541,951.97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32,917,722.38</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5</w:t>
            </w:r>
            <w:r>
              <w:rPr>
                <w:color w:val="000000"/>
                <w:spacing w:val="0"/>
                <w:w w:val="100"/>
                <w:position w:val="0"/>
              </w:rPr>
              <w:t>应收备用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1,988,695.95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867,443.43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2,781,272.27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6</w:t>
            </w:r>
            <w:r>
              <w:rPr>
                <w:color w:val="000000"/>
                <w:spacing w:val="0"/>
                <w:w w:val="100"/>
                <w:position w:val="0"/>
              </w:rPr>
              <w:t>应收代垫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874,306.60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-84,663.07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768,689.53</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7</w:t>
            </w:r>
            <w:r>
              <w:rPr>
                <w:color w:val="000000"/>
                <w:spacing w:val="0"/>
                <w:w w:val="100"/>
                <w:position w:val="0"/>
              </w:rPr>
              <w:t>应收其他</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589,980.72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901,725.52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11,394,689.98</w:t>
            </w:r>
          </w:p>
        </w:tc>
      </w:tr>
    </w:tbl>
    <w:p>
      <w:pPr>
        <w:widowControl w:val="0"/>
        <w:spacing w:line="1" w:lineRule="exact"/>
      </w:pPr>
      <w:r>
        <w:br w:type="page"/>
      </w:r>
    </w:p>
    <w:tbl>
      <w:tblPr>
        <w:tblOverlap w:val="never"/>
        <w:jc w:val="center"/>
        <w:tblLayout w:type="fixed"/>
      </w:tblPr>
      <w:tblGrid>
        <w:gridCol w:w="1426"/>
        <w:gridCol w:w="1094"/>
        <w:gridCol w:w="1195"/>
        <w:gridCol w:w="1301"/>
        <w:gridCol w:w="1094"/>
        <w:gridCol w:w="1738"/>
        <w:gridCol w:w="173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42,314,651.85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-1,369,585.47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50,945,506.77</w:t>
            </w:r>
          </w:p>
        </w:tc>
      </w:tr>
    </w:tbl>
    <w:p>
      <w:pPr>
        <w:widowControl w:val="0"/>
        <w:spacing w:after="139" w:line="1" w:lineRule="exact"/>
      </w:pPr>
    </w:p>
    <w:p>
      <w:pPr>
        <w:pStyle w:val="Style18"/>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本期非同一控制下企业合并，其他应收款坏账准备转入</w:t>
      </w:r>
      <w:r>
        <w:rPr>
          <w:rFonts w:ascii="Times New Roman" w:eastAsia="Times New Roman" w:hAnsi="Times New Roman" w:cs="Times New Roman"/>
          <w:color w:val="000000"/>
          <w:spacing w:val="0"/>
          <w:w w:val="100"/>
          <w:position w:val="0"/>
        </w:rPr>
        <w:t>9,978,842.07</w:t>
      </w:r>
      <w:r>
        <w:rPr>
          <w:color w:val="000000"/>
          <w:spacing w:val="0"/>
          <w:w w:val="100"/>
          <w:position w:val="0"/>
        </w:rPr>
        <w:t>元；外币报表折算形成的其他变动</w:t>
      </w:r>
      <w:r>
        <w:rPr>
          <w:rFonts w:ascii="Times New Roman" w:eastAsia="Times New Roman" w:hAnsi="Times New Roman" w:cs="Times New Roman"/>
          <w:color w:val="000000"/>
          <w:spacing w:val="0"/>
          <w:w w:val="100"/>
          <w:position w:val="0"/>
        </w:rPr>
        <w:t>-401.68</w:t>
      </w:r>
      <w:r>
        <w:rPr>
          <w:color w:val="000000"/>
          <w:spacing w:val="0"/>
          <w:w w:val="100"/>
          <w:position w:val="0"/>
        </w:rPr>
        <w:t>元。</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color w:val="000000"/>
          <w:spacing w:val="0"/>
          <w:w w:val="100"/>
          <w:position w:val="0"/>
        </w:rPr>
        <w:t>）本期实际核销的其他应收款情况</w:t>
      </w:r>
      <w:bookmarkEnd w:id="1442"/>
      <w:bookmarkEnd w:id="1443"/>
      <w:bookmarkEnd w:id="14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58"/>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color w:val="000000"/>
          <w:spacing w:val="0"/>
          <w:w w:val="100"/>
          <w:position w:val="0"/>
        </w:rPr>
        <w:t>）按欠款方归集的期末余额前五名的其他应收款情况</w:t>
      </w:r>
      <w:bookmarkEnd w:id="1446"/>
      <w:bookmarkEnd w:id="1447"/>
      <w:bookmarkEnd w:id="14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 贵州有限公司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保证金、代垫款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7,067,291.63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3,381,598.88</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长沙麦融高科股份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6,513,182.53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325,659.13</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 广西有限公司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6,348,000.00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2,857,000.00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 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4,540,000.00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中国电信股份有限 公司江门分公司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5,039,613.20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5,039,613.20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30,268,087.36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16,143,871.21</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6</w:t>
      </w:r>
      <w:bookmarkEnd w:id="1452"/>
      <w:r>
        <w:rPr>
          <w:color w:val="000000"/>
          <w:spacing w:val="0"/>
          <w:w w:val="100"/>
          <w:position w:val="0"/>
        </w:rPr>
        <w:t>）涉及政府补助的应收款项</w:t>
      </w:r>
      <w:bookmarkEnd w:id="1450"/>
      <w:bookmarkEnd w:id="1451"/>
      <w:bookmarkEnd w:id="1453"/>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299" w:line="1" w:lineRule="exact"/>
      </w:pPr>
    </w:p>
    <w:p>
      <w:pPr>
        <w:pStyle w:val="Style58"/>
        <w:keepNext/>
        <w:keepLines/>
        <w:widowControl w:val="0"/>
        <w:shd w:val="clear" w:color="auto" w:fill="auto"/>
        <w:tabs>
          <w:tab w:pos="392" w:val="left"/>
        </w:tabs>
        <w:bidi w:val="0"/>
        <w:spacing w:before="0" w:after="36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7</w:t>
      </w:r>
      <w:bookmarkEnd w:id="1456"/>
      <w:r>
        <w:rPr>
          <w:color w:val="000000"/>
          <w:spacing w:val="0"/>
          <w:w w:val="100"/>
          <w:position w:val="0"/>
        </w:rPr>
        <w:t>）</w:t>
        <w:tab/>
        <w:t>因金融资产转移而终止确认的其他应收款</w:t>
      </w:r>
      <w:bookmarkEnd w:id="1454"/>
      <w:bookmarkEnd w:id="1455"/>
      <w:bookmarkEnd w:id="1457"/>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本期无因金融资产转移而终止确认的其他应收款。</w:t>
      </w:r>
    </w:p>
    <w:p>
      <w:pPr>
        <w:pStyle w:val="Style58"/>
        <w:keepNext/>
        <w:keepLines/>
        <w:widowControl w:val="0"/>
        <w:shd w:val="clear" w:color="auto" w:fill="auto"/>
        <w:tabs>
          <w:tab w:pos="397" w:val="left"/>
        </w:tabs>
        <w:bidi w:val="0"/>
        <w:spacing w:before="0" w:after="36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8</w:t>
      </w:r>
      <w:bookmarkEnd w:id="1460"/>
      <w:r>
        <w:rPr>
          <w:color w:val="000000"/>
          <w:spacing w:val="0"/>
          <w:w w:val="100"/>
          <w:position w:val="0"/>
        </w:rPr>
        <w:t>）</w:t>
        <w:tab/>
        <w:t>转移其他应收款且继续涉入形成的资产、负债金额</w:t>
      </w:r>
      <w:bookmarkEnd w:id="1458"/>
      <w:bookmarkEnd w:id="1459"/>
      <w:bookmarkEnd w:id="1461"/>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本期无因转移其他应收款且继续涉入形成的资产、负债。</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9</w:t>
      </w:r>
      <w:bookmarkEnd w:id="1464"/>
      <w:r>
        <w:rPr>
          <w:color w:val="000000"/>
          <w:spacing w:val="0"/>
          <w:w w:val="100"/>
          <w:position w:val="0"/>
        </w:rPr>
        <w:t>、存货</w:t>
      </w:r>
      <w:bookmarkEnd w:id="1462"/>
      <w:bookmarkEnd w:id="1463"/>
      <w:bookmarkEnd w:id="1465"/>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40"/>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66"/>
      <w:bookmarkEnd w:id="1467"/>
      <w:bookmarkEnd w:id="14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0"/>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144,577,584.87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144,577,584.87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126,049,122.96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126,049,122.96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16,684,902.54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16,684,902.54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4,342,161.60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4,342,161.60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726,209,137.49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15,537,300.92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710,671,836.57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707,616,807.68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5,719,656.70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701,897,150.98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277,031,831.80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83,119.45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276,948,712.35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101,032,553.22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101,032,553.22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1,164,503,456.70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15,620,420.37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1,148,883,036.33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939,040,645.46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5,719,656.70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933,320,988.76</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both"/>
      </w:pPr>
      <w:bookmarkStart w:id="1470" w:name="bookmark1470"/>
      <w:bookmarkStart w:id="1471" w:name="bookmark1471"/>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70"/>
      <w:bookmarkEnd w:id="1471"/>
      <w:bookmarkEnd w:id="14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5,719,656.70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13,172,225.43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3,354,581.21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15,537,300.92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83,119.45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83,119.45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5,719,656.70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13,255,344.88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3,354,581.21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15,620,420.37</w:t>
            </w:r>
          </w:p>
        </w:tc>
      </w:tr>
    </w:tbl>
    <w:p>
      <w:pPr>
        <w:spacing w:lineRule="exact" w:line="1"/>
        <w:rPr>
          <w:sz w:val="2"/>
          <w:szCs w:val="2"/>
        </w:rPr>
      </w:pPr>
      <w:r>
        <w:br w:type="page"/>
      </w:r>
    </w:p>
    <w:p>
      <w:pPr>
        <w:pStyle w:val="Style40"/>
        <w:keepNext/>
        <w:keepLines/>
        <w:widowControl w:val="0"/>
        <w:numPr>
          <w:ilvl w:val="0"/>
          <w:numId w:val="143"/>
        </w:numPr>
        <w:shd w:val="clear" w:color="auto" w:fill="auto"/>
        <w:tabs>
          <w:tab w:pos="493" w:val="left"/>
        </w:tabs>
        <w:bidi w:val="0"/>
        <w:spacing w:before="0" w:after="340" w:line="240" w:lineRule="auto"/>
        <w:ind w:left="0" w:right="0" w:firstLine="0"/>
        <w:jc w:val="both"/>
      </w:pPr>
      <w:bookmarkStart w:id="1474" w:name="bookmark1474"/>
      <w:bookmarkStart w:id="1475" w:name="bookmark1475"/>
      <w:bookmarkStart w:id="1476" w:name="bookmark1476"/>
      <w:bookmarkStart w:id="1477" w:name="bookmark1477"/>
      <w:bookmarkEnd w:id="1476"/>
      <w:r>
        <w:rPr>
          <w:color w:val="000000"/>
          <w:spacing w:val="0"/>
          <w:w w:val="100"/>
          <w:position w:val="0"/>
        </w:rPr>
        <w:t>存货期末余额含有借款费用资本化金额的说明</w:t>
      </w:r>
      <w:bookmarkEnd w:id="1474"/>
      <w:bookmarkEnd w:id="1475"/>
      <w:bookmarkEnd w:id="1477"/>
    </w:p>
    <w:p>
      <w:pPr>
        <w:pStyle w:val="Style40"/>
        <w:keepNext/>
        <w:keepLines/>
        <w:widowControl w:val="0"/>
        <w:numPr>
          <w:ilvl w:val="0"/>
          <w:numId w:val="143"/>
        </w:numPr>
        <w:shd w:val="clear" w:color="auto" w:fill="auto"/>
        <w:tabs>
          <w:tab w:pos="493" w:val="left"/>
        </w:tabs>
        <w:bidi w:val="0"/>
        <w:spacing w:before="0" w:after="340" w:line="240" w:lineRule="auto"/>
        <w:ind w:left="0" w:right="0" w:firstLine="0"/>
        <w:jc w:val="both"/>
      </w:pPr>
      <w:bookmarkStart w:id="1478" w:name="bookmark1478"/>
      <w:bookmarkStart w:id="1479" w:name="bookmark1479"/>
      <w:bookmarkStart w:id="1480" w:name="bookmark1480"/>
      <w:bookmarkStart w:id="1481" w:name="bookmark1481"/>
      <w:bookmarkEnd w:id="1480"/>
      <w:r>
        <w:rPr>
          <w:color w:val="000000"/>
          <w:spacing w:val="0"/>
          <w:w w:val="100"/>
          <w:position w:val="0"/>
        </w:rPr>
        <w:t>合同履约成本本期摊销金额的说明</w:t>
      </w:r>
      <w:bookmarkEnd w:id="1478"/>
      <w:bookmarkEnd w:id="1479"/>
      <w:bookmarkEnd w:id="1481"/>
    </w:p>
    <w:p>
      <w:pPr>
        <w:pStyle w:val="Style29"/>
        <w:keepNext/>
        <w:keepLines/>
        <w:widowControl w:val="0"/>
        <w:shd w:val="clear" w:color="auto" w:fill="auto"/>
        <w:bidi w:val="0"/>
        <w:spacing w:before="0" w:after="34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82"/>
      <w:bookmarkEnd w:id="1483"/>
      <w:bookmarkEnd w:id="14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已完工未结算资产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635,641,416.59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35,860,132.38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599,781,284.21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719,502,433.04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48,074,687.80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671,427,745.24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未到期的质保金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59,351,764.48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3,449,510.69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55,902,253.79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36,135,071.51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2,349,664.01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33,785,407.50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减：列示于其他非流动资 产、一年内到期的非流动资 产的合同资产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-29,434,301.23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-1,925,147.01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-27,509,154.22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-7,717,882.59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-913,310.78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-6,804,571.81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665,558,879.84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37,384,496.06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628,174,383.78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747,919,621.96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49,511,041.03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698,408,580.93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应收中央企业客 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-15,129,099.03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应收国企、政府 及事业单位客户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-493,304.19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应收其他客户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3,495,858.25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-12,126,544.97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486"/>
      <w:bookmarkEnd w:id="1487"/>
      <w:bookmarkEnd w:id="14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490"/>
      <w:bookmarkEnd w:id="1491"/>
      <w:bookmarkEnd w:id="14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一年内到期的大额存单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245,383,927.70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35,520,397.30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245,383,927.70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35,520,397.30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94"/>
      <w:bookmarkEnd w:id="1495"/>
      <w:bookmarkEnd w:id="14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35,864,711.19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17,583,991.61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24,632,475.01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27,804,919.66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166,573.01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77,990.77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60,663,759.21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45,466,902.04</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1</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98"/>
      <w:bookmarkEnd w:id="1499"/>
      <w:bookmarkEnd w:id="15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502"/>
      <w:bookmarkEnd w:id="1503"/>
      <w:bookmarkEnd w:id="15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7"/>
        <w:gridCol w:w="1032"/>
        <w:gridCol w:w="1032"/>
        <w:gridCol w:w="1032"/>
        <w:gridCol w:w="1046"/>
      </w:tblGrid>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60"/>
        <w:gridCol w:w="950"/>
        <w:gridCol w:w="960"/>
        <w:gridCol w:w="96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bookmarkEnd w:id="150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506"/>
      <w:bookmarkEnd w:id="1507"/>
      <w:bookmarkEnd w:id="1509"/>
    </w:p>
    <w:p>
      <w:pPr>
        <w:pStyle w:val="Style40"/>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bookmarkStart w:id="1513" w:name="bookmark1513"/>
      <w:r>
        <w:rPr>
          <w:color w:val="000000"/>
          <w:spacing w:val="0"/>
          <w:w w:val="100"/>
          <w:position w:val="0"/>
        </w:rPr>
        <w:t>（</w:t>
      </w:r>
      <w:bookmarkEnd w:id="151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510"/>
      <w:bookmarkEnd w:id="1511"/>
      <w:bookmarkEnd w:id="15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920"/>
        <w:gridCol w:w="1651"/>
        <w:gridCol w:w="2102"/>
        <w:gridCol w:w="2098"/>
        <w:gridCol w:w="1814"/>
      </w:tblGrid>
      <w:tr>
        <w:trPr>
          <w:trHeight w:val="37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w:t>
      </w:r>
      <w:bookmarkEnd w:id="151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514"/>
      <w:bookmarkEnd w:id="1515"/>
      <w:bookmarkEnd w:id="1517"/>
    </w:p>
    <w:p>
      <w:pPr>
        <w:pStyle w:val="Style40"/>
        <w:keepNext/>
        <w:keepLines/>
        <w:widowControl w:val="0"/>
        <w:shd w:val="clear" w:color="auto" w:fill="auto"/>
        <w:tabs>
          <w:tab w:pos="493" w:val="left"/>
        </w:tabs>
        <w:bidi w:val="0"/>
        <w:spacing w:before="0" w:after="40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w:t>
      </w:r>
      <w:bookmarkEnd w:id="1520"/>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518"/>
      <w:bookmarkEnd w:id="1519"/>
      <w:bookmarkEnd w:id="152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bookmarkEnd w:id="1524"/>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522"/>
      <w:bookmarkEnd w:id="1523"/>
      <w:bookmarkEnd w:id="15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both"/>
            </w:pPr>
            <w:r>
              <w:rPr>
                <w:color w:val="000000"/>
                <w:spacing w:val="0"/>
                <w:w w:val="100"/>
                <w:position w:val="0"/>
              </w:rPr>
              <w:t>期末余额</w:t>
            </w:r>
          </w:p>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0"/>
              <w:keepNext w:val="0"/>
              <w:keepLines w:val="0"/>
              <w:widowControl w:val="0"/>
              <w:shd w:val="clear" w:color="auto" w:fill="auto"/>
              <w:bidi w:val="0"/>
              <w:spacing w:before="0" w:after="60" w:line="240" w:lineRule="auto"/>
              <w:ind w:left="0" w:right="280" w:firstLine="0"/>
              <w:jc w:val="righ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权益法下</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确认的投</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广西华能 润建新能 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广州市旗 鱼软件科 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6,526,774</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1,247,624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7,774,399</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南京润建</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447,819.5</w:t>
            </w:r>
          </w:p>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67,007.08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514,826.6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广西梯度 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32,000,00</w:t>
            </w:r>
          </w:p>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2,112,455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34,112,45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广西数字</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贺州科技</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1,499,904</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60,787.59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1,560,692</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长沙麦融</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高科股份</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-1,875,11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3,624,882</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40,474,49</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1,612,758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47,587,25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40,474,49</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11,300,00</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1,612,758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53,387,25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bookmarkEnd w:id="1528"/>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526"/>
      <w:bookmarkEnd w:id="1527"/>
      <w:bookmarkEnd w:id="15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375,000.00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广州众连易达科 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1</w:t>
      </w:r>
      <w:bookmarkEnd w:id="1532"/>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530"/>
      <w:bookmarkEnd w:id="1531"/>
      <w:bookmarkEnd w:id="15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2</w:t>
      </w:r>
      <w:bookmarkEnd w:id="1536"/>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534"/>
      <w:bookmarkEnd w:id="1535"/>
      <w:bookmarkEnd w:id="1537"/>
    </w:p>
    <w:p>
      <w:pPr>
        <w:pStyle w:val="Style40"/>
        <w:keepNext/>
        <w:keepLines/>
        <w:widowControl w:val="0"/>
        <w:shd w:val="clear" w:color="auto" w:fill="auto"/>
        <w:tabs>
          <w:tab w:pos="493"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rPr>
        <w:t>（</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538"/>
      <w:bookmarkEnd w:id="1539"/>
      <w:bookmarkEnd w:id="154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42"/>
      <w:bookmarkEnd w:id="1543"/>
      <w:bookmarkEnd w:id="154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46"/>
      <w:bookmarkEnd w:id="1547"/>
      <w:bookmarkEnd w:id="1549"/>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550"/>
      <w:bookmarkEnd w:id="1551"/>
      <w:bookmarkEnd w:id="15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185,839,655.80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188,534,607.71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185,839,655.80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188,534,607.71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color w:val="000000"/>
          <w:spacing w:val="0"/>
          <w:w w:val="100"/>
          <w:position w:val="0"/>
        </w:rPr>
        <w:t>（</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54"/>
      <w:bookmarkEnd w:id="1555"/>
      <w:bookmarkEnd w:id="15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176,265,203.72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83,501,951.57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14,236,716.61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8,498,814.92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9,579,396.41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2,792,919.23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294,875,002.46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6,326,342.97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10,950,222.80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3,898,539.87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2,446,981.20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3,644,709.42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1,220,044.24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28,486,840.50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6,326,342.97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10,950,222.80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2,673,974.35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2,446,981.20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3,046,840.95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213,734.06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25,658,096.33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1,224,565.52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597,868.47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1,006,310.18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2,828,744.17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19,103,525.73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2,489,137.85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874,288.82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454,685.84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97,792.42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23,019,430.66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19,103,525.73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2,489,137.85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874,288.82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454,685.84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97,792.42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23,019,430.66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182,591,546.69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75,348,648.64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15,646,118.63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10,071,507.30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12,769,419.99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3,915,171.05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300,342,412.30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19,173,877.33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62,325,798.68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11,048,786.51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6,287,268.08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6,722,179.15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782,485.00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106,340,394.75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8,527,069.72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12,075,487.18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1,711,097.47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1,047,807.12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2,382,529.16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1,024,174.31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26,768,164.96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8,527,069.72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12,075,487.18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781,570.55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1,047,807.12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2,066,578.70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45,358.25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24,543,871.52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929,526.92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315,950.46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978,816.06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2,224,293.44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15,153,670.61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2,364,681.16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624,558.52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369,990.14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92,902.78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18,605,803.21</w:t>
            </w:r>
          </w:p>
        </w:tc>
      </w:tr>
    </w:tbl>
    <w:p>
      <w:pPr>
        <w:widowControl w:val="0"/>
        <w:spacing w:line="1" w:lineRule="exact"/>
      </w:pPr>
      <w:r>
        <w:br w:type="page"/>
      </w:r>
    </w:p>
    <w:tbl>
      <w:tblPr>
        <w:tblOverlap w:val="never"/>
        <w:jc w:val="center"/>
        <w:tblLayout w:type="fixed"/>
      </w:tblPr>
      <w:tblGrid>
        <w:gridCol w:w="1200"/>
        <w:gridCol w:w="1200"/>
        <w:gridCol w:w="1195"/>
        <w:gridCol w:w="1195"/>
        <w:gridCol w:w="1200"/>
        <w:gridCol w:w="1195"/>
        <w:gridCol w:w="1195"/>
        <w:gridCol w:w="1205"/>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15,153,670.61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2,364,681.16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624,558.52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369,990.14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18,605,803.21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27,700,947.05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59,247,615.25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10,395,202.82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6,710,516.68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8,734,718.17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1,713,756.53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114,502,756.50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154,890,599.64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16,101,033.39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5,250,915.81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3,360,990.62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4,034,701.82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2,201,414.52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185,839,655.80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157,091,326.39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21,176,152.89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3,187,930.10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2,211,546.84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2,857,217.26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2,010,434.23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188,534,607.71</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1558" w:name="bookmark1558"/>
      <w:bookmarkStart w:id="1559" w:name="bookmark1559"/>
      <w:bookmarkStart w:id="1560" w:name="bookmark1560"/>
      <w:bookmarkStart w:id="1561" w:name="bookmark1561"/>
      <w:r>
        <w:rPr>
          <w:color w:val="000000"/>
          <w:spacing w:val="0"/>
          <w:w w:val="100"/>
          <w:position w:val="0"/>
        </w:rPr>
        <w:t>（</w:t>
      </w:r>
      <w:bookmarkEnd w:id="156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558"/>
      <w:bookmarkEnd w:id="1559"/>
      <w:bookmarkEnd w:id="156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562"/>
      <w:bookmarkEnd w:id="1563"/>
      <w:bookmarkEnd w:id="15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13,189,964.95</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566"/>
      <w:bookmarkEnd w:id="1567"/>
      <w:bookmarkEnd w:id="15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both"/>
      </w:pPr>
      <w:bookmarkStart w:id="1570" w:name="bookmark1570"/>
      <w:bookmarkStart w:id="1571" w:name="bookmark1571"/>
      <w:bookmarkStart w:id="1572" w:name="bookmark1572"/>
      <w:bookmarkStart w:id="1573" w:name="bookmark1573"/>
      <w:r>
        <w:rPr>
          <w:color w:val="000000"/>
          <w:spacing w:val="0"/>
          <w:w w:val="100"/>
          <w:position w:val="0"/>
        </w:rPr>
        <w:t>（</w:t>
      </w:r>
      <w:bookmarkEnd w:id="157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570"/>
      <w:bookmarkEnd w:id="1571"/>
      <w:bookmarkEnd w:id="157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574"/>
      <w:bookmarkEnd w:id="1575"/>
      <w:bookmarkEnd w:id="15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394,687,805.93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90,392,190.36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43,457,422.22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438,145,228.15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90,392,190.36</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578"/>
      <w:bookmarkEnd w:id="1579"/>
      <w:bookmarkEnd w:id="15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五象云谷云计算 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394,687,805.93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394,687,805.93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90,392,190.36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90,392,190.36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394,687,805.93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394,687,805.93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90,392,190.36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90,392,190.36</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582"/>
      <w:bookmarkEnd w:id="1583"/>
      <w:bookmarkEnd w:id="15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五象云</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谷云计</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1,098,10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90,392,1</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304,295,</w:t>
            </w:r>
          </w:p>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394,687,</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募股资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1,098,10</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90,392,1</w:t>
            </w:r>
          </w:p>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304,295,</w:t>
            </w:r>
          </w:p>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394,687,</w:t>
            </w:r>
          </w:p>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805.93</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0"/>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586"/>
      <w:bookmarkEnd w:id="1587"/>
      <w:bookmarkEnd w:id="15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590"/>
      <w:bookmarkEnd w:id="1591"/>
      <w:bookmarkEnd w:id="15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195"/>
        <w:gridCol w:w="1195"/>
        <w:gridCol w:w="1195"/>
        <w:gridCol w:w="120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五象云谷云计算中心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43,457,422.22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43,457,422.22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43,457,422.22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43,457,422.22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94"/>
      <w:bookmarkEnd w:id="1595"/>
      <w:bookmarkEnd w:id="1597"/>
    </w:p>
    <w:p>
      <w:pPr>
        <w:pStyle w:val="Style40"/>
        <w:keepNext/>
        <w:keepLines/>
        <w:widowControl w:val="0"/>
        <w:shd w:val="clear" w:color="auto" w:fill="auto"/>
        <w:tabs>
          <w:tab w:pos="493" w:val="left"/>
        </w:tabs>
        <w:bidi w:val="0"/>
        <w:spacing w:before="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598"/>
      <w:bookmarkEnd w:id="1599"/>
      <w:bookmarkEnd w:id="1601"/>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602"/>
      <w:bookmarkEnd w:id="1603"/>
      <w:bookmarkEnd w:id="1605"/>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2</w:t>
      </w:r>
      <w:bookmarkEnd w:id="16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606"/>
      <w:bookmarkEnd w:id="1607"/>
      <w:bookmarkEnd w:id="160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bookmarkEnd w:id="161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610"/>
      <w:bookmarkEnd w:id="1611"/>
      <w:bookmarkEnd w:id="161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29,971,484.74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31,795,801.61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15,052,279.47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199,189.69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77,018,755.51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23,661,736.46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1,174,110.95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24,835,847.41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53,633,221.20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31,795,801.61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16,226,390.42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199,189.69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101,854,602.92</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5,524,449.19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859,429.09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4,220,045.50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10,623,267.58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8,543,219.73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740,569.74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9,283,789.47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14,067,668.92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859,429.09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4,960,615.24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19,907,057.05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39,565,552.28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30,936,372.52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11,265,775.18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179,845.89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81,947,545.87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23,661,736.46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1,174,110.95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24,835,847.41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18"/>
        <w:keepNext w:val="0"/>
        <w:keepLines w:val="0"/>
        <w:widowControl w:val="0"/>
        <w:shd w:val="clear" w:color="auto" w:fill="auto"/>
        <w:bidi w:val="0"/>
        <w:spacing w:before="0" w:after="780" w:line="240" w:lineRule="auto"/>
        <w:ind w:left="0" w:right="0" w:firstLine="360"/>
        <w:jc w:val="left"/>
      </w:pPr>
      <w:r>
        <w:rPr>
          <w:color w:val="000000"/>
          <w:spacing w:val="0"/>
          <w:w w:val="100"/>
          <w:position w:val="0"/>
        </w:rPr>
        <w:t>注：</w:t>
      </w:r>
      <w:r>
        <w:rPr>
          <w:rFonts w:ascii="Times New Roman" w:eastAsia="Times New Roman" w:hAnsi="Times New Roman" w:cs="Times New Roman"/>
          <w:color w:val="000000"/>
          <w:spacing w:val="0"/>
          <w:w w:val="100"/>
          <w:position w:val="0"/>
        </w:rPr>
        <w:t>2021</w:t>
      </w:r>
      <w:r>
        <w:rPr>
          <w:color w:val="000000"/>
          <w:spacing w:val="0"/>
          <w:w w:val="100"/>
          <w:position w:val="0"/>
        </w:rPr>
        <w:t>年度使用权资产计提的折旧金额为</w:t>
      </w:r>
      <w:r>
        <w:rPr>
          <w:rFonts w:ascii="Times New Roman" w:eastAsia="Times New Roman" w:hAnsi="Times New Roman" w:cs="Times New Roman"/>
          <w:color w:val="000000"/>
          <w:spacing w:val="0"/>
          <w:w w:val="100"/>
          <w:position w:val="0"/>
        </w:rPr>
        <w:t>19,130,962.84</w:t>
      </w:r>
      <w:r>
        <w:rPr>
          <w:color w:val="000000"/>
          <w:spacing w:val="0"/>
          <w:w w:val="100"/>
          <w:position w:val="0"/>
        </w:rPr>
        <w:t>元，本期非同一控制下企业合并转入</w:t>
      </w:r>
      <w:r>
        <w:rPr>
          <w:rFonts w:ascii="Times New Roman" w:eastAsia="Times New Roman" w:hAnsi="Times New Roman" w:cs="Times New Roman"/>
          <w:color w:val="000000"/>
          <w:spacing w:val="0"/>
          <w:w w:val="100"/>
          <w:position w:val="0"/>
        </w:rPr>
        <w:t>776,094.21</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2</w:t>
      </w:r>
      <w:bookmarkEnd w:id="161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614"/>
      <w:bookmarkEnd w:id="1615"/>
      <w:bookmarkEnd w:id="1617"/>
    </w:p>
    <w:p>
      <w:pPr>
        <w:pStyle w:val="Style40"/>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618"/>
      <w:bookmarkEnd w:id="1619"/>
      <w:bookmarkEnd w:id="16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22,961,750.20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18,375,852.89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43,857,603.09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11,219,150.94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9,465,036.47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20,684,187.41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11,219,150.94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9,465,036.47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20,684,187.41</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309,241.60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309,241.60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309,241.60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22,961,750.20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13,719,150.94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27,531,647.76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64,232,548.90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497,504.56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1,177,407.77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4,401,071.01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6,095,983.34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459,234.96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2,420,625.83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3,268,404.09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6,148,264.88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459,234.96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2,420,625.83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3,268,404.09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6,148,264.88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99,438.13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99,438.13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99,438.13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99,438.13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956,739.52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3,598,033.60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7,570,036.97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12,144,810.09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22,005,010.68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10,121,117.34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19,961,610.79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52,087,738.81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22,464,245.64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1,322,592.23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13,974,781.88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37,761,619.75</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7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p>
    <w:p>
      <w:pPr>
        <w:pStyle w:val="Style40"/>
        <w:keepNext/>
        <w:keepLines/>
        <w:widowControl w:val="0"/>
        <w:numPr>
          <w:ilvl w:val="0"/>
          <w:numId w:val="149"/>
        </w:numPr>
        <w:shd w:val="clear" w:color="auto" w:fill="auto"/>
        <w:bidi w:val="0"/>
        <w:spacing w:before="0" w:after="40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未办妥产权证书的土地使用权情况</w:t>
      </w:r>
      <w:bookmarkEnd w:id="1622"/>
      <w:bookmarkEnd w:id="1623"/>
      <w:bookmarkEnd w:id="162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bookmarkEnd w:id="162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626"/>
      <w:bookmarkEnd w:id="1627"/>
      <w:bookmarkEnd w:id="16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2</w:t>
      </w:r>
      <w:bookmarkEnd w:id="1632"/>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630"/>
      <w:bookmarkEnd w:id="1631"/>
      <w:bookmarkEnd w:id="1633"/>
    </w:p>
    <w:p>
      <w:pPr>
        <w:pStyle w:val="Style40"/>
        <w:keepNext/>
        <w:keepLines/>
        <w:widowControl w:val="0"/>
        <w:numPr>
          <w:ilvl w:val="0"/>
          <w:numId w:val="151"/>
        </w:numPr>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商誉账面原值</w:t>
      </w:r>
      <w:bookmarkEnd w:id="1634"/>
      <w:bookmarkEnd w:id="1635"/>
      <w:bookmarkEnd w:id="16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广州逸信电子科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10,212,316.57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10,212,316.57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广州市泺立能源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25,590,114.79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25,590,114.79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广州鑫广源电力 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35,107,839.21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35,107,839.21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广州市赛皓达智 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13,375,147.07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13,375,147.07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广东博深咨询有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5,587,446.57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5,587,446.57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润建智慧能源有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5,174,079.96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5,174,079.96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山东旋几工业自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32,189,068.11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32,189,068.11</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动化有限公司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广东鹰扬电力设 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11,159,969.72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11,159,969.72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润和世联数据科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23,034,983.24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23,034,983.24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广州智海信息科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4,434,544.77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4,434,544.77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161,430,965.24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4,434,544.77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165,865,510.01</w:t>
            </w:r>
          </w:p>
        </w:tc>
      </w:tr>
    </w:tbl>
    <w:p>
      <w:pPr>
        <w:pStyle w:val="Style25"/>
        <w:keepNext w:val="0"/>
        <w:keepLines w:val="0"/>
        <w:widowControl w:val="0"/>
        <w:shd w:val="clear" w:color="auto" w:fill="auto"/>
        <w:bidi w:val="0"/>
        <w:spacing w:before="0" w:after="0" w:line="240" w:lineRule="auto"/>
        <w:ind w:left="10" w:right="0" w:firstLine="0"/>
        <w:jc w:val="left"/>
        <w:rPr>
          <w:sz w:val="20"/>
          <w:szCs w:val="20"/>
        </w:rPr>
      </w:pPr>
      <w:bookmarkStart w:id="1638" w:name="bookmark163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638"/>
    </w:p>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159" w:line="1" w:lineRule="exact"/>
      </w:pPr>
    </w:p>
    <w:p>
      <w:pPr>
        <w:pStyle w:val="Style20"/>
        <w:keepNext w:val="0"/>
        <w:keepLines w:val="0"/>
        <w:widowControl w:val="0"/>
        <w:numPr>
          <w:ilvl w:val="0"/>
          <w:numId w:val="153"/>
        </w:numPr>
        <w:shd w:val="clear" w:color="auto" w:fill="auto"/>
        <w:bidi w:val="0"/>
        <w:spacing w:before="0" w:after="0" w:line="240" w:lineRule="auto"/>
        <w:ind w:left="0" w:right="0" w:firstLine="480"/>
        <w:jc w:val="left"/>
        <w:rPr>
          <w:sz w:val="24"/>
          <w:szCs w:val="24"/>
        </w:rPr>
      </w:pPr>
      <w:bookmarkStart w:id="1639" w:name="bookmark1639"/>
      <w:bookmarkEnd w:id="1639"/>
      <w:r>
        <w:rPr>
          <w:color w:val="000000"/>
          <w:spacing w:val="0"/>
          <w:w w:val="100"/>
          <w:position w:val="0"/>
          <w:sz w:val="24"/>
          <w:szCs w:val="24"/>
        </w:rPr>
        <w:t>广州逸信电子科技有限公司</w:t>
      </w:r>
    </w:p>
    <w:tbl>
      <w:tblPr>
        <w:tblOverlap w:val="never"/>
        <w:jc w:val="center"/>
        <w:tblLayout w:type="fixed"/>
      </w:tblPr>
      <w:tblGrid>
        <w:gridCol w:w="5146"/>
        <w:gridCol w:w="4157"/>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广州逸信电子科技有限公司</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254,581.13</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10,212,316.57</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10,466,897.70</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0"/>
        <w:keepNext w:val="0"/>
        <w:keepLines w:val="0"/>
        <w:widowControl w:val="0"/>
        <w:numPr>
          <w:ilvl w:val="0"/>
          <w:numId w:val="153"/>
        </w:numPr>
        <w:shd w:val="clear" w:color="auto" w:fill="auto"/>
        <w:bidi w:val="0"/>
        <w:spacing w:before="0" w:after="0" w:line="240" w:lineRule="auto"/>
        <w:ind w:left="0" w:right="0" w:firstLine="480"/>
        <w:jc w:val="left"/>
        <w:rPr>
          <w:sz w:val="24"/>
          <w:szCs w:val="24"/>
        </w:rPr>
      </w:pPr>
      <w:bookmarkStart w:id="1640" w:name="bookmark1640"/>
      <w:bookmarkEnd w:id="1640"/>
      <w:r>
        <w:rPr>
          <w:color w:val="000000"/>
          <w:spacing w:val="0"/>
          <w:w w:val="100"/>
          <w:position w:val="0"/>
          <w:sz w:val="24"/>
          <w:szCs w:val="24"/>
        </w:rPr>
        <w:t>广州市泺立能源科技有限公司</w:t>
      </w:r>
    </w:p>
    <w:tbl>
      <w:tblPr>
        <w:tblOverlap w:val="never"/>
        <w:jc w:val="center"/>
        <w:tblLayout w:type="fixed"/>
      </w:tblPr>
      <w:tblGrid>
        <w:gridCol w:w="5146"/>
        <w:gridCol w:w="4157"/>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广州市泺立能源科技有限公司</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81,788,605.94</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50,176,695.67</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131,965,301.61</w:t>
            </w:r>
          </w:p>
        </w:tc>
      </w:tr>
      <w:tr>
        <w:trPr>
          <w:trHeight w:val="66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0"/>
        <w:keepNext w:val="0"/>
        <w:keepLines w:val="0"/>
        <w:widowControl w:val="0"/>
        <w:numPr>
          <w:ilvl w:val="0"/>
          <w:numId w:val="153"/>
        </w:numPr>
        <w:shd w:val="clear" w:color="auto" w:fill="auto"/>
        <w:bidi w:val="0"/>
        <w:spacing w:before="0" w:after="0" w:line="240" w:lineRule="auto"/>
        <w:ind w:left="0" w:right="0" w:firstLine="480"/>
        <w:jc w:val="left"/>
        <w:rPr>
          <w:sz w:val="24"/>
          <w:szCs w:val="24"/>
        </w:rPr>
      </w:pPr>
      <w:bookmarkStart w:id="1641" w:name="bookmark1641"/>
      <w:bookmarkEnd w:id="1641"/>
      <w:r>
        <w:rPr>
          <w:color w:val="000000"/>
          <w:spacing w:val="0"/>
          <w:w w:val="100"/>
          <w:position w:val="0"/>
          <w:sz w:val="24"/>
          <w:szCs w:val="24"/>
        </w:rPr>
        <w:t>广州鑫广源电力设计有限公司</w:t>
      </w:r>
    </w:p>
    <w:tbl>
      <w:tblPr>
        <w:tblOverlap w:val="never"/>
        <w:jc w:val="center"/>
        <w:tblLayout w:type="fixed"/>
      </w:tblPr>
      <w:tblGrid>
        <w:gridCol w:w="5160"/>
        <w:gridCol w:w="4142"/>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广州鑫广源电力设计有限公司</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38,960,111.58</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50,154,056.01</w:t>
            </w:r>
          </w:p>
        </w:tc>
      </w:tr>
      <w:tr>
        <w:trPr>
          <w:trHeight w:val="3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89,114,167.59</w:t>
            </w:r>
          </w:p>
        </w:tc>
      </w:tr>
    </w:tbl>
    <w:p>
      <w:pPr>
        <w:widowControl w:val="0"/>
        <w:spacing w:line="1" w:lineRule="exact"/>
      </w:pPr>
      <w:r>
        <w:br w:type="page"/>
      </w:r>
    </w:p>
    <w:tbl>
      <w:tblPr>
        <w:tblOverlap w:val="never"/>
        <w:jc w:val="center"/>
        <w:tblLayout w:type="fixed"/>
      </w:tblPr>
      <w:tblGrid>
        <w:gridCol w:w="5160"/>
        <w:gridCol w:w="4142"/>
      </w:tblGrid>
      <w:tr>
        <w:trPr>
          <w:trHeight w:val="67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0"/>
        <w:keepNext w:val="0"/>
        <w:keepLines w:val="0"/>
        <w:widowControl w:val="0"/>
        <w:numPr>
          <w:ilvl w:val="0"/>
          <w:numId w:val="153"/>
        </w:numPr>
        <w:shd w:val="clear" w:color="auto" w:fill="auto"/>
        <w:bidi w:val="0"/>
        <w:spacing w:before="0" w:after="0" w:line="240" w:lineRule="auto"/>
        <w:ind w:left="0" w:right="0" w:firstLine="480"/>
        <w:jc w:val="left"/>
        <w:rPr>
          <w:sz w:val="24"/>
          <w:szCs w:val="24"/>
        </w:rPr>
      </w:pPr>
      <w:bookmarkStart w:id="1642" w:name="bookmark1642"/>
      <w:bookmarkEnd w:id="1642"/>
      <w:r>
        <w:rPr>
          <w:color w:val="000000"/>
          <w:spacing w:val="0"/>
          <w:w w:val="100"/>
          <w:position w:val="0"/>
          <w:sz w:val="24"/>
          <w:szCs w:val="24"/>
        </w:rPr>
        <w:t>广州市赛皓达智能科技有限公司</w:t>
      </w:r>
    </w:p>
    <w:tbl>
      <w:tblPr>
        <w:tblOverlap w:val="never"/>
        <w:jc w:val="center"/>
        <w:tblLayout w:type="fixed"/>
      </w:tblPr>
      <w:tblGrid>
        <w:gridCol w:w="5160"/>
        <w:gridCol w:w="4142"/>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广州市赛皓达智能科技有限公司</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30,889,390.21</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13,375,147.07</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44,264,537.28</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0"/>
        <w:keepNext w:val="0"/>
        <w:keepLines w:val="0"/>
        <w:widowControl w:val="0"/>
        <w:numPr>
          <w:ilvl w:val="0"/>
          <w:numId w:val="153"/>
        </w:numPr>
        <w:shd w:val="clear" w:color="auto" w:fill="auto"/>
        <w:bidi w:val="0"/>
        <w:spacing w:before="0" w:after="0" w:line="240" w:lineRule="auto"/>
        <w:ind w:left="0" w:right="0" w:firstLine="480"/>
        <w:jc w:val="left"/>
        <w:rPr>
          <w:sz w:val="24"/>
          <w:szCs w:val="24"/>
        </w:rPr>
      </w:pPr>
      <w:bookmarkStart w:id="1643" w:name="bookmark1643"/>
      <w:bookmarkEnd w:id="1643"/>
      <w:r>
        <w:rPr>
          <w:color w:val="000000"/>
          <w:spacing w:val="0"/>
          <w:w w:val="100"/>
          <w:position w:val="0"/>
          <w:sz w:val="24"/>
          <w:szCs w:val="24"/>
        </w:rPr>
        <w:t>广东博深咨询有限公司</w:t>
      </w:r>
    </w:p>
    <w:tbl>
      <w:tblPr>
        <w:tblOverlap w:val="never"/>
        <w:jc w:val="center"/>
        <w:tblLayout w:type="fixed"/>
      </w:tblPr>
      <w:tblGrid>
        <w:gridCol w:w="5026"/>
        <w:gridCol w:w="4277"/>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广东博深咨询有限公司</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2,401,403.99</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10,955,777.59</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13,357,181.58</w:t>
            </w:r>
          </w:p>
        </w:tc>
      </w:tr>
      <w:tr>
        <w:trPr>
          <w:trHeight w:val="66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widowControl w:val="0"/>
        <w:spacing w:line="1" w:lineRule="exact"/>
      </w:pPr>
    </w:p>
    <w:tbl>
      <w:tblPr>
        <w:tblOverlap w:val="never"/>
        <w:jc w:val="center"/>
        <w:tblLayout w:type="fixed"/>
      </w:tblPr>
      <w:tblGrid>
        <w:gridCol w:w="5026"/>
        <w:gridCol w:w="4277"/>
      </w:tblGrid>
      <w:tr>
        <w:trPr>
          <w:trHeight w:val="302"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⑥润建智慧能源有限责任公司</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润建智慧能源有限责任公司</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5,300,754.74</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5,174,079.96</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10,474,834.70</w:t>
            </w:r>
          </w:p>
        </w:tc>
      </w:tr>
      <w:tr>
        <w:trPr>
          <w:trHeight w:val="65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22" w:hRule="exact"/>
        </w:trPr>
        <w:tc>
          <w:tcPr>
            <w:gridSpan w:val="2"/>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⑦山东旋几工业自动化有限公司</w:t>
            </w:r>
          </w:p>
        </w:tc>
      </w:tr>
    </w:tbl>
    <w:p>
      <w:pPr>
        <w:widowControl w:val="0"/>
        <w:spacing w:line="1" w:lineRule="exact"/>
      </w:pPr>
    </w:p>
    <w:tbl>
      <w:tblPr>
        <w:tblOverlap w:val="never"/>
        <w:jc w:val="center"/>
        <w:tblLayout w:type="fixed"/>
      </w:tblPr>
      <w:tblGrid>
        <w:gridCol w:w="5026"/>
        <w:gridCol w:w="4277"/>
      </w:tblGrid>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山东旋几工业自动化有限公司</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9,058,564.50</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63,115,819.82</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72,174,384.32</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widowControl w:val="0"/>
        <w:spacing w:line="1" w:lineRule="exact"/>
      </w:pPr>
    </w:p>
    <w:tbl>
      <w:tblPr>
        <w:tblOverlap w:val="never"/>
        <w:jc w:val="center"/>
        <w:tblLayout w:type="fixed"/>
      </w:tblPr>
      <w:tblGrid>
        <w:gridCol w:w="5026"/>
        <w:gridCol w:w="4277"/>
      </w:tblGrid>
      <w:tr>
        <w:trPr>
          <w:trHeight w:val="298" w:hRule="exact"/>
        </w:trPr>
        <w:tc>
          <w:tcPr>
            <w:gridSpan w:val="2"/>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⑧广东鹰扬电力设计有限公司</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广东鹰扬电力设计有限公司</w:t>
            </w:r>
          </w:p>
        </w:tc>
      </w:tr>
      <w:tr>
        <w:trPr>
          <w:trHeight w:val="33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1,156,259.64</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11,159,969.72</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12,316,229.36</w:t>
            </w:r>
          </w:p>
        </w:tc>
      </w:tr>
      <w:tr>
        <w:trPr>
          <w:trHeight w:val="66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0"/>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⑨润和世联数据科技有限公司</w:t>
      </w:r>
    </w:p>
    <w:tbl>
      <w:tblPr>
        <w:tblOverlap w:val="never"/>
        <w:jc w:val="center"/>
        <w:tblLayout w:type="fixed"/>
      </w:tblPr>
      <w:tblGrid>
        <w:gridCol w:w="5026"/>
        <w:gridCol w:w="4277"/>
      </w:tblGrid>
      <w:tr>
        <w:trPr>
          <w:trHeight w:val="355"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资产组或资产组组合的构成</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润和世联数据科技有限公司</w:t>
            </w:r>
          </w:p>
        </w:tc>
      </w:tr>
    </w:tbl>
    <w:p>
      <w:pPr>
        <w:widowControl w:val="0"/>
        <w:spacing w:line="1" w:lineRule="exact"/>
      </w:pPr>
      <w:r>
        <w:br w:type="page"/>
      </w:r>
    </w:p>
    <w:tbl>
      <w:tblPr>
        <w:tblOverlap w:val="never"/>
        <w:jc w:val="center"/>
        <w:tblLayout w:type="fixed"/>
      </w:tblPr>
      <w:tblGrid>
        <w:gridCol w:w="5026"/>
        <w:gridCol w:w="4277"/>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20,820,312.85</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35,438,435.75</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56,258,748.60</w:t>
            </w:r>
          </w:p>
        </w:tc>
      </w:tr>
      <w:tr>
        <w:trPr>
          <w:trHeight w:val="66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widowControl w:val="0"/>
        <w:spacing w:after="119" w:line="1" w:lineRule="exact"/>
      </w:pPr>
    </w:p>
    <w:p>
      <w:pPr>
        <w:pStyle w:val="Style20"/>
        <w:keepNext w:val="0"/>
        <w:keepLines w:val="0"/>
        <w:widowControl w:val="0"/>
        <w:shd w:val="clear" w:color="auto" w:fill="auto"/>
        <w:bidi w:val="0"/>
        <w:spacing w:before="0" w:after="0" w:line="240" w:lineRule="auto"/>
        <w:ind w:left="0" w:right="0" w:firstLine="480"/>
        <w:jc w:val="left"/>
        <w:rPr>
          <w:sz w:val="24"/>
          <w:szCs w:val="24"/>
        </w:rPr>
      </w:pPr>
      <w:r>
        <w:rPr>
          <w:color w:val="000000"/>
          <w:spacing w:val="0"/>
          <w:w w:val="100"/>
          <w:position w:val="0"/>
          <w:sz w:val="24"/>
          <w:szCs w:val="24"/>
        </w:rPr>
        <w:t>⑩广州智海信息科技有限公司</w:t>
      </w:r>
    </w:p>
    <w:tbl>
      <w:tblPr>
        <w:tblOverlap w:val="never"/>
        <w:jc w:val="center"/>
        <w:tblLayout w:type="fixed"/>
      </w:tblPr>
      <w:tblGrid>
        <w:gridCol w:w="5026"/>
        <w:gridCol w:w="4277"/>
      </w:tblGrid>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资产组或资产组组合的构成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广州智海信息科技有限公司</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16,266,838.92</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分摊至本资产组或资产组组合的商誉账面价值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8,695,185.82</w:t>
            </w:r>
          </w:p>
        </w:tc>
      </w:tr>
      <w:tr>
        <w:trPr>
          <w:trHeight w:val="34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包含商誉的资产组或资产组组合的账面价值</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24,962,024.74</w:t>
            </w:r>
          </w:p>
        </w:tc>
      </w:tr>
      <w:tr>
        <w:trPr>
          <w:trHeight w:val="65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资产组或资产组组合是否与购买日、以前年度商誉减值 测试时所确定的资产组或资产组组合一致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35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r>
    </w:tbl>
    <w:p>
      <w:pPr>
        <w:widowControl w:val="0"/>
        <w:spacing w:after="839" w:line="1" w:lineRule="exact"/>
      </w:pPr>
    </w:p>
    <w:p>
      <w:pPr>
        <w:pStyle w:val="Style18"/>
        <w:keepNext w:val="0"/>
        <w:keepLines w:val="0"/>
        <w:widowControl w:val="0"/>
        <w:shd w:val="clear" w:color="auto" w:fill="auto"/>
        <w:bidi w:val="0"/>
        <w:spacing w:before="0" w:after="120" w:line="30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numPr>
          <w:ilvl w:val="0"/>
          <w:numId w:val="155"/>
        </w:numPr>
        <w:shd w:val="clear" w:color="auto" w:fill="auto"/>
        <w:bidi w:val="0"/>
        <w:spacing w:before="0" w:after="80" w:line="319" w:lineRule="exact"/>
        <w:ind w:left="0" w:right="0" w:firstLine="360"/>
        <w:jc w:val="both"/>
      </w:pPr>
      <w:bookmarkStart w:id="1644" w:name="bookmark1644"/>
      <w:bookmarkEnd w:id="1644"/>
      <w:r>
        <w:rPr>
          <w:color w:val="000000"/>
          <w:spacing w:val="0"/>
          <w:w w:val="100"/>
          <w:position w:val="0"/>
        </w:rPr>
        <w:t>广州逸信电子科技有限公司</w:t>
      </w:r>
    </w:p>
    <w:p>
      <w:pPr>
        <w:pStyle w:val="Style18"/>
        <w:keepNext w:val="0"/>
        <w:keepLines w:val="0"/>
        <w:widowControl w:val="0"/>
        <w:shd w:val="clear" w:color="auto" w:fill="auto"/>
        <w:bidi w:val="0"/>
        <w:spacing w:before="0" w:after="8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13. </w:t>
      </w:r>
      <w:r>
        <w:rPr>
          <w:color w:val="000000"/>
          <w:spacing w:val="0"/>
          <w:w w:val="100"/>
          <w:position w:val="0"/>
          <w:sz w:val="18"/>
          <w:szCs w:val="18"/>
        </w:rPr>
        <w:t>15%，</w:t>
      </w:r>
      <w:r>
        <w:rPr>
          <w:color w:val="000000"/>
          <w:spacing w:val="0"/>
          <w:w w:val="100"/>
          <w:position w:val="0"/>
        </w:rPr>
        <w:t>预测期以后的现金流量与最后一期持平，该增长率和通信服务行业总体长期平均增长率基 本相当。</w:t>
      </w:r>
    </w:p>
    <w:tbl>
      <w:tblPr>
        <w:tblOverlap w:val="never"/>
        <w:jc w:val="center"/>
        <w:tblLayout w:type="fixed"/>
      </w:tblPr>
      <w:tblGrid>
        <w:gridCol w:w="1085"/>
        <w:gridCol w:w="1800"/>
        <w:gridCol w:w="1210"/>
        <w:gridCol w:w="1181"/>
        <w:gridCol w:w="1853"/>
        <w:gridCol w:w="2174"/>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逸信科技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13.15%</w:t>
            </w:r>
          </w:p>
        </w:tc>
      </w:tr>
    </w:tbl>
    <w:p>
      <w:pPr>
        <w:widowControl w:val="0"/>
        <w:spacing w:after="79" w:line="1" w:lineRule="exact"/>
      </w:pPr>
    </w:p>
    <w:p>
      <w:pPr>
        <w:pStyle w:val="Style18"/>
        <w:keepNext w:val="0"/>
        <w:keepLines w:val="0"/>
        <w:widowControl w:val="0"/>
        <w:shd w:val="clear" w:color="auto" w:fill="auto"/>
        <w:bidi w:val="0"/>
        <w:spacing w:before="0" w:after="80" w:line="307"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020255</w:t>
      </w:r>
      <w:r>
        <w:rPr>
          <w:color w:val="000000"/>
          <w:spacing w:val="0"/>
          <w:w w:val="100"/>
          <w:position w:val="0"/>
        </w:rPr>
        <w:t>号《润建股份有 限公司并购广州逸信电子科技有限公司所涉及的以财务报告为目的的商誉减值测试项目》的评估结果，包含商誉的资产组的 可收回金额为</w:t>
      </w:r>
      <w:r>
        <w:rPr>
          <w:color w:val="000000"/>
          <w:spacing w:val="0"/>
          <w:w w:val="100"/>
          <w:position w:val="0"/>
          <w:sz w:val="18"/>
          <w:szCs w:val="18"/>
        </w:rPr>
        <w:t>1,670.00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80" w:line="316" w:lineRule="exact"/>
        <w:ind w:left="0" w:right="0" w:firstLine="360"/>
        <w:jc w:val="both"/>
      </w:pPr>
      <w:bookmarkStart w:id="1645" w:name="bookmark1645"/>
      <w:bookmarkEnd w:id="1645"/>
      <w:r>
        <w:rPr>
          <w:color w:val="000000"/>
          <w:spacing w:val="0"/>
          <w:w w:val="100"/>
          <w:position w:val="0"/>
        </w:rPr>
        <w:t>广州市泺立能源科技有限公司</w:t>
      </w:r>
    </w:p>
    <w:p>
      <w:pPr>
        <w:pStyle w:val="Style18"/>
        <w:keepNext w:val="0"/>
        <w:keepLines w:val="0"/>
        <w:widowControl w:val="0"/>
        <w:shd w:val="clear" w:color="auto" w:fill="auto"/>
        <w:bidi w:val="0"/>
        <w:spacing w:before="0" w:after="8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12. </w:t>
      </w:r>
      <w:r>
        <w:rPr>
          <w:color w:val="000000"/>
          <w:spacing w:val="0"/>
          <w:w w:val="100"/>
          <w:position w:val="0"/>
          <w:sz w:val="18"/>
          <w:szCs w:val="18"/>
        </w:rPr>
        <w:t>46%，</w:t>
      </w:r>
      <w:r>
        <w:rPr>
          <w:color w:val="000000"/>
          <w:spacing w:val="0"/>
          <w:w w:val="100"/>
          <w:position w:val="0"/>
        </w:rPr>
        <w:t>预测期以后的现金流量与最后一期持平，该增长率和电力设备行业总体长期平均增长率基 本相当。</w:t>
      </w:r>
    </w:p>
    <w:tbl>
      <w:tblPr>
        <w:tblOverlap w:val="never"/>
        <w:jc w:val="center"/>
        <w:tblLayout w:type="fixed"/>
      </w:tblPr>
      <w:tblGrid>
        <w:gridCol w:w="1118"/>
        <w:gridCol w:w="1882"/>
        <w:gridCol w:w="1104"/>
        <w:gridCol w:w="1075"/>
        <w:gridCol w:w="1882"/>
        <w:gridCol w:w="2242"/>
      </w:tblGrid>
      <w:tr>
        <w:trPr>
          <w:trHeight w:val="34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预测期增长 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泺立能源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根据预测的收入、成本、</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12.46%</w:t>
            </w:r>
          </w:p>
        </w:tc>
      </w:tr>
    </w:tbl>
    <w:p>
      <w:pPr>
        <w:widowControl w:val="0"/>
        <w:spacing w:line="1" w:lineRule="exact"/>
      </w:pPr>
    </w:p>
    <w:tbl>
      <w:tblPr>
        <w:tblOverlap w:val="never"/>
        <w:jc w:val="center"/>
        <w:tblLayout w:type="fixed"/>
      </w:tblPr>
      <w:tblGrid>
        <w:gridCol w:w="1118"/>
        <w:gridCol w:w="1882"/>
        <w:gridCol w:w="1104"/>
        <w:gridCol w:w="1075"/>
        <w:gridCol w:w="1882"/>
        <w:gridCol w:w="2242"/>
      </w:tblGrid>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020198</w:t>
      </w:r>
      <w:r>
        <w:rPr>
          <w:color w:val="000000"/>
          <w:spacing w:val="0"/>
          <w:w w:val="100"/>
          <w:position w:val="0"/>
        </w:rPr>
        <w:t>号《润建股份有 限公司并购广州市泺立能源科技有限公司所涉及的以财务报告为目的的商誉减值测试项目》的评估结果，包含商誉的资产组 的可收回金额为</w:t>
      </w:r>
      <w:r>
        <w:rPr>
          <w:color w:val="000000"/>
          <w:spacing w:val="0"/>
          <w:w w:val="100"/>
          <w:position w:val="0"/>
          <w:sz w:val="18"/>
          <w:szCs w:val="18"/>
        </w:rPr>
        <w:t xml:space="preserve">13,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80" w:line="314" w:lineRule="exact"/>
        <w:ind w:left="0" w:right="0" w:firstLine="360"/>
        <w:jc w:val="both"/>
      </w:pPr>
      <w:bookmarkStart w:id="1646" w:name="bookmark1646"/>
      <w:bookmarkEnd w:id="1646"/>
      <w:r>
        <w:rPr>
          <w:color w:val="000000"/>
          <w:spacing w:val="0"/>
          <w:w w:val="100"/>
          <w:position w:val="0"/>
        </w:rPr>
        <w:t>广州鑫广源电力设计有限公司</w:t>
      </w:r>
    </w:p>
    <w:p>
      <w:pPr>
        <w:pStyle w:val="Style18"/>
        <w:keepNext w:val="0"/>
        <w:keepLines w:val="0"/>
        <w:widowControl w:val="0"/>
        <w:shd w:val="clear" w:color="auto" w:fill="auto"/>
        <w:bidi w:val="0"/>
        <w:spacing w:before="0" w:after="8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13. </w:t>
      </w:r>
      <w:r>
        <w:rPr>
          <w:color w:val="000000"/>
          <w:spacing w:val="0"/>
          <w:w w:val="100"/>
          <w:position w:val="0"/>
          <w:sz w:val="18"/>
          <w:szCs w:val="18"/>
        </w:rPr>
        <w:t>60%，</w:t>
      </w:r>
      <w:r>
        <w:rPr>
          <w:color w:val="000000"/>
          <w:spacing w:val="0"/>
          <w:w w:val="100"/>
          <w:position w:val="0"/>
        </w:rPr>
        <w:t>预测期以后的现金流量与最后一期持平，该增长率和电力设计行业总体长期平均增长率基 本相当。</w:t>
      </w:r>
    </w:p>
    <w:tbl>
      <w:tblPr>
        <w:tblOverlap w:val="never"/>
        <w:jc w:val="center"/>
        <w:tblLayout w:type="fixed"/>
      </w:tblPr>
      <w:tblGrid>
        <w:gridCol w:w="1090"/>
        <w:gridCol w:w="1838"/>
        <w:gridCol w:w="1080"/>
        <w:gridCol w:w="1114"/>
        <w:gridCol w:w="1954"/>
        <w:gridCol w:w="2227"/>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预测期增长 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鑫广源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13.60%</w:t>
            </w:r>
          </w:p>
        </w:tc>
      </w:tr>
    </w:tbl>
    <w:p>
      <w:pPr>
        <w:widowControl w:val="0"/>
        <w:spacing w:after="79" w:line="1" w:lineRule="exact"/>
      </w:pPr>
    </w:p>
    <w:p>
      <w:pPr>
        <w:pStyle w:val="Style18"/>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020251</w:t>
      </w:r>
      <w:r>
        <w:rPr>
          <w:color w:val="000000"/>
          <w:spacing w:val="0"/>
          <w:w w:val="100"/>
          <w:position w:val="0"/>
        </w:rPr>
        <w:t>号《润建股份有 限公司并购广州鑫广源电力设计有限公司所涉及的以财务报告为目的的商誉减值测试项目》的评估结果，包含商誉的资产组 的可收回金额为</w:t>
      </w:r>
      <w:r>
        <w:rPr>
          <w:color w:val="000000"/>
          <w:spacing w:val="0"/>
          <w:w w:val="100"/>
          <w:position w:val="0"/>
          <w:sz w:val="18"/>
          <w:szCs w:val="18"/>
        </w:rPr>
        <w:t>9,500.00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80" w:line="317" w:lineRule="exact"/>
        <w:ind w:left="0" w:right="0" w:firstLine="360"/>
        <w:jc w:val="both"/>
      </w:pPr>
      <w:bookmarkStart w:id="1647" w:name="bookmark1647"/>
      <w:bookmarkEnd w:id="1647"/>
      <w:r>
        <w:rPr>
          <w:color w:val="000000"/>
          <w:spacing w:val="0"/>
          <w:w w:val="100"/>
          <w:position w:val="0"/>
        </w:rPr>
        <w:t>广州市赛皓达智能科技有限公司</w:t>
      </w:r>
    </w:p>
    <w:p>
      <w:pPr>
        <w:pStyle w:val="Style18"/>
        <w:keepNext w:val="0"/>
        <w:keepLines w:val="0"/>
        <w:widowControl w:val="0"/>
        <w:shd w:val="clear" w:color="auto" w:fill="auto"/>
        <w:bidi w:val="0"/>
        <w:spacing w:before="0" w:after="8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14. </w:t>
      </w:r>
      <w:r>
        <w:rPr>
          <w:color w:val="000000"/>
          <w:spacing w:val="0"/>
          <w:w w:val="100"/>
          <w:position w:val="0"/>
          <w:sz w:val="18"/>
          <w:szCs w:val="18"/>
        </w:rPr>
        <w:t>44%，</w:t>
      </w:r>
      <w:r>
        <w:rPr>
          <w:color w:val="000000"/>
          <w:spacing w:val="0"/>
          <w:w w:val="100"/>
          <w:position w:val="0"/>
        </w:rPr>
        <w:t>预测期以后的现金流量与最后一期持平，该增长率和电力服务行业总体长期平均增长率基 本相当。</w:t>
      </w:r>
    </w:p>
    <w:tbl>
      <w:tblPr>
        <w:tblOverlap w:val="never"/>
        <w:jc w:val="center"/>
        <w:tblLayout w:type="fixed"/>
      </w:tblPr>
      <w:tblGrid>
        <w:gridCol w:w="1114"/>
        <w:gridCol w:w="1795"/>
        <w:gridCol w:w="1162"/>
        <w:gridCol w:w="1104"/>
        <w:gridCol w:w="1944"/>
        <w:gridCol w:w="2184"/>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赛皓达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14.44%</w:t>
            </w:r>
          </w:p>
        </w:tc>
      </w:tr>
    </w:tbl>
    <w:p>
      <w:pPr>
        <w:widowControl w:val="0"/>
        <w:spacing w:after="79" w:line="1" w:lineRule="exact"/>
      </w:pPr>
    </w:p>
    <w:p>
      <w:pPr>
        <w:pStyle w:val="Style18"/>
        <w:keepNext w:val="0"/>
        <w:keepLines w:val="0"/>
        <w:widowControl w:val="0"/>
        <w:shd w:val="clear" w:color="auto" w:fill="auto"/>
        <w:bidi w:val="0"/>
        <w:spacing w:before="0" w:after="120" w:line="307"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020246</w:t>
      </w:r>
      <w:r>
        <w:rPr>
          <w:color w:val="000000"/>
          <w:spacing w:val="0"/>
          <w:w w:val="100"/>
          <w:position w:val="0"/>
        </w:rPr>
        <w:t>号《润建股份有 限公司并购广州市赛皓达智能科技有限公司所涉及的以财务报告为目的的商誉减值测试项目》的评估结果，包含商誉的资产 组的可收回金额为</w:t>
      </w:r>
      <w:r>
        <w:rPr>
          <w:color w:val="000000"/>
          <w:spacing w:val="0"/>
          <w:w w:val="100"/>
          <w:position w:val="0"/>
          <w:sz w:val="18"/>
          <w:szCs w:val="18"/>
        </w:rPr>
        <w:t>6,000.00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80" w:line="317" w:lineRule="exact"/>
        <w:ind w:left="0" w:right="0" w:firstLine="360"/>
        <w:jc w:val="both"/>
      </w:pPr>
      <w:bookmarkStart w:id="1648" w:name="bookmark1648"/>
      <w:bookmarkEnd w:id="1648"/>
      <w:r>
        <w:rPr>
          <w:color w:val="000000"/>
          <w:spacing w:val="0"/>
          <w:w w:val="100"/>
          <w:position w:val="0"/>
        </w:rPr>
        <w:t>广东博深咨询有限公司</w:t>
      </w:r>
    </w:p>
    <w:p>
      <w:pPr>
        <w:pStyle w:val="Style18"/>
        <w:keepNext w:val="0"/>
        <w:keepLines w:val="0"/>
        <w:widowControl w:val="0"/>
        <w:shd w:val="clear" w:color="auto" w:fill="auto"/>
        <w:bidi w:val="0"/>
        <w:spacing w:before="0" w:after="8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13. </w:t>
      </w:r>
      <w:r>
        <w:rPr>
          <w:color w:val="000000"/>
          <w:spacing w:val="0"/>
          <w:w w:val="100"/>
          <w:position w:val="0"/>
          <w:sz w:val="18"/>
          <w:szCs w:val="18"/>
        </w:rPr>
        <w:t>57%，</w:t>
      </w:r>
      <w:r>
        <w:rPr>
          <w:color w:val="000000"/>
          <w:spacing w:val="0"/>
          <w:w w:val="100"/>
          <w:position w:val="0"/>
        </w:rPr>
        <w:t>预测期以后的现金流量与最后一期持平，该增长率和电力服务行业总体长期平均增长率基 本相当。</w:t>
      </w:r>
    </w:p>
    <w:tbl>
      <w:tblPr>
        <w:tblOverlap w:val="never"/>
        <w:jc w:val="center"/>
        <w:tblLayout w:type="fixed"/>
      </w:tblPr>
      <w:tblGrid>
        <w:gridCol w:w="1109"/>
        <w:gridCol w:w="8194"/>
      </w:tblGrid>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bl>
    <w:p>
      <w:pPr>
        <w:widowControl w:val="0"/>
        <w:spacing w:line="1" w:lineRule="exact"/>
      </w:pPr>
    </w:p>
    <w:tbl>
      <w:tblPr>
        <w:tblOverlap w:val="never"/>
        <w:jc w:val="center"/>
        <w:tblLayout w:type="fixed"/>
      </w:tblPr>
      <w:tblGrid>
        <w:gridCol w:w="1109"/>
        <w:gridCol w:w="1843"/>
        <w:gridCol w:w="1181"/>
        <w:gridCol w:w="1133"/>
        <w:gridCol w:w="1843"/>
        <w:gridCol w:w="2194"/>
      </w:tblGrid>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博深咨询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13.57%</w:t>
            </w:r>
          </w:p>
        </w:tc>
      </w:tr>
    </w:tbl>
    <w:p>
      <w:pPr>
        <w:widowControl w:val="0"/>
        <w:spacing w:after="59" w:line="1" w:lineRule="exact"/>
      </w:pP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020254</w:t>
      </w:r>
      <w:r>
        <w:rPr>
          <w:color w:val="000000"/>
          <w:spacing w:val="0"/>
          <w:w w:val="100"/>
          <w:position w:val="0"/>
        </w:rPr>
        <w:t>号《润建股份有 限公司并购广东博深咨询有限公司所涉及的以财务报告为目的的商誉减值测试项目》的评估结果，包含商誉的资产组的可收 回金额为</w:t>
      </w:r>
      <w:r>
        <w:rPr>
          <w:color w:val="000000"/>
          <w:spacing w:val="0"/>
          <w:w w:val="100"/>
          <w:position w:val="0"/>
          <w:sz w:val="18"/>
          <w:szCs w:val="18"/>
        </w:rPr>
        <w:t>1,370.00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100" w:line="316" w:lineRule="exact"/>
        <w:ind w:left="0" w:right="0" w:firstLine="360"/>
        <w:jc w:val="both"/>
      </w:pPr>
      <w:bookmarkStart w:id="1649" w:name="bookmark1649"/>
      <w:bookmarkEnd w:id="1649"/>
      <w:r>
        <w:rPr>
          <w:color w:val="000000"/>
          <w:spacing w:val="0"/>
          <w:w w:val="100"/>
          <w:position w:val="0"/>
        </w:rPr>
        <w:t>润建智慧能源有限责任公司</w:t>
      </w:r>
    </w:p>
    <w:p>
      <w:pPr>
        <w:pStyle w:val="Style18"/>
        <w:keepNext w:val="0"/>
        <w:keepLines w:val="0"/>
        <w:widowControl w:val="0"/>
        <w:shd w:val="clear" w:color="auto" w:fill="auto"/>
        <w:bidi w:val="0"/>
        <w:spacing w:before="0" w:after="6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13. </w:t>
      </w:r>
      <w:r>
        <w:rPr>
          <w:color w:val="000000"/>
          <w:spacing w:val="0"/>
          <w:w w:val="100"/>
          <w:position w:val="0"/>
          <w:sz w:val="18"/>
          <w:szCs w:val="18"/>
        </w:rPr>
        <w:t>57%，</w:t>
      </w:r>
      <w:r>
        <w:rPr>
          <w:color w:val="000000"/>
          <w:spacing w:val="0"/>
          <w:w w:val="100"/>
          <w:position w:val="0"/>
        </w:rPr>
        <w:t>预测期以后的现金流量与最后一期持平，该增长率和电力服务行业总体长期平均增长率基 本相当。</w:t>
      </w:r>
    </w:p>
    <w:tbl>
      <w:tblPr>
        <w:tblOverlap w:val="never"/>
        <w:jc w:val="center"/>
        <w:tblLayout w:type="fixed"/>
      </w:tblPr>
      <w:tblGrid>
        <w:gridCol w:w="1094"/>
        <w:gridCol w:w="1805"/>
        <w:gridCol w:w="1133"/>
        <w:gridCol w:w="1128"/>
        <w:gridCol w:w="1944"/>
        <w:gridCol w:w="2198"/>
      </w:tblGrid>
      <w:tr>
        <w:trPr>
          <w:trHeight w:val="35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13.57%</w:t>
            </w:r>
          </w:p>
        </w:tc>
      </w:tr>
    </w:tbl>
    <w:p>
      <w:pPr>
        <w:widowControl w:val="0"/>
        <w:spacing w:after="59" w:line="1" w:lineRule="exact"/>
      </w:pP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020252</w:t>
      </w:r>
      <w:r>
        <w:rPr>
          <w:color w:val="000000"/>
          <w:spacing w:val="0"/>
          <w:w w:val="100"/>
          <w:position w:val="0"/>
        </w:rPr>
        <w:t>号《润建股份有 限公司并购润建智慧能源有限责任公司所涉及的以财务报告为目的的商誉减值测试项目》的评估结果，包含商誉的资产组的 可收回金额为</w:t>
      </w:r>
      <w:r>
        <w:rPr>
          <w:color w:val="000000"/>
          <w:spacing w:val="0"/>
          <w:w w:val="100"/>
          <w:position w:val="0"/>
          <w:sz w:val="18"/>
          <w:szCs w:val="18"/>
        </w:rPr>
        <w:t>1,120.00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100" w:line="316" w:lineRule="exact"/>
        <w:ind w:left="0" w:right="0" w:firstLine="360"/>
        <w:jc w:val="both"/>
      </w:pPr>
      <w:bookmarkStart w:id="1650" w:name="bookmark1650"/>
      <w:bookmarkEnd w:id="1650"/>
      <w:r>
        <w:rPr>
          <w:color w:val="000000"/>
          <w:spacing w:val="0"/>
          <w:w w:val="100"/>
          <w:position w:val="0"/>
        </w:rPr>
        <w:t>山东旋几工业自动化有限公司</w:t>
      </w:r>
    </w:p>
    <w:p>
      <w:pPr>
        <w:pStyle w:val="Style18"/>
        <w:keepNext w:val="0"/>
        <w:keepLines w:val="0"/>
        <w:widowControl w:val="0"/>
        <w:shd w:val="clear" w:color="auto" w:fill="auto"/>
        <w:bidi w:val="0"/>
        <w:spacing w:before="0" w:after="60" w:line="319"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13. </w:t>
      </w:r>
      <w:r>
        <w:rPr>
          <w:color w:val="000000"/>
          <w:spacing w:val="0"/>
          <w:w w:val="100"/>
          <w:position w:val="0"/>
          <w:sz w:val="18"/>
          <w:szCs w:val="18"/>
        </w:rPr>
        <w:t>74%，</w:t>
      </w:r>
      <w:r>
        <w:rPr>
          <w:color w:val="000000"/>
          <w:spacing w:val="0"/>
          <w:w w:val="100"/>
          <w:position w:val="0"/>
        </w:rPr>
        <w:t>预测期以后的现金流量与最后一期持平，该增长率和软件开发行业总体长期平均增长率基 本相当。</w:t>
      </w:r>
    </w:p>
    <w:tbl>
      <w:tblPr>
        <w:tblOverlap w:val="never"/>
        <w:jc w:val="center"/>
        <w:tblLayout w:type="fixed"/>
      </w:tblPr>
      <w:tblGrid>
        <w:gridCol w:w="1056"/>
        <w:gridCol w:w="1843"/>
        <w:gridCol w:w="1133"/>
        <w:gridCol w:w="1085"/>
        <w:gridCol w:w="2011"/>
        <w:gridCol w:w="2174"/>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稳定期增长 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5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山东旋几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13.74%</w:t>
            </w:r>
          </w:p>
        </w:tc>
      </w:tr>
    </w:tbl>
    <w:p>
      <w:pPr>
        <w:widowControl w:val="0"/>
        <w:spacing w:after="59" w:line="1" w:lineRule="exact"/>
      </w:pPr>
    </w:p>
    <w:p>
      <w:pPr>
        <w:pStyle w:val="Style18"/>
        <w:keepNext w:val="0"/>
        <w:keepLines w:val="0"/>
        <w:widowControl w:val="0"/>
        <w:shd w:val="clear" w:color="auto" w:fill="auto"/>
        <w:bidi w:val="0"/>
        <w:spacing w:before="0" w:after="100" w:line="307"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020253</w:t>
      </w:r>
      <w:r>
        <w:rPr>
          <w:color w:val="000000"/>
          <w:spacing w:val="0"/>
          <w:w w:val="100"/>
          <w:position w:val="0"/>
        </w:rPr>
        <w:t>号《润建股份有 限公司并购山东旋几工业自动化有限公司所涉及的以财务报告为目的的商誉减值测试项目》的评估结果，包含商誉的资产组 的可收回金额为</w:t>
      </w:r>
      <w:r>
        <w:rPr>
          <w:color w:val="000000"/>
          <w:spacing w:val="0"/>
          <w:w w:val="100"/>
          <w:position w:val="0"/>
          <w:sz w:val="18"/>
          <w:szCs w:val="18"/>
        </w:rPr>
        <w:t>7,310.00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100" w:line="314" w:lineRule="exact"/>
        <w:ind w:left="0" w:right="0" w:firstLine="360"/>
        <w:jc w:val="both"/>
      </w:pPr>
      <w:bookmarkStart w:id="1651" w:name="bookmark1651"/>
      <w:bookmarkEnd w:id="1651"/>
      <w:r>
        <w:rPr>
          <w:color w:val="000000"/>
          <w:spacing w:val="0"/>
          <w:w w:val="100"/>
          <w:position w:val="0"/>
        </w:rPr>
        <w:t>广东鹰扬电力设计有限公司</w:t>
      </w:r>
    </w:p>
    <w:p>
      <w:pPr>
        <w:pStyle w:val="Style1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金流量预测使用的折现率</w:t>
      </w:r>
      <w:r>
        <w:rPr>
          <w:color w:val="000000"/>
          <w:spacing w:val="0"/>
          <w:w w:val="100"/>
          <w:position w:val="0"/>
          <w:sz w:val="18"/>
          <w:szCs w:val="18"/>
        </w:rPr>
        <w:t xml:space="preserve">13. </w:t>
      </w:r>
      <w:r>
        <w:rPr>
          <w:color w:val="000000"/>
          <w:spacing w:val="0"/>
          <w:w w:val="100"/>
          <w:position w:val="0"/>
          <w:sz w:val="18"/>
          <w:szCs w:val="18"/>
        </w:rPr>
        <w:t>12%,</w:t>
      </w:r>
      <w:r>
        <w:rPr>
          <w:color w:val="000000"/>
          <w:spacing w:val="0"/>
          <w:w w:val="100"/>
          <w:position w:val="0"/>
        </w:rPr>
        <w:t>预测期以后的现金流量与最后一期持平，该增长率和电力服务行业总体长期平均增长率基 本相当。</w:t>
      </w:r>
    </w:p>
    <w:tbl>
      <w:tblPr>
        <w:tblOverlap w:val="never"/>
        <w:jc w:val="center"/>
        <w:tblLayout w:type="fixed"/>
      </w:tblPr>
      <w:tblGrid>
        <w:gridCol w:w="1094"/>
        <w:gridCol w:w="1790"/>
        <w:gridCol w:w="1133"/>
        <w:gridCol w:w="1166"/>
        <w:gridCol w:w="1944"/>
        <w:gridCol w:w="2174"/>
      </w:tblGrid>
      <w:tr>
        <w:trPr>
          <w:trHeight w:val="34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鹰扬电力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13.12%</w:t>
            </w:r>
          </w:p>
        </w:tc>
      </w:tr>
    </w:tbl>
    <w:p>
      <w:pPr>
        <w:widowControl w:val="0"/>
        <w:spacing w:after="79" w:line="1" w:lineRule="exact"/>
      </w:pPr>
    </w:p>
    <w:p>
      <w:pPr>
        <w:pStyle w:val="Style18"/>
        <w:keepNext w:val="0"/>
        <w:keepLines w:val="0"/>
        <w:widowControl w:val="0"/>
        <w:shd w:val="clear" w:color="auto" w:fill="auto"/>
        <w:bidi w:val="0"/>
        <w:spacing w:before="0" w:after="80" w:line="307"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020250</w:t>
      </w:r>
      <w:r>
        <w:rPr>
          <w:color w:val="000000"/>
          <w:spacing w:val="0"/>
          <w:w w:val="100"/>
          <w:position w:val="0"/>
        </w:rPr>
        <w:t>号《润建股份有 限公司并购广东鹰扬电力设计有限公司所涉及的以财务报告为目的的商誉减值测试项目》的评估结果，包含商誉的资产组的 可收回金额为</w:t>
      </w:r>
      <w:r>
        <w:rPr>
          <w:color w:val="000000"/>
          <w:spacing w:val="0"/>
          <w:w w:val="100"/>
          <w:position w:val="0"/>
          <w:sz w:val="18"/>
          <w:szCs w:val="18"/>
        </w:rPr>
        <w:t>1,500.00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80" w:line="314" w:lineRule="exact"/>
        <w:ind w:left="0" w:right="0" w:firstLine="360"/>
        <w:jc w:val="both"/>
      </w:pPr>
      <w:bookmarkStart w:id="1652" w:name="bookmark1652"/>
      <w:bookmarkEnd w:id="1652"/>
      <w:r>
        <w:rPr>
          <w:color w:val="000000"/>
          <w:spacing w:val="0"/>
          <w:w w:val="100"/>
          <w:position w:val="0"/>
        </w:rPr>
        <w:t>润和世联数据科技有限公司</w:t>
      </w:r>
    </w:p>
    <w:p>
      <w:pPr>
        <w:pStyle w:val="Style18"/>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12.32%，</w:t>
      </w:r>
      <w:r>
        <w:rPr>
          <w:color w:val="000000"/>
          <w:spacing w:val="0"/>
          <w:w w:val="100"/>
          <w:position w:val="0"/>
        </w:rPr>
        <w:t>预测期以后的现金流量与最后一期持平，该增长率和软件和信息技术服务业总体长期平均 增长率基本相当。</w:t>
      </w:r>
    </w:p>
    <w:tbl>
      <w:tblPr>
        <w:tblOverlap w:val="never"/>
        <w:jc w:val="center"/>
        <w:tblLayout w:type="fixed"/>
      </w:tblPr>
      <w:tblGrid>
        <w:gridCol w:w="1118"/>
        <w:gridCol w:w="1805"/>
        <w:gridCol w:w="1157"/>
        <w:gridCol w:w="1123"/>
        <w:gridCol w:w="1906"/>
        <w:gridCol w:w="2194"/>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润和世联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12.32%</w:t>
            </w:r>
          </w:p>
        </w:tc>
      </w:tr>
    </w:tbl>
    <w:p>
      <w:pPr>
        <w:widowControl w:val="0"/>
        <w:spacing w:after="79" w:line="1" w:lineRule="exact"/>
      </w:pPr>
    </w:p>
    <w:p>
      <w:pPr>
        <w:pStyle w:val="Style18"/>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日出具的中水致远评报字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020249</w:t>
      </w:r>
      <w:r>
        <w:rPr>
          <w:color w:val="000000"/>
          <w:spacing w:val="0"/>
          <w:w w:val="100"/>
          <w:position w:val="0"/>
        </w:rPr>
        <w:t>号《润建股份有 限公司并购润和世联数据科技有限公司所涉及的以财务报告为目的的商誉减值测试项目》的评估结果，包含商誉的资产组的 可收回金额为</w:t>
      </w:r>
      <w:r>
        <w:rPr>
          <w:color w:val="000000"/>
          <w:spacing w:val="0"/>
          <w:w w:val="100"/>
          <w:position w:val="0"/>
          <w:sz w:val="18"/>
          <w:szCs w:val="18"/>
        </w:rPr>
        <w:t>5,700.00</w:t>
      </w:r>
      <w:r>
        <w:rPr>
          <w:color w:val="000000"/>
          <w:spacing w:val="0"/>
          <w:w w:val="100"/>
          <w:position w:val="0"/>
        </w:rPr>
        <w:t>万元，无需计提商誉减值准备。</w:t>
      </w:r>
    </w:p>
    <w:p>
      <w:pPr>
        <w:pStyle w:val="Style18"/>
        <w:keepNext w:val="0"/>
        <w:keepLines w:val="0"/>
        <w:widowControl w:val="0"/>
        <w:numPr>
          <w:ilvl w:val="0"/>
          <w:numId w:val="155"/>
        </w:numPr>
        <w:shd w:val="clear" w:color="auto" w:fill="auto"/>
        <w:bidi w:val="0"/>
        <w:spacing w:before="0" w:after="80" w:line="316" w:lineRule="exact"/>
        <w:ind w:left="0" w:right="0" w:firstLine="360"/>
        <w:jc w:val="both"/>
      </w:pPr>
      <w:bookmarkStart w:id="1653" w:name="bookmark1653"/>
      <w:bookmarkEnd w:id="1653"/>
      <w:r>
        <w:rPr>
          <w:color w:val="000000"/>
          <w:spacing w:val="0"/>
          <w:w w:val="100"/>
          <w:position w:val="0"/>
        </w:rPr>
        <w:t>广州智海信息科技有限公司</w:t>
      </w:r>
    </w:p>
    <w:p>
      <w:pPr>
        <w:pStyle w:val="Style18"/>
        <w:keepNext w:val="0"/>
        <w:keepLines w:val="0"/>
        <w:widowControl w:val="0"/>
        <w:shd w:val="clear" w:color="auto" w:fill="auto"/>
        <w:bidi w:val="0"/>
        <w:spacing w:before="0" w:after="80" w:line="317" w:lineRule="exact"/>
        <w:ind w:left="0" w:right="0" w:firstLine="360"/>
        <w:jc w:val="both"/>
      </w:pPr>
      <w:r>
        <w:rPr>
          <w:color w:val="000000"/>
          <w:spacing w:val="0"/>
          <w:w w:val="100"/>
          <w:position w:val="0"/>
        </w:rPr>
        <w:t>商誉的可收回金额按照预计未来现金流量的现值计算，其预计现金流量根据公司批准的</w:t>
      </w:r>
      <w:r>
        <w:rPr>
          <w:color w:val="000000"/>
          <w:spacing w:val="0"/>
          <w:w w:val="100"/>
          <w:position w:val="0"/>
          <w:sz w:val="18"/>
          <w:szCs w:val="18"/>
        </w:rPr>
        <w:t>5</w:t>
      </w:r>
      <w:r>
        <w:rPr>
          <w:color w:val="000000"/>
          <w:spacing w:val="0"/>
          <w:w w:val="100"/>
          <w:position w:val="0"/>
        </w:rPr>
        <w:t>年期现金流量预测为基础，现 金流量预测使用的折现率</w:t>
      </w:r>
      <w:r>
        <w:rPr>
          <w:color w:val="000000"/>
          <w:spacing w:val="0"/>
          <w:w w:val="100"/>
          <w:position w:val="0"/>
          <w:sz w:val="18"/>
          <w:szCs w:val="18"/>
        </w:rPr>
        <w:t xml:space="preserve">13. </w:t>
      </w:r>
      <w:r>
        <w:rPr>
          <w:color w:val="000000"/>
          <w:spacing w:val="0"/>
          <w:w w:val="100"/>
          <w:position w:val="0"/>
          <w:sz w:val="18"/>
          <w:szCs w:val="18"/>
        </w:rPr>
        <w:t>92%，</w:t>
      </w:r>
      <w:r>
        <w:rPr>
          <w:color w:val="000000"/>
          <w:spacing w:val="0"/>
          <w:w w:val="100"/>
          <w:position w:val="0"/>
        </w:rPr>
        <w:t>预测期以后的现金流量与最后一期持平，该增长率和软件和信息技术服务业总体长期平均 增长率基本相当。</w:t>
      </w:r>
    </w:p>
    <w:tbl>
      <w:tblPr>
        <w:tblOverlap w:val="never"/>
        <w:jc w:val="center"/>
        <w:tblLayout w:type="fixed"/>
      </w:tblPr>
      <w:tblGrid>
        <w:gridCol w:w="1118"/>
        <w:gridCol w:w="1805"/>
        <w:gridCol w:w="1157"/>
        <w:gridCol w:w="1123"/>
        <w:gridCol w:w="1906"/>
        <w:gridCol w:w="2194"/>
      </w:tblGrid>
      <w:tr>
        <w:trPr>
          <w:trHeight w:val="35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稳定期增长率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折现率（税前加权平均资本 成本</w:t>
            </w:r>
            <w:r>
              <w:rPr>
                <w:rFonts w:ascii="Times New Roman" w:eastAsia="Times New Roman" w:hAnsi="Times New Roman" w:cs="Times New Roman"/>
                <w:color w:val="000000"/>
                <w:spacing w:val="0"/>
                <w:w w:val="100"/>
                <w:position w:val="0"/>
              </w:rPr>
              <w:t>WACC</w:t>
            </w:r>
            <w:r>
              <w:rPr>
                <w:color w:val="000000"/>
                <w:spacing w:val="0"/>
                <w:w w:val="100"/>
                <w:position w:val="0"/>
              </w:rPr>
              <w:t>）</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智海信息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026</w:t>
            </w:r>
            <w:r>
              <w:rPr>
                <w:color w:val="000000"/>
                <w:spacing w:val="0"/>
                <w:w w:val="100"/>
                <w:position w:val="0"/>
              </w:rPr>
              <w:t>年（后续为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根据预测的收入、成本、</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费用等计算</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13.92%</w:t>
            </w:r>
          </w:p>
        </w:tc>
      </w:tr>
    </w:tbl>
    <w:p>
      <w:pPr>
        <w:widowControl w:val="0"/>
        <w:spacing w:after="79" w:line="1" w:lineRule="exact"/>
      </w:pPr>
    </w:p>
    <w:p>
      <w:pPr>
        <w:pStyle w:val="Style18"/>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：根据已签订的合同和协议、企业提供的自身发展规划，结合历年经营趋势、考虑市场竞争情况等因素的综合分析， 并基于评估基准日资产组的状况，对未来五年的资产组预计未来现金流进行预测。</w:t>
      </w:r>
    </w:p>
    <w:p>
      <w:pPr>
        <w:pStyle w:val="Style18"/>
        <w:keepNext w:val="0"/>
        <w:keepLines w:val="0"/>
        <w:widowControl w:val="0"/>
        <w:shd w:val="clear" w:color="auto" w:fill="auto"/>
        <w:bidi w:val="0"/>
        <w:spacing w:before="0" w:after="80" w:line="314" w:lineRule="exact"/>
        <w:ind w:left="0" w:right="0" w:firstLine="360"/>
        <w:jc w:val="both"/>
      </w:pPr>
      <w:r>
        <w:rPr>
          <w:color w:val="000000"/>
          <w:spacing w:val="0"/>
          <w:w w:val="100"/>
          <w:position w:val="0"/>
        </w:rPr>
        <w:t>根据本公司聘请的中水致远资产评估有限公司于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日出具中水致远评报字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020247</w:t>
      </w:r>
      <w:r>
        <w:rPr>
          <w:color w:val="000000"/>
          <w:spacing w:val="0"/>
          <w:w w:val="100"/>
          <w:position w:val="0"/>
        </w:rPr>
        <w:t>号《润建股份有限 公司并购广州智海信息科技有限公司所涉及的以财务报告为目的的商誉减值测试项目》的评估结果，包含商誉的资产组的可 收回金额为</w:t>
      </w:r>
      <w:r>
        <w:rPr>
          <w:color w:val="000000"/>
          <w:spacing w:val="0"/>
          <w:w w:val="100"/>
          <w:position w:val="0"/>
          <w:sz w:val="18"/>
          <w:szCs w:val="18"/>
        </w:rPr>
        <w:t>2,600.00</w:t>
      </w:r>
      <w:r>
        <w:rPr>
          <w:color w:val="000000"/>
          <w:spacing w:val="0"/>
          <w:w w:val="100"/>
          <w:position w:val="0"/>
        </w:rPr>
        <w:t>万元，无需计提商誉减值准备。</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bookmarkEnd w:id="165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54"/>
      <w:bookmarkEnd w:id="1655"/>
      <w:bookmarkEnd w:id="16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5,519,695.06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2,497,638.23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2,569,574.31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5,447,758.98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5,519,695.06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2,497,638.23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2,569,574.31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5,447,758.98</w:t>
            </w: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3</w:t>
      </w:r>
      <w:bookmarkEnd w:id="166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58"/>
      <w:bookmarkEnd w:id="1659"/>
      <w:bookmarkEnd w:id="1661"/>
    </w:p>
    <w:p>
      <w:pPr>
        <w:pStyle w:val="Style40"/>
        <w:keepNext/>
        <w:keepLines/>
        <w:widowControl w:val="0"/>
        <w:shd w:val="clear" w:color="auto" w:fill="auto"/>
        <w:bidi w:val="0"/>
        <w:spacing w:before="0" w:after="34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62"/>
      <w:bookmarkEnd w:id="1663"/>
      <w:bookmarkEnd w:id="16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60,886,737.35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9,879,158.22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56,144,008.51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8,508,700.60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4,414,503.75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672,047.65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11,393,984.50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2,348,245.45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27,797,702.02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5,577,479.21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21,522,460.43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4,087,216.46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313,115,986.34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50,615,088.96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167,847,716.31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26,165,083.52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4,345,661.41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704,118.46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61,437,950.55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9,299,710.81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2,381,200.00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1,766,800.00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265,020.00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18,391,613.40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2,758,742.01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412,941,790.87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67,805,072.50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338,504,533.70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53,432,718.85</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666"/>
      <w:bookmarkEnd w:id="1667"/>
      <w:bookmarkEnd w:id="16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9,857,305.57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1,513,052.83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10,001,783.37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1,706,897.50</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交易性金融工具、衍生 金融工具的公允价值变 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2,914,432.90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448,608.23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454,072.85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68,110.92</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12,771,738.47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1,961,661.06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10,455,856.22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1,775,008.42</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color w:val="000000"/>
          <w:spacing w:val="0"/>
          <w:w w:val="100"/>
          <w:position w:val="0"/>
        </w:rPr>
        <w:t>（</w:t>
      </w:r>
      <w:bookmarkEnd w:id="167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670"/>
      <w:bookmarkEnd w:id="1671"/>
      <w:bookmarkEnd w:id="16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67,805,072.50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53,432,718.85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1,961,661.06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1,775,008.42</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74"/>
      <w:bookmarkEnd w:id="1675"/>
      <w:bookmarkEnd w:id="16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567,542.89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143,798.26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19,483,588.37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3,539,799.04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20,051,131.26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3,683,597.30</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78"/>
      <w:bookmarkEnd w:id="1679"/>
      <w:bookmarkEnd w:id="16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77,400.06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93,052.88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93,052.88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369,414.35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369,414.35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1,779,614.55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1,779,614.55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17,164,106.53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19,483,588.37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2,319,481.84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3</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682"/>
      <w:bookmarkEnd w:id="1683"/>
      <w:bookmarkEnd w:id="16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29,434,301.2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1,925,147.01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27,509,154.2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7,717,882.59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913,310.78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6,804,571.81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1,046,410,16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1,046,410,16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1,038,900,21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1,038,900,21</w:t>
            </w: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1"/>
        <w:gridCol w:w="107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预付购置长期资产款项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46,852,337.9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46,852,337.9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2,278,284.53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2,278,284.53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专项维修基金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287,120.85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287,120.85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287,120.85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1,122,983,92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1,925,147.01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1,121,058,78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1,049,183,49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913,310.78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1,048,270,18</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3</w:t>
      </w:r>
      <w:bookmarkEnd w:id="168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686"/>
      <w:bookmarkEnd w:id="1687"/>
      <w:bookmarkEnd w:id="1689"/>
    </w:p>
    <w:p>
      <w:pPr>
        <w:pStyle w:val="Style40"/>
        <w:keepNext/>
        <w:keepLines/>
        <w:widowControl w:val="0"/>
        <w:numPr>
          <w:ilvl w:val="0"/>
          <w:numId w:val="157"/>
        </w:numPr>
        <w:shd w:val="clear" w:color="auto" w:fill="auto"/>
        <w:bidi w:val="0"/>
        <w:spacing w:before="0" w:after="340" w:line="240" w:lineRule="auto"/>
        <w:ind w:left="0" w:right="0" w:firstLine="0"/>
        <w:jc w:val="left"/>
      </w:pPr>
      <w:bookmarkStart w:id="1690" w:name="bookmark1690"/>
      <w:bookmarkStart w:id="1691" w:name="bookmark1691"/>
      <w:bookmarkStart w:id="1692" w:name="bookmark1692"/>
      <w:bookmarkStart w:id="1693" w:name="bookmark1693"/>
      <w:bookmarkEnd w:id="1692"/>
      <w:r>
        <w:rPr>
          <w:color w:val="000000"/>
          <w:spacing w:val="0"/>
          <w:w w:val="100"/>
          <w:position w:val="0"/>
        </w:rPr>
        <w:t>短期借款分类</w:t>
      </w:r>
      <w:bookmarkEnd w:id="1690"/>
      <w:bookmarkEnd w:id="1691"/>
      <w:bookmarkEnd w:id="16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58,968,946.82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774,600,000.00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101,855,125.00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186,511.47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加：应付利息(按摊余成本法计提的利 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925,393.47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252,083.32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943,375,976.76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255,292,083.32</w:t>
            </w:r>
          </w:p>
        </w:tc>
      </w:tr>
    </w:tbl>
    <w:p>
      <w:pPr>
        <w:widowControl w:val="0"/>
        <w:spacing w:after="79" w:line="1" w:lineRule="exact"/>
      </w:pPr>
    </w:p>
    <w:p>
      <w:pPr>
        <w:pStyle w:val="Style18"/>
        <w:keepNext w:val="0"/>
        <w:keepLines w:val="0"/>
        <w:widowControl w:val="0"/>
        <w:shd w:val="clear" w:color="auto" w:fill="auto"/>
        <w:bidi w:val="0"/>
        <w:spacing w:before="0" w:after="240" w:line="240" w:lineRule="auto"/>
        <w:ind w:left="0" w:right="0" w:firstLine="0"/>
        <w:jc w:val="left"/>
      </w:pPr>
      <w:r>
        <w:rPr>
          <w:color w:val="000000"/>
          <w:spacing w:val="0"/>
          <w:w w:val="100"/>
          <w:position w:val="0"/>
        </w:rPr>
        <w:t>短期借款分类的说明:</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保证借款情况</w:t>
      </w:r>
    </w:p>
    <w:tbl>
      <w:tblPr>
        <w:tblOverlap w:val="never"/>
        <w:jc w:val="left"/>
        <w:tblLayout w:type="fixed"/>
      </w:tblPr>
      <w:tblGrid>
        <w:gridCol w:w="979"/>
        <w:gridCol w:w="1661"/>
        <w:gridCol w:w="1742"/>
        <w:gridCol w:w="1718"/>
        <w:gridCol w:w="1330"/>
        <w:gridCol w:w="1133"/>
      </w:tblGrid>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合同日期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借款银行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借款合同编号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借款期限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截至</w:t>
            </w:r>
          </w:p>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2021/12/31 </w:t>
            </w:r>
            <w:r>
              <w:rPr>
                <w:color w:val="000000"/>
                <w:spacing w:val="0"/>
                <w:w w:val="100"/>
                <w:position w:val="0"/>
              </w:rPr>
              <w:t>是</w:t>
            </w:r>
          </w:p>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否履行完毕</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中国建设银行股份有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限公司南宁桃源支行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HTZ450605100LDZJ2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02100004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2021/4/28-2022/4/28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中国建设银行股份有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限公司南宁桃源支行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HTZ450605100LDZJ2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02100007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2021/6/9-2022/6/9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left"/>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ZX21000000323953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2021/9/6-2022/9/6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left"/>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ZX21000000324026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2021/9/6-2022/9/6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ZX2100000032404</w:t>
            </w:r>
            <w:r>
              <w:rPr>
                <w:rFonts w:ascii="Times New Roman" w:eastAsia="Times New Roman" w:hAnsi="Times New Roman" w:cs="Times New Roman"/>
                <w:color w:val="000000"/>
                <w:spacing w:val="0"/>
                <w:w w:val="100"/>
                <w:position w:val="0"/>
              </w:rPr>
              <w:t xml:space="preserve">0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2021/9/6-2022/9/6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left"/>
            </w:pPr>
            <w:r>
              <w:rPr>
                <w:color w:val="000000"/>
                <w:spacing w:val="0"/>
                <w:w w:val="100"/>
                <w:position w:val="0"/>
              </w:rPr>
              <w:t>中国民生银行股份有 限公司南宁分行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ZX21000000324059 </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2021/9/7-2022/9/7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4,990,000.00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left"/>
        <w:tblLayout w:type="fixed"/>
      </w:tblPr>
      <w:tblGrid>
        <w:gridCol w:w="979"/>
        <w:gridCol w:w="1661"/>
        <w:gridCol w:w="1742"/>
        <w:gridCol w:w="1718"/>
        <w:gridCol w:w="1330"/>
        <w:gridCol w:w="1133"/>
      </w:tblGrid>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ZX21000000324266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2021/9/7-2022/9/7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ZX2100000032486</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2021/9/10-2022/9/10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4,990,000.00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ZX21000000324999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2021/9/10-2022/9/10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ZX21000000325101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2021/9/10-2022/9/10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4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ZX21000000325144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2021/9/10-2022/9/10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ZX21000000325144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2021/9/10-2022/9/10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ZX21000000325389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2021/9/13-2022/9/13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ZX21000000325405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2021/9/13-2022/9/13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4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ZX21000000325633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2021/9/14-2022/9/14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ZX21000000325802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2021/9/15-2022/9/15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16,583,197.65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ZX21000000325804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2021/9/15-2022/9/15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200" w:right="0" w:hanging="200"/>
              <w:jc w:val="both"/>
            </w:pPr>
            <w:r>
              <w:rPr>
                <w:color w:val="000000"/>
                <w:spacing w:val="0"/>
                <w:w w:val="100"/>
                <w:position w:val="0"/>
              </w:rPr>
              <w:t>中国民生银行股份有 限公司南宁分行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公流贷字第</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ZX21000000326135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2021/9/16-2022/9/16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4,476,802.35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360" w:right="0" w:hanging="360"/>
              <w:jc w:val="both"/>
            </w:pPr>
            <w:r>
              <w:rPr>
                <w:color w:val="000000"/>
                <w:spacing w:val="0"/>
                <w:w w:val="100"/>
                <w:position w:val="0"/>
              </w:rPr>
              <w:t>招商银行股份有限公 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771HT2021003313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2021/1/7-2021/10/7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360" w:right="0" w:hanging="360"/>
              <w:jc w:val="both"/>
            </w:pPr>
            <w:r>
              <w:rPr>
                <w:color w:val="000000"/>
                <w:spacing w:val="0"/>
                <w:w w:val="100"/>
                <w:position w:val="0"/>
              </w:rPr>
              <w:t>招商银行股份有限公 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CB20210082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2021/7/29-2022/7/29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64,600,000.00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上海浦东发展银行股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63012020280401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2020/12/8-2021/3/8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上海浦东发展银行股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63012021280086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2021/3/9-2022/3/9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上海浦东发展银行股</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63082021280111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2021/9/18-2022/9/18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2020/11/25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中国银行股份有限公 司南宁兴宁支行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年西中银贷字第</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2020/11/25-2021/11/2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中国银行股份有限公 司南宁兴宁支行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西中银贷字第</w:t>
            </w:r>
            <w:r>
              <w:rPr>
                <w:rFonts w:ascii="Times New Roman" w:eastAsia="Times New Roman" w:hAnsi="Times New Roman" w:cs="Times New Roman"/>
                <w:color w:val="000000"/>
                <w:spacing w:val="0"/>
                <w:w w:val="100"/>
                <w:position w:val="0"/>
              </w:rPr>
              <w:t xml:space="preserve">103 </w:t>
            </w:r>
            <w:r>
              <w:rPr>
                <w:color w:val="000000"/>
                <w:spacing w:val="0"/>
                <w:w w:val="100"/>
                <w:position w:val="0"/>
              </w:rPr>
              <w:t>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2021/10/28-2022/10/2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360" w:right="0" w:hanging="360"/>
              <w:jc w:val="both"/>
            </w:pPr>
            <w:r>
              <w:rPr>
                <w:color w:val="000000"/>
                <w:spacing w:val="0"/>
                <w:w w:val="100"/>
                <w:position w:val="0"/>
              </w:rPr>
              <w:t>兴业银行股份有限公 司香港分行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CIBHK2021FL0120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2021/9/24-2022/9/24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370" w:right="0" w:firstLine="0"/>
        <w:jc w:val="left"/>
      </w:pPr>
      <w:r>
        <w:rPr>
          <w:color w:val="000000"/>
          <w:spacing w:val="0"/>
          <w:w w:val="100"/>
          <w:position w:val="0"/>
        </w:rPr>
        <w:t>（续上表）</w:t>
      </w:r>
    </w:p>
    <w:tbl>
      <w:tblPr>
        <w:tblOverlap w:val="never"/>
        <w:jc w:val="left"/>
        <w:tblLayout w:type="fixed"/>
      </w:tblPr>
      <w:tblGrid>
        <w:gridCol w:w="1642"/>
        <w:gridCol w:w="778"/>
        <w:gridCol w:w="1795"/>
        <w:gridCol w:w="1214"/>
        <w:gridCol w:w="1704"/>
        <w:gridCol w:w="1291"/>
      </w:tblGrid>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担保银行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借款方式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保证合同编号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r>
    </w:tbl>
    <w:p>
      <w:pPr>
        <w:sectPr>
          <w:footnotePr>
            <w:pos w:val="pageBottom"/>
            <w:numFmt w:val="decimal"/>
            <w:numRestart w:val="continuous"/>
          </w:footnotePr>
          <w:pgSz w:w="11900" w:h="16840"/>
          <w:pgMar w:top="1369" w:right="1012" w:bottom="1441" w:left="1025" w:header="0" w:footer="3" w:gutter="0"/>
          <w:cols w:space="720"/>
          <w:noEndnote/>
          <w:rtlGutter w:val="0"/>
          <w:docGrid w:linePitch="360"/>
        </w:sectPr>
      </w:pPr>
    </w:p>
    <w:tbl>
      <w:tblPr>
        <w:tblOverlap w:val="never"/>
        <w:jc w:val="center"/>
        <w:tblLayout w:type="fixed"/>
      </w:tblPr>
      <w:tblGrid>
        <w:gridCol w:w="1642"/>
        <w:gridCol w:w="778"/>
        <w:gridCol w:w="1795"/>
        <w:gridCol w:w="1214"/>
        <w:gridCol w:w="1704"/>
        <w:gridCol w:w="1291"/>
      </w:tblGrid>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中国建设银行股份 有限公司南宁桃源 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HTC450605100YBDB2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02100003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2021/4/28-2022/4/28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100,000,000.00</w:t>
            </w:r>
          </w:p>
        </w:tc>
      </w:tr>
      <w:tr>
        <w:trPr>
          <w:trHeight w:val="9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中国建设银行股份 有限公司南宁桃源 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HTC450605100ZGDB2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0210004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2021/6/9-2022/6/9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100,000,000.00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中国民生银行股份</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公高保字第</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DB210000008550</w:t>
            </w:r>
            <w:r>
              <w:rPr>
                <w:rFonts w:ascii="Times New Roman" w:eastAsia="Times New Roman" w:hAnsi="Times New Roman" w:cs="Times New Roman"/>
                <w:color w:val="000000"/>
                <w:spacing w:val="0"/>
                <w:w w:val="100"/>
                <w:position w:val="0"/>
              </w:rPr>
              <w:t>7</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2021/9/3-2022/9/3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300,000,000.00</w:t>
            </w:r>
          </w:p>
        </w:tc>
      </w:tr>
      <w:tr>
        <w:trPr>
          <w:trHeight w:val="6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 公司南宁分行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771XY202000746001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2021/1/7-2021/10/7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200,000,000.00</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招商银行股份有限 公司南宁分行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771XY202167 </w:t>
            </w:r>
            <w:r>
              <w:rPr>
                <w:color w:val="000000"/>
                <w:spacing w:val="0"/>
                <w:w w:val="100"/>
                <w:position w:val="0"/>
              </w:rPr>
              <w:t>（保）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2021/7/29-2022/7/29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300,000,000.00</w:t>
            </w:r>
          </w:p>
        </w:tc>
      </w:tr>
      <w:tr>
        <w:trPr>
          <w:trHeight w:val="9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上海浦东发展银行 股份有限公司南宁 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ZB6308202000000010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李建国、蒋鹂北</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2020/9/10-2021/12/31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300,000,000.00</w:t>
            </w:r>
          </w:p>
        </w:tc>
      </w:tr>
      <w:tr>
        <w:trPr>
          <w:trHeight w:val="127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上海浦东发展银行 股份有限公司南宁 分行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ZB6308202000000013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睢宁县弘泽天 元企业管理合 伙企业</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color w:val="000000"/>
                <w:spacing w:val="0"/>
                <w:w w:val="100"/>
                <w:position w:val="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2020/10/22-2021/10/2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300,000,000.00</w:t>
            </w:r>
          </w:p>
        </w:tc>
      </w:tr>
      <w:tr>
        <w:trPr>
          <w:trHeight w:val="6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中国银行股份有限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公司南宁兴宁支行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年西中银保字第</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037</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2020/11/25-2021/11/2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r>
      <w:tr>
        <w:trPr>
          <w:trHeight w:val="64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中国银行股份有限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公司南宁兴宁支行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西中银保字第</w:t>
            </w:r>
            <w:r>
              <w:rPr>
                <w:rFonts w:ascii="Times New Roman" w:eastAsia="Times New Roman" w:hAnsi="Times New Roman" w:cs="Times New Roman"/>
                <w:color w:val="000000"/>
                <w:spacing w:val="0"/>
                <w:w w:val="100"/>
                <w:position w:val="0"/>
              </w:rPr>
              <w:t xml:space="preserve">132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2021/10/27-2022/9/28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300,000,000.00</w:t>
            </w:r>
          </w:p>
        </w:tc>
      </w:tr>
      <w:tr>
        <w:trPr>
          <w:trHeight w:val="66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兴业银行股份有限 公司香港分行</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保证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兴银桂</w:t>
            </w:r>
            <w:r>
              <w:rPr>
                <w:rFonts w:ascii="Times New Roman" w:eastAsia="Times New Roman" w:hAnsi="Times New Roman" w:cs="Times New Roman"/>
                <w:color w:val="000000"/>
                <w:spacing w:val="0"/>
                <w:w w:val="100"/>
                <w:position w:val="0"/>
              </w:rPr>
              <w:t>G00155208</w:t>
            </w:r>
            <w:r>
              <w:rPr>
                <w:color w:val="000000"/>
                <w:spacing w:val="0"/>
                <w:w w:val="100"/>
                <w:position w:val="0"/>
              </w:rPr>
              <w:t>最保</w:t>
            </w:r>
          </w:p>
          <w:p>
            <w:pPr>
              <w:pStyle w:val="Style20"/>
              <w:keepNext w:val="0"/>
              <w:keepLines w:val="0"/>
              <w:widowControl w:val="0"/>
              <w:shd w:val="clear" w:color="auto" w:fill="auto"/>
              <w:tabs>
                <w:tab w:pos="792"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第</w:t>
              <w:tab/>
            </w:r>
            <w:r>
              <w:rPr>
                <w:rFonts w:ascii="Times New Roman" w:eastAsia="Times New Roman" w:hAnsi="Times New Roman" w:cs="Times New Roman"/>
                <w:color w:val="000000"/>
                <w:spacing w:val="0"/>
                <w:w w:val="100"/>
                <w:position w:val="0"/>
              </w:rPr>
              <w:t>1773</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李建国</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2021/8/17-2024/8/17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110" w:right="0" w:firstLine="0"/>
        <w:jc w:val="left"/>
      </w:pPr>
      <w:r>
        <w:rPr>
          <w:color w:val="000000"/>
          <w:spacing w:val="0"/>
          <w:w w:val="100"/>
          <w:position w:val="0"/>
          <w:sz w:val="18"/>
          <w:szCs w:val="18"/>
        </w:rPr>
        <w:t>2.</w:t>
      </w:r>
      <w:r>
        <w:rPr>
          <w:color w:val="000000"/>
          <w:spacing w:val="0"/>
          <w:w w:val="100"/>
          <w:position w:val="0"/>
        </w:rPr>
        <w:t>信用借款情况</w:t>
      </w:r>
    </w:p>
    <w:tbl>
      <w:tblPr>
        <w:tblOverlap w:val="never"/>
        <w:jc w:val="center"/>
        <w:tblLayout w:type="fixed"/>
      </w:tblPr>
      <w:tblGrid>
        <w:gridCol w:w="898"/>
        <w:gridCol w:w="2093"/>
        <w:gridCol w:w="1392"/>
        <w:gridCol w:w="1718"/>
        <w:gridCol w:w="1200"/>
        <w:gridCol w:w="1262"/>
      </w:tblGrid>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合同日期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借款银行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借款合同编号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借款期限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借款金额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2021/12/31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是否履行完毕</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交通银行股份有限公司广</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州耀中支行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Z2112LN1561857</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2021/12/23-2022/6/23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中国银行股份有限公司广 州市天河支行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2041733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2021/7/1-2022/6/30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已偿还</w:t>
            </w:r>
            <w:r>
              <w:rPr>
                <w:rFonts w:ascii="Times New Roman" w:eastAsia="Times New Roman" w:hAnsi="Times New Roman" w:cs="Times New Roman"/>
                <w:color w:val="000000"/>
                <w:spacing w:val="0"/>
                <w:w w:val="100"/>
                <w:position w:val="0"/>
              </w:rPr>
              <w:t>20</w:t>
            </w:r>
            <w:r>
              <w:rPr>
                <w:color w:val="000000"/>
                <w:spacing w:val="0"/>
                <w:w w:val="100"/>
                <w:position w:val="0"/>
              </w:rPr>
              <w:t>万元</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中国工商银行股份有限公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司萝岗支行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auto"/>
              <w:ind w:left="0" w:right="0" w:firstLine="0"/>
              <w:jc w:val="center"/>
            </w:pPr>
            <w:r>
              <w:rPr>
                <w:rFonts w:ascii="Times New Roman" w:eastAsia="Times New Roman" w:hAnsi="Times New Roman" w:cs="Times New Roman"/>
                <w:color w:val="000000"/>
                <w:spacing w:val="0"/>
                <w:w w:val="100"/>
                <w:position w:val="0"/>
              </w:rPr>
              <w:t>0360200115-2021</w:t>
            </w:r>
          </w:p>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开发</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00251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2021/3/5-2021/9/1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2,040,000.00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7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中国工商银行股份有限公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司萝岗支行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0360200115-2021</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开发</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01017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2021/8/25-2022/2/21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4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中国银行股份有限公司广 州东山支行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GDK4776201202</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00687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2020/9/30-2021/9/30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中国工商银行股份有公司 广州广州大道支行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0360200168-2021</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大道</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00919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2021/7/19-2022/7/19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ectPr>
          <w:footnotePr>
            <w:pos w:val="pageBottom"/>
            <w:numFmt w:val="decimal"/>
            <w:numRestart w:val="continuous"/>
          </w:footnotePr>
          <w:pgSz w:w="11900" w:h="16840"/>
          <w:pgMar w:top="1436" w:right="2218" w:bottom="1436" w:left="1119" w:header="0" w:footer="3" w:gutter="0"/>
          <w:cols w:space="720"/>
          <w:noEndnote/>
          <w:rtlGutter w:val="0"/>
          <w:docGrid w:linePitch="360"/>
        </w:sectPr>
      </w:pPr>
    </w:p>
    <w:tbl>
      <w:tblPr>
        <w:tblOverlap w:val="never"/>
        <w:jc w:val="left"/>
        <w:tblLayout w:type="fixed"/>
      </w:tblPr>
      <w:tblGrid>
        <w:gridCol w:w="898"/>
        <w:gridCol w:w="2093"/>
        <w:gridCol w:w="1392"/>
        <w:gridCol w:w="1718"/>
        <w:gridCol w:w="1200"/>
        <w:gridCol w:w="1262"/>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中国工商银行股份有公司 广州广州大道支行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0360200168-2021</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大道</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01183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2021/9/15-2022/9/15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已偿还</w:t>
            </w:r>
            <w:r>
              <w:rPr>
                <w:rFonts w:ascii="Times New Roman" w:eastAsia="Times New Roman" w:hAnsi="Times New Roman" w:cs="Times New Roman"/>
                <w:color w:val="000000"/>
                <w:spacing w:val="0"/>
                <w:w w:val="100"/>
                <w:position w:val="0"/>
              </w:rPr>
              <w:t>51</w:t>
            </w:r>
            <w:r>
              <w:rPr>
                <w:color w:val="000000"/>
                <w:spacing w:val="0"/>
                <w:w w:val="100"/>
                <w:position w:val="0"/>
              </w:rPr>
              <w:t>万元</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中国工商银行广州广州大 道支行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0360200168-2021</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大道</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00689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2021/6/18-2021/7/18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中国工商银行广州广州大 道支行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0360200168-2021</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大道</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00781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2021/6/25-2021/7/15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6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中国工商银行广州广州大 道支行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0360200168-2021</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大道</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00889 </w:t>
            </w:r>
            <w:r>
              <w:rPr>
                <w:color w:val="000000"/>
                <w:spacing w:val="0"/>
                <w:w w:val="100"/>
                <w:position w:val="0"/>
              </w:rPr>
              <w:t>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2021/7/9-2022/7/9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97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中国工商银行广州广州大 道支行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0360200168-2021</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大道</w:t>
            </w:r>
            <w:r>
              <w:rPr>
                <w:rFonts w:ascii="Times New Roman" w:eastAsia="Times New Roman" w:hAnsi="Times New Roman" w:cs="Times New Roman"/>
                <w:color w:val="000000"/>
                <w:spacing w:val="0"/>
                <w:w w:val="100"/>
                <w:position w:val="0"/>
              </w:rPr>
              <w:t>）</w:t>
            </w:r>
            <w:r>
              <w:rPr>
                <w:color w:val="000000"/>
                <w:spacing w:val="0"/>
                <w:w w:val="100"/>
                <w:position w:val="0"/>
              </w:rPr>
              <w:t>字</w:t>
            </w:r>
            <w:r>
              <w:rPr>
                <w:rFonts w:ascii="Times New Roman" w:eastAsia="Times New Roman" w:hAnsi="Times New Roman" w:cs="Times New Roman"/>
                <w:color w:val="000000"/>
                <w:spacing w:val="0"/>
                <w:w w:val="100"/>
                <w:position w:val="0"/>
              </w:rPr>
              <w:t xml:space="preserve">01246 </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2021/9/24-2022/9/24</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950,000.00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59" w:line="1" w:lineRule="exact"/>
      </w:pP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注：保理借款系本公司供应商以其对本公司的债权办理应收账款保理业务形成的本公司对银行的短期借款，质押借款系 本公司供应商以其从本公司获取的票据贴现形成的本公司对银行的短期借款及本公司以应收票据质押获取的短期借款，票据 贴现为本公司以收到的尚未到期的银行承兑汇票贴现形成的短期借款。</w:t>
      </w:r>
    </w:p>
    <w:p>
      <w:pPr>
        <w:pStyle w:val="Style40"/>
        <w:keepNext/>
        <w:keepLines/>
        <w:widowControl w:val="0"/>
        <w:shd w:val="clear" w:color="auto" w:fill="auto"/>
        <w:bidi w:val="0"/>
        <w:spacing w:before="0" w:after="2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694"/>
      <w:bookmarkEnd w:id="1695"/>
      <w:bookmarkEnd w:id="1697"/>
    </w:p>
    <w:p>
      <w:pPr>
        <w:pStyle w:val="Style18"/>
        <w:keepNext w:val="0"/>
        <w:keepLines w:val="0"/>
        <w:widowControl w:val="0"/>
        <w:shd w:val="clear" w:color="auto" w:fill="auto"/>
        <w:bidi w:val="0"/>
        <w:spacing w:before="0" w:after="60" w:line="314"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60" w:line="314"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5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本公司无已逾期未偿还的短期借款。</w:t>
      </w:r>
    </w:p>
    <w:p>
      <w:pPr>
        <w:pStyle w:val="Style29"/>
        <w:keepNext/>
        <w:keepLines/>
        <w:widowControl w:val="0"/>
        <w:shd w:val="clear" w:color="auto" w:fill="auto"/>
        <w:bidi w:val="0"/>
        <w:spacing w:before="0" w:line="240" w:lineRule="auto"/>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3</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698"/>
      <w:bookmarkEnd w:id="1699"/>
      <w:bookmarkEnd w:id="17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3</w:t>
      </w:r>
      <w:bookmarkEnd w:id="1704"/>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702"/>
      <w:bookmarkEnd w:id="1703"/>
      <w:bookmarkEnd w:id="1705"/>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40" w:line="240" w:lineRule="auto"/>
        <w:ind w:left="0" w:right="0" w:firstLine="0"/>
        <w:jc w:val="both"/>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3</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706"/>
      <w:bookmarkEnd w:id="1707"/>
      <w:bookmarkEnd w:id="17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1,609,767,002.12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789,577,445.38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1,609,767,002.12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789,577,445.38</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after="34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3</w:t>
      </w:r>
      <w:bookmarkEnd w:id="1712"/>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710"/>
      <w:bookmarkEnd w:id="1711"/>
      <w:bookmarkEnd w:id="1713"/>
    </w:p>
    <w:p>
      <w:pPr>
        <w:pStyle w:val="Style40"/>
        <w:keepNext/>
        <w:keepLines/>
        <w:widowControl w:val="0"/>
        <w:shd w:val="clear" w:color="auto" w:fill="auto"/>
        <w:bidi w:val="0"/>
        <w:spacing w:before="0" w:after="340" w:line="240" w:lineRule="auto"/>
        <w:ind w:left="0" w:right="0" w:firstLine="0"/>
        <w:jc w:val="both"/>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714"/>
      <w:bookmarkEnd w:id="1715"/>
      <w:bookmarkEnd w:id="17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应付劳务费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977,566,540.65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849,865,351.13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418,873,437.67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144,716,980.86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应付暂估款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200,177,988.79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81,113,385.65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106,920,549.90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64,880,333.10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24,415,836.86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应付固定资产购置款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4,573,472.31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872,195.31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12,318,831.42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7,456,170.12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1,785,311,153.84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1,108,439,919.93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718"/>
      <w:bookmarkEnd w:id="1719"/>
      <w:bookmarkEnd w:id="17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660" w:line="240" w:lineRule="auto"/>
        <w:ind w:left="0" w:right="0" w:firstLine="20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29"/>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3</w:t>
      </w:r>
      <w:bookmarkEnd w:id="172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722"/>
      <w:bookmarkEnd w:id="1723"/>
      <w:bookmarkEnd w:id="1725"/>
    </w:p>
    <w:p>
      <w:pPr>
        <w:pStyle w:val="Style40"/>
        <w:keepNext/>
        <w:keepLines/>
        <w:widowControl w:val="0"/>
        <w:shd w:val="clear" w:color="auto" w:fill="auto"/>
        <w:bidi w:val="0"/>
        <w:spacing w:before="0" w:after="34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726"/>
      <w:bookmarkEnd w:id="1727"/>
      <w:bookmarkEnd w:id="17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w:t>
      </w:r>
      <w:bookmarkEnd w:id="1732"/>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730"/>
      <w:bookmarkEnd w:id="1731"/>
      <w:bookmarkEnd w:id="17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3</w:t>
      </w:r>
      <w:bookmarkEnd w:id="173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734"/>
      <w:bookmarkEnd w:id="1735"/>
      <w:bookmarkEnd w:id="17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260,364,815.89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173,145,441.74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54,981,298.06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16,080,305.90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预收技术服务款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33,559,019.69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68,562,808.59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预收设计款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4,804,035.93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3,954,972.97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353,709,169.57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261,743,529.20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3</w:t>
      </w:r>
      <w:bookmarkEnd w:id="174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738"/>
      <w:bookmarkEnd w:id="1739"/>
      <w:bookmarkEnd w:id="1741"/>
    </w:p>
    <w:p>
      <w:pPr>
        <w:pStyle w:val="Style40"/>
        <w:keepNext/>
        <w:keepLines/>
        <w:widowControl w:val="0"/>
        <w:shd w:val="clear" w:color="auto" w:fill="auto"/>
        <w:bidi w:val="0"/>
        <w:spacing w:before="0" w:line="240" w:lineRule="auto"/>
        <w:ind w:left="0" w:right="0" w:firstLine="0"/>
        <w:jc w:val="both"/>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42"/>
      <w:bookmarkEnd w:id="1743"/>
      <w:bookmarkEnd w:id="17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93,275,401.23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636,274,538.25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556,376,975.56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173,339,825.05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21,406.13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35,190,340.07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35,080,440.35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131,305.85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1,180,343.20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1,180,343.20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93,296,807.36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672,645,221.52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592,637,759.11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173,471,130.90</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both"/>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46"/>
      <w:bookmarkEnd w:id="1747"/>
      <w:bookmarkEnd w:id="17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93,155,599.69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543,777,230.47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464,166,958.85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172,932,732.44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65,933,145.28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65,933,145.28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42,469.55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18,515,597.02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18,267,513.40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290,553.17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36,097.94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17,068,998.71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16,877,232.27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227,864.38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1,560.94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647,023.12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640,841.17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7,742.89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4,810.67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799,575.19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749,439.96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54,945.90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66,706.46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7,765,964.18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7,731,351.83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101,318.81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10,625.53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282,601.30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278,006.20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15,220.63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93,275,401.23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636,274,538.25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556,376,975.56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173,339,825.05</w:t>
            </w:r>
          </w:p>
        </w:tc>
      </w:tr>
    </w:tbl>
    <w:p>
      <w:pPr>
        <w:widowControl w:val="0"/>
        <w:spacing w:after="299" w:line="1" w:lineRule="exact"/>
      </w:pPr>
    </w:p>
    <w:p>
      <w:pPr>
        <w:pStyle w:val="Style40"/>
        <w:keepNext/>
        <w:keepLines/>
        <w:widowControl w:val="0"/>
        <w:numPr>
          <w:ilvl w:val="0"/>
          <w:numId w:val="149"/>
        </w:numPr>
        <w:shd w:val="clear" w:color="auto" w:fill="auto"/>
        <w:bidi w:val="0"/>
        <w:spacing w:before="0" w:line="240" w:lineRule="auto"/>
        <w:ind w:left="0" w:right="0" w:firstLine="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设定提存计划列示</w:t>
      </w:r>
      <w:bookmarkEnd w:id="1750"/>
      <w:bookmarkEnd w:id="1751"/>
      <w:bookmarkEnd w:id="17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19,952.72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34,156,301.87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34,056,101.20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120,153.39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1,453.41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1,034,038.20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1,024,339.15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11,152.46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21,406.13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35,190,340.07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35,080,440.35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131,305.85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4</w:t>
      </w:r>
      <w:bookmarkEnd w:id="175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754"/>
      <w:bookmarkEnd w:id="1755"/>
      <w:bookmarkEnd w:id="17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143,811,492.67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71,483,006.00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43,738,531.47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28,870,331.62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981,329.29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557,229.12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5,359,095.54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5,260,357.97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4,097,438.68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3,796,313.20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197,987,887.65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109,967,237.91</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4</w:t>
      </w:r>
      <w:bookmarkEnd w:id="176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58"/>
      <w:bookmarkEnd w:id="1759"/>
      <w:bookmarkEnd w:id="17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66,849,022.05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44,501,780.87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66,849,022.05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44,501,780.87</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0"/>
        <w:jc w:val="both"/>
      </w:pPr>
      <w:bookmarkStart w:id="1762" w:name="bookmark1762"/>
      <w:bookmarkStart w:id="1763" w:name="bookmark1763"/>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762"/>
      <w:bookmarkEnd w:id="1763"/>
      <w:bookmarkEnd w:id="17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8"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both"/>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766"/>
      <w:bookmarkEnd w:id="1767"/>
      <w:bookmarkEnd w:id="1769"/>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0"/>
        <w:keepNext/>
        <w:keepLines/>
        <w:widowControl w:val="0"/>
        <w:shd w:val="clear" w:color="auto" w:fill="auto"/>
        <w:bidi w:val="0"/>
        <w:spacing w:before="0" w:after="340" w:line="240" w:lineRule="auto"/>
        <w:ind w:left="0" w:right="0" w:firstLine="0"/>
        <w:jc w:val="left"/>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770"/>
      <w:bookmarkEnd w:id="1771"/>
      <w:bookmarkEnd w:id="1773"/>
    </w:p>
    <w:p>
      <w:pPr>
        <w:pStyle w:val="Style58"/>
        <w:keepNext/>
        <w:keepLines/>
        <w:widowControl w:val="0"/>
        <w:shd w:val="clear" w:color="auto" w:fill="auto"/>
        <w:bidi w:val="0"/>
        <w:spacing w:before="0" w:after="34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bookmarkEnd w:id="1776"/>
      <w:r>
        <w:rPr>
          <w:color w:val="000000"/>
          <w:spacing w:val="0"/>
          <w:w w:val="100"/>
          <w:position w:val="0"/>
        </w:rPr>
        <w:t>）按款项性质列示其他应付款</w:t>
      </w:r>
      <w:bookmarkEnd w:id="1774"/>
      <w:bookmarkEnd w:id="1775"/>
      <w:bookmarkEnd w:id="17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应付报销款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40,116,051.38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22,945,222.43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15,564,684.64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4,505,000.00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10,176,528.58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3,032,743.37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361,535.96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556,571.78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630,221.49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13,462,243.29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66,849,022.05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44,501,780.87</w:t>
            </w:r>
          </w:p>
        </w:tc>
      </w:tr>
    </w:tbl>
    <w:p>
      <w:pPr>
        <w:widowControl w:val="0"/>
        <w:spacing w:after="339" w:line="1" w:lineRule="exact"/>
      </w:pPr>
    </w:p>
    <w:p>
      <w:pPr>
        <w:pStyle w:val="Style58"/>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bookmarkEnd w:id="178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778"/>
      <w:bookmarkEnd w:id="1779"/>
      <w:bookmarkEnd w:id="17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潘柳臻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谭文辉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1,953,233.13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广州市骐誉信息科技有限公司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广州宝珑投资有限公司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1,325,000.00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尚未到期</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7,878,233.13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4</w:t>
      </w:r>
      <w:bookmarkEnd w:id="178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782"/>
      <w:bookmarkEnd w:id="1783"/>
      <w:bookmarkEnd w:id="17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627"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0"/>
              <w:jc w:val="left"/>
              <w:rPr>
                <w:sz w:val="20"/>
                <w:szCs w:val="20"/>
              </w:rPr>
            </w:pPr>
            <w:bookmarkStart w:id="1786" w:name="bookmark1786"/>
            <w:r>
              <w:rPr>
                <w:rFonts w:ascii="Times New Roman" w:eastAsia="Times New Roman" w:hAnsi="Times New Roman" w:cs="Times New Roman"/>
                <w:b/>
                <w:bCs/>
                <w:color w:val="000000"/>
                <w:spacing w:val="0"/>
                <w:w w:val="100"/>
                <w:position w:val="0"/>
                <w:sz w:val="20"/>
                <w:szCs w:val="20"/>
              </w:rPr>
              <w:t>43</w:t>
            </w:r>
            <w:r>
              <w:rPr>
                <w:b/>
                <w:bCs/>
                <w:color w:val="000000"/>
                <w:spacing w:val="0"/>
                <w:w w:val="100"/>
                <w:position w:val="0"/>
                <w:sz w:val="20"/>
                <w:szCs w:val="20"/>
              </w:rPr>
              <w:t>、一年内到期的非流动负债</w:t>
            </w:r>
            <w:bookmarkEnd w:id="1786"/>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448,479.44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37,631,520.45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38,121,783.51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44</w:t>
      </w:r>
      <w:r>
        <w:rPr>
          <w:color w:val="000000"/>
          <w:spacing w:val="0"/>
          <w:w w:val="100"/>
          <w:position w:val="0"/>
        </w:rPr>
        <w:t>、其他流动负债</w:t>
      </w:r>
      <w:bookmarkEnd w:id="1787"/>
      <w:bookmarkEnd w:id="1788"/>
      <w:bookmarkEnd w:id="17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应交税费</w:t>
            </w:r>
            <w:r>
              <w:rPr>
                <w:color w:val="000000"/>
                <w:spacing w:val="0"/>
                <w:w w:val="100"/>
                <w:position w:val="0"/>
              </w:rPr>
              <w:t>一</w:t>
            </w:r>
            <w:r>
              <w:rPr>
                <w:color w:val="000000"/>
                <w:spacing w:val="0"/>
                <w:w w:val="100"/>
                <w:position w:val="0"/>
              </w:rPr>
              <w:t>待转销项税额贷方余额重分 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17,226,892.81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19,130,108.94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以不满足终止确认条件的应收票据背书 转让清偿的负债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6,622,292.32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615,200.80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以不满足终止确认条件的应收票据贴现 转让清偿的负债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4,003,996.00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23,849,185.13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23,749,305.74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both"/>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45</w:t>
      </w:r>
      <w:r>
        <w:rPr>
          <w:color w:val="000000"/>
          <w:spacing w:val="0"/>
          <w:w w:val="100"/>
          <w:position w:val="0"/>
        </w:rPr>
        <w:t>、长期借款</w:t>
      </w:r>
      <w:bookmarkEnd w:id="1790"/>
      <w:bookmarkEnd w:id="1791"/>
      <w:bookmarkEnd w:id="1792"/>
    </w:p>
    <w:p>
      <w:pPr>
        <w:pStyle w:val="Style40"/>
        <w:keepNext/>
        <w:keepLines/>
        <w:widowControl w:val="0"/>
        <w:shd w:val="clear" w:color="auto" w:fill="auto"/>
        <w:bidi w:val="0"/>
        <w:spacing w:before="0" w:line="240" w:lineRule="auto"/>
        <w:ind w:left="0" w:right="0" w:firstLine="0"/>
        <w:jc w:val="both"/>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793"/>
      <w:bookmarkEnd w:id="1794"/>
      <w:bookmarkEnd w:id="17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107,524.25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-41,783.62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65,740.63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长期借款分类的说明：</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其他说明，包括利率区间：</w:t>
      </w:r>
    </w:p>
    <w:p>
      <w:pPr>
        <w:pStyle w:val="Style20"/>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抵押借款</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年利率区间</w:t>
      </w:r>
      <w:r>
        <w:rPr>
          <w:rFonts w:ascii="Times New Roman" w:eastAsia="Times New Roman" w:hAnsi="Times New Roman" w:cs="Times New Roman"/>
          <w:color w:val="000000"/>
          <w:spacing w:val="0"/>
          <w:w w:val="100"/>
          <w:position w:val="0"/>
          <w:sz w:val="20"/>
          <w:szCs w:val="20"/>
        </w:rPr>
        <w:t>3.82%</w:t>
      </w:r>
    </w:p>
    <w:p>
      <w:pPr>
        <w:pStyle w:val="Style29"/>
        <w:keepNext/>
        <w:keepLines/>
        <w:widowControl w:val="0"/>
        <w:shd w:val="clear" w:color="auto" w:fill="auto"/>
        <w:bidi w:val="0"/>
        <w:spacing w:before="0" w:line="240" w:lineRule="auto"/>
        <w:ind w:left="0" w:right="0" w:firstLine="0"/>
        <w:jc w:val="both"/>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4</w:t>
      </w:r>
      <w:bookmarkEnd w:id="179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797"/>
      <w:bookmarkEnd w:id="1798"/>
      <w:bookmarkEnd w:id="1800"/>
    </w:p>
    <w:p>
      <w:pPr>
        <w:pStyle w:val="Style40"/>
        <w:keepNext/>
        <w:keepLines/>
        <w:widowControl w:val="0"/>
        <w:shd w:val="clear" w:color="auto" w:fill="auto"/>
        <w:bidi w:val="0"/>
        <w:spacing w:before="0" w:line="240" w:lineRule="auto"/>
        <w:ind w:left="0" w:right="0" w:firstLine="0"/>
        <w:jc w:val="both"/>
      </w:pPr>
      <w:bookmarkStart w:id="1801" w:name="bookmark1801"/>
      <w:bookmarkStart w:id="1802" w:name="bookmark1802"/>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801"/>
      <w:bookmarkEnd w:id="1802"/>
      <w:bookmarkEnd w:id="18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987,268,969.79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939,943,009.18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-448,479.44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-223,972.60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986,820,490.35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939,719,036.58</w:t>
            </w:r>
          </w:p>
        </w:tc>
      </w:tr>
    </w:tbl>
    <w:p>
      <w:pPr>
        <w:widowControl w:val="0"/>
        <w:spacing w:after="279" w:line="1" w:lineRule="exact"/>
      </w:pPr>
    </w:p>
    <w:p>
      <w:pPr>
        <w:pStyle w:val="Style40"/>
        <w:keepNext/>
        <w:keepLines/>
        <w:widowControl w:val="0"/>
        <w:shd w:val="clear" w:color="auto" w:fill="auto"/>
        <w:bidi w:val="0"/>
        <w:spacing w:before="0" w:line="240" w:lineRule="auto"/>
        <w:ind w:left="0" w:right="0" w:firstLine="0"/>
        <w:jc w:val="both"/>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805"/>
      <w:bookmarkEnd w:id="1806"/>
      <w:bookmarkEnd w:id="18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2"/>
        <w:gridCol w:w="802"/>
        <w:gridCol w:w="797"/>
        <w:gridCol w:w="797"/>
        <w:gridCol w:w="802"/>
        <w:gridCol w:w="797"/>
        <w:gridCol w:w="797"/>
        <w:gridCol w:w="797"/>
        <w:gridCol w:w="806"/>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可转换公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1,090,000</w:t>
            </w:r>
          </w:p>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939,719,0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3,493,877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50,876,93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281,600.0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986,820,4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1,090,000</w:t>
            </w:r>
          </w:p>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939,719,0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3,493,877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50,876,93</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281,600.0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986,820,4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w:t>
            </w:r>
          </w:p>
        </w:tc>
      </w:tr>
    </w:tbl>
    <w:p>
      <w:pPr>
        <w:widowControl w:val="0"/>
        <w:spacing w:after="279" w:line="1" w:lineRule="exact"/>
      </w:pPr>
    </w:p>
    <w:p>
      <w:pPr>
        <w:pStyle w:val="Style40"/>
        <w:keepNext/>
        <w:keepLines/>
        <w:widowControl w:val="0"/>
        <w:shd w:val="clear" w:color="auto" w:fill="auto"/>
        <w:bidi w:val="0"/>
        <w:spacing w:before="0" w:after="280" w:line="240" w:lineRule="auto"/>
        <w:ind w:left="0" w:right="0" w:firstLine="0"/>
        <w:jc w:val="both"/>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809"/>
      <w:bookmarkEnd w:id="1810"/>
      <w:bookmarkEnd w:id="1812"/>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经中国证券监督管理委员会证监许可</w:t>
      </w:r>
      <w:r>
        <w:rPr>
          <w:color w:val="000000"/>
          <w:spacing w:val="0"/>
          <w:w w:val="100"/>
          <w:position w:val="0"/>
          <w:sz w:val="18"/>
          <w:szCs w:val="18"/>
        </w:rPr>
        <w:t xml:space="preserve">[2020] </w:t>
      </w:r>
      <w:r>
        <w:rPr>
          <w:color w:val="000000"/>
          <w:spacing w:val="0"/>
          <w:w w:val="100"/>
          <w:position w:val="0"/>
          <w:sz w:val="18"/>
          <w:szCs w:val="18"/>
        </w:rPr>
        <w:t>2953</w:t>
      </w:r>
      <w:r>
        <w:rPr>
          <w:color w:val="000000"/>
          <w:spacing w:val="0"/>
          <w:w w:val="100"/>
          <w:position w:val="0"/>
        </w:rPr>
        <w:t>号《关于核准润建股份有限公司公开发行可转换公司债券的批复》核 准，本公司于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日公开发行可转换公司债券，每份面值</w:t>
      </w:r>
      <w:r>
        <w:rPr>
          <w:color w:val="000000"/>
          <w:spacing w:val="0"/>
          <w:w w:val="100"/>
          <w:position w:val="0"/>
          <w:sz w:val="18"/>
          <w:szCs w:val="18"/>
        </w:rPr>
        <w:t>100</w:t>
      </w:r>
      <w:r>
        <w:rPr>
          <w:color w:val="000000"/>
          <w:spacing w:val="0"/>
          <w:w w:val="100"/>
          <w:position w:val="0"/>
        </w:rPr>
        <w:t>元，发行总额</w:t>
      </w:r>
      <w:r>
        <w:rPr>
          <w:color w:val="000000"/>
          <w:spacing w:val="0"/>
          <w:w w:val="100"/>
          <w:position w:val="0"/>
          <w:sz w:val="18"/>
          <w:szCs w:val="18"/>
        </w:rPr>
        <w:t>1,090,000,000.00</w:t>
      </w:r>
      <w:r>
        <w:rPr>
          <w:color w:val="000000"/>
          <w:spacing w:val="0"/>
          <w:w w:val="100"/>
          <w:position w:val="0"/>
        </w:rPr>
        <w:t>元，债券期限为</w:t>
      </w:r>
      <w:r>
        <w:rPr>
          <w:color w:val="000000"/>
          <w:spacing w:val="0"/>
          <w:w w:val="100"/>
          <w:position w:val="0"/>
          <w:sz w:val="18"/>
          <w:szCs w:val="18"/>
        </w:rPr>
        <w:t>6</w:t>
      </w:r>
      <w:r>
        <w:rPr>
          <w:color w:val="000000"/>
          <w:spacing w:val="0"/>
          <w:w w:val="100"/>
          <w:position w:val="0"/>
        </w:rPr>
        <w:t>年。</w:t>
      </w:r>
    </w:p>
    <w:p>
      <w:pPr>
        <w:pStyle w:val="Style18"/>
        <w:keepNext w:val="0"/>
        <w:keepLines w:val="0"/>
        <w:widowControl w:val="0"/>
        <w:shd w:val="clear" w:color="auto" w:fill="auto"/>
        <w:bidi w:val="0"/>
        <w:spacing w:before="0" w:after="320" w:line="314" w:lineRule="exact"/>
        <w:ind w:left="0" w:right="0"/>
        <w:jc w:val="both"/>
      </w:pPr>
      <w:r>
        <w:rPr>
          <w:color w:val="000000"/>
          <w:spacing w:val="0"/>
          <w:w w:val="100"/>
          <w:position w:val="0"/>
        </w:rPr>
        <w:t>本公司发行的可转换公司债券的票面利率为第一年为</w:t>
      </w:r>
      <w:r>
        <w:rPr>
          <w:color w:val="000000"/>
          <w:spacing w:val="0"/>
          <w:w w:val="100"/>
          <w:position w:val="0"/>
          <w:sz w:val="18"/>
          <w:szCs w:val="18"/>
        </w:rPr>
        <w:t>0.30%</w:t>
      </w:r>
      <w:r>
        <w:rPr>
          <w:color w:val="000000"/>
          <w:spacing w:val="0"/>
          <w:w w:val="100"/>
          <w:position w:val="0"/>
        </w:rPr>
        <w:t>、第二年为</w:t>
      </w:r>
      <w:r>
        <w:rPr>
          <w:color w:val="000000"/>
          <w:spacing w:val="0"/>
          <w:w w:val="100"/>
          <w:position w:val="0"/>
          <w:sz w:val="18"/>
          <w:szCs w:val="18"/>
        </w:rPr>
        <w:t>0.60%</w:t>
      </w:r>
      <w:r>
        <w:rPr>
          <w:color w:val="000000"/>
          <w:spacing w:val="0"/>
          <w:w w:val="100"/>
          <w:position w:val="0"/>
        </w:rPr>
        <w:t>、第三年为</w:t>
      </w:r>
      <w:r>
        <w:rPr>
          <w:color w:val="000000"/>
          <w:spacing w:val="0"/>
          <w:w w:val="100"/>
          <w:position w:val="0"/>
          <w:sz w:val="18"/>
          <w:szCs w:val="18"/>
        </w:rPr>
        <w:t>1.00%</w:t>
      </w:r>
      <w:r>
        <w:rPr>
          <w:color w:val="000000"/>
          <w:spacing w:val="0"/>
          <w:w w:val="100"/>
          <w:position w:val="0"/>
        </w:rPr>
        <w:t>、第四年为</w:t>
      </w:r>
      <w:r>
        <w:rPr>
          <w:color w:val="000000"/>
          <w:spacing w:val="0"/>
          <w:w w:val="100"/>
          <w:position w:val="0"/>
          <w:sz w:val="18"/>
          <w:szCs w:val="18"/>
        </w:rPr>
        <w:t>1.50%</w:t>
      </w:r>
      <w:r>
        <w:rPr>
          <w:color w:val="000000"/>
          <w:spacing w:val="0"/>
          <w:w w:val="100"/>
          <w:position w:val="0"/>
        </w:rPr>
        <w:t>、第 五年为</w:t>
      </w:r>
      <w:r>
        <w:rPr>
          <w:color w:val="000000"/>
          <w:spacing w:val="0"/>
          <w:w w:val="100"/>
          <w:position w:val="0"/>
          <w:sz w:val="18"/>
          <w:szCs w:val="18"/>
        </w:rPr>
        <w:t>1.80%</w:t>
      </w:r>
      <w:r>
        <w:rPr>
          <w:color w:val="000000"/>
          <w:spacing w:val="0"/>
          <w:w w:val="100"/>
          <w:position w:val="0"/>
        </w:rPr>
        <w:t>、第六年为</w:t>
      </w:r>
      <w:r>
        <w:rPr>
          <w:color w:val="000000"/>
          <w:spacing w:val="0"/>
          <w:w w:val="100"/>
          <w:position w:val="0"/>
          <w:sz w:val="18"/>
          <w:szCs w:val="18"/>
        </w:rPr>
        <w:t>2.00%，</w:t>
      </w:r>
      <w:r>
        <w:rPr>
          <w:color w:val="000000"/>
          <w:spacing w:val="0"/>
          <w:w w:val="100"/>
          <w:position w:val="0"/>
        </w:rPr>
        <w:t>利息按年支付。转股期限自发行结束之日起满六个月后的第一个交易日起至可转换公司债券 到期日止。</w:t>
      </w:r>
    </w:p>
    <w:p>
      <w:pPr>
        <w:pStyle w:val="Style18"/>
        <w:keepNext w:val="0"/>
        <w:keepLines w:val="0"/>
        <w:widowControl w:val="0"/>
        <w:shd w:val="clear" w:color="auto" w:fill="auto"/>
        <w:bidi w:val="0"/>
        <w:spacing w:before="0" w:after="140" w:line="310" w:lineRule="exact"/>
        <w:ind w:left="0" w:right="0"/>
        <w:jc w:val="both"/>
      </w:pPr>
      <w:r>
        <w:rPr>
          <w:color w:val="000000"/>
          <w:spacing w:val="0"/>
          <w:w w:val="100"/>
          <w:position w:val="0"/>
        </w:rPr>
        <w:t>可转换公司债券发行时的初始转股价格为每股人民币</w:t>
      </w:r>
      <w:r>
        <w:rPr>
          <w:color w:val="000000"/>
          <w:spacing w:val="0"/>
          <w:w w:val="100"/>
          <w:position w:val="0"/>
          <w:sz w:val="18"/>
          <w:szCs w:val="18"/>
        </w:rPr>
        <w:t>26.55</w:t>
      </w:r>
      <w:r>
        <w:rPr>
          <w:color w:val="000000"/>
          <w:spacing w:val="0"/>
          <w:w w:val="100"/>
          <w:position w:val="0"/>
        </w:rPr>
        <w:t>元，不低于募集说明书公告日前二十个交易日公司</w:t>
      </w:r>
      <w:r>
        <w:rPr>
          <w:color w:val="000000"/>
          <w:spacing w:val="0"/>
          <w:w w:val="100"/>
          <w:position w:val="0"/>
          <w:sz w:val="18"/>
          <w:szCs w:val="18"/>
        </w:rPr>
        <w:t>A</w:t>
      </w:r>
      <w:r>
        <w:rPr>
          <w:color w:val="000000"/>
          <w:spacing w:val="0"/>
          <w:w w:val="100"/>
          <w:position w:val="0"/>
        </w:rPr>
        <w:t>股股 票交易均价（若在该二十个交易日内发生过因除权、除息引起股价调整的情形，则对调整前交易日的收盘价按经过相应除权、 除息调整后的价格计算）和前一个交易日公司</w:t>
      </w:r>
      <w:r>
        <w:rPr>
          <w:color w:val="000000"/>
          <w:spacing w:val="0"/>
          <w:w w:val="100"/>
          <w:position w:val="0"/>
          <w:sz w:val="18"/>
          <w:szCs w:val="18"/>
        </w:rPr>
        <w:t>A</w:t>
      </w:r>
      <w:r>
        <w:rPr>
          <w:color w:val="000000"/>
          <w:spacing w:val="0"/>
          <w:w w:val="100"/>
          <w:position w:val="0"/>
        </w:rPr>
        <w:t>股股票交易均价。</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根据中国证监会关于可转换公司债券发行的有关规定以及《润建股份有限公司公开发行可转换公司债券募集说明书》相 关条款，在本次可转债发行之后，当公司因派送股票股利、转增股本、增发新股（不包括因本次可转债转股而增加的股本）、 配股使公司股份发生变化及派送现金股利等情况时，可进行转股价格调整。公司于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年度股东大会审 议通过了《关于</w:t>
      </w:r>
      <w:r>
        <w:rPr>
          <w:color w:val="000000"/>
          <w:spacing w:val="0"/>
          <w:w w:val="100"/>
          <w:position w:val="0"/>
          <w:sz w:val="18"/>
          <w:szCs w:val="18"/>
        </w:rPr>
        <w:t>2020</w:t>
      </w:r>
      <w:r>
        <w:rPr>
          <w:color w:val="000000"/>
          <w:spacing w:val="0"/>
          <w:w w:val="100"/>
          <w:position w:val="0"/>
        </w:rPr>
        <w:t>年度利润分配预案的议案》，以实施权益分派股权登记日登记的总股本</w:t>
      </w:r>
      <w:r>
        <w:rPr>
          <w:color w:val="000000"/>
          <w:spacing w:val="0"/>
          <w:w w:val="100"/>
          <w:position w:val="0"/>
          <w:sz w:val="18"/>
          <w:szCs w:val="18"/>
        </w:rPr>
        <w:t>（220,746,347</w:t>
      </w:r>
      <w:r>
        <w:rPr>
          <w:color w:val="000000"/>
          <w:spacing w:val="0"/>
          <w:w w:val="100"/>
          <w:position w:val="0"/>
        </w:rPr>
        <w:t>股）为基数每</w:t>
      </w:r>
      <w:r>
        <w:rPr>
          <w:color w:val="000000"/>
          <w:spacing w:val="0"/>
          <w:w w:val="100"/>
          <w:position w:val="0"/>
          <w:sz w:val="18"/>
          <w:szCs w:val="18"/>
        </w:rPr>
        <w:t xml:space="preserve">10 </w:t>
      </w:r>
      <w:r>
        <w:rPr>
          <w:color w:val="000000"/>
          <w:spacing w:val="0"/>
          <w:w w:val="100"/>
          <w:position w:val="0"/>
        </w:rPr>
        <w:t>股派送现金</w:t>
      </w:r>
      <w:r>
        <w:rPr>
          <w:color w:val="000000"/>
          <w:spacing w:val="0"/>
          <w:w w:val="100"/>
          <w:position w:val="0"/>
          <w:sz w:val="18"/>
          <w:szCs w:val="18"/>
        </w:rPr>
        <w:t>1.50</w:t>
      </w:r>
      <w:r>
        <w:rPr>
          <w:color w:val="000000"/>
          <w:spacing w:val="0"/>
          <w:w w:val="100"/>
          <w:position w:val="0"/>
        </w:rPr>
        <w:t>元（含税），分红金额为</w:t>
      </w:r>
      <w:r>
        <w:rPr>
          <w:color w:val="000000"/>
          <w:spacing w:val="0"/>
          <w:w w:val="100"/>
          <w:position w:val="0"/>
          <w:sz w:val="18"/>
          <w:szCs w:val="18"/>
        </w:rPr>
        <w:t>33,111,952.05</w:t>
      </w:r>
      <w:r>
        <w:rPr>
          <w:color w:val="000000"/>
          <w:spacing w:val="0"/>
          <w:w w:val="100"/>
          <w:position w:val="0"/>
        </w:rPr>
        <w:t>元。公司</w:t>
      </w:r>
      <w:r>
        <w:rPr>
          <w:color w:val="000000"/>
          <w:spacing w:val="0"/>
          <w:w w:val="100"/>
          <w:position w:val="0"/>
          <w:sz w:val="18"/>
          <w:szCs w:val="18"/>
        </w:rPr>
        <w:t>2020</w:t>
      </w:r>
      <w:r>
        <w:rPr>
          <w:color w:val="000000"/>
          <w:spacing w:val="0"/>
          <w:w w:val="100"/>
          <w:position w:val="0"/>
        </w:rPr>
        <w:t>年度利润分配方案实施后，“润建转债”的转股价格 调整为</w:t>
      </w:r>
      <w:r>
        <w:rPr>
          <w:color w:val="000000"/>
          <w:spacing w:val="0"/>
          <w:w w:val="100"/>
          <w:position w:val="0"/>
          <w:sz w:val="18"/>
          <w:szCs w:val="18"/>
        </w:rPr>
        <w:t xml:space="preserve">26. </w:t>
      </w:r>
      <w:r>
        <w:rPr>
          <w:color w:val="000000"/>
          <w:spacing w:val="0"/>
          <w:w w:val="100"/>
          <w:position w:val="0"/>
          <w:sz w:val="18"/>
          <w:szCs w:val="18"/>
        </w:rPr>
        <w:t>40</w:t>
      </w:r>
      <w:r>
        <w:rPr>
          <w:color w:val="000000"/>
          <w:spacing w:val="0"/>
          <w:w w:val="100"/>
          <w:position w:val="0"/>
        </w:rPr>
        <w:t>元</w:t>
      </w:r>
      <w:r>
        <w:rPr>
          <w:color w:val="000000"/>
          <w:spacing w:val="0"/>
          <w:w w:val="100"/>
          <w:position w:val="0"/>
          <w:sz w:val="18"/>
          <w:szCs w:val="18"/>
        </w:rPr>
        <w:t>/</w:t>
      </w:r>
      <w:r>
        <w:rPr>
          <w:color w:val="000000"/>
          <w:spacing w:val="0"/>
          <w:w w:val="100"/>
          <w:position w:val="0"/>
        </w:rPr>
        <w:t>股，调整后的转股价格自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日起生效。</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日，共有</w:t>
      </w:r>
      <w:r>
        <w:rPr>
          <w:color w:val="000000"/>
          <w:spacing w:val="0"/>
          <w:w w:val="100"/>
          <w:position w:val="0"/>
          <w:sz w:val="18"/>
          <w:szCs w:val="18"/>
        </w:rPr>
        <w:t>2,816</w:t>
      </w:r>
      <w:r>
        <w:rPr>
          <w:color w:val="000000"/>
          <w:spacing w:val="0"/>
          <w:w w:val="100"/>
          <w:position w:val="0"/>
        </w:rPr>
        <w:t>份可转债转股，确认股本</w:t>
      </w:r>
      <w:r>
        <w:rPr>
          <w:color w:val="000000"/>
          <w:spacing w:val="0"/>
          <w:w w:val="100"/>
          <w:position w:val="0"/>
          <w:sz w:val="18"/>
          <w:szCs w:val="18"/>
        </w:rPr>
        <w:t xml:space="preserve">10,610.0 </w:t>
      </w:r>
      <w:r>
        <w:rPr>
          <w:color w:val="000000"/>
          <w:spacing w:val="0"/>
          <w:w w:val="100"/>
          <w:position w:val="0"/>
          <w:sz w:val="18"/>
          <w:szCs w:val="18"/>
        </w:rPr>
        <w:t>0</w:t>
      </w:r>
      <w:r>
        <w:rPr>
          <w:color w:val="000000"/>
          <w:spacing w:val="0"/>
          <w:w w:val="100"/>
          <w:position w:val="0"/>
        </w:rPr>
        <w:t>股。</w:t>
      </w:r>
    </w:p>
    <w:p>
      <w:pPr>
        <w:pStyle w:val="Style40"/>
        <w:keepNext/>
        <w:keepLines/>
        <w:widowControl w:val="0"/>
        <w:shd w:val="clear" w:color="auto" w:fill="auto"/>
        <w:bidi w:val="0"/>
        <w:spacing w:before="0" w:after="30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4</w:t>
      </w:r>
      <w:r>
        <w:rPr>
          <w:color w:val="000000"/>
          <w:spacing w:val="0"/>
          <w:w w:val="100"/>
          <w:position w:val="0"/>
        </w:rPr>
        <w:t>）划分为金融负债的其他金融工具说明</w:t>
      </w:r>
      <w:bookmarkEnd w:id="1813"/>
      <w:bookmarkEnd w:id="1814"/>
      <w:bookmarkEnd w:id="1816"/>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期末发行在外的优先股、永续债等其他金融工具基本情况</w:t>
      </w:r>
    </w:p>
    <w:p>
      <w:pPr>
        <w:pStyle w:val="Style1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4</w:t>
      </w:r>
      <w:bookmarkEnd w:id="181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817"/>
      <w:bookmarkEnd w:id="1818"/>
      <w:bookmarkEnd w:id="18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97,135,568.25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24,163,341.56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-14,694,030.15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-37,631,520.45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-7,850,917.50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44,810,017.65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16,312,424.06</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821"/>
      <w:bookmarkEnd w:id="1822"/>
      <w:bookmarkEnd w:id="18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1825" w:name="bookmark1825"/>
      <w:bookmarkStart w:id="1826" w:name="bookmark1826"/>
      <w:bookmarkStart w:id="1827" w:name="bookmark18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825"/>
      <w:bookmarkEnd w:id="1826"/>
      <w:bookmarkEnd w:id="182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both"/>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828"/>
      <w:bookmarkEnd w:id="1829"/>
      <w:bookmarkEnd w:id="183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4</w:t>
      </w:r>
      <w:bookmarkEnd w:id="1834"/>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832"/>
      <w:bookmarkEnd w:id="1833"/>
      <w:bookmarkEnd w:id="1835"/>
    </w:p>
    <w:p>
      <w:pPr>
        <w:pStyle w:val="Style40"/>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836"/>
      <w:bookmarkEnd w:id="1837"/>
      <w:bookmarkEnd w:id="1838"/>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0"/>
        <w:keepNext/>
        <w:keepLines/>
        <w:widowControl w:val="0"/>
        <w:shd w:val="clear" w:color="auto" w:fill="auto"/>
        <w:bidi w:val="0"/>
        <w:spacing w:before="0" w:after="400" w:line="240" w:lineRule="auto"/>
        <w:ind w:left="0" w:right="0" w:firstLine="0"/>
        <w:jc w:val="both"/>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839"/>
      <w:bookmarkEnd w:id="1840"/>
      <w:bookmarkEnd w:id="1842"/>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5</w:t>
      </w:r>
      <w:bookmarkEnd w:id="184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843"/>
      <w:bookmarkEnd w:id="1844"/>
      <w:bookmarkEnd w:id="184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5</w:t>
      </w:r>
      <w:bookmarkEnd w:id="184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847"/>
      <w:bookmarkEnd w:id="1848"/>
      <w:bookmarkEnd w:id="185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1,766,800.00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4,381,200.00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1,766,800.00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2,614,400.00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4,381,200.00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3"/>
        <w:gridCol w:w="1013"/>
        <w:gridCol w:w="1013"/>
        <w:gridCol w:w="1008"/>
        <w:gridCol w:w="1008"/>
        <w:gridCol w:w="1008"/>
        <w:gridCol w:w="1253"/>
        <w:gridCol w:w="1018"/>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本期新增补</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基于边缘计 算的</w:t>
            </w:r>
            <w:r>
              <w:rPr>
                <w:rFonts w:ascii="Times New Roman" w:eastAsia="Times New Roman" w:hAnsi="Times New Roman" w:cs="Times New Roman"/>
                <w:color w:val="000000"/>
                <w:spacing w:val="0"/>
                <w:w w:val="100"/>
                <w:position w:val="0"/>
              </w:rPr>
              <w:t xml:space="preserve">T-MES </w:t>
            </w:r>
            <w:r>
              <w:rPr>
                <w:color w:val="000000"/>
                <w:spacing w:val="0"/>
                <w:w w:val="100"/>
                <w:position w:val="0"/>
              </w:rPr>
              <w:t>工业物联网 平台研发及 应用示范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智能工厂</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全要素感知</w:t>
            </w:r>
          </w:p>
          <w:p>
            <w:pPr>
              <w:pStyle w:val="Style2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与互联技</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术，课题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266,800.00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381,200.00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广西通信工 程运维与服 务工程技术 研究中心创 新能力建设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融合光伏发 电技术的 </w:t>
            </w:r>
            <w:r>
              <w:rPr>
                <w:rFonts w:ascii="Times New Roman" w:eastAsia="Times New Roman" w:hAnsi="Times New Roman" w:cs="Times New Roman"/>
                <w:color w:val="000000"/>
                <w:spacing w:val="0"/>
                <w:w w:val="100"/>
                <w:position w:val="0"/>
              </w:rPr>
              <w:t>5G</w:t>
            </w:r>
            <w:r>
              <w:rPr>
                <w:color w:val="000000"/>
                <w:spacing w:val="0"/>
                <w:w w:val="100"/>
                <w:position w:val="0"/>
              </w:rPr>
              <w:t>基站智 能供电系统 开发与产业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5G</w:t>
            </w:r>
            <w:r>
              <w:rPr>
                <w:color w:val="000000"/>
                <w:spacing w:val="0"/>
                <w:w w:val="100"/>
                <w:position w:val="0"/>
              </w:rPr>
              <w:t>组 网的能效电 厂实时互动 技术的研究 与应用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5</w:t>
      </w:r>
      <w:bookmarkEnd w:id="185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851"/>
      <w:bookmarkEnd w:id="1852"/>
      <w:bookmarkEnd w:id="18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5</w:t>
      </w:r>
      <w:bookmarkEnd w:id="1857"/>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855"/>
      <w:bookmarkEnd w:id="1856"/>
      <w:bookmarkEnd w:id="18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220,746,347.00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7,982,470.00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7,982,470.00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228,728,817.00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5</w:t>
      </w:r>
      <w:bookmarkEnd w:id="186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859"/>
      <w:bookmarkEnd w:id="1860"/>
      <w:bookmarkEnd w:id="1862"/>
    </w:p>
    <w:p>
      <w:pPr>
        <w:pStyle w:val="Style40"/>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863"/>
      <w:bookmarkEnd w:id="1864"/>
      <w:bookmarkEnd w:id="1865"/>
    </w:p>
    <w:p>
      <w:pPr>
        <w:pStyle w:val="Style18"/>
        <w:keepNext w:val="0"/>
        <w:keepLines w:val="0"/>
        <w:widowControl w:val="0"/>
        <w:shd w:val="clear" w:color="auto" w:fill="auto"/>
        <w:bidi w:val="0"/>
        <w:spacing w:before="0" w:after="360" w:line="240" w:lineRule="auto"/>
        <w:ind w:left="0" w:right="0"/>
        <w:jc w:val="left"/>
      </w:pPr>
      <w:r>
        <w:rPr>
          <w:color w:val="000000"/>
          <w:spacing w:val="0"/>
          <w:w w:val="100"/>
          <w:position w:val="0"/>
        </w:rPr>
        <w:t>本公司本期发行的可转换公司债券情况详见本附注七、</w:t>
      </w:r>
      <w:r>
        <w:rPr>
          <w:color w:val="000000"/>
          <w:spacing w:val="0"/>
          <w:w w:val="100"/>
          <w:position w:val="0"/>
          <w:sz w:val="18"/>
          <w:szCs w:val="18"/>
        </w:rPr>
        <w:t>46</w:t>
      </w:r>
      <w:r>
        <w:rPr>
          <w:color w:val="000000"/>
          <w:spacing w:val="0"/>
          <w:w w:val="100"/>
          <w:position w:val="0"/>
        </w:rPr>
        <w:t>应付债券。</w:t>
      </w:r>
    </w:p>
    <w:p>
      <w:pPr>
        <w:pStyle w:val="Style40"/>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866"/>
      <w:bookmarkEnd w:id="1867"/>
      <w:bookmarkEnd w:id="18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可转换公司</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债券拆出的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143,750,878.</w:t>
            </w:r>
          </w:p>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143,713,740.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143,750,878.</w:t>
            </w:r>
          </w:p>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37,137.84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143,713,740.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bl>
    <w:p>
      <w:pPr>
        <w:pStyle w:val="Style1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9"/>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5</w:t>
      </w:r>
      <w:bookmarkEnd w:id="187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869"/>
      <w:bookmarkEnd w:id="1870"/>
      <w:bookmarkEnd w:id="18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1,406,305,871.38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212,727,509.30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1,619,033,380.68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18,391,613.40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76,403,538.10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48,708,064.60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46,087,086.90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1,424,697,484.78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289,131,047.40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48,708,064.60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1,665,120,467.58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18"/>
        <w:keepNext w:val="0"/>
        <w:keepLines w:val="0"/>
        <w:widowControl w:val="0"/>
        <w:shd w:val="clear" w:color="auto" w:fill="auto"/>
        <w:bidi w:val="0"/>
        <w:spacing w:before="0" w:after="360" w:line="240" w:lineRule="auto"/>
        <w:ind w:left="0" w:right="0"/>
        <w:jc w:val="left"/>
      </w:pPr>
      <w:r>
        <w:rPr>
          <w:color w:val="000000"/>
          <w:spacing w:val="0"/>
          <w:w w:val="100"/>
          <w:position w:val="0"/>
        </w:rPr>
        <w:t>注：本期变动系公司实施股权激励计划行权及确认股份支付费用所致。</w:t>
      </w:r>
    </w:p>
    <w:p>
      <w:pPr>
        <w:pStyle w:val="Style29"/>
        <w:keepNext/>
        <w:keepLines/>
        <w:widowControl w:val="0"/>
        <w:shd w:val="clear" w:color="auto" w:fill="auto"/>
        <w:bidi w:val="0"/>
        <w:spacing w:before="0" w:line="240" w:lineRule="auto"/>
        <w:ind w:left="0" w:right="0" w:firstLine="0"/>
        <w:jc w:val="both"/>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5</w:t>
      </w:r>
      <w:bookmarkEnd w:id="187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873"/>
      <w:bookmarkEnd w:id="1874"/>
      <w:bookmarkEnd w:id="1876"/>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5</w:t>
      </w:r>
      <w:bookmarkEnd w:id="187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877"/>
      <w:bookmarkEnd w:id="1878"/>
      <w:bookmarkEnd w:id="18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-79,688.</w:t>
            </w:r>
          </w:p>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-79,688.</w:t>
            </w:r>
          </w:p>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-2,014.39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-79,688.</w:t>
            </w:r>
          </w:p>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5</w:t>
      </w:r>
      <w:bookmarkEnd w:id="188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881"/>
      <w:bookmarkEnd w:id="1882"/>
      <w:bookmarkEnd w:id="18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58,677,999.65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51,985,553.89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22,438,556.88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88,224,996.66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58,677,999.65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51,985,553.89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22,438,556.88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88,224,996.66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5</w:t>
      </w:r>
      <w:bookmarkEnd w:id="188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885"/>
      <w:bookmarkEnd w:id="1886"/>
      <w:bookmarkEnd w:id="18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126,212,480.46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126,212,480.46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126,212,480.46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126,212,480.46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6</w:t>
      </w:r>
      <w:bookmarkEnd w:id="189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889"/>
      <w:bookmarkEnd w:id="1890"/>
      <w:bookmarkEnd w:id="18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1,257,286,319.92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1,041,581,307.63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2,543,007.71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1,257,286,319.92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1,044,124,315.34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352,983,779.43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238,703,087.67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34,060,430.60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25,541,083.09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1,576,209,668.75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1,257,286,319.92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00" w:line="240" w:lineRule="auto"/>
        <w:ind w:left="0" w:right="0" w:firstLine="0"/>
        <w:jc w:val="left"/>
      </w:pPr>
      <w:bookmarkStart w:id="1893" w:name="bookmark1893"/>
      <w:r>
        <w:rPr>
          <w:rFonts w:ascii="Times New Roman" w:eastAsia="Times New Roman" w:hAnsi="Times New Roman" w:cs="Times New Roman"/>
          <w:color w:val="000000"/>
          <w:spacing w:val="0"/>
          <w:w w:val="100"/>
          <w:position w:val="0"/>
        </w:rPr>
        <w:t>1</w:t>
      </w:r>
      <w:bookmarkEnd w:id="1893"/>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1894" w:name="bookmark1894"/>
      <w:r>
        <w:rPr>
          <w:rFonts w:ascii="Times New Roman" w:eastAsia="Times New Roman" w:hAnsi="Times New Roman" w:cs="Times New Roman"/>
          <w:color w:val="000000"/>
          <w:spacing w:val="0"/>
          <w:w w:val="100"/>
          <w:position w:val="0"/>
        </w:rPr>
        <w:t>2</w:t>
      </w:r>
      <w:bookmarkEnd w:id="1894"/>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1895" w:name="bookmark1895"/>
      <w:r>
        <w:rPr>
          <w:rFonts w:ascii="Times New Roman" w:eastAsia="Times New Roman" w:hAnsi="Times New Roman" w:cs="Times New Roman"/>
          <w:color w:val="000000"/>
          <w:spacing w:val="0"/>
          <w:w w:val="100"/>
          <w:position w:val="0"/>
        </w:rPr>
        <w:t>3</w:t>
      </w:r>
      <w:bookmarkEnd w:id="1895"/>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9" w:val="left"/>
        </w:tabs>
        <w:bidi w:val="0"/>
        <w:spacing w:before="0" w:after="100" w:line="240" w:lineRule="auto"/>
        <w:ind w:left="0" w:right="0" w:firstLine="0"/>
        <w:jc w:val="left"/>
      </w:pPr>
      <w:bookmarkStart w:id="1896" w:name="bookmark1896"/>
      <w:r>
        <w:rPr>
          <w:rFonts w:ascii="Times New Roman" w:eastAsia="Times New Roman" w:hAnsi="Times New Roman" w:cs="Times New Roman"/>
          <w:color w:val="000000"/>
          <w:spacing w:val="0"/>
          <w:w w:val="100"/>
          <w:position w:val="0"/>
        </w:rPr>
        <w:t>4</w:t>
      </w:r>
      <w:bookmarkEnd w:id="1896"/>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9" w:val="left"/>
        </w:tabs>
        <w:bidi w:val="0"/>
        <w:spacing w:before="0" w:after="360" w:line="240" w:lineRule="auto"/>
        <w:ind w:left="0" w:right="0" w:firstLine="0"/>
        <w:jc w:val="left"/>
      </w:pPr>
      <w:bookmarkStart w:id="1897" w:name="bookmark1897"/>
      <w:r>
        <w:rPr>
          <w:rFonts w:ascii="Times New Roman" w:eastAsia="Times New Roman" w:hAnsi="Times New Roman" w:cs="Times New Roman"/>
          <w:color w:val="000000"/>
          <w:spacing w:val="0"/>
          <w:w w:val="100"/>
          <w:position w:val="0"/>
        </w:rPr>
        <w:t>5</w:t>
      </w:r>
      <w:bookmarkEnd w:id="1897"/>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6</w:t>
      </w:r>
      <w:bookmarkEnd w:id="190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98"/>
      <w:bookmarkEnd w:id="1899"/>
      <w:bookmarkEnd w:id="19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6,600,349,794.63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5,266,163,009.07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4,189,313,754.72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3,470,324,887.49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1,978,515.32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2,180,159.12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3,320,073.01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4,168,867.08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6,602,328,309.95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5,268,343,168.19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4,192,633,827.73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3,474,493,754.57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79" w:line="1" w:lineRule="exact"/>
      </w:pP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对于产品销售类业务，本公司在客户取得相关商品的控制权时完成履约义务；对于通信技术服务类业务，区分通信网络 建设服务与通信网络维护与优化服务，本公司提供的通信网络建设服务依据业经客户或第三方监理确认的工作量确认单确认 已完成的履约义务，本公司提供的通信网络维护与优化服务依据业经客户确认的代维费用结算单金额或按合同约定分期确认 已完成的履约义务。本公司的合同价款不存在重大融资成分。</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80" w:line="310" w:lineRule="exact"/>
        <w:ind w:left="0" w:right="0"/>
        <w:jc w:val="both"/>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9,400,930,900.00</w:t>
      </w:r>
      <w:r>
        <w:rPr>
          <w:color w:val="000000"/>
          <w:spacing w:val="0"/>
          <w:w w:val="100"/>
          <w:position w:val="0"/>
        </w:rPr>
        <w:t xml:space="preserve">元，其中， </w:t>
      </w:r>
      <w:r>
        <w:rPr>
          <w:color w:val="000000"/>
          <w:spacing w:val="0"/>
          <w:w w:val="100"/>
          <w:position w:val="0"/>
          <w:sz w:val="18"/>
          <w:szCs w:val="18"/>
        </w:rPr>
        <w:t>6,113,273,800.00</w:t>
      </w:r>
      <w:r>
        <w:rPr>
          <w:color w:val="000000"/>
          <w:spacing w:val="0"/>
          <w:w w:val="100"/>
          <w:position w:val="0"/>
        </w:rPr>
        <w:t>元预计将于</w:t>
      </w:r>
      <w:r>
        <w:rPr>
          <w:color w:val="000000"/>
          <w:spacing w:val="0"/>
          <w:w w:val="100"/>
          <w:position w:val="0"/>
          <w:sz w:val="18"/>
          <w:szCs w:val="18"/>
        </w:rPr>
        <w:t>2022</w:t>
      </w:r>
      <w:r>
        <w:rPr>
          <w:color w:val="000000"/>
          <w:spacing w:val="0"/>
          <w:w w:val="100"/>
          <w:position w:val="0"/>
        </w:rPr>
        <w:t>年度确认收入，</w:t>
      </w:r>
      <w:r>
        <w:rPr>
          <w:color w:val="000000"/>
          <w:spacing w:val="0"/>
          <w:w w:val="100"/>
          <w:position w:val="0"/>
          <w:sz w:val="18"/>
          <w:szCs w:val="18"/>
        </w:rPr>
        <w:t xml:space="preserve">2, </w:t>
      </w:r>
      <w:r>
        <w:rPr>
          <w:color w:val="000000"/>
          <w:spacing w:val="0"/>
          <w:w w:val="100"/>
          <w:position w:val="0"/>
          <w:sz w:val="18"/>
          <w:szCs w:val="18"/>
        </w:rPr>
        <w:t xml:space="preserve">333,323,800. </w:t>
      </w:r>
      <w:r>
        <w:rPr>
          <w:color w:val="000000"/>
          <w:spacing w:val="0"/>
          <w:w w:val="100"/>
          <w:position w:val="0"/>
          <w:sz w:val="18"/>
          <w:szCs w:val="18"/>
        </w:rPr>
        <w:t>00</w:t>
      </w:r>
      <w:r>
        <w:rPr>
          <w:color w:val="000000"/>
          <w:spacing w:val="0"/>
          <w:w w:val="100"/>
          <w:position w:val="0"/>
        </w:rPr>
        <w:t>元预计将于</w:t>
      </w:r>
      <w:r>
        <w:rPr>
          <w:color w:val="000000"/>
          <w:spacing w:val="0"/>
          <w:w w:val="100"/>
          <w:position w:val="0"/>
          <w:sz w:val="18"/>
          <w:szCs w:val="18"/>
        </w:rPr>
        <w:t>2023</w:t>
      </w:r>
      <w:r>
        <w:rPr>
          <w:color w:val="000000"/>
          <w:spacing w:val="0"/>
          <w:w w:val="100"/>
          <w:position w:val="0"/>
        </w:rPr>
        <w:t>年度确认收入，</w:t>
      </w:r>
      <w:r>
        <w:rPr>
          <w:color w:val="000000"/>
          <w:spacing w:val="0"/>
          <w:w w:val="100"/>
          <w:position w:val="0"/>
          <w:sz w:val="18"/>
          <w:szCs w:val="18"/>
        </w:rPr>
        <w:t xml:space="preserve">954, 333, </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元 预计将于</w:t>
      </w:r>
      <w:r>
        <w:rPr>
          <w:color w:val="000000"/>
          <w:spacing w:val="0"/>
          <w:w w:val="100"/>
          <w:position w:val="0"/>
          <w:sz w:val="18"/>
          <w:szCs w:val="18"/>
        </w:rPr>
        <w:t>2024</w:t>
      </w:r>
      <w:r>
        <w:rPr>
          <w:color w:val="000000"/>
          <w:spacing w:val="0"/>
          <w:w w:val="100"/>
          <w:position w:val="0"/>
        </w:rPr>
        <w:t>年度确认收入。</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6</w:t>
      </w:r>
      <w:bookmarkEnd w:id="190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902"/>
      <w:bookmarkEnd w:id="1903"/>
      <w:bookmarkEnd w:id="19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9,183,682.17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5,089,562.67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3,997,558.93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2,212,944.69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1,365,512.72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955,196.27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3,014,774.01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2,636,277.88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1,477,445.26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1,864,764.44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2,271,722.27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22,062,570.15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12,006,871.16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6</w:t>
      </w:r>
      <w:bookmarkEnd w:id="190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906"/>
      <w:bookmarkEnd w:id="1907"/>
      <w:bookmarkEnd w:id="19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120,446,002.88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63,918,901.29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34,832,341.97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8,815,398.67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28,759,006.63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22,656,225.88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28,754,524.60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14,866,915.46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22,237,653.55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25,586,820.86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14,786,362.42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13,579,190.02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1,884,541.01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3,236,482.25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1,831,161.56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4,115,553.25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1,335,644.26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842,562.72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易耗品摊销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1,290,053.84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872,035.61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717,119.44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25,252.29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263,953.99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103,053.85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306,763.03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132,218.32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261,560,682.43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154,635,057.22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18"/>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注：本期销售费用较上期增加</w:t>
      </w:r>
      <w:r>
        <w:rPr>
          <w:color w:val="000000"/>
          <w:spacing w:val="0"/>
          <w:w w:val="100"/>
          <w:position w:val="0"/>
          <w:sz w:val="18"/>
          <w:szCs w:val="18"/>
        </w:rPr>
        <w:t>69.15%</w:t>
      </w:r>
      <w:r>
        <w:rPr>
          <w:color w:val="000000"/>
          <w:spacing w:val="0"/>
          <w:w w:val="100"/>
          <w:position w:val="0"/>
        </w:rPr>
        <w:t>，主要系本期业务拓展、员工人数增加所致。</w:t>
      </w:r>
    </w:p>
    <w:p>
      <w:pPr>
        <w:pStyle w:val="Style29"/>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6</w:t>
      </w:r>
      <w:bookmarkEnd w:id="191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910"/>
      <w:bookmarkEnd w:id="1911"/>
      <w:bookmarkEnd w:id="19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114,154,139.53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58,462,585.85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31,359,108.23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27,724,082.96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15,970,132.19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17,826,443.95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15,915,325.31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9,011,013.77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13,090,233.09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6,809,742.63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9,101,447.05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14,335,126.37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8,082,432.91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4,466,896.05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7,607,415.44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6,223,407.19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1,399,967.73</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4,202,821.89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2,156,735.01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3,809,486.91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1,892,860.70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4,681,669.50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易耗品摊销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1,293,875.56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335,343.48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825,320.06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1,131,696.38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156,171.64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157,349.56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124,258.44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104,832.61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580,896.05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98,730.24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234,389,332.19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148,702,216.09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18"/>
        <w:keepNext w:val="0"/>
        <w:keepLines w:val="0"/>
        <w:widowControl w:val="0"/>
        <w:shd w:val="clear" w:color="auto" w:fill="auto"/>
        <w:bidi w:val="0"/>
        <w:spacing w:before="0" w:after="360" w:line="240" w:lineRule="auto"/>
        <w:ind w:left="0" w:right="0"/>
        <w:jc w:val="left"/>
      </w:pPr>
      <w:r>
        <w:rPr>
          <w:color w:val="000000"/>
          <w:spacing w:val="0"/>
          <w:w w:val="100"/>
          <w:position w:val="0"/>
        </w:rPr>
        <w:t>注：本期管理费用较上期增加</w:t>
      </w:r>
      <w:r>
        <w:rPr>
          <w:color w:val="000000"/>
          <w:spacing w:val="0"/>
          <w:w w:val="100"/>
          <w:position w:val="0"/>
          <w:sz w:val="18"/>
          <w:szCs w:val="18"/>
        </w:rPr>
        <w:t>57.62%</w:t>
      </w:r>
      <w:r>
        <w:rPr>
          <w:color w:val="000000"/>
          <w:spacing w:val="0"/>
          <w:w w:val="100"/>
          <w:position w:val="0"/>
        </w:rPr>
        <w:t>，主要系本期业务拓展、员工人数增加所致。</w:t>
      </w:r>
    </w:p>
    <w:p>
      <w:pPr>
        <w:pStyle w:val="Style29"/>
        <w:keepNext/>
        <w:keepLines/>
        <w:widowControl w:val="0"/>
        <w:shd w:val="clear" w:color="auto" w:fill="auto"/>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6</w:t>
      </w:r>
      <w:bookmarkEnd w:id="191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914"/>
      <w:bookmarkEnd w:id="1915"/>
      <w:bookmarkEnd w:id="19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187,343,863.24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102,612,617.54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34,336,896.71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7,699,778.98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17,434,921.65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11,411,906.55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11,168,574.62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19,354,740.89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办公水电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10,390,744.11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6,513,042.30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7,191,357.85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3,647,148.77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2,936,595.98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4,145,755.23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2,709,855.38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9,471,461.86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650,217.55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易耗品摊销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647,201.14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170,404.20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483,992.69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159,249.41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331,153.82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193,243.62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365,813.07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17,178.22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275,991,187.81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165,396,527.57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注：本期研发费用较上期增加</w:t>
      </w:r>
      <w:r>
        <w:rPr>
          <w:rFonts w:ascii="Times New Roman" w:eastAsia="Times New Roman" w:hAnsi="Times New Roman" w:cs="Times New Roman"/>
          <w:color w:val="000000"/>
          <w:spacing w:val="0"/>
          <w:w w:val="100"/>
          <w:position w:val="0"/>
        </w:rPr>
        <w:t>66.87%</w:t>
      </w:r>
      <w:r>
        <w:rPr>
          <w:color w:val="000000"/>
          <w:spacing w:val="0"/>
          <w:w w:val="100"/>
          <w:position w:val="0"/>
        </w:rPr>
        <w:t>，主要系研发项目增加，研发投入较多所致。</w:t>
      </w:r>
    </w:p>
    <w:p>
      <w:pPr>
        <w:pStyle w:val="Style29"/>
        <w:keepNext/>
        <w:keepLines/>
        <w:widowControl w:val="0"/>
        <w:shd w:val="clear" w:color="auto" w:fill="auto"/>
        <w:bidi w:val="0"/>
        <w:spacing w:before="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6</w:t>
      </w:r>
      <w:bookmarkEnd w:id="192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918"/>
      <w:bookmarkEnd w:id="1919"/>
      <w:bookmarkEnd w:id="1921"/>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77,177,725.82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5,543,832.64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其中：租赁负债利息支出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3,787,913.48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-66,155,393.86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-44,899,036.36</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11,022,331.96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-39,355,203.72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273,836.34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231,711.48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-105,176.38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168,659.96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229,691.84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6,023,284.66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2,715,416.46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44,016.59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17,258,293.17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-36,410,095.42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6</w:t>
      </w:r>
      <w:bookmarkEnd w:id="192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922"/>
      <w:bookmarkEnd w:id="1923"/>
      <w:bookmarkEnd w:id="19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19,422,600.92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19,168,926.04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其中：直接计入当期损益的政府补助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19,422,600.92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19,168,926.04</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exact"/>
              <w:ind w:left="0" w:right="0" w:firstLine="0"/>
              <w:jc w:val="left"/>
            </w:pPr>
            <w:r>
              <w:rPr>
                <w:color w:val="000000"/>
                <w:spacing w:val="0"/>
                <w:w w:val="100"/>
                <w:position w:val="0"/>
              </w:rPr>
              <w:t>二、其他与日常活动相关且计入其他收 益的项目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2,773,434.69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373,248.79</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1,302,709.39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269,768.67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1,470,725.30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103,480.12</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22,196,035.61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19,542,174.83</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6</w:t>
      </w:r>
      <w:bookmarkEnd w:id="192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926"/>
      <w:bookmarkEnd w:id="1927"/>
      <w:bookmarkEnd w:id="19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1,612,758.23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-38,400.77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-388,065.27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2,159,429.01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6,963,234.69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438,156.23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148,925.67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-227,989.80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3,397,958.00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6,457,704.52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6</w:t>
      </w:r>
      <w:bookmarkEnd w:id="193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930"/>
      <w:bookmarkEnd w:id="1931"/>
      <w:bookmarkEnd w:id="193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7</w:t>
      </w:r>
      <w:bookmarkEnd w:id="193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934"/>
      <w:bookmarkEnd w:id="1935"/>
      <w:bookmarkEnd w:id="19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2,883,309.61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-1,191,840.54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2,883,309.61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-1,191,840.54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7</w:t>
      </w:r>
      <w:bookmarkEnd w:id="194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938"/>
      <w:bookmarkEnd w:id="1939"/>
      <w:bookmarkEnd w:id="19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1,369,585.47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-9,154,815.00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-229,668.12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-357,552.98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-135,968,458.68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-20,389,788.67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-134,828,541.33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-29,902,156.65</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7</w:t>
      </w:r>
      <w:bookmarkEnd w:id="194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942"/>
      <w:bookmarkEnd w:id="1943"/>
      <w:bookmarkEnd w:id="19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-13,255,344.88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-3,107,751.38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12,126,544.97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1,018,195.48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-1,011,836.25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-2,140,636.16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-2,089,555.90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7</w:t>
      </w:r>
      <w:bookmarkEnd w:id="194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946"/>
      <w:bookmarkEnd w:id="1947"/>
      <w:bookmarkEnd w:id="19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处置未划分为持有待售的固定资产、在 建工程、生产性生物资产及无形资产的 处置利得或损失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-16,954.66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-94,825.31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-16,954.66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-94,825.31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-16,954.66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-16,954.66</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7</w:t>
      </w:r>
      <w:bookmarkEnd w:id="195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950"/>
      <w:bookmarkEnd w:id="1951"/>
      <w:bookmarkEnd w:id="19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2,881,400.00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2,162,020.00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2,881,400.00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罚款违约金等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289,168.26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289,168.26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170,909.25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361,238.71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170,909.25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908,200.30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908,200.30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4,249,677.81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2,523,758.71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4,249,677.81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服务外包发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以工代训补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高新技术企 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年规模 以上其他营 利性服务业 企业奖励资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资质认证项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经营困难补 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失业动态检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人社补贴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7</w:t>
      </w:r>
      <w:bookmarkEnd w:id="195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954"/>
      <w:bookmarkEnd w:id="1955"/>
      <w:bookmarkEnd w:id="19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1,210,190.39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435,397.97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1,210,190.39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3,274,367.00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5,262,493.78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3,274,367.00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罚款及赔偿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873,773.88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3,031,010.05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873,773.88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1,104,485.20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384,480.05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1,104,485.20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6,462,816.47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9,113,381.85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6,462,816.47</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7</w:t>
      </w:r>
      <w:bookmarkEnd w:id="196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958"/>
      <w:bookmarkEnd w:id="1959"/>
      <w:bookmarkEnd w:id="1961"/>
    </w:p>
    <w:p>
      <w:pPr>
        <w:pStyle w:val="Style40"/>
        <w:keepNext/>
        <w:keepLines/>
        <w:widowControl w:val="0"/>
        <w:shd w:val="clear" w:color="auto" w:fill="auto"/>
        <w:bidi w:val="0"/>
        <w:spacing w:before="0" w:after="340" w:line="240" w:lineRule="auto"/>
        <w:ind w:left="0" w:right="0" w:firstLine="0"/>
        <w:jc w:val="left"/>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962"/>
      <w:bookmarkEnd w:id="1963"/>
      <w:bookmarkEnd w:id="19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72,921,134.68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38,650,635.30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-7,115,749.50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-9,160,287.20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65,805,385.18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29,490,348.10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965" w:name="bookmark1965"/>
      <w:bookmarkStart w:id="1966" w:name="bookmark1966"/>
      <w:bookmarkStart w:id="1967" w:name="bookmark19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965"/>
      <w:bookmarkEnd w:id="1966"/>
      <w:bookmarkEnd w:id="19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412,001,108.42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61,800,166.26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2,972,211.71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-6,781,762.73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5,013,978.31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2,131.87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00" w:right="0" w:firstLine="0"/>
              <w:jc w:val="left"/>
            </w:pPr>
            <w:r>
              <w:rPr>
                <w:rFonts w:ascii="Times New Roman" w:eastAsia="Times New Roman" w:hAnsi="Times New Roman" w:cs="Times New Roman"/>
                <w:color w:val="000000"/>
                <w:spacing w:val="0"/>
                <w:w w:val="100"/>
                <w:position w:val="0"/>
              </w:rPr>
              <w:t>2,722,343.09</w:t>
            </w:r>
          </w:p>
        </w:tc>
      </w:tr>
    </w:tbl>
    <w:p>
      <w:pPr>
        <w:spacing w:lineRule="exact" w:line="1"/>
        <w:rPr>
          <w:sz w:val="2"/>
          <w:szCs w:val="2"/>
        </w:rPr>
      </w:pPr>
      <w:r>
        <w:br w:type="page"/>
      </w:r>
    </w:p>
    <w:tbl>
      <w:tblPr>
        <w:tblOverlap w:val="never"/>
        <w:jc w:val="center"/>
        <w:tblLayout w:type="fixed"/>
      </w:tblPr>
      <w:tblGrid>
        <w:gridCol w:w="4786"/>
        <w:gridCol w:w="4800"/>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税率调整导致期初递延所得税资产余额的变化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76,316.67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65,805,385.18</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7</w:t>
      </w:r>
      <w:bookmarkEnd w:id="197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68"/>
      <w:bookmarkEnd w:id="1969"/>
      <w:bookmarkEnd w:id="197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29"/>
        <w:keepNext/>
        <w:keepLines/>
        <w:widowControl w:val="0"/>
        <w:shd w:val="clear" w:color="auto" w:fill="auto"/>
        <w:tabs>
          <w:tab w:pos="478" w:val="left"/>
        </w:tabs>
        <w:bidi w:val="0"/>
        <w:spacing w:before="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7</w:t>
      </w:r>
      <w:bookmarkEnd w:id="197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972"/>
      <w:bookmarkEnd w:id="1973"/>
      <w:bookmarkEnd w:id="1975"/>
    </w:p>
    <w:p>
      <w:pPr>
        <w:pStyle w:val="Style40"/>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976"/>
      <w:bookmarkEnd w:id="1977"/>
      <w:bookmarkEnd w:id="19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125,246,117.39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87,529,145.73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92,535,197.61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79,470,854.39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13,755,225.45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67,960,288.05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汇票保证金、保函保证金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65,398,840.92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20,953,412.51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24,918,400.92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20,830,946.04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11,481,978.27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17,111,791.88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1,256,845.91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3,085,310.31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2,497,766.96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687,009.51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337,090,373.43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297,628,758.42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979" w:name="bookmark1979"/>
      <w:bookmarkStart w:id="1980" w:name="bookmark1980"/>
      <w:bookmarkStart w:id="1981" w:name="bookmark19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979"/>
      <w:bookmarkEnd w:id="1980"/>
      <w:bookmarkEnd w:id="19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办公费、差旅费等支出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316,127,555.59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219,248,386.05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158,344,866.42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150,443,158.32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104,619,809.83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97,757,194.71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90,466,631.28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38,557,810.15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91,118,792.63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6,834,711.25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2,443,107.92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5,228,107.36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8,631,076.54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农民工保证金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943,464.28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466,400.19</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774,236,868.08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516,994,204.44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982"/>
      <w:bookmarkEnd w:id="1983"/>
      <w:bookmarkEnd w:id="19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986"/>
      <w:bookmarkEnd w:id="1987"/>
      <w:bookmarkEnd w:id="19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990"/>
      <w:bookmarkEnd w:id="1991"/>
      <w:bookmarkEnd w:id="19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募集资金理财收益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14,123,292.16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未终止确认的应收票据贴现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5,982,946.36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4,259,438.91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2,883,662.29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20,106,238.52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7,143,101.20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994"/>
      <w:bookmarkEnd w:id="1995"/>
      <w:bookmarkEnd w:id="19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26,797,607.58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2,054,598.84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1,613,415.62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1,620,923.60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发行股份、债券相关费用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1,372,297.16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1,863,500.00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31,845,427.18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3,476,915.62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9"/>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7</w:t>
      </w:r>
      <w:bookmarkEnd w:id="200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98"/>
      <w:bookmarkEnd w:id="1999"/>
      <w:bookmarkEnd w:id="2001"/>
    </w:p>
    <w:p>
      <w:pPr>
        <w:pStyle w:val="Style40"/>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002"/>
      <w:bookmarkEnd w:id="2003"/>
      <w:bookmarkEnd w:id="20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346,195,723.24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230,451,026.25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2,140,636.16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2,089,555.90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134,828,541.33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29,902,156.65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24,543,871.52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27,135,168.95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19,130,962.84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6,148,264.88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2,416,563.94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2,569,574.31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1,192,417.46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94,825.31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301,990.09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434,897.97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-2,883,309.61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1,191,840.54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45,795,959.82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5,475,424.92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-3,397,958.00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-6,685,694.32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-14,372,353.65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-8,719,799.50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186,652.64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-358,949.61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-228,817,392.45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-104,291,367.27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-1,805,185,327.59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-178,466,602.03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1,670,466,728.79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282,134,790.40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187,330,579.37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47,661,082.39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385,000,098.35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331,657,337.95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2,201,519,505.64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1,893,823,765.22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1,893,823,765.22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1,039,689,130.99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307,695,740.42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854,134,634.23</w:t>
            </w: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005"/>
      <w:bookmarkEnd w:id="2006"/>
      <w:bookmarkEnd w:id="20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549,439.49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12,750,000.00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16,600,560.51</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2008"/>
      <w:bookmarkEnd w:id="2009"/>
      <w:bookmarkEnd w:id="20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2012"/>
      <w:bookmarkEnd w:id="2013"/>
      <w:bookmarkEnd w:id="20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2,201,519,505.64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1,893,823,765.22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78,608.36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194,655.86</w:t>
            </w: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2,197,419,479.35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1,893,004,596.26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4,021,417.93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624,513.10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2,201,519,505.64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1,893,823,765.22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8</w:t>
      </w:r>
      <w:bookmarkEnd w:id="201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2016"/>
      <w:bookmarkEnd w:id="2017"/>
      <w:bookmarkEnd w:id="201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9"/>
        <w:keepNext/>
        <w:keepLines/>
        <w:widowControl w:val="0"/>
        <w:shd w:val="clear" w:color="auto" w:fill="auto"/>
        <w:tabs>
          <w:tab w:pos="483" w:val="left"/>
        </w:tabs>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8</w:t>
      </w:r>
      <w:bookmarkEnd w:id="202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2020"/>
      <w:bookmarkEnd w:id="2021"/>
      <w:bookmarkEnd w:id="20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259,158,493.03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保函保证金等</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245,383,927.70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大额存单质押开立承兑汇票</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1,046,410,169.91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大额存单质押开立承兑汇票</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1,550,952,590.64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8</w:t>
      </w:r>
      <w:bookmarkEnd w:id="202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2024"/>
      <w:bookmarkEnd w:id="2025"/>
      <w:bookmarkEnd w:id="2027"/>
    </w:p>
    <w:p>
      <w:pPr>
        <w:pStyle w:val="Style40"/>
        <w:keepNext/>
        <w:keepLines/>
        <w:widowControl w:val="0"/>
        <w:shd w:val="clear" w:color="auto" w:fill="auto"/>
        <w:bidi w:val="0"/>
        <w:spacing w:before="0" w:line="240" w:lineRule="auto"/>
        <w:ind w:left="0" w:right="0" w:firstLine="0"/>
        <w:jc w:val="left"/>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028"/>
      <w:bookmarkEnd w:id="2029"/>
      <w:bookmarkEnd w:id="20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789,874.42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5,036,002.34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284,091.25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2,051,053.60</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382,326.93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312,590.50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157,574.92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11,868.46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2,197,968,526.61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982,491.93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2,421,739,021.65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1,082,517.34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1,486,659.14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2,744.06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32,873,014.37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14,694.24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其中：印尼盾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1,645,295,188.24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735,446.95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67,069.81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54,836.28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18,882.78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5,702.61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41,171.13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2,023.60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印尼盾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456,661,827.81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204,127.84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331" w:lineRule="exact"/>
        <w:ind w:left="0" w:right="0" w:firstLine="0"/>
        <w:jc w:val="left"/>
      </w:pPr>
      <w:bookmarkStart w:id="2031" w:name="bookmark2031"/>
      <w:bookmarkStart w:id="2032" w:name="bookmark2032"/>
      <w:bookmarkStart w:id="2033" w:name="bookmark20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031"/>
      <w:bookmarkEnd w:id="2032"/>
      <w:bookmarkEnd w:id="2033"/>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331" w:lineRule="exact"/>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8</w:t>
      </w:r>
      <w:bookmarkEnd w:id="203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2034"/>
      <w:bookmarkEnd w:id="2035"/>
      <w:bookmarkEnd w:id="2037"/>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after="280" w:line="331" w:lineRule="exact"/>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8</w:t>
      </w:r>
      <w:bookmarkEnd w:id="204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038"/>
      <w:bookmarkEnd w:id="2039"/>
      <w:bookmarkEnd w:id="2041"/>
    </w:p>
    <w:p>
      <w:pPr>
        <w:pStyle w:val="Style40"/>
        <w:keepNext/>
        <w:keepLines/>
        <w:widowControl w:val="0"/>
        <w:shd w:val="clear" w:color="auto" w:fill="auto"/>
        <w:bidi w:val="0"/>
        <w:spacing w:before="0" w:line="331" w:lineRule="exact"/>
        <w:ind w:left="0" w:right="0" w:firstLine="0"/>
        <w:jc w:val="left"/>
      </w:pPr>
      <w:bookmarkStart w:id="2042" w:name="bookmark2042"/>
      <w:bookmarkStart w:id="2043" w:name="bookmark2043"/>
      <w:bookmarkStart w:id="2044" w:name="bookmark2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042"/>
      <w:bookmarkEnd w:id="2043"/>
      <w:bookmarkEnd w:id="20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第三产业人才奖励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68,032.17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68,032.17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年度广西科学技术奖励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技能提升补贴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创业带动就业补贴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50,840.54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50,840.54</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单位所在区限上企业奖励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48,000.00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吸纳应届生补贴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38,695.72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38,695.72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22,348.07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22,348.07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18,609.36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18,609.36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知识产权贯标、发明专利奖励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11,440.00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党建工作经费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知识产权专项资金计划拨付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基于边缘计算的</w:t>
            </w:r>
            <w:r>
              <w:rPr>
                <w:rFonts w:ascii="Times New Roman" w:eastAsia="Times New Roman" w:hAnsi="Times New Roman" w:cs="Times New Roman"/>
                <w:color w:val="000000"/>
                <w:spacing w:val="0"/>
                <w:w w:val="100"/>
                <w:position w:val="0"/>
              </w:rPr>
              <w:t>T-MES</w:t>
            </w:r>
            <w:r>
              <w:rPr>
                <w:color w:val="000000"/>
                <w:spacing w:val="0"/>
                <w:w w:val="100"/>
                <w:position w:val="0"/>
              </w:rPr>
              <w:t>工业 物联网平台研发及应用示范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2045" w:name="bookmark2045"/>
      <w:bookmarkStart w:id="2046" w:name="bookmark2046"/>
      <w:bookmarkStart w:id="2047" w:name="bookmark20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045"/>
      <w:bookmarkEnd w:id="2046"/>
      <w:bookmarkEnd w:id="204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8</w:t>
      </w:r>
      <w:bookmarkEnd w:id="2050"/>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048"/>
      <w:bookmarkEnd w:id="2049"/>
      <w:bookmarkEnd w:id="2051"/>
    </w:p>
    <w:p>
      <w:pPr>
        <w:pStyle w:val="Style23"/>
        <w:keepNext/>
        <w:keepLines/>
        <w:widowControl w:val="0"/>
        <w:shd w:val="clear" w:color="auto" w:fill="auto"/>
        <w:bidi w:val="0"/>
        <w:spacing w:before="0" w:after="340" w:line="240" w:lineRule="auto"/>
        <w:ind w:left="0" w:right="0" w:firstLine="0"/>
        <w:jc w:val="both"/>
      </w:pPr>
      <w:bookmarkStart w:id="2052" w:name="bookmark2052"/>
      <w:bookmarkStart w:id="2053" w:name="bookmark2053"/>
      <w:bookmarkStart w:id="2054" w:name="bookmark2054"/>
      <w:bookmarkStart w:id="2055" w:name="bookmark2055"/>
      <w:r>
        <w:rPr>
          <w:color w:val="000000"/>
          <w:spacing w:val="0"/>
          <w:w w:val="100"/>
          <w:position w:val="0"/>
          <w:sz w:val="24"/>
          <w:szCs w:val="24"/>
        </w:rPr>
        <w:t>八</w:t>
      </w:r>
      <w:bookmarkEnd w:id="2054"/>
      <w:r>
        <w:rPr>
          <w:color w:val="000000"/>
          <w:spacing w:val="0"/>
          <w:w w:val="100"/>
          <w:position w:val="0"/>
          <w:sz w:val="24"/>
          <w:szCs w:val="24"/>
        </w:rPr>
        <w:t>、合并范围的变更</w:t>
      </w:r>
      <w:bookmarkEnd w:id="2052"/>
      <w:bookmarkEnd w:id="2053"/>
      <w:bookmarkEnd w:id="2055"/>
    </w:p>
    <w:p>
      <w:pPr>
        <w:pStyle w:val="Style29"/>
        <w:keepNext/>
        <w:keepLines/>
        <w:widowControl w:val="0"/>
        <w:shd w:val="clear" w:color="auto" w:fill="auto"/>
        <w:bidi w:val="0"/>
        <w:spacing w:before="0" w:after="340" w:line="240" w:lineRule="auto"/>
        <w:ind w:left="0" w:right="0" w:firstLine="0"/>
        <w:jc w:val="both"/>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1</w:t>
      </w:r>
      <w:bookmarkEnd w:id="2058"/>
      <w:r>
        <w:rPr>
          <w:color w:val="000000"/>
          <w:spacing w:val="0"/>
          <w:w w:val="100"/>
          <w:position w:val="0"/>
        </w:rPr>
        <w:t>、非同一控制下企业合并</w:t>
      </w:r>
      <w:bookmarkEnd w:id="2056"/>
      <w:bookmarkEnd w:id="2057"/>
      <w:bookmarkEnd w:id="2059"/>
    </w:p>
    <w:p>
      <w:pPr>
        <w:pStyle w:val="Style40"/>
        <w:keepNext/>
        <w:keepLines/>
        <w:widowControl w:val="0"/>
        <w:shd w:val="clear" w:color="auto" w:fill="auto"/>
        <w:bidi w:val="0"/>
        <w:spacing w:before="0" w:after="340" w:line="240" w:lineRule="auto"/>
        <w:ind w:left="0" w:right="0" w:firstLine="0"/>
        <w:jc w:val="both"/>
      </w:pPr>
      <w:bookmarkStart w:id="2060" w:name="bookmark2060"/>
      <w:bookmarkStart w:id="2061" w:name="bookmark2061"/>
      <w:bookmarkStart w:id="2062" w:name="bookmark20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060"/>
      <w:bookmarkEnd w:id="2061"/>
      <w:bookmarkEnd w:id="20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购买日的确</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0"/>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广州智海信 息科技有限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10,150,571.2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-40,659.90</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深圳广润建</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设发展有限</w:t>
            </w:r>
          </w:p>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both"/>
      </w:pPr>
      <w:bookmarkStart w:id="2063" w:name="bookmark2063"/>
      <w:bookmarkStart w:id="2064" w:name="bookmark2064"/>
      <w:bookmarkStart w:id="2065" w:name="bookmark20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063"/>
      <w:bookmarkEnd w:id="2064"/>
      <w:bookmarkEnd w:id="20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广州智海</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广润建设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665,455.23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-339,707.03</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4,434,544.77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439,707.03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widowControl w:val="0"/>
        <w:spacing w:after="99" w:line="1" w:lineRule="exact"/>
      </w:pPr>
    </w:p>
    <w:p>
      <w:pPr>
        <w:pStyle w:val="Style20"/>
        <w:keepNext w:val="0"/>
        <w:keepLines w:val="0"/>
        <w:widowControl w:val="0"/>
        <w:shd w:val="clear" w:color="auto" w:fill="auto"/>
        <w:bidi w:val="0"/>
        <w:spacing w:before="0" w:after="100" w:line="240" w:lineRule="auto"/>
        <w:ind w:left="0" w:right="0" w:firstLine="0"/>
        <w:jc w:val="left"/>
        <w:rPr>
          <w:sz w:val="24"/>
          <w:szCs w:val="24"/>
        </w:rPr>
      </w:pPr>
      <w:r>
        <w:rPr>
          <w:color w:val="000000"/>
          <w:spacing w:val="0"/>
          <w:w w:val="100"/>
          <w:position w:val="0"/>
          <w:sz w:val="24"/>
          <w:szCs w:val="24"/>
        </w:rPr>
        <w:t>合并成本公允价值的确定方法：依据收益法评估价值。</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w:t>
      </w:r>
      <w:bookmarkEnd w:id="206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2066"/>
      <w:bookmarkEnd w:id="2067"/>
      <w:bookmarkEnd w:id="20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广州智海信息科技有限公司</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深圳广润建设发展有限公司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41,710,124.37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41,710,124.37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5,833,651.20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5,833,651.20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566,939.49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5,892,895.89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5,892,895.89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21,625,039.99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21,625,039.99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668,418.74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668,418.74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4,325,959.34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4,325,959.34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2,064,999.43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2,064,999.43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5,833,651.20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5,833,651.20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6,448,933.91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6,448,933.91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116,937.58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116,937.58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40,405,310.20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40,405,310.20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5,714,565.89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5,714,565.89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353,386.11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353,386.11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19,381,194.34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19,381,194.34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150,079.85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150,079.85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12,929,065.37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12,929,065.37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2,146,856.33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2,146,856.33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5,008,022.35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5,008,022.35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1,138,334.95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1,138,334.95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1,304,814.17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1,304,814.17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-666,092.21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-666,092.21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639,358.94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639,358.94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-326,385.18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-326,385.18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665,455.23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665,455.23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-339,707.03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-339,707.03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59" w:line="1" w:lineRule="exact"/>
      </w:pP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广州智海于购买日的可辨认资产和负债的公允价值根据中水致远资产评估有限公司对广州智海出具的“中水致远评报 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020663</w:t>
      </w:r>
      <w:r>
        <w:rPr>
          <w:color w:val="000000"/>
          <w:spacing w:val="0"/>
          <w:w w:val="100"/>
          <w:position w:val="0"/>
        </w:rPr>
        <w:t>号”评估报告，以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日为基准日股东全部权益的评估结果作为基础，将可辨认资产和负债持续 计算至购买日而确定。</w:t>
      </w:r>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280" w:line="240" w:lineRule="auto"/>
        <w:ind w:left="0" w:right="0" w:firstLine="0"/>
        <w:jc w:val="left"/>
      </w:pPr>
      <w:bookmarkStart w:id="2070" w:name="bookmark2070"/>
      <w:bookmarkStart w:id="2071" w:name="bookmark2071"/>
      <w:bookmarkStart w:id="2072" w:name="bookmark2072"/>
      <w:bookmarkStart w:id="2073" w:name="bookmark2073"/>
      <w:r>
        <w:rPr>
          <w:color w:val="000000"/>
          <w:spacing w:val="0"/>
          <w:w w:val="100"/>
          <w:position w:val="0"/>
        </w:rPr>
        <w:t>（</w:t>
      </w:r>
      <w:bookmarkEnd w:id="207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2070"/>
      <w:bookmarkEnd w:id="2071"/>
      <w:bookmarkEnd w:id="2073"/>
    </w:p>
    <w:p>
      <w:pPr>
        <w:pStyle w:val="Style18"/>
        <w:keepNext w:val="0"/>
        <w:keepLines w:val="0"/>
        <w:widowControl w:val="0"/>
        <w:shd w:val="clear" w:color="auto" w:fill="auto"/>
        <w:bidi w:val="0"/>
        <w:spacing w:before="0" w:after="60" w:line="312" w:lineRule="exact"/>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left"/>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2074"/>
      <w:bookmarkEnd w:id="2075"/>
      <w:bookmarkEnd w:id="2077"/>
    </w:p>
    <w:p>
      <w:pPr>
        <w:pStyle w:val="Style40"/>
        <w:keepNext/>
        <w:keepLines/>
        <w:widowControl w:val="0"/>
        <w:shd w:val="clear" w:color="auto" w:fill="auto"/>
        <w:tabs>
          <w:tab w:pos="493" w:val="left"/>
        </w:tabs>
        <w:bidi w:val="0"/>
        <w:spacing w:before="0" w:line="240" w:lineRule="auto"/>
        <w:ind w:left="0" w:right="0" w:firstLine="0"/>
        <w:jc w:val="left"/>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078"/>
      <w:bookmarkEnd w:id="2079"/>
      <w:bookmarkEnd w:id="2081"/>
    </w:p>
    <w:p>
      <w:pPr>
        <w:pStyle w:val="Style29"/>
        <w:keepNext/>
        <w:keepLines/>
        <w:widowControl w:val="0"/>
        <w:shd w:val="clear" w:color="auto" w:fill="auto"/>
        <w:bidi w:val="0"/>
        <w:spacing w:before="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bookmarkEnd w:id="2084"/>
      <w:r>
        <w:rPr>
          <w:color w:val="000000"/>
          <w:spacing w:val="0"/>
          <w:w w:val="100"/>
          <w:position w:val="0"/>
        </w:rPr>
        <w:t>、同一控制下企业合并</w:t>
      </w:r>
      <w:bookmarkEnd w:id="2082"/>
      <w:bookmarkEnd w:id="2083"/>
      <w:bookmarkEnd w:id="2085"/>
    </w:p>
    <w:p>
      <w:pPr>
        <w:pStyle w:val="Style40"/>
        <w:keepNext/>
        <w:keepLines/>
        <w:widowControl w:val="0"/>
        <w:shd w:val="clear" w:color="auto" w:fill="auto"/>
        <w:bidi w:val="0"/>
        <w:spacing w:before="0" w:after="280" w:line="240" w:lineRule="auto"/>
        <w:ind w:left="0" w:right="0" w:firstLine="0"/>
        <w:jc w:val="left"/>
      </w:pPr>
      <w:bookmarkStart w:id="2086" w:name="bookmark2086"/>
      <w:bookmarkStart w:id="2087" w:name="bookmark2087"/>
      <w:bookmarkStart w:id="2088" w:name="bookmark20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2086"/>
      <w:bookmarkEnd w:id="2087"/>
      <w:bookmarkEnd w:id="2088"/>
    </w:p>
    <w:p>
      <w:pPr>
        <w:pStyle w:val="Style18"/>
        <w:keepNext w:val="0"/>
        <w:keepLines w:val="0"/>
        <w:widowControl w:val="0"/>
        <w:shd w:val="clear" w:color="auto" w:fill="auto"/>
        <w:bidi w:val="0"/>
        <w:spacing w:before="0" w:after="60" w:line="312" w:lineRule="exact"/>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取得的权益</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both"/>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2089"/>
      <w:bookmarkEnd w:id="2090"/>
      <w:bookmarkEnd w:id="2091"/>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2092" w:name="bookmark2092"/>
      <w:bookmarkStart w:id="2093" w:name="bookmark2093"/>
      <w:bookmarkStart w:id="2094" w:name="bookmark2094"/>
      <w:bookmarkStart w:id="2095" w:name="bookmark2095"/>
      <w:r>
        <w:rPr>
          <w:color w:val="000000"/>
          <w:spacing w:val="0"/>
          <w:w w:val="100"/>
          <w:position w:val="0"/>
        </w:rPr>
        <w:t>（</w:t>
      </w:r>
      <w:bookmarkEnd w:id="209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2092"/>
      <w:bookmarkEnd w:id="2093"/>
      <w:bookmarkEnd w:id="20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反向购买</w:t>
      </w:r>
      <w:bookmarkEnd w:id="2096"/>
      <w:bookmarkEnd w:id="2097"/>
      <w:bookmarkEnd w:id="2099"/>
    </w:p>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w:t>
        <w:tab/>
        <w:t>处置子公司</w:t>
      </w:r>
      <w:bookmarkEnd w:id="2100"/>
      <w:bookmarkEnd w:id="2101"/>
      <w:bookmarkEnd w:id="210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w:t>
        <w:tab/>
        <w:t>其他原因的合并范围变动</w:t>
      </w:r>
      <w:bookmarkEnd w:id="2104"/>
      <w:bookmarkEnd w:id="2105"/>
      <w:bookmarkEnd w:id="210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0"/>
        <w:keepNext w:val="0"/>
        <w:keepLines w:val="0"/>
        <w:widowControl w:val="0"/>
        <w:shd w:val="clear" w:color="auto" w:fill="auto"/>
        <w:bidi w:val="0"/>
        <w:spacing w:before="0" w:after="640" w:line="240" w:lineRule="auto"/>
        <w:ind w:left="0" w:right="0" w:firstLine="500"/>
        <w:jc w:val="left"/>
        <w:rPr>
          <w:sz w:val="24"/>
          <w:szCs w:val="24"/>
        </w:rPr>
      </w:pPr>
      <w:r>
        <w:rPr>
          <w:color w:val="000000"/>
          <w:spacing w:val="0"/>
          <w:w w:val="100"/>
          <w:position w:val="0"/>
          <w:sz w:val="24"/>
          <w:szCs w:val="24"/>
        </w:rPr>
        <w:t>本公司本期其余合并范围的变化系新设子公司等，详见一、</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）合并财务报表及变化。</w:t>
      </w:r>
    </w:p>
    <w:p>
      <w:pPr>
        <w:pStyle w:val="Style29"/>
        <w:keepNext/>
        <w:keepLines/>
        <w:widowControl w:val="0"/>
        <w:shd w:val="clear" w:color="auto" w:fill="auto"/>
        <w:tabs>
          <w:tab w:pos="378" w:val="left"/>
        </w:tabs>
        <w:bidi w:val="0"/>
        <w:spacing w:before="0" w:after="32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6</w:t>
      </w:r>
      <w:bookmarkEnd w:id="2110"/>
      <w:r>
        <w:rPr>
          <w:color w:val="000000"/>
          <w:spacing w:val="0"/>
          <w:w w:val="100"/>
          <w:position w:val="0"/>
        </w:rPr>
        <w:t>、</w:t>
        <w:tab/>
        <w:t>其他</w:t>
      </w:r>
      <w:bookmarkEnd w:id="2108"/>
      <w:bookmarkEnd w:id="2109"/>
      <w:bookmarkEnd w:id="2111"/>
    </w:p>
    <w:p>
      <w:pPr>
        <w:pStyle w:val="Style23"/>
        <w:keepNext/>
        <w:keepLines/>
        <w:widowControl w:val="0"/>
        <w:shd w:val="clear" w:color="auto" w:fill="auto"/>
        <w:bidi w:val="0"/>
        <w:spacing w:before="0" w:line="240" w:lineRule="auto"/>
        <w:ind w:left="0" w:right="0" w:firstLine="0"/>
        <w:jc w:val="left"/>
      </w:pPr>
      <w:bookmarkStart w:id="2112" w:name="bookmark2112"/>
      <w:bookmarkStart w:id="2113" w:name="bookmark2113"/>
      <w:bookmarkStart w:id="2114" w:name="bookmark2114"/>
      <w:bookmarkStart w:id="2115" w:name="bookmark2115"/>
      <w:r>
        <w:rPr>
          <w:color w:val="000000"/>
          <w:spacing w:val="0"/>
          <w:w w:val="100"/>
          <w:position w:val="0"/>
          <w:sz w:val="24"/>
          <w:szCs w:val="24"/>
        </w:rPr>
        <w:t>九</w:t>
      </w:r>
      <w:bookmarkEnd w:id="2114"/>
      <w:r>
        <w:rPr>
          <w:color w:val="000000"/>
          <w:spacing w:val="0"/>
          <w:w w:val="100"/>
          <w:position w:val="0"/>
          <w:sz w:val="24"/>
          <w:szCs w:val="24"/>
        </w:rPr>
        <w:t>、在其他主体中的权益</w:t>
      </w:r>
      <w:bookmarkEnd w:id="2112"/>
      <w:bookmarkEnd w:id="2113"/>
      <w:bookmarkEnd w:id="2115"/>
    </w:p>
    <w:p>
      <w:pPr>
        <w:pStyle w:val="Style29"/>
        <w:keepNext/>
        <w:keepLines/>
        <w:widowControl w:val="0"/>
        <w:shd w:val="clear" w:color="auto" w:fill="auto"/>
        <w:bidi w:val="0"/>
        <w:spacing w:before="0" w:after="32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1</w:t>
      </w:r>
      <w:bookmarkEnd w:id="2118"/>
      <w:r>
        <w:rPr>
          <w:color w:val="000000"/>
          <w:spacing w:val="0"/>
          <w:w w:val="100"/>
          <w:position w:val="0"/>
        </w:rPr>
        <w:t>、在子公司中的权益</w:t>
      </w:r>
      <w:bookmarkEnd w:id="2116"/>
      <w:bookmarkEnd w:id="2117"/>
      <w:bookmarkEnd w:id="2119"/>
    </w:p>
    <w:p>
      <w:pPr>
        <w:pStyle w:val="Style40"/>
        <w:keepNext/>
        <w:keepLines/>
        <w:widowControl w:val="0"/>
        <w:shd w:val="clear" w:color="auto" w:fill="auto"/>
        <w:bidi w:val="0"/>
        <w:spacing w:before="0" w:after="320" w:line="240" w:lineRule="auto"/>
        <w:ind w:left="0" w:right="0" w:firstLine="0"/>
        <w:jc w:val="left"/>
      </w:pPr>
      <w:bookmarkStart w:id="2120" w:name="bookmark2120"/>
      <w:bookmarkStart w:id="2121" w:name="bookmark2121"/>
      <w:bookmarkStart w:id="2122" w:name="bookmark21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120"/>
      <w:bookmarkEnd w:id="2121"/>
      <w:bookmarkEnd w:id="2122"/>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广西诚本规划设 计咨询有限公司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工程监理咨询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广西润联检测技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广州卓联科技有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五象云谷有限公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建设及运营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长嘉科技有限公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通讯、电子产品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润沃科技（山东）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通讯、电子产品 生产、销售、信 息系统集成服务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广东南粤云视科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融媒体系统开发 及实施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广西信安锐达科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信息安全业务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润建（广东）有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软件开发、信息 系统集成服务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润建智慧能源有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智慧电能服务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湖南润玖科技有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智慧电能服务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广州市泺立能源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电力物联网系统 开发及实施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广州市赛皓达智 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电力物联网系统 开发及实施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广州恒泰电力工 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电力工程建设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广州鑫广源电力 设计有限公司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电力工程设计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广东鹰扬电力设 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电力设计服务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广东博深咨询有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企业管理咨询服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0" w:lineRule="exact"/>
              <w:ind w:left="0" w:right="0" w:firstLine="0"/>
              <w:jc w:val="both"/>
            </w:pPr>
            <w:r>
              <w:rPr>
                <w:color w:val="000000"/>
                <w:spacing w:val="0"/>
                <w:w w:val="100"/>
                <w:position w:val="0"/>
              </w:rPr>
              <w:t>润建国际有限公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海外通信技术服</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R&amp;JINTERNATI</w:t>
            </w:r>
          </w:p>
          <w:p>
            <w:pPr>
              <w:pStyle w:val="Style2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ONAL(SINGAP ORE)PTE.LTD.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通信网络、数据 网络、智能与信 息化工程的投 资、建设与维护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PT.RJGFINTER</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NATIONALIND</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ONESIA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通信、信息、电 力、能源专业人 员劳务外包、劳 务派遣、教育培 训服务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PT.RJIINTERNA</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TIONALINDON</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ESIA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印度尼西亚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通信网络、电力、 能源及其他专业 技术服务领域等 的投资、建设与 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RJGFPHILPPIN</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ECORP.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菲律宾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通信及信息技术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上海润建科技有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天津安可达科技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智能制造研发、</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智能装备研发制 造运营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广东润建电力科 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电力科技研发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3"/>
      </w:tblGrid>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R&amp;J</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Technologies</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智慧能源技术、</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产品的开发与销</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山东旋几工业自 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山东济南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工业物联网系统 开发、产品销售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广西旋几工业技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工业物联网系统 开发、产品销售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陕西旋几工业自 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陕西西安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工业物联网系统 开发、产品销售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广东旋几工业自 动化有限公司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广东东莞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工业物联网系统 开发、产品销售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润和世联数据科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海南禹尧数据科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海南海口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广西云数工程咨 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广州智海信息科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建设及运营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润建数智教育科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信息网络管维、 智慧校园管维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润建新能源（广 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广西润佳新能源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广西平果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广西润捷新能源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广西平果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广州润盛新能源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润建新能源有限 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广西南宁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广东润捷设计有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建筑工程设计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永福润福能源有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广西桂林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新能源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横州润曦能源有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广西横州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新能源开发、光 伏运维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广西云视数乡科 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广西南宁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IDC</w:t>
            </w:r>
            <w:r>
              <w:rPr>
                <w:color w:val="000000"/>
                <w:spacing w:val="0"/>
                <w:w w:val="100"/>
                <w:position w:val="0"/>
              </w:rPr>
              <w:t>建设及运营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设立取得</w:t>
            </w:r>
          </w:p>
        </w:tc>
      </w:tr>
    </w:tbl>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深圳广润建设发 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信息网络管维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广州研通通信工 程有限公司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通信工程施工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bl>
    <w:p>
      <w:pPr>
        <w:widowControl w:val="0"/>
        <w:spacing w:after="5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60" w:line="309" w:lineRule="exact"/>
        <w:ind w:left="0" w:right="0"/>
        <w:jc w:val="both"/>
      </w:pPr>
      <w:r>
        <w:rPr>
          <w:color w:val="000000"/>
          <w:spacing w:val="0"/>
          <w:w w:val="100"/>
          <w:position w:val="0"/>
        </w:rPr>
        <w:t>本公司直接持有润建数智教育科技有限公司（以下简称“数智教育”、“公司”）</w:t>
      </w:r>
      <w:r>
        <w:rPr>
          <w:color w:val="000000"/>
          <w:spacing w:val="0"/>
          <w:w w:val="100"/>
          <w:position w:val="0"/>
          <w:sz w:val="18"/>
          <w:szCs w:val="18"/>
        </w:rPr>
        <w:t>35%</w:t>
      </w:r>
      <w:r>
        <w:rPr>
          <w:color w:val="000000"/>
          <w:spacing w:val="0"/>
          <w:w w:val="100"/>
          <w:position w:val="0"/>
        </w:rPr>
        <w:t>的股权，根据合资协议的约定， 数智教育公司为本公司控股且合并报表之子公司，公司的执行董事、监事、经理、财务负责人均由本公司委派，认定本公司 对数智教育公司实施控制。本公司与梁姬（直接持有数智教育</w:t>
      </w:r>
      <w:r>
        <w:rPr>
          <w:color w:val="000000"/>
          <w:spacing w:val="0"/>
          <w:w w:val="100"/>
          <w:position w:val="0"/>
          <w:sz w:val="18"/>
          <w:szCs w:val="18"/>
        </w:rPr>
        <w:t>13%</w:t>
      </w:r>
      <w:r>
        <w:rPr>
          <w:color w:val="000000"/>
          <w:spacing w:val="0"/>
          <w:w w:val="100"/>
          <w:position w:val="0"/>
        </w:rPr>
        <w:t>股权）、广州瑞优企业管理合伙企业（有限合伙）（直接 持有数智教育</w:t>
      </w:r>
      <w:r>
        <w:rPr>
          <w:color w:val="000000"/>
          <w:spacing w:val="0"/>
          <w:w w:val="100"/>
          <w:position w:val="0"/>
          <w:sz w:val="18"/>
          <w:szCs w:val="18"/>
        </w:rPr>
        <w:t>2 4%</w:t>
      </w:r>
      <w:r>
        <w:rPr>
          <w:color w:val="000000"/>
          <w:spacing w:val="0"/>
          <w:w w:val="100"/>
          <w:position w:val="0"/>
        </w:rPr>
        <w:t>股权）签署一致行动人协议，一致行动人合计持有公司</w:t>
      </w:r>
      <w:r>
        <w:rPr>
          <w:color w:val="000000"/>
          <w:spacing w:val="0"/>
          <w:w w:val="100"/>
          <w:position w:val="0"/>
          <w:sz w:val="18"/>
          <w:szCs w:val="18"/>
        </w:rPr>
        <w:t>72%</w:t>
      </w:r>
      <w:r>
        <w:rPr>
          <w:color w:val="000000"/>
          <w:spacing w:val="0"/>
          <w:w w:val="100"/>
          <w:position w:val="0"/>
        </w:rPr>
        <w:t>股权。</w:t>
      </w:r>
    </w:p>
    <w:p>
      <w:pPr>
        <w:pStyle w:val="Style18"/>
        <w:keepNext w:val="0"/>
        <w:keepLines w:val="0"/>
        <w:widowControl w:val="0"/>
        <w:shd w:val="clear" w:color="auto" w:fill="auto"/>
        <w:bidi w:val="0"/>
        <w:spacing w:before="0" w:after="60" w:line="309" w:lineRule="exact"/>
        <w:ind w:left="0" w:right="0" w:firstLine="0"/>
        <w:jc w:val="left"/>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60" w:line="309" w:lineRule="exact"/>
        <w:ind w:left="0" w:right="0" w:firstLine="0"/>
        <w:jc w:val="left"/>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340" w:line="309" w:lineRule="exact"/>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left"/>
      </w:pPr>
      <w:bookmarkStart w:id="2123" w:name="bookmark2123"/>
      <w:bookmarkStart w:id="2124" w:name="bookmark2124"/>
      <w:bookmarkStart w:id="2125" w:name="bookmark21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123"/>
      <w:bookmarkEnd w:id="2124"/>
      <w:bookmarkEnd w:id="2125"/>
    </w:p>
    <w:p>
      <w:pPr>
        <w:pStyle w:val="Style18"/>
        <w:keepNext w:val="0"/>
        <w:keepLines w:val="0"/>
        <w:widowControl w:val="0"/>
        <w:shd w:val="clear" w:color="auto" w:fill="auto"/>
        <w:bidi w:val="0"/>
        <w:spacing w:before="0" w:after="60" w:line="309"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期末少数股东权益余额</w:t>
            </w:r>
          </w:p>
        </w:tc>
      </w:tr>
    </w:tbl>
    <w:p>
      <w:pPr>
        <w:widowControl w:val="0"/>
        <w:spacing w:after="5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126"/>
      <w:bookmarkEnd w:id="2127"/>
      <w:bookmarkEnd w:id="2129"/>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130"/>
      <w:bookmarkEnd w:id="2131"/>
      <w:bookmarkEnd w:id="2133"/>
    </w:p>
    <w:p>
      <w:pPr>
        <w:pStyle w:val="Style40"/>
        <w:keepNext/>
        <w:keepLines/>
        <w:widowControl w:val="0"/>
        <w:shd w:val="clear" w:color="auto" w:fill="auto"/>
        <w:tabs>
          <w:tab w:pos="493" w:val="left"/>
        </w:tabs>
        <w:bidi w:val="0"/>
        <w:spacing w:before="0" w:after="34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134"/>
      <w:bookmarkEnd w:id="2135"/>
      <w:bookmarkEnd w:id="2137"/>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40" w:line="240" w:lineRule="auto"/>
        <w:ind w:left="0" w:right="0" w:firstLine="0"/>
        <w:jc w:val="left"/>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2</w:t>
      </w:r>
      <w:bookmarkEnd w:id="2140"/>
      <w:r>
        <w:rPr>
          <w:color w:val="000000"/>
          <w:spacing w:val="0"/>
          <w:w w:val="100"/>
          <w:position w:val="0"/>
        </w:rPr>
        <w:t>、在子公司的所有者权益份额发生变化且仍控制子公司的交易</w:t>
      </w:r>
      <w:bookmarkEnd w:id="2138"/>
      <w:bookmarkEnd w:id="2139"/>
      <w:bookmarkEnd w:id="2141"/>
    </w:p>
    <w:p>
      <w:pPr>
        <w:pStyle w:val="Style40"/>
        <w:keepNext/>
        <w:keepLines/>
        <w:widowControl w:val="0"/>
        <w:shd w:val="clear" w:color="auto" w:fill="auto"/>
        <w:tabs>
          <w:tab w:pos="493" w:val="left"/>
        </w:tabs>
        <w:bidi w:val="0"/>
        <w:spacing w:before="0" w:after="340" w:line="240" w:lineRule="auto"/>
        <w:ind w:left="0" w:right="0" w:firstLine="0"/>
        <w:jc w:val="left"/>
      </w:pPr>
      <w:bookmarkStart w:id="2142" w:name="bookmark2142"/>
      <w:bookmarkStart w:id="2143" w:name="bookmark2143"/>
      <w:bookmarkStart w:id="2144" w:name="bookmark2144"/>
      <w:bookmarkStart w:id="2145" w:name="bookmark2145"/>
      <w:r>
        <w:rPr>
          <w:color w:val="000000"/>
          <w:spacing w:val="0"/>
          <w:w w:val="100"/>
          <w:position w:val="0"/>
        </w:rPr>
        <w:t>（</w:t>
      </w:r>
      <w:bookmarkEnd w:id="214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142"/>
      <w:bookmarkEnd w:id="2143"/>
      <w:bookmarkEnd w:id="2145"/>
    </w:p>
    <w:p>
      <w:pPr>
        <w:pStyle w:val="Style40"/>
        <w:keepNext/>
        <w:keepLines/>
        <w:widowControl w:val="0"/>
        <w:shd w:val="clear" w:color="auto" w:fill="auto"/>
        <w:tabs>
          <w:tab w:pos="493" w:val="left"/>
        </w:tabs>
        <w:bidi w:val="0"/>
        <w:spacing w:before="0" w:after="340" w:line="240" w:lineRule="auto"/>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146"/>
      <w:bookmarkEnd w:id="2147"/>
      <w:bookmarkEnd w:id="21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3</w:t>
      </w:r>
      <w:bookmarkEnd w:id="2152"/>
      <w:r>
        <w:rPr>
          <w:color w:val="000000"/>
          <w:spacing w:val="0"/>
          <w:w w:val="100"/>
          <w:position w:val="0"/>
        </w:rPr>
        <w:t>、在合营安排或联营企业中的权益</w:t>
      </w:r>
      <w:bookmarkEnd w:id="2150"/>
      <w:bookmarkEnd w:id="2151"/>
      <w:bookmarkEnd w:id="2153"/>
    </w:p>
    <w:p>
      <w:pPr>
        <w:pStyle w:val="Style40"/>
        <w:keepNext/>
        <w:keepLines/>
        <w:widowControl w:val="0"/>
        <w:shd w:val="clear" w:color="auto" w:fill="auto"/>
        <w:bidi w:val="0"/>
        <w:spacing w:before="0" w:after="340" w:line="240" w:lineRule="auto"/>
        <w:ind w:left="0" w:right="0" w:firstLine="0"/>
        <w:jc w:val="left"/>
      </w:pPr>
      <w:bookmarkStart w:id="2154" w:name="bookmark2154"/>
      <w:bookmarkStart w:id="2155" w:name="bookmark2155"/>
      <w:bookmarkStart w:id="2156" w:name="bookmark2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154"/>
      <w:bookmarkEnd w:id="2155"/>
      <w:bookmarkEnd w:id="2156"/>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40"/>
        <w:keepNext/>
        <w:keepLines/>
        <w:widowControl w:val="0"/>
        <w:shd w:val="clear" w:color="auto" w:fill="auto"/>
        <w:bidi w:val="0"/>
        <w:spacing w:before="0" w:after="340" w:line="240" w:lineRule="auto"/>
        <w:ind w:left="0" w:right="0" w:firstLine="0"/>
        <w:jc w:val="left"/>
      </w:pPr>
      <w:bookmarkStart w:id="2157" w:name="bookmark2157"/>
      <w:bookmarkStart w:id="2158" w:name="bookmark2158"/>
      <w:bookmarkStart w:id="2159" w:name="bookmark21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157"/>
      <w:bookmarkEnd w:id="2158"/>
      <w:bookmarkEnd w:id="21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159"/>
        </w:numPr>
        <w:shd w:val="clear" w:color="auto" w:fill="auto"/>
        <w:bidi w:val="0"/>
        <w:spacing w:before="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重要联营企业的主要财务信息</w:t>
      </w:r>
      <w:bookmarkEnd w:id="2160"/>
      <w:bookmarkEnd w:id="2161"/>
      <w:bookmarkEnd w:id="21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numPr>
          <w:ilvl w:val="0"/>
          <w:numId w:val="159"/>
        </w:numPr>
        <w:shd w:val="clear" w:color="auto" w:fill="auto"/>
        <w:bidi w:val="0"/>
        <w:spacing w:before="0" w:line="240" w:lineRule="auto"/>
        <w:ind w:left="0" w:right="0" w:firstLine="0"/>
        <w:jc w:val="left"/>
      </w:pPr>
      <w:bookmarkStart w:id="2164" w:name="bookmark2164"/>
      <w:bookmarkStart w:id="2165" w:name="bookmark2165"/>
      <w:bookmarkStart w:id="2166" w:name="bookmark2166"/>
      <w:bookmarkStart w:id="2167" w:name="bookmark2167"/>
      <w:bookmarkEnd w:id="2166"/>
      <w:r>
        <w:rPr>
          <w:color w:val="000000"/>
          <w:spacing w:val="0"/>
          <w:w w:val="100"/>
          <w:position w:val="0"/>
        </w:rPr>
        <w:t>不重要的合营企业和联营企业的汇总财务信息</w:t>
      </w:r>
      <w:bookmarkEnd w:id="2164"/>
      <w:bookmarkEnd w:id="2165"/>
      <w:bookmarkEnd w:id="21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47,587,256.70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38,974,593.92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-4,409,288.42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-38,305.32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4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168"/>
      <w:bookmarkEnd w:id="2169"/>
      <w:bookmarkEnd w:id="2171"/>
    </w:p>
    <w:p>
      <w:pPr>
        <w:pStyle w:val="Style40"/>
        <w:keepNext/>
        <w:keepLines/>
        <w:widowControl w:val="0"/>
        <w:shd w:val="clear" w:color="auto" w:fill="auto"/>
        <w:tabs>
          <w:tab w:pos="493" w:val="left"/>
        </w:tabs>
        <w:bidi w:val="0"/>
        <w:spacing w:before="0" w:after="340" w:line="240" w:lineRule="auto"/>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172"/>
      <w:bookmarkEnd w:id="2173"/>
      <w:bookmarkEnd w:id="217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after="340" w:line="240" w:lineRule="auto"/>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176"/>
      <w:bookmarkEnd w:id="2177"/>
      <w:bookmarkEnd w:id="2179"/>
    </w:p>
    <w:p>
      <w:pPr>
        <w:pStyle w:val="Style40"/>
        <w:keepNext/>
        <w:keepLines/>
        <w:widowControl w:val="0"/>
        <w:shd w:val="clear" w:color="auto" w:fill="auto"/>
        <w:tabs>
          <w:tab w:pos="493" w:val="left"/>
        </w:tabs>
        <w:bidi w:val="0"/>
        <w:spacing w:before="0" w:after="340" w:line="240" w:lineRule="auto"/>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w:t>
      </w:r>
      <w:bookmarkEnd w:id="2182"/>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180"/>
      <w:bookmarkEnd w:id="2181"/>
      <w:bookmarkEnd w:id="2183"/>
    </w:p>
    <w:p>
      <w:pPr>
        <w:pStyle w:val="Style29"/>
        <w:keepNext/>
        <w:keepLines/>
        <w:widowControl w:val="0"/>
        <w:shd w:val="clear" w:color="auto" w:fill="auto"/>
        <w:bidi w:val="0"/>
        <w:spacing w:before="0" w:after="34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4</w:t>
      </w:r>
      <w:bookmarkEnd w:id="2186"/>
      <w:r>
        <w:rPr>
          <w:color w:val="000000"/>
          <w:spacing w:val="0"/>
          <w:w w:val="100"/>
          <w:position w:val="0"/>
        </w:rPr>
        <w:t>、重要的共同经营</w:t>
      </w:r>
      <w:bookmarkEnd w:id="2184"/>
      <w:bookmarkEnd w:id="2185"/>
      <w:bookmarkEnd w:id="2187"/>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82" w:val="left"/>
        </w:tabs>
        <w:bidi w:val="0"/>
        <w:spacing w:before="0" w:after="280" w:line="240" w:lineRule="auto"/>
        <w:ind w:left="0" w:right="0" w:firstLine="0"/>
        <w:jc w:val="left"/>
      </w:pPr>
      <w:bookmarkStart w:id="2188" w:name="bookmark2188"/>
      <w:bookmarkStart w:id="2189" w:name="bookmark2189"/>
      <w:bookmarkStart w:id="2190" w:name="bookmark2190"/>
      <w:bookmarkStart w:id="2191" w:name="bookmark2191"/>
      <w:r>
        <w:rPr>
          <w:rFonts w:ascii="Times New Roman" w:eastAsia="Times New Roman" w:hAnsi="Times New Roman" w:cs="Times New Roman"/>
          <w:color w:val="000000"/>
          <w:spacing w:val="0"/>
          <w:w w:val="100"/>
          <w:position w:val="0"/>
        </w:rPr>
        <w:t>5</w:t>
      </w:r>
      <w:bookmarkEnd w:id="2190"/>
      <w:r>
        <w:rPr>
          <w:color w:val="000000"/>
          <w:spacing w:val="0"/>
          <w:w w:val="100"/>
          <w:position w:val="0"/>
        </w:rPr>
        <w:t>、</w:t>
        <w:tab/>
        <w:t>在未纳入合并财务报表范围的结构化主体中的权益</w:t>
      </w:r>
      <w:bookmarkEnd w:id="2188"/>
      <w:bookmarkEnd w:id="2189"/>
      <w:bookmarkEnd w:id="2191"/>
    </w:p>
    <w:p>
      <w:pPr>
        <w:pStyle w:val="Style18"/>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82" w:val="left"/>
        </w:tabs>
        <w:bidi w:val="0"/>
        <w:spacing w:before="0" w:after="28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6</w:t>
      </w:r>
      <w:bookmarkEnd w:id="2194"/>
      <w:r>
        <w:rPr>
          <w:color w:val="000000"/>
          <w:spacing w:val="0"/>
          <w:w w:val="100"/>
          <w:position w:val="0"/>
        </w:rPr>
        <w:t>、</w:t>
        <w:tab/>
        <w:t>其他</w:t>
      </w:r>
      <w:bookmarkEnd w:id="2192"/>
      <w:bookmarkEnd w:id="2193"/>
      <w:bookmarkEnd w:id="2195"/>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十、与金融工具相关的风险</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本公司与金融工具相关的风险源于本公司在经营过程中所确认的各类金融资产和金融负债，包括：信用风险、流动性风 险和市场风险。</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本公司与金融工具相关的各类风险的管理目标和政策的制度由本公司管理层负责。经营管理层通过职能部门负责日常的 风险管理。本公司内部审计部门对公司风险管理的政策和程序的执行情况进行日常监督，并且将有关发现及时报告给本公司 审计委员会。</w:t>
      </w:r>
    </w:p>
    <w:p>
      <w:pPr>
        <w:pStyle w:val="Style18"/>
        <w:keepNext w:val="0"/>
        <w:keepLines w:val="0"/>
        <w:widowControl w:val="0"/>
        <w:shd w:val="clear" w:color="auto" w:fill="auto"/>
        <w:bidi w:val="0"/>
        <w:spacing w:before="0" w:after="100" w:line="307" w:lineRule="exact"/>
        <w:ind w:left="0" w:right="0"/>
        <w:jc w:val="both"/>
      </w:pPr>
      <w:r>
        <w:rPr>
          <w:color w:val="000000"/>
          <w:spacing w:val="0"/>
          <w:w w:val="100"/>
          <w:position w:val="0"/>
        </w:rPr>
        <w:t>本公司风险管理的总体目标是在不过度影响公司竞争力和应变力的情况下，制定尽可能降低各类与金融工具相关风险的 风险管理政策。</w:t>
      </w:r>
    </w:p>
    <w:p>
      <w:pPr>
        <w:pStyle w:val="Style18"/>
        <w:keepNext w:val="0"/>
        <w:keepLines w:val="0"/>
        <w:widowControl w:val="0"/>
        <w:shd w:val="clear" w:color="auto" w:fill="auto"/>
        <w:bidi w:val="0"/>
        <w:spacing w:before="0" w:after="100" w:line="310" w:lineRule="exact"/>
        <w:ind w:left="0" w:right="0"/>
        <w:jc w:val="left"/>
      </w:pPr>
      <w:r>
        <w:rPr>
          <w:color w:val="000000"/>
          <w:spacing w:val="0"/>
          <w:w w:val="100"/>
          <w:position w:val="0"/>
        </w:rPr>
        <w:t>信用风险</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信用风险，是指金融工具的一方未能履行义务从而导致另一方发生财务损失的风险。本公司的信用风险主要产生于货币 资金、应收票据、应收账款、应收款项融资、其他应收款、合同资产等，这些金融资产的信用风险源自交易对手违约，最大 的风险敞口等于这些工具的账面金额。</w:t>
      </w:r>
    </w:p>
    <w:p>
      <w:pPr>
        <w:pStyle w:val="Style18"/>
        <w:keepNext w:val="0"/>
        <w:keepLines w:val="0"/>
        <w:widowControl w:val="0"/>
        <w:shd w:val="clear" w:color="auto" w:fill="auto"/>
        <w:bidi w:val="0"/>
        <w:spacing w:before="0" w:after="180" w:line="307" w:lineRule="exact"/>
        <w:ind w:left="0" w:right="0"/>
        <w:jc w:val="both"/>
      </w:pPr>
      <w:r>
        <w:rPr>
          <w:color w:val="000000"/>
          <w:spacing w:val="0"/>
          <w:w w:val="100"/>
          <w:position w:val="0"/>
        </w:rPr>
        <w:t>本公司货币资金主要存放于商业银行等金融机构，本公司认为这些商业银行具备较高信誉和资产状况，存在较低的信用 风险。</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对于应收票据、应收账款、应收款项融资、其他应收款、合同资产，本公司设定相关政策以控制信用风险敞口。本公司 基于对客户的财务状况、从第三方获取担保的可能性、信用记录及其他因素诸如目前市场状况等评估客户的信用资质并设置 相应信用期。本公司会定期对客户信用记录进行监控，对于信用记录不良的客户，本公司会采用书面催款、缩短信用期或取 消信用期等方式，以确保本公司的整体信用风险在可控的范围内。</w:t>
      </w:r>
    </w:p>
    <w:p>
      <w:pPr>
        <w:pStyle w:val="Style18"/>
        <w:keepNext w:val="0"/>
        <w:keepLines w:val="0"/>
        <w:widowControl w:val="0"/>
        <w:shd w:val="clear" w:color="auto" w:fill="auto"/>
        <w:tabs>
          <w:tab w:pos="765" w:val="left"/>
        </w:tabs>
        <w:bidi w:val="0"/>
        <w:spacing w:before="0" w:after="100" w:line="312" w:lineRule="exact"/>
        <w:ind w:left="0" w:right="0"/>
        <w:jc w:val="both"/>
      </w:pPr>
      <w:bookmarkStart w:id="2196" w:name="bookmark2196"/>
      <w:r>
        <w:rPr>
          <w:color w:val="000000"/>
          <w:spacing w:val="0"/>
          <w:w w:val="100"/>
          <w:position w:val="0"/>
        </w:rPr>
        <w:t>（</w:t>
      </w:r>
      <w:bookmarkEnd w:id="2196"/>
      <w:r>
        <w:rPr>
          <w:color w:val="000000"/>
          <w:spacing w:val="0"/>
          <w:w w:val="100"/>
          <w:position w:val="0"/>
          <w:sz w:val="18"/>
          <w:szCs w:val="18"/>
        </w:rPr>
        <w:t>1</w:t>
      </w:r>
      <w:r>
        <w:rPr>
          <w:color w:val="000000"/>
          <w:spacing w:val="0"/>
          <w:w w:val="100"/>
          <w:position w:val="0"/>
        </w:rPr>
        <w:t>）</w:t>
        <w:tab/>
        <w:t>信用风险显著增加判断标准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本公司在每个资产负债表日评估相关金融工具的信用风险自初始确认后是否已显著增加。在确定信用风险自初始确认后 是否显著增加时，本公司考虑在无须付出不必要的额外成本或努力即可获得合理且有依据的信息，包括基于本公司历史数据 的定性和定量分析、外部信用风险评级以及前瞻性信息。本公司以单项金融工具或者具有相似信用风险特征的金融工具组合 为基础，通过比较金融工具在资产负债表日发生违约的风险与在初始确认日发生违约的风险，以确定金融工具预计存续期内 发生违约风险的变化情况。</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当触发以下一个或多个定量、定性标准时，本公司认为金融工具的信用风险已发生显著增加：定量标准主要为报告日剩 余存续期违约概率较初始确认时上升超过一定比例；定性标准为主要债务人经营或财务情况出现重大不利变化、预警客户清 单等。</w:t>
      </w:r>
    </w:p>
    <w:p>
      <w:pPr>
        <w:pStyle w:val="Style18"/>
        <w:keepNext w:val="0"/>
        <w:keepLines w:val="0"/>
        <w:widowControl w:val="0"/>
        <w:shd w:val="clear" w:color="auto" w:fill="auto"/>
        <w:tabs>
          <w:tab w:pos="765" w:val="left"/>
        </w:tabs>
        <w:bidi w:val="0"/>
        <w:spacing w:before="0" w:after="100" w:line="312" w:lineRule="exact"/>
        <w:ind w:left="0" w:right="0"/>
        <w:jc w:val="both"/>
      </w:pPr>
      <w:bookmarkStart w:id="2197" w:name="bookmark2197"/>
      <w:r>
        <w:rPr>
          <w:color w:val="000000"/>
          <w:spacing w:val="0"/>
          <w:w w:val="100"/>
          <w:position w:val="0"/>
        </w:rPr>
        <w:t>（</w:t>
      </w:r>
      <w:bookmarkEnd w:id="2197"/>
      <w:r>
        <w:rPr>
          <w:color w:val="000000"/>
          <w:spacing w:val="0"/>
          <w:w w:val="100"/>
          <w:position w:val="0"/>
          <w:sz w:val="18"/>
          <w:szCs w:val="18"/>
        </w:rPr>
        <w:t>2</w:t>
      </w:r>
      <w:r>
        <w:rPr>
          <w:color w:val="000000"/>
          <w:spacing w:val="0"/>
          <w:w w:val="100"/>
          <w:position w:val="0"/>
        </w:rPr>
        <w:t>）</w:t>
        <w:tab/>
        <w:t>已发生信用减值资产的定义</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为确定是否发生信用减值，本公司所采用的界定标准，与内部针对相关金融工具的信用风险管理目标保持一致,同时考 虑定量、定性指标。</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本公司评估债务人是否发生信用减值时，主要考虑以下因素：发行方或债务人发生重大财务困难；债务人违反合同，如 偿付利息或本金违约或逾期等；债权人出于与债务人财务困难有关的经济或合同考虑，给予债务人在任何其他情况下都不会 做出的让步；债务人很可能破产或进行其他财务重组；发行方或债务人财务困难导致该金融资产的活跃市场消失；以大幅折 扣购买或源生一项金融资产，该折扣反映了发生信用损失的事实。</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金融资产发生信用减值，有可能是多个事件的共同作用所致，未必是可单独识别的事件所致。</w:t>
      </w:r>
    </w:p>
    <w:p>
      <w:pPr>
        <w:pStyle w:val="Style18"/>
        <w:keepNext w:val="0"/>
        <w:keepLines w:val="0"/>
        <w:widowControl w:val="0"/>
        <w:shd w:val="clear" w:color="auto" w:fill="auto"/>
        <w:tabs>
          <w:tab w:pos="765" w:val="left"/>
        </w:tabs>
        <w:bidi w:val="0"/>
        <w:spacing w:before="0" w:after="100" w:line="312" w:lineRule="exact"/>
        <w:ind w:left="0" w:right="0"/>
        <w:jc w:val="both"/>
      </w:pPr>
      <w:bookmarkStart w:id="2198" w:name="bookmark2198"/>
      <w:r>
        <w:rPr>
          <w:color w:val="000000"/>
          <w:spacing w:val="0"/>
          <w:w w:val="100"/>
          <w:position w:val="0"/>
        </w:rPr>
        <w:t>（</w:t>
      </w:r>
      <w:bookmarkEnd w:id="2198"/>
      <w:r>
        <w:rPr>
          <w:color w:val="000000"/>
          <w:spacing w:val="0"/>
          <w:w w:val="100"/>
          <w:position w:val="0"/>
          <w:sz w:val="18"/>
          <w:szCs w:val="18"/>
        </w:rPr>
        <w:t>3</w:t>
      </w:r>
      <w:r>
        <w:rPr>
          <w:color w:val="000000"/>
          <w:spacing w:val="0"/>
          <w:w w:val="100"/>
          <w:position w:val="0"/>
        </w:rPr>
        <w:t>）</w:t>
        <w:tab/>
        <w:t>预期信用损失计量的参数</w:t>
      </w:r>
    </w:p>
    <w:p>
      <w:pPr>
        <w:pStyle w:val="Style18"/>
        <w:keepNext w:val="0"/>
        <w:keepLines w:val="0"/>
        <w:widowControl w:val="0"/>
        <w:shd w:val="clear" w:color="auto" w:fill="auto"/>
        <w:bidi w:val="0"/>
        <w:spacing w:before="0" w:after="100" w:line="315" w:lineRule="exact"/>
        <w:ind w:left="0" w:right="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个月或整个存续期的预期信 用损失计量减值准备。预期信用损失计量的关键参数包括违约概率、违约损失率和违约风险敞口。本公司考虑历史统计数据 （如交易对手评级、担保方式及抵质押物类别、还款方式等）的定量分析及前瞻性信息，建立违约概率、违约损失率及违约风 险敞口模型。</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相关定义如下：</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违约概率是指债务人在未来</w:t>
      </w:r>
      <w:r>
        <w:rPr>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18"/>
        <w:keepNext w:val="0"/>
        <w:keepLines w:val="0"/>
        <w:widowControl w:val="0"/>
        <w:shd w:val="clear" w:color="auto" w:fill="auto"/>
        <w:bidi w:val="0"/>
        <w:spacing w:before="0" w:after="100" w:line="314" w:lineRule="exact"/>
        <w:ind w:left="0" w:right="0"/>
        <w:jc w:val="both"/>
      </w:pPr>
      <w:r>
        <w:rPr>
          <w:color w:val="000000"/>
          <w:spacing w:val="0"/>
          <w:w w:val="100"/>
          <w:position w:val="0"/>
        </w:rPr>
        <w:t>违约损失率是指本公司对违约风险暴露发生损失程度作出的预期。根据交易对手的类型、追索的方式和优先级，以及担 保品的不同，违约损失率也有所不同。违约损失率为违约发生时风险敞口损失的百分比，以未来</w:t>
      </w:r>
      <w:r>
        <w:rPr>
          <w:color w:val="000000"/>
          <w:spacing w:val="0"/>
          <w:w w:val="100"/>
          <w:position w:val="0"/>
          <w:sz w:val="18"/>
          <w:szCs w:val="18"/>
        </w:rPr>
        <w:t>12</w:t>
      </w:r>
      <w:r>
        <w:rPr>
          <w:color w:val="000000"/>
          <w:spacing w:val="0"/>
          <w:w w:val="100"/>
          <w:position w:val="0"/>
        </w:rPr>
        <w:t>个月内或整个存续期为基 准进行计算；</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违约风险敞口是指，在未来</w:t>
      </w:r>
      <w:r>
        <w:rPr>
          <w:color w:val="000000"/>
          <w:spacing w:val="0"/>
          <w:w w:val="100"/>
          <w:position w:val="0"/>
          <w:sz w:val="18"/>
          <w:szCs w:val="18"/>
        </w:rPr>
        <w:t>12</w:t>
      </w:r>
      <w:r>
        <w:rPr>
          <w:color w:val="000000"/>
          <w:spacing w:val="0"/>
          <w:w w:val="100"/>
          <w:position w:val="0"/>
        </w:rPr>
        <w:t>个月或在整个剩余存续期中，在违约发生时，本公司应被偿付的金额。前瞻性信息信用 风险显著增加的评估及预期信用损失的计算均涉及前瞻性信息。本公司通过进行历史数据分析，识别出影响各业务类型信用 风险及预期信用损失的关键经济指标。</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本公司应收账款中，前五大客户的应收账款占本公司应收账款总额的</w:t>
      </w:r>
      <w:r>
        <w:rPr>
          <w:color w:val="000000"/>
          <w:spacing w:val="0"/>
          <w:w w:val="100"/>
          <w:position w:val="0"/>
          <w:sz w:val="18"/>
          <w:szCs w:val="18"/>
        </w:rPr>
        <w:t xml:space="preserve">31.60% </w:t>
      </w:r>
      <w:r>
        <w:rPr>
          <w:color w:val="000000"/>
          <w:spacing w:val="0"/>
          <w:w w:val="100"/>
          <w:position w:val="0"/>
        </w:rPr>
        <w:t>（比较期：</w:t>
      </w:r>
      <w:r>
        <w:rPr>
          <w:color w:val="000000"/>
          <w:spacing w:val="0"/>
          <w:w w:val="100"/>
          <w:position w:val="0"/>
          <w:sz w:val="18"/>
          <w:szCs w:val="18"/>
        </w:rPr>
        <w:t>41.09%）；</w:t>
      </w:r>
      <w:r>
        <w:rPr>
          <w:color w:val="000000"/>
          <w:spacing w:val="0"/>
          <w:w w:val="100"/>
          <w:position w:val="0"/>
        </w:rPr>
        <w:t>本公司其他应收款中， 欠款金额前五大公司的其他应收款占本公司其他应收款总额的</w:t>
      </w:r>
      <w:r>
        <w:rPr>
          <w:color w:val="000000"/>
          <w:spacing w:val="0"/>
          <w:w w:val="100"/>
          <w:position w:val="0"/>
          <w:sz w:val="18"/>
          <w:szCs w:val="18"/>
        </w:rPr>
        <w:t xml:space="preserve">16.61% </w:t>
      </w:r>
      <w:r>
        <w:rPr>
          <w:color w:val="000000"/>
          <w:spacing w:val="0"/>
          <w:w w:val="100"/>
          <w:position w:val="0"/>
        </w:rPr>
        <w:t>（比较：</w:t>
      </w:r>
      <w:r>
        <w:rPr>
          <w:color w:val="000000"/>
          <w:spacing w:val="0"/>
          <w:w w:val="100"/>
          <w:position w:val="0"/>
          <w:sz w:val="18"/>
          <w:szCs w:val="18"/>
        </w:rPr>
        <w:t>26.19%</w:t>
      </w:r>
      <w:r>
        <w:rPr>
          <w:color w:val="000000"/>
          <w:spacing w:val="0"/>
          <w:w w:val="100"/>
          <w:position w:val="0"/>
        </w:rPr>
        <w:t>）。</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流动性风险</w:t>
      </w:r>
    </w:p>
    <w:p>
      <w:pPr>
        <w:pStyle w:val="Style18"/>
        <w:keepNext w:val="0"/>
        <w:keepLines w:val="0"/>
        <w:widowControl w:val="0"/>
        <w:shd w:val="clear" w:color="auto" w:fill="auto"/>
        <w:bidi w:val="0"/>
        <w:spacing w:before="0" w:after="160" w:line="310" w:lineRule="exact"/>
        <w:ind w:left="0" w:right="0"/>
        <w:jc w:val="both"/>
      </w:pPr>
      <w:r>
        <w:rPr>
          <w:color w:val="000000"/>
          <w:spacing w:val="0"/>
          <w:w w:val="100"/>
          <w:position w:val="0"/>
        </w:rPr>
        <w:t>流动性风险，是指企业在履行以交付现金或其他金融资产的方式结算的义务时发生资金短缺的风险。本公司统筹负责公 司内各子公司的现金管理工作，包括现金盈余的短期投资和筹措贷款以应付预计现金需求。本公司的政策是定期监控短期和 长期的流动资金需求，以及是否符合借款协议的规定，以确保维持充裕的现金储备和可供随时变现的有价证券。</w:t>
      </w:r>
    </w:p>
    <w:p>
      <w:pPr>
        <w:pStyle w:val="Style2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日，本公司金融负债到期期限如下:</w:t>
      </w:r>
    </w:p>
    <w:tbl>
      <w:tblPr>
        <w:tblOverlap w:val="never"/>
        <w:jc w:val="center"/>
        <w:tblLayout w:type="fixed"/>
      </w:tblPr>
      <w:tblGrid>
        <w:gridCol w:w="1814"/>
        <w:gridCol w:w="1848"/>
        <w:gridCol w:w="1944"/>
        <w:gridCol w:w="1670"/>
        <w:gridCol w:w="1862"/>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540"/>
              <w:jc w:val="left"/>
            </w:pPr>
            <w:r>
              <w:rPr>
                <w:color w:val="000000"/>
                <w:spacing w:val="0"/>
                <w:w w:val="100"/>
                <w:position w:val="0"/>
              </w:rPr>
              <w:t>项目名称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943,375,976.76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1,609,767,002.12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1,785,311,153.84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66,849,022.05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22,332.63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50,876,931.47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55,767,480.17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58,195,386.77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821,980,691.94</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4,456,180,086.24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55,810,888.17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58,217,719.40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821,980,691.94</w:t>
            </w:r>
          </w:p>
        </w:tc>
      </w:tr>
    </w:tbl>
    <w:p>
      <w:pPr>
        <w:widowControl w:val="0"/>
        <w:spacing w:after="159" w:line="1" w:lineRule="exact"/>
      </w:pP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（续上表）</w:t>
      </w:r>
    </w:p>
    <w:tbl>
      <w:tblPr>
        <w:tblOverlap w:val="never"/>
        <w:jc w:val="center"/>
        <w:tblLayout w:type="fixed"/>
      </w:tblPr>
      <w:tblGrid>
        <w:gridCol w:w="1819"/>
        <w:gridCol w:w="1814"/>
        <w:gridCol w:w="1963"/>
        <w:gridCol w:w="1656"/>
        <w:gridCol w:w="1853"/>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48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255,292,083.32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789,577,445.38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1,108,439,919.93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44,501,780.87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50,675,161.86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53,240,389.63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55,767,480.17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780,259,977.52</w:t>
            </w: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2,248,486,391.36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53,240,389.63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55,767,480.17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780,259,977.52</w:t>
            </w:r>
          </w:p>
        </w:tc>
      </w:tr>
    </w:tbl>
    <w:p>
      <w:pPr>
        <w:widowControl w:val="0"/>
        <w:spacing w:after="159" w:line="1" w:lineRule="exact"/>
      </w:pPr>
    </w:p>
    <w:p>
      <w:pPr>
        <w:pStyle w:val="Style18"/>
        <w:keepNext w:val="0"/>
        <w:keepLines w:val="0"/>
        <w:widowControl w:val="0"/>
        <w:shd w:val="clear" w:color="auto" w:fill="auto"/>
        <w:bidi w:val="0"/>
        <w:spacing w:before="0" w:after="220" w:line="240" w:lineRule="auto"/>
        <w:ind w:left="0" w:right="0"/>
        <w:jc w:val="left"/>
      </w:pPr>
      <w:r>
        <w:rPr>
          <w:color w:val="000000"/>
          <w:spacing w:val="0"/>
          <w:w w:val="100"/>
          <w:position w:val="0"/>
        </w:rPr>
        <w:t>市场风险</w:t>
      </w:r>
    </w:p>
    <w:p>
      <w:pPr>
        <w:pStyle w:val="Style18"/>
        <w:keepNext w:val="0"/>
        <w:keepLines w:val="0"/>
        <w:widowControl w:val="0"/>
        <w:shd w:val="clear" w:color="auto" w:fill="auto"/>
        <w:bidi w:val="0"/>
        <w:spacing w:before="0" w:after="100" w:line="240" w:lineRule="auto"/>
        <w:ind w:left="0" w:right="0"/>
        <w:jc w:val="both"/>
      </w:pPr>
      <w:r>
        <w:rPr>
          <w:color w:val="000000"/>
          <w:spacing w:val="0"/>
          <w:w w:val="100"/>
          <w:position w:val="0"/>
        </w:rPr>
        <w:t>（</w:t>
      </w:r>
      <w:r>
        <w:rPr>
          <w:color w:val="000000"/>
          <w:spacing w:val="0"/>
          <w:w w:val="100"/>
          <w:position w:val="0"/>
          <w:sz w:val="18"/>
          <w:szCs w:val="18"/>
        </w:rPr>
        <w:t>1</w:t>
      </w:r>
      <w:r>
        <w:rPr>
          <w:color w:val="000000"/>
          <w:spacing w:val="0"/>
          <w:w w:val="100"/>
          <w:position w:val="0"/>
        </w:rPr>
        <w:t>）外汇风险</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本公司的汇率风险主要来自下属子公司持有的不以本公司记账本位币计价的外币资产和负债。本公司承受汇率风险主要 与以港币和美元计价的交易有关，除本公司设立在香港特别行政区和境外的下属子公司使用港币、美元、英镑、欧元或印尼 盾等计价结算外，本公司的其他主要业务以人民币计价结算。</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本公司密切关注汇率变动对本公司汇率风险的影响。本公司目前并未采取任何措施规避汇率风险。但管理层负责监控汇 率风险，并将于需要时考虑对冲重大汇率风险。</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w:t>
      </w:r>
      <w:r>
        <w:rPr>
          <w:color w:val="000000"/>
          <w:spacing w:val="0"/>
          <w:w w:val="100"/>
          <w:position w:val="0"/>
          <w:sz w:val="18"/>
          <w:szCs w:val="18"/>
        </w:rPr>
        <w:t>2</w:t>
      </w:r>
      <w:r>
        <w:rPr>
          <w:color w:val="000000"/>
          <w:spacing w:val="0"/>
          <w:w w:val="100"/>
          <w:position w:val="0"/>
        </w:rPr>
        <w:t>）利率风险</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本公司的利率风险主要产生于银行短期借款。浮动利率的金融负债使本公司面临现金流量利率风险，固定利率的金融负 债使本公司面临公允价值利率风险。本公司根据当时的市场环境来决定固定利率及浮动利率合同的相对比例。</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本公司总部财务部门持续监控集团利率水平。利率上升会增加新增带息债务的成本以及本公司尚未付清的以浮动利率计 息的带息债务的利息支出，并对本公司的财务业绩产生重大的不利影响，管理层会依据最新的市场状况及时做出调整。</w:t>
      </w:r>
    </w:p>
    <w:p>
      <w:pPr>
        <w:pStyle w:val="Style18"/>
        <w:keepNext w:val="0"/>
        <w:keepLines w:val="0"/>
        <w:widowControl w:val="0"/>
        <w:shd w:val="clear" w:color="auto" w:fill="auto"/>
        <w:bidi w:val="0"/>
        <w:spacing w:before="0" w:after="100" w:line="319"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日，银行短期借款（不含应付利息）人民币</w:t>
      </w:r>
      <w:r>
        <w:rPr>
          <w:color w:val="000000"/>
          <w:spacing w:val="0"/>
          <w:w w:val="100"/>
          <w:position w:val="0"/>
          <w:sz w:val="18"/>
          <w:szCs w:val="18"/>
        </w:rPr>
        <w:t>781,440,000.00</w:t>
      </w:r>
      <w:r>
        <w:rPr>
          <w:color w:val="000000"/>
          <w:spacing w:val="0"/>
          <w:w w:val="100"/>
          <w:position w:val="0"/>
        </w:rPr>
        <w:t>元，在其他风险变量保持不变的情况下， 假定利率变动</w:t>
      </w:r>
      <w:r>
        <w:rPr>
          <w:color w:val="000000"/>
          <w:spacing w:val="0"/>
          <w:w w:val="100"/>
          <w:position w:val="0"/>
          <w:sz w:val="18"/>
          <w:szCs w:val="18"/>
        </w:rPr>
        <w:t>25</w:t>
      </w:r>
      <w:r>
        <w:rPr>
          <w:color w:val="000000"/>
          <w:spacing w:val="0"/>
          <w:w w:val="100"/>
          <w:position w:val="0"/>
        </w:rPr>
        <w:t>个基准点，不会对本公司的利润总额和股东权益产生重大的影响。因此本公司认为利率风险并不重大，本公 司目前并无利率对冲的政策。</w:t>
      </w:r>
      <w:r>
        <w:br w:type="page"/>
      </w:r>
    </w:p>
    <w:p>
      <w:pPr>
        <w:pStyle w:val="Style23"/>
        <w:keepNext/>
        <w:keepLines/>
        <w:widowControl w:val="0"/>
        <w:shd w:val="clear" w:color="auto" w:fill="auto"/>
        <w:bidi w:val="0"/>
        <w:spacing w:before="0" w:line="240" w:lineRule="auto"/>
        <w:ind w:left="0" w:right="0" w:firstLine="0"/>
        <w:jc w:val="left"/>
      </w:pPr>
      <w:bookmarkStart w:id="2199" w:name="bookmark2199"/>
      <w:bookmarkStart w:id="2200" w:name="bookmark2200"/>
      <w:bookmarkStart w:id="2201" w:name="bookmark2201"/>
      <w:r>
        <w:rPr>
          <w:color w:val="000000"/>
          <w:spacing w:val="0"/>
          <w:w w:val="100"/>
          <w:position w:val="0"/>
          <w:sz w:val="24"/>
          <w:szCs w:val="24"/>
        </w:rPr>
        <w:t>十一、公允价值的披露</w:t>
      </w:r>
      <w:bookmarkEnd w:id="2199"/>
      <w:bookmarkEnd w:id="2200"/>
      <w:bookmarkEnd w:id="2201"/>
    </w:p>
    <w:p>
      <w:pPr>
        <w:pStyle w:val="Style29"/>
        <w:keepNext/>
        <w:keepLines/>
        <w:widowControl w:val="0"/>
        <w:shd w:val="clear" w:color="auto" w:fill="auto"/>
        <w:bidi w:val="0"/>
        <w:spacing w:before="0" w:after="320" w:line="240" w:lineRule="auto"/>
        <w:ind w:left="0" w:right="0" w:firstLine="0"/>
        <w:jc w:val="left"/>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202"/>
      <w:bookmarkEnd w:id="2203"/>
      <w:bookmarkEnd w:id="22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187,050,471.12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187,050,471.12</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187,050,471.12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187,050,471.12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187,050,471.12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187,050,471.12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2205"/>
      <w:bookmarkEnd w:id="2206"/>
      <w:bookmarkEnd w:id="2207"/>
    </w:p>
    <w:p>
      <w:pPr>
        <w:pStyle w:val="Style20"/>
        <w:keepNext w:val="0"/>
        <w:keepLines w:val="0"/>
        <w:widowControl w:val="0"/>
        <w:shd w:val="clear" w:color="auto" w:fill="auto"/>
        <w:bidi w:val="0"/>
        <w:spacing w:before="0" w:after="320" w:line="307" w:lineRule="exact"/>
        <w:ind w:left="0" w:right="0" w:firstLine="480"/>
        <w:jc w:val="left"/>
        <w:rPr>
          <w:sz w:val="24"/>
          <w:szCs w:val="24"/>
        </w:rPr>
        <w:sectPr>
          <w:footnotePr>
            <w:pos w:val="pageBottom"/>
            <w:numFmt w:val="decimal"/>
            <w:numRestart w:val="continuous"/>
          </w:footnotePr>
          <w:pgSz w:w="11900" w:h="16840"/>
          <w:pgMar w:top="1383" w:right="1067" w:bottom="1441" w:left="1060" w:header="0" w:footer="3" w:gutter="0"/>
          <w:cols w:space="720"/>
          <w:noEndnote/>
          <w:rtlGutter w:val="0"/>
          <w:docGrid w:linePitch="360"/>
        </w:sectPr>
      </w:pPr>
      <w:r>
        <w:rPr>
          <w:color w:val="000000"/>
          <w:spacing w:val="0"/>
          <w:w w:val="100"/>
          <w:position w:val="0"/>
          <w:sz w:val="24"/>
          <w:szCs w:val="24"/>
        </w:rPr>
        <w:t>本公司所持有的以公允价值计量且变动计入当期损益的金融资产，其公允价值以基金公 司每日公布的理财产品收益或份额确定。</w:t>
      </w:r>
    </w:p>
    <w:p>
      <w:pPr>
        <w:pStyle w:val="Style29"/>
        <w:keepNext/>
        <w:keepLines/>
        <w:widowControl w:val="0"/>
        <w:shd w:val="clear" w:color="auto" w:fill="auto"/>
        <w:tabs>
          <w:tab w:pos="378" w:val="left"/>
        </w:tabs>
        <w:bidi w:val="0"/>
        <w:spacing w:before="0" w:after="340" w:line="240" w:lineRule="auto"/>
        <w:ind w:left="0" w:right="0" w:firstLine="0"/>
        <w:jc w:val="left"/>
      </w:pPr>
      <w:bookmarkStart w:id="2208" w:name="bookmark2208"/>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3</w:t>
      </w:r>
      <w:bookmarkEnd w:id="2210"/>
      <w:r>
        <w:rPr>
          <w:color w:val="000000"/>
          <w:spacing w:val="0"/>
          <w:w w:val="100"/>
          <w:position w:val="0"/>
        </w:rPr>
        <w:t>、</w:t>
        <w:tab/>
        <w:t>持续和非持续第二层次公允价值计量项目，采用的估值技术和重要参数的定性及定量信息</w:t>
      </w:r>
      <w:bookmarkEnd w:id="2208"/>
      <w:bookmarkEnd w:id="2209"/>
      <w:bookmarkEnd w:id="2211"/>
    </w:p>
    <w:p>
      <w:pPr>
        <w:pStyle w:val="Style29"/>
        <w:keepNext/>
        <w:keepLines/>
        <w:widowControl w:val="0"/>
        <w:shd w:val="clear" w:color="auto" w:fill="auto"/>
        <w:tabs>
          <w:tab w:pos="378" w:val="left"/>
        </w:tabs>
        <w:bidi w:val="0"/>
        <w:spacing w:before="0" w:after="340" w:line="240" w:lineRule="auto"/>
        <w:ind w:left="0" w:right="0" w:firstLine="0"/>
        <w:jc w:val="left"/>
      </w:pPr>
      <w:bookmarkStart w:id="2212" w:name="bookmark2212"/>
      <w:bookmarkStart w:id="2213" w:name="bookmark2213"/>
      <w:bookmarkStart w:id="2214" w:name="bookmark2214"/>
      <w:bookmarkStart w:id="2215" w:name="bookmark2215"/>
      <w:r>
        <w:rPr>
          <w:rFonts w:ascii="Times New Roman" w:eastAsia="Times New Roman" w:hAnsi="Times New Roman" w:cs="Times New Roman"/>
          <w:color w:val="000000"/>
          <w:spacing w:val="0"/>
          <w:w w:val="100"/>
          <w:position w:val="0"/>
        </w:rPr>
        <w:t>4</w:t>
      </w:r>
      <w:bookmarkEnd w:id="2214"/>
      <w:r>
        <w:rPr>
          <w:color w:val="000000"/>
          <w:spacing w:val="0"/>
          <w:w w:val="100"/>
          <w:position w:val="0"/>
        </w:rPr>
        <w:t>、</w:t>
        <w:tab/>
        <w:t>持续和非持续第三层次公允价值计量项目，采用的估值技术和重要参数的定性及定量信息</w:t>
      </w:r>
      <w:bookmarkEnd w:id="2212"/>
      <w:bookmarkEnd w:id="2213"/>
      <w:bookmarkEnd w:id="2215"/>
    </w:p>
    <w:p>
      <w:pPr>
        <w:pStyle w:val="Style29"/>
        <w:keepNext/>
        <w:keepLines/>
        <w:widowControl w:val="0"/>
        <w:shd w:val="clear" w:color="auto" w:fill="auto"/>
        <w:tabs>
          <w:tab w:pos="378" w:val="left"/>
        </w:tabs>
        <w:bidi w:val="0"/>
        <w:spacing w:before="0" w:after="340" w:line="240" w:lineRule="auto"/>
        <w:ind w:left="0" w:right="0" w:firstLine="0"/>
        <w:jc w:val="left"/>
      </w:pPr>
      <w:bookmarkStart w:id="2216" w:name="bookmark2216"/>
      <w:bookmarkStart w:id="2217" w:name="bookmark2217"/>
      <w:bookmarkStart w:id="2218" w:name="bookmark2218"/>
      <w:bookmarkStart w:id="2219" w:name="bookmark2219"/>
      <w:r>
        <w:rPr>
          <w:rFonts w:ascii="Times New Roman" w:eastAsia="Times New Roman" w:hAnsi="Times New Roman" w:cs="Times New Roman"/>
          <w:color w:val="000000"/>
          <w:spacing w:val="0"/>
          <w:w w:val="100"/>
          <w:position w:val="0"/>
        </w:rPr>
        <w:t>5</w:t>
      </w:r>
      <w:bookmarkEnd w:id="2218"/>
      <w:r>
        <w:rPr>
          <w:color w:val="000000"/>
          <w:spacing w:val="0"/>
          <w:w w:val="100"/>
          <w:position w:val="0"/>
        </w:rPr>
        <w:t>、</w:t>
        <w:tab/>
        <w:t>持续的第三层次公允价值计量项目，期初与期末账面价值间的调节信息及不可观察参数敏感性分析</w:t>
      </w:r>
      <w:bookmarkEnd w:id="2216"/>
      <w:bookmarkEnd w:id="2217"/>
      <w:bookmarkEnd w:id="2219"/>
    </w:p>
    <w:p>
      <w:pPr>
        <w:pStyle w:val="Style29"/>
        <w:keepNext/>
        <w:keepLines/>
        <w:widowControl w:val="0"/>
        <w:shd w:val="clear" w:color="auto" w:fill="auto"/>
        <w:tabs>
          <w:tab w:pos="378" w:val="left"/>
        </w:tabs>
        <w:bidi w:val="0"/>
        <w:spacing w:before="0" w:after="340" w:line="240" w:lineRule="auto"/>
        <w:ind w:left="0" w:right="0" w:firstLine="0"/>
        <w:jc w:val="left"/>
      </w:pPr>
      <w:bookmarkStart w:id="2220" w:name="bookmark2220"/>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6</w:t>
      </w:r>
      <w:bookmarkEnd w:id="2222"/>
      <w:r>
        <w:rPr>
          <w:color w:val="000000"/>
          <w:spacing w:val="0"/>
          <w:w w:val="100"/>
          <w:position w:val="0"/>
        </w:rPr>
        <w:t>、</w:t>
        <w:tab/>
        <w:t>持续的公允价值计量项目，本期内发生各层级之间转换的，转换的原因及确定转换时点的政策</w:t>
      </w:r>
      <w:bookmarkEnd w:id="2220"/>
      <w:bookmarkEnd w:id="2221"/>
      <w:bookmarkEnd w:id="2223"/>
    </w:p>
    <w:p>
      <w:pPr>
        <w:pStyle w:val="Style29"/>
        <w:keepNext/>
        <w:keepLines/>
        <w:widowControl w:val="0"/>
        <w:shd w:val="clear" w:color="auto" w:fill="auto"/>
        <w:tabs>
          <w:tab w:pos="378" w:val="left"/>
        </w:tabs>
        <w:bidi w:val="0"/>
        <w:spacing w:before="0" w:after="34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7</w:t>
      </w:r>
      <w:bookmarkEnd w:id="2226"/>
      <w:r>
        <w:rPr>
          <w:color w:val="000000"/>
          <w:spacing w:val="0"/>
          <w:w w:val="100"/>
          <w:position w:val="0"/>
        </w:rPr>
        <w:t>、</w:t>
        <w:tab/>
        <w:t>本期内发生的估值技术变更及变更原因</w:t>
      </w:r>
      <w:bookmarkEnd w:id="2224"/>
      <w:bookmarkEnd w:id="2225"/>
      <w:bookmarkEnd w:id="2227"/>
    </w:p>
    <w:p>
      <w:pPr>
        <w:pStyle w:val="Style29"/>
        <w:keepNext/>
        <w:keepLines/>
        <w:widowControl w:val="0"/>
        <w:shd w:val="clear" w:color="auto" w:fill="auto"/>
        <w:tabs>
          <w:tab w:pos="378" w:val="left"/>
        </w:tabs>
        <w:bidi w:val="0"/>
        <w:spacing w:before="0" w:after="340" w:line="240" w:lineRule="auto"/>
        <w:ind w:left="0" w:right="0" w:firstLine="0"/>
        <w:jc w:val="left"/>
      </w:pPr>
      <w:bookmarkStart w:id="2228" w:name="bookmark2228"/>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8</w:t>
      </w:r>
      <w:bookmarkEnd w:id="2230"/>
      <w:r>
        <w:rPr>
          <w:color w:val="000000"/>
          <w:spacing w:val="0"/>
          <w:w w:val="100"/>
          <w:position w:val="0"/>
        </w:rPr>
        <w:t>、</w:t>
        <w:tab/>
        <w:t>不以公允价值计量的金融资产和金融负债的公允价值情况</w:t>
      </w:r>
      <w:bookmarkEnd w:id="2228"/>
      <w:bookmarkEnd w:id="2229"/>
      <w:bookmarkEnd w:id="2231"/>
    </w:p>
    <w:p>
      <w:pPr>
        <w:pStyle w:val="Style29"/>
        <w:keepNext/>
        <w:keepLines/>
        <w:widowControl w:val="0"/>
        <w:shd w:val="clear" w:color="auto" w:fill="auto"/>
        <w:tabs>
          <w:tab w:pos="378" w:val="left"/>
        </w:tabs>
        <w:bidi w:val="0"/>
        <w:spacing w:before="0" w:after="340" w:line="240" w:lineRule="auto"/>
        <w:ind w:left="0" w:right="0" w:firstLine="0"/>
        <w:jc w:val="left"/>
      </w:pPr>
      <w:bookmarkStart w:id="2232" w:name="bookmark2232"/>
      <w:bookmarkStart w:id="2233" w:name="bookmark2233"/>
      <w:bookmarkStart w:id="2234" w:name="bookmark2234"/>
      <w:bookmarkStart w:id="2235" w:name="bookmark2235"/>
      <w:r>
        <w:rPr>
          <w:rFonts w:ascii="Times New Roman" w:eastAsia="Times New Roman" w:hAnsi="Times New Roman" w:cs="Times New Roman"/>
          <w:color w:val="000000"/>
          <w:spacing w:val="0"/>
          <w:w w:val="100"/>
          <w:position w:val="0"/>
        </w:rPr>
        <w:t>9</w:t>
      </w:r>
      <w:bookmarkEnd w:id="2234"/>
      <w:r>
        <w:rPr>
          <w:color w:val="000000"/>
          <w:spacing w:val="0"/>
          <w:w w:val="100"/>
          <w:position w:val="0"/>
        </w:rPr>
        <w:t>、</w:t>
        <w:tab/>
        <w:t>其他</w:t>
      </w:r>
      <w:bookmarkEnd w:id="2232"/>
      <w:bookmarkEnd w:id="2233"/>
      <w:bookmarkEnd w:id="2235"/>
    </w:p>
    <w:p>
      <w:pPr>
        <w:pStyle w:val="Style23"/>
        <w:keepNext/>
        <w:keepLines/>
        <w:widowControl w:val="0"/>
        <w:shd w:val="clear" w:color="auto" w:fill="auto"/>
        <w:bidi w:val="0"/>
        <w:spacing w:before="0" w:after="340" w:line="240" w:lineRule="auto"/>
        <w:ind w:left="0" w:right="0" w:firstLine="0"/>
        <w:jc w:val="left"/>
      </w:pPr>
      <w:bookmarkStart w:id="2236" w:name="bookmark2236"/>
      <w:bookmarkStart w:id="2237" w:name="bookmark2237"/>
      <w:bookmarkStart w:id="2238" w:name="bookmark2238"/>
      <w:r>
        <w:rPr>
          <w:color w:val="000000"/>
          <w:spacing w:val="0"/>
          <w:w w:val="100"/>
          <w:position w:val="0"/>
          <w:sz w:val="24"/>
          <w:szCs w:val="24"/>
        </w:rPr>
        <w:t>十二、关联方及关联交易</w:t>
      </w:r>
      <w:bookmarkEnd w:id="2236"/>
      <w:bookmarkEnd w:id="2237"/>
      <w:bookmarkEnd w:id="2238"/>
    </w:p>
    <w:p>
      <w:pPr>
        <w:pStyle w:val="Style29"/>
        <w:keepNext/>
        <w:keepLines/>
        <w:widowControl w:val="0"/>
        <w:shd w:val="clear" w:color="auto" w:fill="auto"/>
        <w:bidi w:val="0"/>
        <w:spacing w:before="0" w:after="340" w:line="240" w:lineRule="auto"/>
        <w:ind w:left="0" w:right="0" w:firstLine="0"/>
        <w:jc w:val="left"/>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239"/>
      <w:bookmarkEnd w:id="2240"/>
      <w:bookmarkEnd w:id="2241"/>
    </w:p>
    <w:tbl>
      <w:tblPr>
        <w:tblOverlap w:val="never"/>
        <w:jc w:val="center"/>
        <w:tblLayout w:type="fixed"/>
      </w:tblPr>
      <w:tblGrid>
        <w:gridCol w:w="1603"/>
        <w:gridCol w:w="1594"/>
        <w:gridCol w:w="1594"/>
        <w:gridCol w:w="1594"/>
        <w:gridCol w:w="1594"/>
        <w:gridCol w:w="1608"/>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pStyle w:val="Style18"/>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340" w:line="310" w:lineRule="exact"/>
        <w:ind w:left="0" w:right="0"/>
        <w:jc w:val="left"/>
      </w:pPr>
      <w:r>
        <w:rPr>
          <w:color w:val="000000"/>
          <w:spacing w:val="0"/>
          <w:w w:val="100"/>
          <w:position w:val="0"/>
        </w:rPr>
        <w:t>本公司最终控制方：本公司最终控制方为自然人李建国及蒋鹂北。李建国持有公司股权比例为</w:t>
      </w:r>
      <w:r>
        <w:rPr>
          <w:color w:val="000000"/>
          <w:spacing w:val="0"/>
          <w:w w:val="100"/>
          <w:position w:val="0"/>
          <w:sz w:val="18"/>
          <w:szCs w:val="18"/>
        </w:rPr>
        <w:t>61.20%，</w:t>
      </w:r>
      <w:r>
        <w:rPr>
          <w:color w:val="000000"/>
          <w:spacing w:val="0"/>
          <w:w w:val="100"/>
          <w:position w:val="0"/>
        </w:rPr>
        <w:t>其中：直接持有 公司股权比例为</w:t>
      </w:r>
      <w:r>
        <w:rPr>
          <w:color w:val="000000"/>
          <w:spacing w:val="0"/>
          <w:w w:val="100"/>
          <w:position w:val="0"/>
          <w:sz w:val="18"/>
          <w:szCs w:val="18"/>
        </w:rPr>
        <w:t>34.28%</w:t>
      </w:r>
      <w:r>
        <w:rPr>
          <w:color w:val="000000"/>
          <w:spacing w:val="0"/>
          <w:w w:val="100"/>
          <w:position w:val="0"/>
        </w:rPr>
        <w:t>，通过张家界威克企业管理中心（有限合伙</w:t>
      </w:r>
      <w:r>
        <w:rPr>
          <w:color w:val="000000"/>
          <w:spacing w:val="0"/>
          <w:w w:val="100"/>
          <w:position w:val="0"/>
          <w:sz w:val="18"/>
          <w:szCs w:val="18"/>
        </w:rPr>
        <w:t>）（</w:t>
      </w:r>
      <w:r>
        <w:rPr>
          <w:color w:val="000000"/>
          <w:spacing w:val="0"/>
          <w:w w:val="100"/>
          <w:position w:val="0"/>
        </w:rPr>
        <w:t>更名前为广西威克德力投资管理中心（有限合伙</w:t>
      </w:r>
      <w:r>
        <w:rPr>
          <w:color w:val="000000"/>
          <w:spacing w:val="0"/>
          <w:w w:val="100"/>
          <w:position w:val="0"/>
          <w:sz w:val="18"/>
          <w:szCs w:val="18"/>
        </w:rPr>
        <w:t xml:space="preserve">）） </w:t>
      </w:r>
      <w:r>
        <w:rPr>
          <w:color w:val="000000"/>
          <w:spacing w:val="0"/>
          <w:w w:val="100"/>
          <w:position w:val="0"/>
        </w:rPr>
        <w:t>间接持有公司股权比例为</w:t>
      </w:r>
      <w:r>
        <w:rPr>
          <w:color w:val="000000"/>
          <w:spacing w:val="0"/>
          <w:w w:val="100"/>
          <w:position w:val="0"/>
          <w:sz w:val="18"/>
          <w:szCs w:val="18"/>
        </w:rPr>
        <w:t>4.37%</w:t>
      </w:r>
      <w:r>
        <w:rPr>
          <w:color w:val="000000"/>
          <w:spacing w:val="0"/>
          <w:w w:val="100"/>
          <w:position w:val="0"/>
        </w:rPr>
        <w:t>，通过睢宁县弘泽天元企业管理合伙企业（有限合伙</w:t>
      </w:r>
      <w:r>
        <w:rPr>
          <w:color w:val="000000"/>
          <w:spacing w:val="0"/>
          <w:w w:val="100"/>
          <w:position w:val="0"/>
          <w:sz w:val="18"/>
          <w:szCs w:val="18"/>
        </w:rPr>
        <w:t>）（</w:t>
      </w:r>
      <w:r>
        <w:rPr>
          <w:color w:val="000000"/>
          <w:spacing w:val="0"/>
          <w:w w:val="100"/>
          <w:position w:val="0"/>
        </w:rPr>
        <w:t>更名前为珠海弘泽熙元投资管理中 心（有限合伙）</w:t>
      </w:r>
      <w:r>
        <w:rPr>
          <w:color w:val="000000"/>
          <w:spacing w:val="0"/>
          <w:w w:val="100"/>
          <w:position w:val="0"/>
          <w:sz w:val="18"/>
          <w:szCs w:val="18"/>
        </w:rPr>
        <w:t>）</w:t>
      </w:r>
      <w:r>
        <w:rPr>
          <w:color w:val="000000"/>
          <w:spacing w:val="0"/>
          <w:w w:val="100"/>
          <w:position w:val="0"/>
        </w:rPr>
        <w:t>间接持有公司股权比例为</w:t>
      </w:r>
      <w:r>
        <w:rPr>
          <w:color w:val="000000"/>
          <w:spacing w:val="0"/>
          <w:w w:val="100"/>
          <w:position w:val="0"/>
          <w:sz w:val="18"/>
          <w:szCs w:val="18"/>
        </w:rPr>
        <w:t>22.55%</w:t>
      </w:r>
      <w:r>
        <w:rPr>
          <w:color w:val="000000"/>
          <w:spacing w:val="0"/>
          <w:w w:val="100"/>
          <w:position w:val="0"/>
        </w:rPr>
        <w:t>。蒋鹂北通过睢宁县弘泽天元企业管理合伙企业（有限合伙）间接持有公 司股权比例为</w:t>
      </w:r>
      <w:r>
        <w:rPr>
          <w:color w:val="000000"/>
          <w:spacing w:val="0"/>
          <w:w w:val="100"/>
          <w:position w:val="0"/>
          <w:sz w:val="18"/>
          <w:szCs w:val="18"/>
        </w:rPr>
        <w:t>0.23%</w:t>
      </w:r>
      <w:r>
        <w:rPr>
          <w:color w:val="000000"/>
          <w:spacing w:val="0"/>
          <w:w w:val="100"/>
          <w:position w:val="0"/>
        </w:rPr>
        <w:t>。张家界威克企业管理中心（有限合伙）系由李建国及公司管理人员持股的公司，李建国持股比例为</w:t>
      </w:r>
      <w:r>
        <w:rPr>
          <w:color w:val="000000"/>
          <w:spacing w:val="0"/>
          <w:w w:val="100"/>
          <w:position w:val="0"/>
          <w:sz w:val="18"/>
          <w:szCs w:val="18"/>
        </w:rPr>
        <w:t xml:space="preserve">73.39%， </w:t>
      </w:r>
      <w:r>
        <w:rPr>
          <w:color w:val="000000"/>
          <w:spacing w:val="0"/>
          <w:w w:val="100"/>
          <w:position w:val="0"/>
        </w:rPr>
        <w:t>其他公司管理人员持股比例为</w:t>
      </w:r>
      <w:r>
        <w:rPr>
          <w:color w:val="000000"/>
          <w:spacing w:val="0"/>
          <w:w w:val="100"/>
          <w:position w:val="0"/>
          <w:sz w:val="18"/>
          <w:szCs w:val="18"/>
        </w:rPr>
        <w:t>26.61%；</w:t>
      </w:r>
      <w:r>
        <w:rPr>
          <w:color w:val="000000"/>
          <w:spacing w:val="0"/>
          <w:w w:val="100"/>
          <w:position w:val="0"/>
        </w:rPr>
        <w:t>睢宁县弘泽天元企业管理合伙企业（有限合伙）系由李建国、蒋鹂北控制的企业，出 资比例分别为</w:t>
      </w:r>
      <w:r>
        <w:rPr>
          <w:color w:val="000000"/>
          <w:spacing w:val="0"/>
          <w:w w:val="100"/>
          <w:position w:val="0"/>
          <w:sz w:val="18"/>
          <w:szCs w:val="18"/>
        </w:rPr>
        <w:t>99.00%</w:t>
      </w:r>
      <w:r>
        <w:rPr>
          <w:color w:val="000000"/>
          <w:spacing w:val="0"/>
          <w:w w:val="100"/>
          <w:position w:val="0"/>
        </w:rPr>
        <w:t>、</w:t>
      </w:r>
      <w:r>
        <w:rPr>
          <w:color w:val="000000"/>
          <w:spacing w:val="0"/>
          <w:w w:val="100"/>
          <w:position w:val="0"/>
          <w:sz w:val="18"/>
          <w:szCs w:val="18"/>
        </w:rPr>
        <w:t>1.00%</w:t>
      </w:r>
      <w:r>
        <w:rPr>
          <w:color w:val="000000"/>
          <w:spacing w:val="0"/>
          <w:w w:val="100"/>
          <w:position w:val="0"/>
        </w:rPr>
        <w:t>。李建国与蒋鹂北系夫妻关系，李建国及蒋鹂北共同持有公司股权比例为</w:t>
      </w:r>
      <w:r>
        <w:rPr>
          <w:color w:val="000000"/>
          <w:spacing w:val="0"/>
          <w:w w:val="100"/>
          <w:position w:val="0"/>
          <w:sz w:val="18"/>
          <w:szCs w:val="18"/>
        </w:rPr>
        <w:t>61.43%</w:t>
      </w:r>
      <w:r>
        <w:rPr>
          <w:color w:val="000000"/>
          <w:spacing w:val="0"/>
          <w:w w:val="100"/>
          <w:position w:val="0"/>
        </w:rPr>
        <w:t>。</w:t>
      </w:r>
    </w:p>
    <w:p>
      <w:pPr>
        <w:pStyle w:val="Style18"/>
        <w:keepNext w:val="0"/>
        <w:keepLines w:val="0"/>
        <w:widowControl w:val="0"/>
        <w:shd w:val="clear" w:color="auto" w:fill="auto"/>
        <w:bidi w:val="0"/>
        <w:spacing w:before="0" w:after="60" w:line="310" w:lineRule="exact"/>
        <w:ind w:left="0" w:right="0" w:firstLine="0"/>
        <w:jc w:val="left"/>
      </w:pPr>
      <w:r>
        <w:rPr>
          <w:color w:val="000000"/>
          <w:spacing w:val="0"/>
          <w:w w:val="100"/>
          <w:position w:val="0"/>
        </w:rPr>
        <w:t>本企业最终控制方是自然人李建国及蒋鹂北。</w:t>
      </w:r>
    </w:p>
    <w:p>
      <w:pPr>
        <w:pStyle w:val="Style18"/>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2</w:t>
      </w:r>
      <w:bookmarkEnd w:id="2244"/>
      <w:r>
        <w:rPr>
          <w:color w:val="000000"/>
          <w:spacing w:val="0"/>
          <w:w w:val="100"/>
          <w:position w:val="0"/>
        </w:rPr>
        <w:t>、</w:t>
        <w:tab/>
        <w:t>本企业的子公司情况</w:t>
      </w:r>
      <w:bookmarkEnd w:id="2242"/>
      <w:bookmarkEnd w:id="2243"/>
      <w:bookmarkEnd w:id="2245"/>
    </w:p>
    <w:p>
      <w:pPr>
        <w:pStyle w:val="Style18"/>
        <w:keepNext w:val="0"/>
        <w:keepLines w:val="0"/>
        <w:widowControl w:val="0"/>
        <w:shd w:val="clear" w:color="auto" w:fill="auto"/>
        <w:bidi w:val="0"/>
        <w:spacing w:before="0" w:after="340" w:line="310" w:lineRule="exact"/>
        <w:ind w:left="0" w:right="0" w:firstLine="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246" w:name="bookmark2246"/>
      <w:bookmarkStart w:id="2247" w:name="bookmark2247"/>
      <w:bookmarkStart w:id="2248" w:name="bookmark2248"/>
      <w:bookmarkStart w:id="2249" w:name="bookmark2249"/>
      <w:r>
        <w:rPr>
          <w:rFonts w:ascii="Times New Roman" w:eastAsia="Times New Roman" w:hAnsi="Times New Roman" w:cs="Times New Roman"/>
          <w:color w:val="000000"/>
          <w:spacing w:val="0"/>
          <w:w w:val="100"/>
          <w:position w:val="0"/>
        </w:rPr>
        <w:t>3</w:t>
      </w:r>
      <w:bookmarkEnd w:id="2248"/>
      <w:r>
        <w:rPr>
          <w:color w:val="000000"/>
          <w:spacing w:val="0"/>
          <w:w w:val="100"/>
          <w:position w:val="0"/>
        </w:rPr>
        <w:t>、</w:t>
        <w:tab/>
        <w:t>本企业合营和联营企业情况</w:t>
      </w:r>
      <w:bookmarkEnd w:id="2246"/>
      <w:bookmarkEnd w:id="2247"/>
      <w:bookmarkEnd w:id="2249"/>
    </w:p>
    <w:p>
      <w:pPr>
        <w:pStyle w:val="Style18"/>
        <w:keepNext w:val="0"/>
        <w:keepLines w:val="0"/>
        <w:widowControl w:val="0"/>
        <w:shd w:val="clear" w:color="auto" w:fill="auto"/>
        <w:bidi w:val="0"/>
        <w:spacing w:before="0" w:after="60" w:line="310" w:lineRule="exact"/>
        <w:ind w:left="0" w:right="0" w:firstLine="0"/>
        <w:jc w:val="left"/>
      </w:pPr>
      <w:r>
        <w:rPr>
          <w:color w:val="000000"/>
          <w:spacing w:val="0"/>
          <w:w w:val="100"/>
          <w:position w:val="0"/>
        </w:rPr>
        <w:t>本企业重要的合营或联营企业详见附注九、在其他主体中的权益。。</w:t>
      </w:r>
    </w:p>
    <w:p>
      <w:pPr>
        <w:pStyle w:val="Style18"/>
        <w:keepNext w:val="0"/>
        <w:keepLines w:val="0"/>
        <w:widowControl w:val="0"/>
        <w:shd w:val="clear" w:color="auto" w:fill="auto"/>
        <w:bidi w:val="0"/>
        <w:spacing w:before="0" w:after="60" w:line="310"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20" w:line="240" w:lineRule="auto"/>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4</w:t>
      </w:r>
      <w:bookmarkEnd w:id="2252"/>
      <w:r>
        <w:rPr>
          <w:color w:val="000000"/>
          <w:spacing w:val="0"/>
          <w:w w:val="100"/>
          <w:position w:val="0"/>
        </w:rPr>
        <w:t>、其他关联方情况</w:t>
      </w:r>
      <w:bookmarkEnd w:id="2250"/>
      <w:bookmarkEnd w:id="2251"/>
      <w:bookmarkEnd w:id="225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睢宁县弘泽天元企业管理合伙企业（有限合伙）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以上的其他主要股东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张家界威克企业管理中心（有限合伙）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以上的其他主要股东</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宁波建慧润通投资合伙企业（有限合伙）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李建国持有其</w:t>
            </w:r>
            <w:r>
              <w:rPr>
                <w:rFonts w:ascii="Times New Roman" w:eastAsia="Times New Roman" w:hAnsi="Times New Roman" w:cs="Times New Roman"/>
                <w:color w:val="000000"/>
                <w:spacing w:val="0"/>
                <w:w w:val="100"/>
                <w:position w:val="0"/>
              </w:rPr>
              <w:t>80%</w:t>
            </w:r>
            <w:r>
              <w:rPr>
                <w:color w:val="000000"/>
                <w:spacing w:val="0"/>
                <w:w w:val="100"/>
                <w:position w:val="0"/>
              </w:rPr>
              <w:t>合伙份额，对其实施控制</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广州弘达天赢企业管理合伙企业（有限合伙）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李建国持有其</w:t>
            </w:r>
            <w:r>
              <w:rPr>
                <w:rFonts w:ascii="Times New Roman" w:eastAsia="Times New Roman" w:hAnsi="Times New Roman" w:cs="Times New Roman"/>
                <w:color w:val="000000"/>
                <w:spacing w:val="0"/>
                <w:w w:val="100"/>
                <w:position w:val="0"/>
              </w:rPr>
              <w:t>50%</w:t>
            </w:r>
            <w:r>
              <w:rPr>
                <w:color w:val="000000"/>
                <w:spacing w:val="0"/>
                <w:w w:val="100"/>
                <w:position w:val="0"/>
              </w:rPr>
              <w:t>合伙份额，对其施加重大影响；董事梁姬 持有其</w:t>
            </w:r>
            <w:r>
              <w:rPr>
                <w:rFonts w:ascii="Times New Roman" w:eastAsia="Times New Roman" w:hAnsi="Times New Roman" w:cs="Times New Roman"/>
                <w:color w:val="000000"/>
                <w:spacing w:val="0"/>
                <w:w w:val="100"/>
                <w:position w:val="0"/>
              </w:rPr>
              <w:t>30%</w:t>
            </w:r>
            <w:r>
              <w:rPr>
                <w:color w:val="000000"/>
                <w:spacing w:val="0"/>
                <w:w w:val="100"/>
                <w:position w:val="0"/>
              </w:rPr>
              <w:t>合伙份额并担任执行事务合伙人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睢宁菲科企业管理咨询合伙企业（有限合伙）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李建国持有其</w:t>
            </w:r>
            <w:r>
              <w:rPr>
                <w:rFonts w:ascii="Times New Roman" w:eastAsia="Times New Roman" w:hAnsi="Times New Roman" w:cs="Times New Roman"/>
                <w:color w:val="000000"/>
                <w:spacing w:val="0"/>
                <w:w w:val="100"/>
                <w:position w:val="0"/>
              </w:rPr>
              <w:t>99%</w:t>
            </w:r>
            <w:r>
              <w:rPr>
                <w:color w:val="000000"/>
                <w:spacing w:val="0"/>
                <w:w w:val="100"/>
                <w:position w:val="0"/>
              </w:rPr>
              <w:t>合伙份额，任执行事务合伙人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睢宁乐谛企业管理咨询中心（有限合伙）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李建国持有其</w:t>
            </w:r>
            <w:r>
              <w:rPr>
                <w:rFonts w:ascii="Times New Roman" w:eastAsia="Times New Roman" w:hAnsi="Times New Roman" w:cs="Times New Roman"/>
                <w:color w:val="000000"/>
                <w:spacing w:val="0"/>
                <w:w w:val="100"/>
                <w:position w:val="0"/>
              </w:rPr>
              <w:t>74.2%</w:t>
            </w:r>
            <w:r>
              <w:rPr>
                <w:color w:val="000000"/>
                <w:spacing w:val="0"/>
                <w:w w:val="100"/>
                <w:position w:val="0"/>
              </w:rPr>
              <w:t>合伙份额，对其实施控制</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万海斌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李胜兰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马英华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陶秋鸿</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欧宇菲</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新余扬鑫昂微投资企业（有限合伙）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李建国持股</w:t>
            </w:r>
            <w:r>
              <w:rPr>
                <w:rFonts w:ascii="Times New Roman" w:eastAsia="Times New Roman" w:hAnsi="Times New Roman" w:cs="Times New Roman"/>
                <w:color w:val="000000"/>
                <w:spacing w:val="0"/>
                <w:w w:val="100"/>
                <w:position w:val="0"/>
              </w:rPr>
              <w:t>4.6729%</w:t>
            </w:r>
            <w:r>
              <w:rPr>
                <w:color w:val="000000"/>
                <w:spacing w:val="0"/>
                <w:w w:val="100"/>
                <w:position w:val="0"/>
              </w:rPr>
              <w:t>、梁姬持股</w:t>
            </w:r>
            <w:r>
              <w:rPr>
                <w:rFonts w:ascii="Times New Roman" w:eastAsia="Times New Roman" w:hAnsi="Times New Roman" w:cs="Times New Roman"/>
                <w:color w:val="000000"/>
                <w:spacing w:val="0"/>
                <w:w w:val="100"/>
                <w:position w:val="0"/>
              </w:rPr>
              <w:t>1.8629%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广州盈锐企业管理中心（有限合伙）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董事梁姬持有其</w:t>
            </w:r>
            <w:r>
              <w:rPr>
                <w:rFonts w:ascii="Times New Roman" w:eastAsia="Times New Roman" w:hAnsi="Times New Roman" w:cs="Times New Roman"/>
                <w:color w:val="000000"/>
                <w:spacing w:val="0"/>
                <w:w w:val="100"/>
                <w:position w:val="0"/>
              </w:rPr>
              <w:t>40%</w:t>
            </w:r>
            <w:r>
              <w:rPr>
                <w:color w:val="000000"/>
                <w:spacing w:val="0"/>
                <w:w w:val="100"/>
                <w:position w:val="0"/>
              </w:rPr>
              <w:t>合伙份额并担任执行事务合伙人，董事 许文杰持有其</w:t>
            </w:r>
            <w:r>
              <w:rPr>
                <w:rFonts w:ascii="Times New Roman" w:eastAsia="Times New Roman" w:hAnsi="Times New Roman" w:cs="Times New Roman"/>
                <w:color w:val="000000"/>
                <w:spacing w:val="0"/>
                <w:w w:val="100"/>
                <w:position w:val="0"/>
              </w:rPr>
              <w:t>60%</w:t>
            </w:r>
            <w:r>
              <w:rPr>
                <w:color w:val="000000"/>
                <w:spacing w:val="0"/>
                <w:w w:val="100"/>
                <w:position w:val="0"/>
              </w:rPr>
              <w:t>合伙份额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平潭盛欧投资中心（有限合伙）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董事、高级管理人员许文杰、董事梁姬分别持有其</w:t>
            </w:r>
            <w:r>
              <w:rPr>
                <w:rFonts w:ascii="Times New Roman" w:eastAsia="Times New Roman" w:hAnsi="Times New Roman" w:cs="Times New Roman"/>
                <w:color w:val="000000"/>
                <w:spacing w:val="0"/>
                <w:w w:val="100"/>
                <w:position w:val="0"/>
              </w:rPr>
              <w:t>42.15%</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29.80%</w:t>
            </w:r>
            <w:r>
              <w:rPr>
                <w:color w:val="000000"/>
                <w:spacing w:val="0"/>
                <w:w w:val="100"/>
                <w:position w:val="0"/>
              </w:rPr>
              <w:t>的财产份额，许文杰为执行事务合伙人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广州瑞优企业管理合伙企业（有限合伙）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董事梁姬持有其</w:t>
            </w:r>
            <w:r>
              <w:rPr>
                <w:rFonts w:ascii="Times New Roman" w:eastAsia="Times New Roman" w:hAnsi="Times New Roman" w:cs="Times New Roman"/>
                <w:color w:val="000000"/>
                <w:spacing w:val="0"/>
                <w:w w:val="100"/>
                <w:position w:val="0"/>
              </w:rPr>
              <w:t>4.1668%</w:t>
            </w:r>
            <w:r>
              <w:rPr>
                <w:color w:val="000000"/>
                <w:spacing w:val="0"/>
                <w:w w:val="100"/>
                <w:position w:val="0"/>
              </w:rPr>
              <w:t>的财产份额并担任执行事务合伙人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广州市明锐电气技术有限公司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董事梁姬持有其</w:t>
            </w:r>
            <w:r>
              <w:rPr>
                <w:rFonts w:ascii="Times New Roman" w:eastAsia="Times New Roman" w:hAnsi="Times New Roman" w:cs="Times New Roman"/>
                <w:color w:val="000000"/>
                <w:spacing w:val="0"/>
                <w:w w:val="100"/>
                <w:position w:val="0"/>
              </w:rPr>
              <w:t>80%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广西亿万智能科技有限公司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独立董事万海斌持有其</w:t>
            </w:r>
            <w:r>
              <w:rPr>
                <w:rFonts w:ascii="Times New Roman" w:eastAsia="Times New Roman" w:hAnsi="Times New Roman" w:cs="Times New Roman"/>
                <w:color w:val="000000"/>
                <w:spacing w:val="0"/>
                <w:w w:val="100"/>
                <w:position w:val="0"/>
              </w:rPr>
              <w:t>90%</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广西润投新能源开发有限公司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独立董事万海斌持有其</w:t>
            </w:r>
            <w:r>
              <w:rPr>
                <w:rFonts w:ascii="Times New Roman" w:eastAsia="Times New Roman" w:hAnsi="Times New Roman" w:cs="Times New Roman"/>
                <w:color w:val="000000"/>
                <w:spacing w:val="0"/>
                <w:w w:val="100"/>
                <w:position w:val="0"/>
              </w:rPr>
              <w:t>70%</w:t>
            </w:r>
            <w:r>
              <w:rPr>
                <w:color w:val="000000"/>
                <w:spacing w:val="0"/>
                <w:w w:val="100"/>
                <w:position w:val="0"/>
              </w:rPr>
              <w:t>股权</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贺州润投新能源开发有限公司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广西润投新能源开发有限公司全资子公司、独立董事万海斌 间接持有其</w:t>
            </w:r>
            <w:r>
              <w:rPr>
                <w:rFonts w:ascii="Times New Roman" w:eastAsia="Times New Roman" w:hAnsi="Times New Roman" w:cs="Times New Roman"/>
                <w:color w:val="000000"/>
                <w:spacing w:val="0"/>
                <w:w w:val="100"/>
                <w:position w:val="0"/>
              </w:rPr>
              <w:t>70%</w:t>
            </w:r>
            <w:r>
              <w:rPr>
                <w:color w:val="000000"/>
                <w:spacing w:val="0"/>
                <w:w w:val="100"/>
                <w:position w:val="0"/>
              </w:rPr>
              <w:t>的股权</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宾阳润投新能源开发有限公司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广西润投新能源开发有限公司全资子公司，独立董事万海斌</w:t>
            </w:r>
          </w:p>
        </w:tc>
      </w:tr>
    </w:tbl>
    <w:p>
      <w:pPr>
        <w:spacing w:lineRule="exact" w:line="1"/>
        <w:rPr>
          <w:sz w:val="2"/>
          <w:szCs w:val="2"/>
        </w:rPr>
      </w:pPr>
      <w:r>
        <w:br w:type="page"/>
      </w:r>
    </w:p>
    <w:tbl>
      <w:tblPr>
        <w:tblOverlap w:val="never"/>
        <w:jc w:val="center"/>
        <w:tblLayout w:type="fixed"/>
      </w:tblPr>
      <w:tblGrid>
        <w:gridCol w:w="4790"/>
        <w:gridCol w:w="479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间接持有其</w:t>
            </w:r>
            <w:r>
              <w:rPr>
                <w:rFonts w:ascii="Times New Roman" w:eastAsia="Times New Roman" w:hAnsi="Times New Roman" w:cs="Times New Roman"/>
                <w:color w:val="000000"/>
                <w:spacing w:val="0"/>
                <w:w w:val="100"/>
                <w:position w:val="0"/>
              </w:rPr>
              <w:t>70%</w:t>
            </w:r>
            <w:r>
              <w:rPr>
                <w:color w:val="000000"/>
                <w:spacing w:val="0"/>
                <w:w w:val="100"/>
                <w:position w:val="0"/>
              </w:rPr>
              <w:t>的股权</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南宁市信华财务信息咨询工作室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独立董事马英华经营的个体工商户</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惠州农村商业银行股份有限公司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独立董事李胜兰担任其独立董事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广西粤桂广业控股股份有限公司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独立董事李胜兰担任其独立董事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广东广弘控股股份有限公司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独立董事李胜兰担任其独立董事</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广州好莱客创意家居股份有限公司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独立董事李胜兰担任其独立董事</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箭牌家居集团股份有限公司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独立董事李胜兰担任其独立董事</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5</w:t>
      </w:r>
      <w:bookmarkEnd w:id="2256"/>
      <w:r>
        <w:rPr>
          <w:color w:val="000000"/>
          <w:spacing w:val="0"/>
          <w:w w:val="100"/>
          <w:position w:val="0"/>
        </w:rPr>
        <w:t>、关联交易情况</w:t>
      </w:r>
      <w:bookmarkEnd w:id="2254"/>
      <w:bookmarkEnd w:id="2255"/>
      <w:bookmarkEnd w:id="2257"/>
    </w:p>
    <w:p>
      <w:pPr>
        <w:pStyle w:val="Style40"/>
        <w:keepNext/>
        <w:keepLines/>
        <w:widowControl w:val="0"/>
        <w:shd w:val="clear" w:color="auto" w:fill="auto"/>
        <w:bidi w:val="0"/>
        <w:spacing w:before="0" w:after="340" w:line="240" w:lineRule="auto"/>
        <w:ind w:left="0" w:right="0" w:firstLine="0"/>
        <w:jc w:val="left"/>
      </w:pPr>
      <w:bookmarkStart w:id="2258" w:name="bookmark2258"/>
      <w:bookmarkStart w:id="2259" w:name="bookmark2259"/>
      <w:bookmarkStart w:id="2260" w:name="bookmark2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258"/>
      <w:bookmarkEnd w:id="2259"/>
      <w:bookmarkEnd w:id="226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广西梯度科技有限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65,590,061.77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广州市旗鱼软件科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采购商品、接受劳 务、购置无形资产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5,822,920.21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长沙麦融高科股份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4,719,754.83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南京润建科技有限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353,066.04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长沙麦融高科股份有限公司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8,991,985.63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广西梯度科技有限公司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4,346,751.99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广西数字贺州科技有限公司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201,314.18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261" w:name="bookmark2261"/>
      <w:bookmarkStart w:id="2262" w:name="bookmark2262"/>
      <w:bookmarkStart w:id="2263" w:name="bookmark22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261"/>
      <w:bookmarkEnd w:id="2262"/>
      <w:bookmarkEnd w:id="226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2264" w:name="bookmark2264"/>
      <w:bookmarkStart w:id="2265" w:name="bookmark2265"/>
      <w:bookmarkStart w:id="2266" w:name="bookmark2266"/>
      <w:bookmarkStart w:id="2267" w:name="bookmark2267"/>
      <w:r>
        <w:rPr>
          <w:color w:val="000000"/>
          <w:spacing w:val="0"/>
          <w:w w:val="100"/>
          <w:position w:val="0"/>
        </w:rPr>
        <w:t>（</w:t>
      </w:r>
      <w:bookmarkEnd w:id="226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264"/>
      <w:bookmarkEnd w:id="2265"/>
      <w:bookmarkEnd w:id="226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w:t>
      </w:r>
      <w:bookmarkEnd w:id="227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268"/>
      <w:bookmarkEnd w:id="2269"/>
      <w:bookmarkEnd w:id="227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8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8" w:hRule="exact"/>
        </w:trPr>
        <w:tc>
          <w:tcPr>
            <w:tcBorders>
              <w:top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睢宁县弘泽天元企业管 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李建国、蒋鹂北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睢宁县弘泽天元企业管 理合伙企业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18"/>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关联担保情况说明</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：详见本附注七、</w:t>
      </w:r>
      <w:r>
        <w:rPr>
          <w:rFonts w:ascii="Times New Roman" w:eastAsia="Times New Roman" w:hAnsi="Times New Roman" w:cs="Times New Roman"/>
          <w:color w:val="000000"/>
          <w:spacing w:val="0"/>
          <w:w w:val="100"/>
          <w:position w:val="0"/>
        </w:rPr>
        <w:t>32</w:t>
      </w:r>
      <w:r>
        <w:rPr>
          <w:color w:val="000000"/>
          <w:spacing w:val="0"/>
          <w:w w:val="100"/>
          <w:position w:val="0"/>
        </w:rPr>
        <w:t>。</w:t>
      </w:r>
    </w:p>
    <w:p>
      <w:pPr>
        <w:pStyle w:val="Style1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：公司与招商银行股份有限公司南宁分行签订合同编号为</w:t>
      </w:r>
      <w:r>
        <w:rPr>
          <w:color w:val="000000"/>
          <w:spacing w:val="0"/>
          <w:w w:val="100"/>
          <w:position w:val="0"/>
        </w:rPr>
        <w:t>【</w:t>
      </w:r>
      <w:r>
        <w:rPr>
          <w:rFonts w:ascii="Times New Roman" w:eastAsia="Times New Roman" w:hAnsi="Times New Roman" w:cs="Times New Roman"/>
          <w:color w:val="000000"/>
          <w:spacing w:val="0"/>
          <w:w w:val="100"/>
          <w:position w:val="0"/>
        </w:rPr>
        <w:t>771XY2020007460</w:t>
      </w:r>
      <w:r>
        <w:rPr>
          <w:color w:val="000000"/>
          <w:spacing w:val="0"/>
          <w:w w:val="100"/>
          <w:position w:val="0"/>
        </w:rPr>
        <w:t>】的综合授信合同，银行提供授信额度</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万元，授信期限自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日，该授信由自然人李建国提供保证担保，担保额度为</w:t>
      </w:r>
      <w:r>
        <w:rPr>
          <w:rFonts w:ascii="Times New Roman" w:eastAsia="Times New Roman" w:hAnsi="Times New Roman" w:cs="Times New Roman"/>
          <w:color w:val="000000"/>
          <w:spacing w:val="0"/>
          <w:w w:val="100"/>
          <w:position w:val="0"/>
        </w:rPr>
        <w:t>20,000</w:t>
      </w:r>
      <w:r>
        <w:rPr>
          <w:color w:val="000000"/>
          <w:spacing w:val="0"/>
          <w:w w:val="100"/>
          <w:position w:val="0"/>
        </w:rPr>
        <w:t>万元。</w:t>
      </w:r>
    </w:p>
    <w:p>
      <w:pPr>
        <w:pStyle w:val="Style18"/>
        <w:keepNext w:val="0"/>
        <w:keepLines w:val="0"/>
        <w:widowControl w:val="0"/>
        <w:shd w:val="clear" w:color="auto" w:fill="auto"/>
        <w:bidi w:val="0"/>
        <w:spacing w:before="0" w:after="100" w:line="32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：公司与中国光大银行股份有限公司南宁分行签订合同编号为【</w:t>
      </w:r>
      <w:r>
        <w:rPr>
          <w:rFonts w:ascii="Times New Roman" w:eastAsia="Times New Roman" w:hAnsi="Times New Roman" w:cs="Times New Roman"/>
          <w:color w:val="000000"/>
          <w:spacing w:val="0"/>
          <w:w w:val="100"/>
          <w:position w:val="0"/>
        </w:rPr>
        <w:t>50352005000010</w:t>
      </w:r>
      <w:r>
        <w:rPr>
          <w:color w:val="000000"/>
          <w:spacing w:val="0"/>
          <w:w w:val="100"/>
          <w:position w:val="0"/>
        </w:rPr>
        <w:t>】的《综合授信协议》，银行提供授信 额度</w:t>
      </w:r>
      <w:r>
        <w:rPr>
          <w:rFonts w:ascii="Times New Roman" w:eastAsia="Times New Roman" w:hAnsi="Times New Roman" w:cs="Times New Roman"/>
          <w:color w:val="000000"/>
          <w:spacing w:val="0"/>
          <w:w w:val="100"/>
          <w:position w:val="0"/>
        </w:rPr>
        <w:t>20,000</w:t>
      </w:r>
      <w:r>
        <w:rPr>
          <w:color w:val="000000"/>
          <w:spacing w:val="0"/>
          <w:w w:val="100"/>
          <w:position w:val="0"/>
        </w:rPr>
        <w:t>万元，授信期限自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日，该授信由自然人李建国提供保证担保。担保额度为</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：公司与中国民生银行股份有限公司南宁分行签订合同编号为【公授信字第</w:t>
      </w:r>
      <w:r>
        <w:rPr>
          <w:rFonts w:ascii="Times New Roman" w:eastAsia="Times New Roman" w:hAnsi="Times New Roman" w:cs="Times New Roman"/>
          <w:color w:val="000000"/>
          <w:spacing w:val="0"/>
          <w:w w:val="100"/>
          <w:position w:val="0"/>
        </w:rPr>
        <w:t xml:space="preserve">ZH </w:t>
      </w:r>
      <w:r>
        <w:rPr>
          <w:rFonts w:ascii="Times New Roman" w:eastAsia="Times New Roman" w:hAnsi="Times New Roman" w:cs="Times New Roman"/>
          <w:color w:val="000000"/>
          <w:spacing w:val="0"/>
          <w:w w:val="100"/>
          <w:position w:val="0"/>
        </w:rPr>
        <w:t>2100000085507</w:t>
      </w:r>
      <w:r>
        <w:rPr>
          <w:color w:val="000000"/>
          <w:spacing w:val="0"/>
          <w:w w:val="100"/>
          <w:position w:val="0"/>
        </w:rPr>
        <w:t>号】的《综合授信合同》， 银行提供授信额度</w:t>
      </w:r>
      <w:r>
        <w:rPr>
          <w:rFonts w:ascii="Times New Roman" w:eastAsia="Times New Roman" w:hAnsi="Times New Roman" w:cs="Times New Roman"/>
          <w:color w:val="000000"/>
          <w:spacing w:val="0"/>
          <w:w w:val="100"/>
          <w:position w:val="0"/>
        </w:rPr>
        <w:t>30,000</w:t>
      </w:r>
      <w:r>
        <w:rPr>
          <w:color w:val="000000"/>
          <w:spacing w:val="0"/>
          <w:w w:val="100"/>
          <w:position w:val="0"/>
        </w:rPr>
        <w:t>万元，授信期限自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日，该授信由自然人李建国提供保证担保。担保额度 为</w:t>
      </w:r>
      <w:r>
        <w:rPr>
          <w:rFonts w:ascii="Times New Roman" w:eastAsia="Times New Roman" w:hAnsi="Times New Roman" w:cs="Times New Roman"/>
          <w:color w:val="000000"/>
          <w:spacing w:val="0"/>
          <w:w w:val="100"/>
          <w:position w:val="0"/>
        </w:rPr>
        <w:t>30,000</w:t>
      </w:r>
      <w:r>
        <w:rPr>
          <w:color w:val="000000"/>
          <w:spacing w:val="0"/>
          <w:w w:val="100"/>
          <w:position w:val="0"/>
        </w:rPr>
        <w:t>万元。</w:t>
      </w:r>
    </w:p>
    <w:p>
      <w:pPr>
        <w:pStyle w:val="Style18"/>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：公司与招商银行股份有限公司南宁分行签订合同编号为</w:t>
      </w:r>
      <w:r>
        <w:rPr>
          <w:color w:val="000000"/>
          <w:spacing w:val="0"/>
          <w:w w:val="100"/>
          <w:position w:val="0"/>
        </w:rPr>
        <w:t>［</w:t>
      </w:r>
      <w:r>
        <w:rPr>
          <w:rFonts w:ascii="Times New Roman" w:eastAsia="Times New Roman" w:hAnsi="Times New Roman" w:cs="Times New Roman"/>
          <w:color w:val="000000"/>
          <w:spacing w:val="0"/>
          <w:w w:val="100"/>
          <w:position w:val="0"/>
        </w:rPr>
        <w:t>771XY2021012167</w:t>
      </w:r>
      <w:r>
        <w:rPr>
          <w:color w:val="000000"/>
          <w:spacing w:val="0"/>
          <w:w w:val="100"/>
          <w:position w:val="0"/>
        </w:rPr>
        <w:t>】的综合授信合同，银行提供授信额度</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万元，授信期限自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日，该授信由自然人李建国提供保证担保，担保额度为</w:t>
      </w:r>
      <w:r>
        <w:rPr>
          <w:rFonts w:ascii="Times New Roman" w:eastAsia="Times New Roman" w:hAnsi="Times New Roman" w:cs="Times New Roman"/>
          <w:color w:val="000000"/>
          <w:spacing w:val="0"/>
          <w:w w:val="100"/>
          <w:position w:val="0"/>
        </w:rPr>
        <w:t>30,000</w:t>
      </w:r>
      <w:r>
        <w:rPr>
          <w:color w:val="000000"/>
          <w:spacing w:val="0"/>
          <w:w w:val="100"/>
          <w:position w:val="0"/>
        </w:rPr>
        <w:t>万元。</w:t>
      </w:r>
    </w:p>
    <w:p>
      <w:pPr>
        <w:pStyle w:val="Style40"/>
        <w:keepNext/>
        <w:keepLines/>
        <w:widowControl w:val="0"/>
        <w:shd w:val="clear" w:color="auto" w:fill="auto"/>
        <w:bidi w:val="0"/>
        <w:spacing w:before="0" w:after="380" w:line="240" w:lineRule="auto"/>
        <w:ind w:left="0" w:right="0" w:firstLine="0"/>
        <w:jc w:val="both"/>
      </w:pPr>
      <w:bookmarkStart w:id="2272" w:name="bookmark2272"/>
      <w:bookmarkStart w:id="2273" w:name="bookmark2273"/>
      <w:bookmarkStart w:id="2274" w:name="bookmark2274"/>
      <w:bookmarkStart w:id="2275" w:name="bookmark2275"/>
      <w:r>
        <w:rPr>
          <w:color w:val="000000"/>
          <w:spacing w:val="0"/>
          <w:w w:val="100"/>
          <w:position w:val="0"/>
        </w:rPr>
        <w:t>（</w:t>
      </w:r>
      <w:bookmarkEnd w:id="227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272"/>
      <w:bookmarkEnd w:id="2273"/>
      <w:bookmarkEnd w:id="22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长沙麦融高科股份有限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both"/>
      </w:pPr>
      <w:bookmarkStart w:id="2276" w:name="bookmark2276"/>
      <w:bookmarkStart w:id="2277" w:name="bookmark2277"/>
      <w:bookmarkStart w:id="2278" w:name="bookmark2278"/>
      <w:bookmarkStart w:id="2279" w:name="bookmark2279"/>
      <w:r>
        <w:rPr>
          <w:color w:val="000000"/>
          <w:spacing w:val="0"/>
          <w:w w:val="100"/>
          <w:position w:val="0"/>
        </w:rPr>
        <w:t>（</w:t>
      </w:r>
      <w:bookmarkEnd w:id="227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276"/>
      <w:bookmarkEnd w:id="2277"/>
      <w:bookmarkEnd w:id="227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2280" w:name="bookmark2280"/>
      <w:bookmarkStart w:id="2281" w:name="bookmark2281"/>
      <w:bookmarkStart w:id="2282" w:name="bookmark2282"/>
      <w:bookmarkStart w:id="2283" w:name="bookmark2283"/>
      <w:r>
        <w:rPr>
          <w:color w:val="000000"/>
          <w:spacing w:val="0"/>
          <w:w w:val="100"/>
          <w:position w:val="0"/>
        </w:rPr>
        <w:t>（</w:t>
      </w:r>
      <w:bookmarkEnd w:id="228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280"/>
      <w:bookmarkEnd w:id="2281"/>
      <w:bookmarkEnd w:id="22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3,309,012.34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2,431,311.41</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0"/>
        <w:jc w:val="left"/>
      </w:pPr>
      <w:bookmarkStart w:id="2284" w:name="bookmark2284"/>
      <w:bookmarkStart w:id="2285" w:name="bookmark2285"/>
      <w:bookmarkStart w:id="2286" w:name="bookmark2286"/>
      <w:bookmarkStart w:id="2287" w:name="bookmark2287"/>
      <w:r>
        <w:rPr>
          <w:color w:val="000000"/>
          <w:spacing w:val="0"/>
          <w:w w:val="100"/>
          <w:position w:val="0"/>
        </w:rPr>
        <w:t>（</w:t>
      </w:r>
      <w:bookmarkEnd w:id="228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284"/>
      <w:bookmarkEnd w:id="2285"/>
      <w:bookmarkEnd w:id="2287"/>
    </w:p>
    <w:p>
      <w:pPr>
        <w:pStyle w:val="Style29"/>
        <w:keepNext/>
        <w:keepLines/>
        <w:widowControl w:val="0"/>
        <w:shd w:val="clear" w:color="auto" w:fill="auto"/>
        <w:bidi w:val="0"/>
        <w:spacing w:before="0" w:after="34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6</w:t>
      </w:r>
      <w:bookmarkEnd w:id="2290"/>
      <w:r>
        <w:rPr>
          <w:color w:val="000000"/>
          <w:spacing w:val="0"/>
          <w:w w:val="100"/>
          <w:position w:val="0"/>
        </w:rPr>
        <w:t>、关联方应收应付款项</w:t>
      </w:r>
      <w:bookmarkEnd w:id="2288"/>
      <w:bookmarkEnd w:id="2289"/>
      <w:bookmarkEnd w:id="2291"/>
    </w:p>
    <w:p>
      <w:pPr>
        <w:pStyle w:val="Style40"/>
        <w:keepNext/>
        <w:keepLines/>
        <w:widowControl w:val="0"/>
        <w:shd w:val="clear" w:color="auto" w:fill="auto"/>
        <w:bidi w:val="0"/>
        <w:spacing w:before="0" w:after="340" w:line="240" w:lineRule="auto"/>
        <w:ind w:left="0" w:right="0" w:firstLine="0"/>
        <w:jc w:val="left"/>
      </w:pPr>
      <w:bookmarkStart w:id="2292" w:name="bookmark2292"/>
      <w:bookmarkStart w:id="2293" w:name="bookmark2293"/>
      <w:bookmarkStart w:id="2294" w:name="bookmark2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292"/>
      <w:bookmarkEnd w:id="2293"/>
      <w:bookmarkEnd w:id="22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长沙麦融高科股份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9,940,386.01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497,019.30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广西梯度科技有限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1,396,793.20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广西数字贺州科技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广西梯度科技有限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广西数字贺州科技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长沙麦融高科股份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6,513,182.53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325,659.13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295" w:name="bookmark2295"/>
      <w:bookmarkStart w:id="2296" w:name="bookmark2296"/>
      <w:bookmarkStart w:id="2297" w:name="bookmark22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295"/>
      <w:bookmarkEnd w:id="2296"/>
      <w:bookmarkEnd w:id="22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广州市旗鱼软件科技有限公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4,450,551.40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广西梯度科技有限公司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南京润建科技有限公司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长沙麦融高科股份有限公司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长沙麦融高科股份有限公司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20,250.00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罗剑涛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169,388.64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25,270.50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方培豪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胡永乐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9,151.65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欧宇菲</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许文杰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周冠宇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tabs>
          <w:tab w:pos="373" w:val="left"/>
        </w:tabs>
        <w:bidi w:val="0"/>
        <w:spacing w:before="0" w:after="320" w:line="240" w:lineRule="auto"/>
        <w:ind w:left="0" w:right="0" w:firstLine="0"/>
        <w:jc w:val="both"/>
      </w:pPr>
      <w:bookmarkStart w:id="2298" w:name="bookmark2298"/>
      <w:bookmarkStart w:id="2299" w:name="bookmark2299"/>
      <w:bookmarkStart w:id="2300" w:name="bookmark2300"/>
      <w:bookmarkStart w:id="2301" w:name="bookmark2301"/>
      <w:r>
        <w:rPr>
          <w:rFonts w:ascii="Times New Roman" w:eastAsia="Times New Roman" w:hAnsi="Times New Roman" w:cs="Times New Roman"/>
          <w:color w:val="000000"/>
          <w:spacing w:val="0"/>
          <w:w w:val="100"/>
          <w:position w:val="0"/>
        </w:rPr>
        <w:t>7</w:t>
      </w:r>
      <w:bookmarkEnd w:id="2300"/>
      <w:r>
        <w:rPr>
          <w:color w:val="000000"/>
          <w:spacing w:val="0"/>
          <w:w w:val="100"/>
          <w:position w:val="0"/>
        </w:rPr>
        <w:t>、</w:t>
        <w:tab/>
        <w:t>关联方承诺</w:t>
      </w:r>
      <w:bookmarkEnd w:id="2298"/>
      <w:bookmarkEnd w:id="2299"/>
      <w:bookmarkEnd w:id="2301"/>
    </w:p>
    <w:p>
      <w:pPr>
        <w:pStyle w:val="Style29"/>
        <w:keepNext/>
        <w:keepLines/>
        <w:widowControl w:val="0"/>
        <w:shd w:val="clear" w:color="auto" w:fill="auto"/>
        <w:tabs>
          <w:tab w:pos="378" w:val="left"/>
        </w:tabs>
        <w:bidi w:val="0"/>
        <w:spacing w:before="0" w:after="320" w:line="240" w:lineRule="auto"/>
        <w:ind w:left="0" w:right="0" w:firstLine="0"/>
        <w:jc w:val="both"/>
      </w:pPr>
      <w:bookmarkStart w:id="2302" w:name="bookmark2302"/>
      <w:bookmarkStart w:id="2303" w:name="bookmark2303"/>
      <w:bookmarkStart w:id="2304" w:name="bookmark2304"/>
      <w:bookmarkStart w:id="2305" w:name="bookmark2305"/>
      <w:r>
        <w:rPr>
          <w:rFonts w:ascii="Times New Roman" w:eastAsia="Times New Roman" w:hAnsi="Times New Roman" w:cs="Times New Roman"/>
          <w:color w:val="000000"/>
          <w:spacing w:val="0"/>
          <w:w w:val="100"/>
          <w:position w:val="0"/>
        </w:rPr>
        <w:t>8</w:t>
      </w:r>
      <w:bookmarkEnd w:id="2304"/>
      <w:r>
        <w:rPr>
          <w:color w:val="000000"/>
          <w:spacing w:val="0"/>
          <w:w w:val="100"/>
          <w:position w:val="0"/>
        </w:rPr>
        <w:t>、</w:t>
        <w:tab/>
        <w:t>其他</w:t>
      </w:r>
      <w:bookmarkEnd w:id="2302"/>
      <w:bookmarkEnd w:id="2303"/>
      <w:bookmarkEnd w:id="2305"/>
    </w:p>
    <w:p>
      <w:pPr>
        <w:pStyle w:val="Style23"/>
        <w:keepNext/>
        <w:keepLines/>
        <w:widowControl w:val="0"/>
        <w:shd w:val="clear" w:color="auto" w:fill="auto"/>
        <w:bidi w:val="0"/>
        <w:spacing w:before="0" w:line="240" w:lineRule="auto"/>
        <w:ind w:left="0" w:right="0" w:firstLine="0"/>
        <w:jc w:val="both"/>
      </w:pPr>
      <w:bookmarkStart w:id="2306" w:name="bookmark2306"/>
      <w:bookmarkStart w:id="2307" w:name="bookmark2307"/>
      <w:bookmarkStart w:id="2308" w:name="bookmark2308"/>
      <w:r>
        <w:rPr>
          <w:color w:val="000000"/>
          <w:spacing w:val="0"/>
          <w:w w:val="100"/>
          <w:position w:val="0"/>
          <w:sz w:val="24"/>
          <w:szCs w:val="24"/>
        </w:rPr>
        <w:t>十三、股份支付</w:t>
      </w:r>
      <w:bookmarkEnd w:id="2306"/>
      <w:bookmarkEnd w:id="2307"/>
      <w:bookmarkEnd w:id="2308"/>
    </w:p>
    <w:p>
      <w:pPr>
        <w:pStyle w:val="Style29"/>
        <w:keepNext/>
        <w:keepLines/>
        <w:widowControl w:val="0"/>
        <w:shd w:val="clear" w:color="auto" w:fill="auto"/>
        <w:bidi w:val="0"/>
        <w:spacing w:before="0" w:after="320" w:line="240" w:lineRule="auto"/>
        <w:ind w:left="0" w:right="0" w:firstLine="0"/>
        <w:jc w:val="both"/>
      </w:pPr>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309"/>
      <w:bookmarkEnd w:id="2310"/>
      <w:bookmarkEnd w:id="2311"/>
    </w:p>
    <w:tbl>
      <w:tblPr>
        <w:tblOverlap w:val="never"/>
        <w:jc w:val="center"/>
        <w:tblLayout w:type="fixed"/>
      </w:tblPr>
      <w:tblGrid>
        <w:gridCol w:w="5462"/>
        <w:gridCol w:w="4181"/>
      </w:tblGrid>
      <w:tr>
        <w:trPr>
          <w:trHeight w:val="68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7,971,860.00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979,300.00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120" w:line="310" w:lineRule="exact"/>
        <w:ind w:left="0" w:right="0"/>
        <w:jc w:val="both"/>
      </w:pPr>
      <w:r>
        <w:rPr>
          <w:color w:val="000000"/>
          <w:spacing w:val="0"/>
          <w:w w:val="100"/>
          <w:position w:val="0"/>
        </w:rPr>
        <w:t>说明</w:t>
      </w:r>
      <w:r>
        <w:rPr>
          <w:color w:val="000000"/>
          <w:spacing w:val="0"/>
          <w:w w:val="100"/>
          <w:position w:val="0"/>
          <w:sz w:val="18"/>
          <w:szCs w:val="18"/>
        </w:rPr>
        <w:t>1： 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日，本公司召开</w:t>
      </w:r>
      <w:r>
        <w:rPr>
          <w:color w:val="000000"/>
          <w:spacing w:val="0"/>
          <w:w w:val="100"/>
          <w:position w:val="0"/>
          <w:sz w:val="18"/>
          <w:szCs w:val="18"/>
        </w:rPr>
        <w:t>2020</w:t>
      </w:r>
      <w:r>
        <w:rPr>
          <w:color w:val="000000"/>
          <w:spacing w:val="0"/>
          <w:w w:val="100"/>
          <w:position w:val="0"/>
        </w:rPr>
        <w:t>年第三次临时股东大会，为充分调动公司董事、高级管理人员、中层管理人 员及核心骨干人员的积极性，决议通过向激励对象定向发行公司</w:t>
      </w:r>
      <w:r>
        <w:rPr>
          <w:color w:val="000000"/>
          <w:spacing w:val="0"/>
          <w:w w:val="100"/>
          <w:position w:val="0"/>
          <w:sz w:val="18"/>
          <w:szCs w:val="18"/>
        </w:rPr>
        <w:t>A</w:t>
      </w:r>
      <w:r>
        <w:rPr>
          <w:color w:val="000000"/>
          <w:spacing w:val="0"/>
          <w:w w:val="100"/>
          <w:position w:val="0"/>
        </w:rPr>
        <w:t>股普通股进行股权激励。</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日，经本公司第四 届董事会第四次会议决议，公司</w:t>
      </w:r>
      <w:r>
        <w:rPr>
          <w:color w:val="000000"/>
          <w:spacing w:val="0"/>
          <w:w w:val="100"/>
          <w:position w:val="0"/>
          <w:sz w:val="18"/>
          <w:szCs w:val="18"/>
        </w:rPr>
        <w:t>2020</w:t>
      </w:r>
      <w:r>
        <w:rPr>
          <w:color w:val="000000"/>
          <w:spacing w:val="0"/>
          <w:w w:val="100"/>
          <w:position w:val="0"/>
        </w:rPr>
        <w:t>年股票期权激励计划规定的授予条件已经成就，确定以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 xml:space="preserve">日为授予日，授予 </w:t>
      </w:r>
      <w:r>
        <w:rPr>
          <w:color w:val="000000"/>
          <w:spacing w:val="0"/>
          <w:w w:val="100"/>
          <w:position w:val="0"/>
          <w:sz w:val="18"/>
          <w:szCs w:val="18"/>
        </w:rPr>
        <w:t>185</w:t>
      </w:r>
      <w:r>
        <w:rPr>
          <w:color w:val="000000"/>
          <w:spacing w:val="0"/>
          <w:w w:val="100"/>
          <w:position w:val="0"/>
        </w:rPr>
        <w:t>名激励对象</w:t>
      </w:r>
      <w:r>
        <w:rPr>
          <w:color w:val="000000"/>
          <w:spacing w:val="0"/>
          <w:w w:val="100"/>
          <w:position w:val="0"/>
          <w:sz w:val="18"/>
          <w:szCs w:val="18"/>
        </w:rPr>
        <w:t xml:space="preserve">2,111. </w:t>
      </w:r>
      <w:r>
        <w:rPr>
          <w:color w:val="000000"/>
          <w:spacing w:val="0"/>
          <w:w w:val="100"/>
          <w:position w:val="0"/>
          <w:sz w:val="18"/>
          <w:szCs w:val="18"/>
        </w:rPr>
        <w:t>80</w:t>
      </w:r>
      <w:r>
        <w:rPr>
          <w:color w:val="000000"/>
          <w:spacing w:val="0"/>
          <w:w w:val="100"/>
          <w:position w:val="0"/>
        </w:rPr>
        <w:t>万份股票期权，行权价格为</w:t>
      </w:r>
      <w:r>
        <w:rPr>
          <w:color w:val="000000"/>
          <w:spacing w:val="0"/>
          <w:w w:val="100"/>
          <w:position w:val="0"/>
          <w:sz w:val="18"/>
          <w:szCs w:val="18"/>
        </w:rPr>
        <w:t>21.69</w:t>
      </w:r>
      <w:r>
        <w:rPr>
          <w:color w:val="000000"/>
          <w:spacing w:val="0"/>
          <w:w w:val="100"/>
          <w:position w:val="0"/>
        </w:rPr>
        <w:t>元</w:t>
      </w:r>
      <w:r>
        <w:rPr>
          <w:color w:val="000000"/>
          <w:spacing w:val="0"/>
          <w:w w:val="100"/>
          <w:position w:val="0"/>
          <w:sz w:val="18"/>
          <w:szCs w:val="18"/>
        </w:rPr>
        <w:t>/</w:t>
      </w:r>
      <w:r>
        <w:rPr>
          <w:color w:val="000000"/>
          <w:spacing w:val="0"/>
          <w:w w:val="100"/>
          <w:position w:val="0"/>
        </w:rPr>
        <w:t>份。</w:t>
      </w:r>
    </w:p>
    <w:p>
      <w:pPr>
        <w:pStyle w:val="Style18"/>
        <w:keepNext w:val="0"/>
        <w:keepLines w:val="0"/>
        <w:widowControl w:val="0"/>
        <w:shd w:val="clear" w:color="auto" w:fill="auto"/>
        <w:bidi w:val="0"/>
        <w:spacing w:before="0" w:after="220" w:line="317" w:lineRule="exact"/>
        <w:ind w:left="0" w:right="0"/>
        <w:jc w:val="both"/>
      </w:pPr>
      <w:r>
        <w:rPr>
          <w:color w:val="000000"/>
          <w:spacing w:val="0"/>
          <w:w w:val="100"/>
          <w:position w:val="0"/>
        </w:rPr>
        <w:t>说明</w:t>
      </w:r>
      <w:r>
        <w:rPr>
          <w:color w:val="000000"/>
          <w:spacing w:val="0"/>
          <w:w w:val="100"/>
          <w:position w:val="0"/>
          <w:sz w:val="18"/>
          <w:szCs w:val="18"/>
        </w:rPr>
        <w:t>2：</w:t>
      </w:r>
      <w:r>
        <w:rPr>
          <w:color w:val="000000"/>
          <w:spacing w:val="0"/>
          <w:w w:val="100"/>
          <w:position w:val="0"/>
        </w:rPr>
        <w:t>鉴于公司</w:t>
      </w:r>
      <w:r>
        <w:rPr>
          <w:color w:val="000000"/>
          <w:spacing w:val="0"/>
          <w:w w:val="100"/>
          <w:position w:val="0"/>
          <w:sz w:val="18"/>
          <w:szCs w:val="18"/>
        </w:rPr>
        <w:t>2020</w:t>
      </w:r>
      <w:r>
        <w:rPr>
          <w:color w:val="000000"/>
          <w:spacing w:val="0"/>
          <w:w w:val="100"/>
          <w:position w:val="0"/>
        </w:rPr>
        <w:t>年年度权益分派已于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日实施完成，公司于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日召开第四届董事会第十三次会 议和第四届监事会第十二次会议，审议通过了《关于调整</w:t>
      </w:r>
      <w:r>
        <w:rPr>
          <w:color w:val="000000"/>
          <w:spacing w:val="0"/>
          <w:w w:val="100"/>
          <w:position w:val="0"/>
          <w:sz w:val="18"/>
          <w:szCs w:val="18"/>
        </w:rPr>
        <w:t>2020</w:t>
      </w:r>
      <w:r>
        <w:rPr>
          <w:color w:val="000000"/>
          <w:spacing w:val="0"/>
          <w:w w:val="100"/>
          <w:position w:val="0"/>
        </w:rPr>
        <w:t>年股票期权激励计划行权价格的议案》</w:t>
      </w:r>
      <w:r>
        <w:rPr>
          <w:color w:val="000000"/>
          <w:spacing w:val="0"/>
          <w:w w:val="100"/>
          <w:position w:val="0"/>
          <w:sz w:val="18"/>
          <w:szCs w:val="18"/>
        </w:rPr>
        <w:t>，</w:t>
      </w:r>
      <w:r>
        <w:rPr>
          <w:color w:val="000000"/>
          <w:spacing w:val="0"/>
          <w:w w:val="100"/>
          <w:position w:val="0"/>
        </w:rPr>
        <w:t>公司董事会对本激励 计划的股票期权行权价格进行了调整。调整后，本激励计划拟授予股票期权的行权价格由</w:t>
      </w:r>
      <w:r>
        <w:rPr>
          <w:color w:val="000000"/>
          <w:spacing w:val="0"/>
          <w:w w:val="100"/>
          <w:position w:val="0"/>
          <w:sz w:val="18"/>
          <w:szCs w:val="18"/>
        </w:rPr>
        <w:t>21.69</w:t>
      </w:r>
      <w:r>
        <w:rPr>
          <w:color w:val="000000"/>
          <w:spacing w:val="0"/>
          <w:w w:val="100"/>
          <w:position w:val="0"/>
        </w:rPr>
        <w:t>元</w:t>
      </w:r>
      <w:r>
        <w:rPr>
          <w:color w:val="000000"/>
          <w:spacing w:val="0"/>
          <w:w w:val="100"/>
          <w:position w:val="0"/>
          <w:sz w:val="18"/>
          <w:szCs w:val="18"/>
        </w:rPr>
        <w:t>/</w:t>
      </w:r>
      <w:r>
        <w:rPr>
          <w:color w:val="000000"/>
          <w:spacing w:val="0"/>
          <w:w w:val="100"/>
          <w:position w:val="0"/>
        </w:rPr>
        <w:t>份调整为</w:t>
      </w:r>
      <w:r>
        <w:rPr>
          <w:color w:val="000000"/>
          <w:spacing w:val="0"/>
          <w:w w:val="100"/>
          <w:position w:val="0"/>
          <w:sz w:val="18"/>
          <w:szCs w:val="18"/>
        </w:rPr>
        <w:t xml:space="preserve">21. </w:t>
      </w:r>
      <w:r>
        <w:rPr>
          <w:color w:val="000000"/>
          <w:spacing w:val="0"/>
          <w:w w:val="100"/>
          <w:position w:val="0"/>
          <w:sz w:val="18"/>
          <w:szCs w:val="18"/>
        </w:rPr>
        <w:t>54</w:t>
      </w:r>
      <w:r>
        <w:rPr>
          <w:color w:val="000000"/>
          <w:spacing w:val="0"/>
          <w:w w:val="100"/>
          <w:position w:val="0"/>
        </w:rPr>
        <w:t>元</w:t>
      </w:r>
      <w:r>
        <w:rPr>
          <w:color w:val="000000"/>
          <w:spacing w:val="0"/>
          <w:w w:val="100"/>
          <w:position w:val="0"/>
          <w:sz w:val="18"/>
          <w:szCs w:val="18"/>
        </w:rPr>
        <w:t>/</w:t>
      </w:r>
      <w:r>
        <w:rPr>
          <w:color w:val="000000"/>
          <w:spacing w:val="0"/>
          <w:w w:val="100"/>
          <w:position w:val="0"/>
        </w:rPr>
        <w:t>份。</w:t>
      </w:r>
    </w:p>
    <w:tbl>
      <w:tblPr>
        <w:tblOverlap w:val="never"/>
        <w:jc w:val="left"/>
        <w:tblLayout w:type="fixed"/>
      </w:tblPr>
      <w:tblGrid>
        <w:gridCol w:w="1709"/>
        <w:gridCol w:w="5386"/>
        <w:gridCol w:w="1790"/>
      </w:tblGrid>
      <w:tr>
        <w:trPr>
          <w:trHeight w:val="278"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说明</w:t>
            </w:r>
            <w:r>
              <w:rPr>
                <w:color w:val="000000"/>
                <w:spacing w:val="0"/>
                <w:w w:val="100"/>
                <w:position w:val="0"/>
                <w:sz w:val="18"/>
                <w:szCs w:val="18"/>
              </w:rPr>
              <w:t>3</w:t>
            </w:r>
            <w:r>
              <w:rPr>
                <w:color w:val="000000"/>
                <w:spacing w:val="0"/>
                <w:w w:val="100"/>
                <w:position w:val="0"/>
              </w:rPr>
              <w:t>：股票期权的行权期及各期行权时间安排如下表所示</w:t>
            </w:r>
          </w:p>
        </w:tc>
      </w:tr>
      <w:tr>
        <w:trPr>
          <w:trHeight w:val="35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行权安排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行权比例</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第一个行权期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自股票期权授予之日起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个月后的首个交易日起至股票期 权授予之日起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个月内的最后一个交易日当日止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第二个行权期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自股票期权授予之日起</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个月后的首个交易日起至股票期 权授予之日起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个月内的最后一个交易日当日止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67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第三个行权期</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自股票期权授予之日起</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个月后的首个交易日起至股票期 权授予之日起</w:t>
            </w:r>
            <w:r>
              <w:rPr>
                <w:rFonts w:ascii="Times New Roman" w:eastAsia="Times New Roman" w:hAnsi="Times New Roman" w:cs="Times New Roman"/>
                <w:color w:val="000000"/>
                <w:spacing w:val="0"/>
                <w:w w:val="100"/>
                <w:position w:val="0"/>
                <w:sz w:val="20"/>
                <w:szCs w:val="20"/>
              </w:rPr>
              <w:t>48</w:t>
            </w:r>
            <w:r>
              <w:rPr>
                <w:color w:val="000000"/>
                <w:spacing w:val="0"/>
                <w:w w:val="100"/>
                <w:position w:val="0"/>
                <w:sz w:val="20"/>
                <w:szCs w:val="20"/>
              </w:rPr>
              <w:t>个月内的最后一个交易日当日止</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bl>
    <w:p>
      <w:pPr>
        <w:widowControl w:val="0"/>
        <w:spacing w:after="599" w:line="1" w:lineRule="exact"/>
      </w:pPr>
    </w:p>
    <w:p>
      <w:pPr>
        <w:pStyle w:val="Style29"/>
        <w:keepNext/>
        <w:keepLines/>
        <w:widowControl w:val="0"/>
        <w:shd w:val="clear" w:color="auto" w:fill="auto"/>
        <w:bidi w:val="0"/>
        <w:spacing w:before="0" w:after="320" w:line="240" w:lineRule="auto"/>
        <w:ind w:left="0" w:right="0" w:firstLine="0"/>
        <w:jc w:val="both"/>
      </w:pPr>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312"/>
      <w:bookmarkEnd w:id="2313"/>
      <w:bookmarkEnd w:id="2314"/>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94,581,891.23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76,190,277.82</w:t>
            </w:r>
          </w:p>
        </w:tc>
      </w:tr>
    </w:tbl>
    <w:p>
      <w:pPr>
        <w:pStyle w:val="Style18"/>
        <w:keepNext w:val="0"/>
        <w:keepLines w:val="0"/>
        <w:widowControl w:val="0"/>
        <w:shd w:val="clear" w:color="auto" w:fill="auto"/>
        <w:bidi w:val="0"/>
        <w:spacing w:before="0" w:after="340" w:line="324"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3</w:t>
      </w:r>
      <w:bookmarkEnd w:id="2317"/>
      <w:r>
        <w:rPr>
          <w:color w:val="000000"/>
          <w:spacing w:val="0"/>
          <w:w w:val="100"/>
          <w:position w:val="0"/>
        </w:rPr>
        <w:t>、</w:t>
        <w:tab/>
        <w:t>以现金结算的股份支付情况</w:t>
      </w:r>
      <w:bookmarkEnd w:id="2315"/>
      <w:bookmarkEnd w:id="2316"/>
      <w:bookmarkEnd w:id="2318"/>
    </w:p>
    <w:p>
      <w:pPr>
        <w:pStyle w:val="Style18"/>
        <w:keepNext w:val="0"/>
        <w:keepLines w:val="0"/>
        <w:widowControl w:val="0"/>
        <w:shd w:val="clear" w:color="auto" w:fill="auto"/>
        <w:bidi w:val="0"/>
        <w:spacing w:before="0" w:after="340" w:line="32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4</w:t>
      </w:r>
      <w:bookmarkEnd w:id="2321"/>
      <w:r>
        <w:rPr>
          <w:color w:val="000000"/>
          <w:spacing w:val="0"/>
          <w:w w:val="100"/>
          <w:position w:val="0"/>
        </w:rPr>
        <w:t>、</w:t>
        <w:tab/>
        <w:t>股份支付的修改、终止情况</w:t>
      </w:r>
      <w:bookmarkEnd w:id="2319"/>
      <w:bookmarkEnd w:id="2320"/>
      <w:bookmarkEnd w:id="2322"/>
    </w:p>
    <w:p>
      <w:pPr>
        <w:pStyle w:val="Style18"/>
        <w:keepNext w:val="0"/>
        <w:keepLines w:val="0"/>
        <w:widowControl w:val="0"/>
        <w:shd w:val="clear" w:color="auto" w:fill="auto"/>
        <w:bidi w:val="0"/>
        <w:spacing w:before="0" w:after="100" w:line="322" w:lineRule="exact"/>
        <w:ind w:left="0" w:right="0"/>
        <w:jc w:val="left"/>
      </w:pPr>
      <w:r>
        <w:rPr>
          <w:color w:val="000000"/>
          <w:spacing w:val="0"/>
          <w:w w:val="100"/>
          <w:position w:val="0"/>
          <w:sz w:val="18"/>
          <w:szCs w:val="18"/>
        </w:rPr>
        <w:t>（1）2021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日，公司第四届董事会第九次会议及第四届监事会第八次会议，审议通过《关于修订</w:t>
      </w:r>
      <w:r>
        <w:rPr>
          <w:color w:val="000000"/>
          <w:spacing w:val="0"/>
          <w:w w:val="100"/>
          <w:position w:val="0"/>
          <w:sz w:val="18"/>
          <w:szCs w:val="18"/>
        </w:rPr>
        <w:t>2020</w:t>
      </w:r>
      <w:r>
        <w:rPr>
          <w:color w:val="000000"/>
          <w:spacing w:val="0"/>
          <w:w w:val="100"/>
          <w:position w:val="0"/>
        </w:rPr>
        <w:t>年股票期权 激励计划公司层面业绩考核指标的议案》。</w:t>
      </w:r>
    </w:p>
    <w:p>
      <w:pPr>
        <w:pStyle w:val="Style18"/>
        <w:keepNext w:val="0"/>
        <w:keepLines w:val="0"/>
        <w:widowControl w:val="0"/>
        <w:shd w:val="clear" w:color="auto" w:fill="auto"/>
        <w:bidi w:val="0"/>
        <w:spacing w:before="0" w:after="260" w:line="324" w:lineRule="exact"/>
        <w:ind w:left="0" w:right="0"/>
        <w:jc w:val="left"/>
      </w:pPr>
      <w:r>
        <w:rPr>
          <w:color w:val="000000"/>
          <w:spacing w:val="0"/>
          <w:w w:val="100"/>
          <w:position w:val="0"/>
        </w:rPr>
        <w:t>修订后：</w:t>
      </w:r>
    </w:p>
    <w:p>
      <w:pPr>
        <w:pStyle w:val="Style25"/>
        <w:keepNext w:val="0"/>
        <w:keepLines w:val="0"/>
        <w:widowControl w:val="0"/>
        <w:shd w:val="clear" w:color="auto" w:fill="auto"/>
        <w:bidi w:val="0"/>
        <w:spacing w:before="0" w:after="0" w:line="326" w:lineRule="exact"/>
        <w:ind w:left="0" w:right="0" w:firstLine="0"/>
        <w:jc w:val="distribute"/>
      </w:pPr>
      <w:r>
        <w:rPr>
          <w:color w:val="000000"/>
          <w:spacing w:val="0"/>
          <w:w w:val="100"/>
          <w:position w:val="0"/>
        </w:rPr>
        <w:t>激励计划在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w:t>
      </w:r>
      <w:r>
        <w:rPr>
          <w:color w:val="000000"/>
          <w:spacing w:val="0"/>
          <w:w w:val="100"/>
          <w:position w:val="0"/>
          <w:sz w:val="18"/>
          <w:szCs w:val="18"/>
        </w:rPr>
        <w:t>2</w:t>
      </w:r>
      <w:r>
        <w:rPr>
          <w:color w:val="000000"/>
          <w:spacing w:val="0"/>
          <w:w w:val="100"/>
          <w:position w:val="0"/>
        </w:rPr>
        <w:t>年会计年度中，分年度对公司的业绩指标进行考核，以达到业绩考核目标作为激励对象当年度 的行权条件之一。激励计划业绩考核目标如下表所示：</w:t>
      </w:r>
    </w:p>
    <w:tbl>
      <w:tblPr>
        <w:tblOverlap w:val="never"/>
        <w:jc w:val="center"/>
        <w:tblLayout w:type="fixed"/>
      </w:tblPr>
      <w:tblGrid>
        <w:gridCol w:w="1810"/>
        <w:gridCol w:w="7277"/>
      </w:tblGrid>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行权期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业绩考核目标</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第一个行权期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以</w:t>
            </w:r>
            <w:r>
              <w:rPr>
                <w:color w:val="000000"/>
                <w:spacing w:val="0"/>
                <w:w w:val="100"/>
                <w:position w:val="0"/>
                <w:sz w:val="18"/>
                <w:szCs w:val="18"/>
              </w:rPr>
              <w:t>2019</w:t>
            </w:r>
            <w:r>
              <w:rPr>
                <w:color w:val="000000"/>
                <w:spacing w:val="0"/>
                <w:w w:val="100"/>
                <w:position w:val="0"/>
              </w:rPr>
              <w:t>年营业收入为基数，</w:t>
            </w:r>
            <w:r>
              <w:rPr>
                <w:color w:val="000000"/>
                <w:spacing w:val="0"/>
                <w:w w:val="100"/>
                <w:position w:val="0"/>
                <w:sz w:val="18"/>
                <w:szCs w:val="18"/>
              </w:rPr>
              <w:t>2020</w:t>
            </w:r>
            <w:r>
              <w:rPr>
                <w:color w:val="000000"/>
                <w:spacing w:val="0"/>
                <w:w w:val="100"/>
                <w:position w:val="0"/>
              </w:rPr>
              <w:t>年营业收入增长率不低于</w:t>
            </w:r>
            <w:r>
              <w:rPr>
                <w:color w:val="000000"/>
                <w:spacing w:val="0"/>
                <w:w w:val="100"/>
                <w:position w:val="0"/>
                <w:sz w:val="18"/>
                <w:szCs w:val="18"/>
              </w:rPr>
              <w:t>10%；</w:t>
            </w:r>
          </w:p>
        </w:tc>
      </w:tr>
      <w:tr>
        <w:trPr>
          <w:trHeight w:val="7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第二个行权期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以</w:t>
            </w:r>
            <w:r>
              <w:rPr>
                <w:color w:val="000000"/>
                <w:spacing w:val="0"/>
                <w:w w:val="100"/>
                <w:position w:val="0"/>
                <w:sz w:val="18"/>
                <w:szCs w:val="18"/>
              </w:rPr>
              <w:t>2019</w:t>
            </w:r>
            <w:r>
              <w:rPr>
                <w:color w:val="000000"/>
                <w:spacing w:val="0"/>
                <w:w w:val="100"/>
                <w:position w:val="0"/>
              </w:rPr>
              <w:t>年营业收入为基数，</w:t>
            </w:r>
            <w:r>
              <w:rPr>
                <w:color w:val="000000"/>
                <w:spacing w:val="0"/>
                <w:w w:val="100"/>
                <w:position w:val="0"/>
                <w:sz w:val="18"/>
                <w:szCs w:val="18"/>
              </w:rPr>
              <w:t>2021</w:t>
            </w:r>
            <w:r>
              <w:rPr>
                <w:color w:val="000000"/>
                <w:spacing w:val="0"/>
                <w:w w:val="100"/>
                <w:position w:val="0"/>
              </w:rPr>
              <w:t>年营业收入增长率不低于</w:t>
            </w:r>
            <w:r>
              <w:rPr>
                <w:color w:val="000000"/>
                <w:spacing w:val="0"/>
                <w:w w:val="100"/>
                <w:position w:val="0"/>
                <w:sz w:val="18"/>
                <w:szCs w:val="18"/>
              </w:rPr>
              <w:t>40%；</w:t>
            </w:r>
            <w:r>
              <w:rPr>
                <w:color w:val="000000"/>
                <w:spacing w:val="0"/>
                <w:w w:val="100"/>
                <w:position w:val="0"/>
              </w:rPr>
              <w:t>且以</w:t>
            </w:r>
            <w:r>
              <w:rPr>
                <w:color w:val="000000"/>
                <w:spacing w:val="0"/>
                <w:w w:val="100"/>
                <w:position w:val="0"/>
                <w:sz w:val="18"/>
                <w:szCs w:val="18"/>
              </w:rPr>
              <w:t>2019</w:t>
            </w:r>
            <w:r>
              <w:rPr>
                <w:color w:val="000000"/>
                <w:spacing w:val="0"/>
                <w:w w:val="100"/>
                <w:position w:val="0"/>
              </w:rPr>
              <w:t>年归属于上市公 司股东的净利润为基数，</w:t>
            </w:r>
            <w:r>
              <w:rPr>
                <w:color w:val="000000"/>
                <w:spacing w:val="0"/>
                <w:w w:val="100"/>
                <w:position w:val="0"/>
                <w:sz w:val="18"/>
                <w:szCs w:val="18"/>
              </w:rPr>
              <w:t>2021</w:t>
            </w:r>
            <w:r>
              <w:rPr>
                <w:color w:val="000000"/>
                <w:spacing w:val="0"/>
                <w:w w:val="100"/>
                <w:position w:val="0"/>
              </w:rPr>
              <w:t>年归属于上市公司股东的净利润增长率不低于</w:t>
            </w:r>
            <w:r>
              <w:rPr>
                <w:color w:val="000000"/>
                <w:spacing w:val="0"/>
                <w:w w:val="100"/>
                <w:position w:val="0"/>
                <w:sz w:val="18"/>
                <w:szCs w:val="18"/>
              </w:rPr>
              <w:t>40%；</w:t>
            </w:r>
          </w:p>
        </w:tc>
      </w:tr>
      <w:tr>
        <w:trPr>
          <w:trHeight w:val="7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第三个行权期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360"/>
              <w:jc w:val="left"/>
            </w:pPr>
            <w:r>
              <w:rPr>
                <w:color w:val="000000"/>
                <w:spacing w:val="0"/>
                <w:w w:val="100"/>
                <w:position w:val="0"/>
              </w:rPr>
              <w:t>以</w:t>
            </w:r>
            <w:r>
              <w:rPr>
                <w:color w:val="000000"/>
                <w:spacing w:val="0"/>
                <w:w w:val="100"/>
                <w:position w:val="0"/>
                <w:sz w:val="18"/>
                <w:szCs w:val="18"/>
              </w:rPr>
              <w:t>2019</w:t>
            </w:r>
            <w:r>
              <w:rPr>
                <w:color w:val="000000"/>
                <w:spacing w:val="0"/>
                <w:w w:val="100"/>
                <w:position w:val="0"/>
              </w:rPr>
              <w:t>年营业收入为基数，</w:t>
            </w:r>
            <w:r>
              <w:rPr>
                <w:color w:val="000000"/>
                <w:spacing w:val="0"/>
                <w:w w:val="100"/>
                <w:position w:val="0"/>
                <w:sz w:val="18"/>
                <w:szCs w:val="18"/>
              </w:rPr>
              <w:t>2022</w:t>
            </w:r>
            <w:r>
              <w:rPr>
                <w:color w:val="000000"/>
                <w:spacing w:val="0"/>
                <w:w w:val="100"/>
                <w:position w:val="0"/>
              </w:rPr>
              <w:t>年营业收入增长率不低于</w:t>
            </w:r>
            <w:r>
              <w:rPr>
                <w:color w:val="000000"/>
                <w:spacing w:val="0"/>
                <w:w w:val="100"/>
                <w:position w:val="0"/>
                <w:sz w:val="18"/>
                <w:szCs w:val="18"/>
              </w:rPr>
              <w:t>80%；</w:t>
            </w:r>
            <w:r>
              <w:rPr>
                <w:color w:val="000000"/>
                <w:spacing w:val="0"/>
                <w:w w:val="100"/>
                <w:position w:val="0"/>
              </w:rPr>
              <w:t>且以</w:t>
            </w:r>
            <w:r>
              <w:rPr>
                <w:color w:val="000000"/>
                <w:spacing w:val="0"/>
                <w:w w:val="100"/>
                <w:position w:val="0"/>
                <w:sz w:val="18"/>
                <w:szCs w:val="18"/>
              </w:rPr>
              <w:t>2019</w:t>
            </w:r>
            <w:r>
              <w:rPr>
                <w:color w:val="000000"/>
                <w:spacing w:val="0"/>
                <w:w w:val="100"/>
                <w:position w:val="0"/>
              </w:rPr>
              <w:t>年归属于上市公 司股东的净利润为基数，</w:t>
            </w:r>
            <w:r>
              <w:rPr>
                <w:color w:val="000000"/>
                <w:spacing w:val="0"/>
                <w:w w:val="100"/>
                <w:position w:val="0"/>
                <w:sz w:val="18"/>
                <w:szCs w:val="18"/>
              </w:rPr>
              <w:t>2022</w:t>
            </w:r>
            <w:r>
              <w:rPr>
                <w:color w:val="000000"/>
                <w:spacing w:val="0"/>
                <w:w w:val="100"/>
                <w:position w:val="0"/>
              </w:rPr>
              <w:t>年归属于上市公司股东的净利润增长率不低于</w:t>
            </w:r>
            <w:r>
              <w:rPr>
                <w:color w:val="000000"/>
                <w:spacing w:val="0"/>
                <w:w w:val="100"/>
                <w:position w:val="0"/>
                <w:sz w:val="18"/>
                <w:szCs w:val="18"/>
              </w:rPr>
              <w:t>80%</w:t>
            </w: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公司未满足上述业绩考核目标的，所有激励对象对应考核当年可行权的股票期权均不得行权，由公司注销。</w:t>
      </w:r>
    </w:p>
    <w:p>
      <w:pPr>
        <w:widowControl w:val="0"/>
        <w:spacing w:after="99" w:line="1" w:lineRule="exact"/>
      </w:pPr>
    </w:p>
    <w:p>
      <w:pPr>
        <w:pStyle w:val="Style18"/>
        <w:keepNext w:val="0"/>
        <w:keepLines w:val="0"/>
        <w:widowControl w:val="0"/>
        <w:shd w:val="clear" w:color="auto" w:fill="auto"/>
        <w:bidi w:val="0"/>
        <w:spacing w:before="0" w:after="680" w:line="312" w:lineRule="exact"/>
        <w:ind w:left="0" w:right="0"/>
        <w:jc w:val="both"/>
      </w:pPr>
      <w:r>
        <w:rPr>
          <w:color w:val="000000"/>
          <w:spacing w:val="0"/>
          <w:w w:val="100"/>
          <w:position w:val="0"/>
          <w:sz w:val="18"/>
          <w:szCs w:val="18"/>
        </w:rPr>
        <w:t>（2）2021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公司第四届董事会第十三次会议和第四届监事会第十二次会议，审议通过《关于调整</w:t>
      </w:r>
      <w:r>
        <w:rPr>
          <w:color w:val="000000"/>
          <w:spacing w:val="0"/>
          <w:w w:val="100"/>
          <w:position w:val="0"/>
          <w:sz w:val="18"/>
          <w:szCs w:val="18"/>
        </w:rPr>
        <w:t>2020</w:t>
      </w:r>
      <w:r>
        <w:rPr>
          <w:color w:val="000000"/>
          <w:spacing w:val="0"/>
          <w:w w:val="100"/>
          <w:position w:val="0"/>
        </w:rPr>
        <w:t>年股票期 权激励计划行权价格的议案》。鉴于公司</w:t>
      </w:r>
      <w:r>
        <w:rPr>
          <w:color w:val="000000"/>
          <w:spacing w:val="0"/>
          <w:w w:val="100"/>
          <w:position w:val="0"/>
          <w:sz w:val="18"/>
          <w:szCs w:val="18"/>
        </w:rPr>
        <w:t>2020</w:t>
      </w:r>
      <w:r>
        <w:rPr>
          <w:color w:val="000000"/>
          <w:spacing w:val="0"/>
          <w:w w:val="100"/>
          <w:position w:val="0"/>
        </w:rPr>
        <w:t>年年度权益分派已于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7</w:t>
      </w:r>
      <w:r>
        <w:rPr>
          <w:color w:val="000000"/>
          <w:spacing w:val="0"/>
          <w:w w:val="100"/>
          <w:position w:val="0"/>
        </w:rPr>
        <w:t>日实施完成，公司董事会对本激励计划的股票 期权行权价格进行了调整。调整后，本激励计划拟授予股票期权的行权价格由</w:t>
      </w:r>
      <w:r>
        <w:rPr>
          <w:color w:val="000000"/>
          <w:spacing w:val="0"/>
          <w:w w:val="100"/>
          <w:position w:val="0"/>
          <w:sz w:val="18"/>
          <w:szCs w:val="18"/>
        </w:rPr>
        <w:t>21.69</w:t>
      </w:r>
      <w:r>
        <w:rPr>
          <w:color w:val="000000"/>
          <w:spacing w:val="0"/>
          <w:w w:val="100"/>
          <w:position w:val="0"/>
        </w:rPr>
        <w:t>元</w:t>
      </w:r>
      <w:r>
        <w:rPr>
          <w:color w:val="000000"/>
          <w:spacing w:val="0"/>
          <w:w w:val="100"/>
          <w:position w:val="0"/>
          <w:sz w:val="18"/>
          <w:szCs w:val="18"/>
        </w:rPr>
        <w:t>/</w:t>
      </w:r>
      <w:r>
        <w:rPr>
          <w:color w:val="000000"/>
          <w:spacing w:val="0"/>
          <w:w w:val="100"/>
          <w:position w:val="0"/>
        </w:rPr>
        <w:t>份调整为</w:t>
      </w:r>
      <w:r>
        <w:rPr>
          <w:color w:val="000000"/>
          <w:spacing w:val="0"/>
          <w:w w:val="100"/>
          <w:position w:val="0"/>
          <w:sz w:val="18"/>
          <w:szCs w:val="18"/>
        </w:rPr>
        <w:t>21.54</w:t>
      </w:r>
      <w:r>
        <w:rPr>
          <w:color w:val="000000"/>
          <w:spacing w:val="0"/>
          <w:w w:val="100"/>
          <w:position w:val="0"/>
        </w:rPr>
        <w:t>元</w:t>
      </w:r>
      <w:r>
        <w:rPr>
          <w:color w:val="000000"/>
          <w:spacing w:val="0"/>
          <w:w w:val="100"/>
          <w:position w:val="0"/>
          <w:sz w:val="18"/>
          <w:szCs w:val="18"/>
        </w:rPr>
        <w:t>/</w:t>
      </w:r>
      <w:r>
        <w:rPr>
          <w:color w:val="000000"/>
          <w:spacing w:val="0"/>
          <w:w w:val="100"/>
          <w:position w:val="0"/>
        </w:rPr>
        <w:t>份。</w:t>
      </w:r>
    </w:p>
    <w:p>
      <w:pPr>
        <w:pStyle w:val="Style29"/>
        <w:keepNext/>
        <w:keepLines/>
        <w:widowControl w:val="0"/>
        <w:shd w:val="clear" w:color="auto" w:fill="auto"/>
        <w:bidi w:val="0"/>
        <w:spacing w:before="0" w:after="340" w:line="240" w:lineRule="auto"/>
        <w:ind w:left="0" w:right="0" w:firstLine="0"/>
        <w:jc w:val="both"/>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5</w:t>
      </w:r>
      <w:bookmarkEnd w:id="2325"/>
      <w:r>
        <w:rPr>
          <w:color w:val="000000"/>
          <w:spacing w:val="0"/>
          <w:w w:val="100"/>
          <w:position w:val="0"/>
        </w:rPr>
        <w:t>、其他</w:t>
      </w:r>
      <w:bookmarkEnd w:id="2323"/>
      <w:bookmarkEnd w:id="2324"/>
      <w:bookmarkEnd w:id="2326"/>
    </w:p>
    <w:p>
      <w:pPr>
        <w:pStyle w:val="Style23"/>
        <w:keepNext/>
        <w:keepLines/>
        <w:widowControl w:val="0"/>
        <w:shd w:val="clear" w:color="auto" w:fill="auto"/>
        <w:bidi w:val="0"/>
        <w:spacing w:before="0" w:after="340" w:line="240" w:lineRule="auto"/>
        <w:ind w:left="0" w:right="0" w:firstLine="0"/>
        <w:jc w:val="both"/>
      </w:pPr>
      <w:bookmarkStart w:id="2327" w:name="bookmark2327"/>
      <w:bookmarkStart w:id="2328" w:name="bookmark2328"/>
      <w:bookmarkStart w:id="2329" w:name="bookmark2329"/>
      <w:r>
        <w:rPr>
          <w:color w:val="000000"/>
          <w:spacing w:val="0"/>
          <w:w w:val="100"/>
          <w:position w:val="0"/>
          <w:sz w:val="24"/>
          <w:szCs w:val="24"/>
        </w:rPr>
        <w:t>十四、承诺及或有事项</w:t>
      </w:r>
      <w:bookmarkEnd w:id="2327"/>
      <w:bookmarkEnd w:id="2328"/>
      <w:bookmarkEnd w:id="2329"/>
    </w:p>
    <w:p>
      <w:pPr>
        <w:pStyle w:val="Style29"/>
        <w:keepNext/>
        <w:keepLines/>
        <w:widowControl w:val="0"/>
        <w:shd w:val="clear" w:color="auto" w:fill="auto"/>
        <w:bidi w:val="0"/>
        <w:spacing w:before="0" w:after="260" w:line="240" w:lineRule="auto"/>
        <w:ind w:left="0" w:right="0" w:firstLine="0"/>
        <w:jc w:val="both"/>
      </w:pPr>
      <w:bookmarkStart w:id="2330" w:name="bookmark2330"/>
      <w:bookmarkStart w:id="2331" w:name="bookmark2331"/>
      <w:bookmarkStart w:id="2332" w:name="bookmark233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330"/>
      <w:bookmarkEnd w:id="2331"/>
      <w:bookmarkEnd w:id="2332"/>
    </w:p>
    <w:p>
      <w:pPr>
        <w:pStyle w:val="Style18"/>
        <w:keepNext w:val="0"/>
        <w:keepLines w:val="0"/>
        <w:widowControl w:val="0"/>
        <w:shd w:val="clear" w:color="auto" w:fill="auto"/>
        <w:bidi w:val="0"/>
        <w:spacing w:before="0" w:after="160" w:line="312" w:lineRule="exact"/>
        <w:ind w:left="0" w:right="0" w:firstLine="0"/>
        <w:jc w:val="both"/>
      </w:pPr>
      <w:r>
        <w:rPr>
          <w:color w:val="000000"/>
          <w:spacing w:val="0"/>
          <w:w w:val="100"/>
          <w:position w:val="0"/>
        </w:rPr>
        <w:t>资产负债表日存在的重要承诺</w:t>
      </w:r>
    </w:p>
    <w:p>
      <w:pPr>
        <w:pStyle w:val="Style20"/>
        <w:keepNext w:val="0"/>
        <w:keepLines w:val="0"/>
        <w:widowControl w:val="0"/>
        <w:shd w:val="clear" w:color="auto" w:fill="auto"/>
        <w:bidi w:val="0"/>
        <w:spacing w:before="0" w:after="260" w:line="240" w:lineRule="auto"/>
        <w:ind w:left="0" w:right="0" w:firstLine="500"/>
        <w:jc w:val="left"/>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日，本公司无需要披露的重大承诺事项。</w:t>
      </w:r>
    </w:p>
    <w:p>
      <w:pPr>
        <w:pStyle w:val="Style29"/>
        <w:keepNext/>
        <w:keepLines/>
        <w:widowControl w:val="0"/>
        <w:shd w:val="clear" w:color="auto" w:fill="auto"/>
        <w:tabs>
          <w:tab w:pos="378" w:val="left"/>
        </w:tabs>
        <w:bidi w:val="0"/>
        <w:spacing w:before="0" w:after="320" w:line="240" w:lineRule="auto"/>
        <w:ind w:left="0" w:right="0" w:firstLine="0"/>
        <w:jc w:val="left"/>
      </w:pPr>
      <w:bookmarkStart w:id="2333" w:name="bookmark2333"/>
      <w:bookmarkStart w:id="2334" w:name="bookmark2334"/>
      <w:bookmarkStart w:id="2335" w:name="bookmark2335"/>
      <w:bookmarkStart w:id="2336" w:name="bookmark2336"/>
      <w:r>
        <w:rPr>
          <w:rFonts w:ascii="Times New Roman" w:eastAsia="Times New Roman" w:hAnsi="Times New Roman" w:cs="Times New Roman"/>
          <w:color w:val="000000"/>
          <w:spacing w:val="0"/>
          <w:w w:val="100"/>
          <w:position w:val="0"/>
        </w:rPr>
        <w:t>2</w:t>
      </w:r>
      <w:bookmarkEnd w:id="2335"/>
      <w:r>
        <w:rPr>
          <w:color w:val="000000"/>
          <w:spacing w:val="0"/>
          <w:w w:val="100"/>
          <w:position w:val="0"/>
        </w:rPr>
        <w:t>、</w:t>
        <w:tab/>
        <w:t>或有事项</w:t>
      </w:r>
      <w:bookmarkEnd w:id="2333"/>
      <w:bookmarkEnd w:id="2334"/>
      <w:bookmarkEnd w:id="2336"/>
    </w:p>
    <w:p>
      <w:pPr>
        <w:pStyle w:val="Style40"/>
        <w:keepNext/>
        <w:keepLines/>
        <w:widowControl w:val="0"/>
        <w:shd w:val="clear" w:color="auto" w:fill="auto"/>
        <w:tabs>
          <w:tab w:pos="493" w:val="left"/>
        </w:tabs>
        <w:bidi w:val="0"/>
        <w:spacing w:before="0" w:after="320" w:line="240" w:lineRule="auto"/>
        <w:ind w:left="0" w:right="0" w:firstLine="0"/>
        <w:jc w:val="left"/>
      </w:pPr>
      <w:bookmarkStart w:id="2337" w:name="bookmark2337"/>
      <w:bookmarkStart w:id="2338" w:name="bookmark2338"/>
      <w:bookmarkStart w:id="2339" w:name="bookmark2339"/>
      <w:bookmarkStart w:id="2340" w:name="bookmark2340"/>
      <w:r>
        <w:rPr>
          <w:color w:val="000000"/>
          <w:spacing w:val="0"/>
          <w:w w:val="100"/>
          <w:position w:val="0"/>
        </w:rPr>
        <w:t>（</w:t>
      </w:r>
      <w:bookmarkEnd w:id="233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337"/>
      <w:bookmarkEnd w:id="2338"/>
      <w:bookmarkEnd w:id="2340"/>
    </w:p>
    <w:p>
      <w:pPr>
        <w:pStyle w:val="Style20"/>
        <w:keepNext w:val="0"/>
        <w:keepLines w:val="0"/>
        <w:widowControl w:val="0"/>
        <w:shd w:val="clear" w:color="auto" w:fill="auto"/>
        <w:bidi w:val="0"/>
        <w:spacing w:before="0" w:after="640" w:line="240" w:lineRule="auto"/>
        <w:ind w:left="0" w:right="0" w:firstLine="500"/>
        <w:jc w:val="left"/>
        <w:rPr>
          <w:sz w:val="24"/>
          <w:szCs w:val="24"/>
        </w:rPr>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日，本公司无需要披露的其他重大或有事项。</w:t>
      </w:r>
    </w:p>
    <w:p>
      <w:pPr>
        <w:pStyle w:val="Style40"/>
        <w:keepNext/>
        <w:keepLines/>
        <w:widowControl w:val="0"/>
        <w:shd w:val="clear" w:color="auto" w:fill="auto"/>
        <w:tabs>
          <w:tab w:pos="493" w:val="left"/>
        </w:tabs>
        <w:bidi w:val="0"/>
        <w:spacing w:before="0" w:after="380" w:line="240" w:lineRule="auto"/>
        <w:ind w:left="0" w:right="0" w:firstLine="0"/>
        <w:jc w:val="left"/>
      </w:pPr>
      <w:bookmarkStart w:id="2341" w:name="bookmark2341"/>
      <w:bookmarkStart w:id="2342" w:name="bookmark2342"/>
      <w:bookmarkStart w:id="2343" w:name="bookmark2343"/>
      <w:bookmarkStart w:id="2344" w:name="bookmark2344"/>
      <w:r>
        <w:rPr>
          <w:color w:val="000000"/>
          <w:spacing w:val="0"/>
          <w:w w:val="100"/>
          <w:position w:val="0"/>
        </w:rPr>
        <w:t>（</w:t>
      </w:r>
      <w:bookmarkEnd w:id="234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341"/>
      <w:bookmarkEnd w:id="2342"/>
      <w:bookmarkEnd w:id="2344"/>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tabs>
          <w:tab w:pos="378" w:val="left"/>
        </w:tabs>
        <w:bidi w:val="0"/>
        <w:spacing w:before="0" w:after="320" w:line="240" w:lineRule="auto"/>
        <w:ind w:left="0" w:right="0" w:firstLine="0"/>
        <w:jc w:val="left"/>
      </w:pPr>
      <w:bookmarkStart w:id="2345" w:name="bookmark2345"/>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3</w:t>
      </w:r>
      <w:bookmarkEnd w:id="2347"/>
      <w:r>
        <w:rPr>
          <w:color w:val="000000"/>
          <w:spacing w:val="0"/>
          <w:w w:val="100"/>
          <w:position w:val="0"/>
        </w:rPr>
        <w:t>、</w:t>
        <w:tab/>
        <w:t>其他</w:t>
      </w:r>
      <w:bookmarkEnd w:id="2345"/>
      <w:bookmarkEnd w:id="2346"/>
      <w:bookmarkEnd w:id="2348"/>
    </w:p>
    <w:p>
      <w:pPr>
        <w:pStyle w:val="Style23"/>
        <w:keepNext/>
        <w:keepLines/>
        <w:widowControl w:val="0"/>
        <w:shd w:val="clear" w:color="auto" w:fill="auto"/>
        <w:bidi w:val="0"/>
        <w:spacing w:before="0" w:line="240" w:lineRule="auto"/>
        <w:ind w:left="0" w:right="0" w:firstLine="0"/>
        <w:jc w:val="left"/>
      </w:pPr>
      <w:bookmarkStart w:id="2349" w:name="bookmark2349"/>
      <w:bookmarkStart w:id="2350" w:name="bookmark2350"/>
      <w:bookmarkStart w:id="2351" w:name="bookmark2351"/>
      <w:r>
        <w:rPr>
          <w:color w:val="000000"/>
          <w:spacing w:val="0"/>
          <w:w w:val="100"/>
          <w:position w:val="0"/>
          <w:sz w:val="24"/>
          <w:szCs w:val="24"/>
        </w:rPr>
        <w:t>十五、资产负债表日后事项</w:t>
      </w:r>
      <w:bookmarkEnd w:id="2349"/>
      <w:bookmarkEnd w:id="2350"/>
      <w:bookmarkEnd w:id="2351"/>
    </w:p>
    <w:p>
      <w:pPr>
        <w:pStyle w:val="Style29"/>
        <w:keepNext/>
        <w:keepLines/>
        <w:widowControl w:val="0"/>
        <w:shd w:val="clear" w:color="auto" w:fill="auto"/>
        <w:bidi w:val="0"/>
        <w:spacing w:before="0" w:after="380" w:line="240" w:lineRule="auto"/>
        <w:ind w:left="0" w:right="0" w:firstLine="0"/>
        <w:jc w:val="left"/>
      </w:pPr>
      <w:bookmarkStart w:id="2352" w:name="bookmark2352"/>
      <w:bookmarkStart w:id="2353" w:name="bookmark2353"/>
      <w:bookmarkStart w:id="2354" w:name="bookmark235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352"/>
      <w:bookmarkEnd w:id="2353"/>
      <w:bookmarkEnd w:id="23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2355" w:name="bookmark2355"/>
      <w:bookmarkStart w:id="2356" w:name="bookmark2356"/>
      <w:bookmarkStart w:id="2357" w:name="bookmark2357"/>
      <w:bookmarkStart w:id="2358" w:name="bookmark2358"/>
      <w:r>
        <w:rPr>
          <w:rFonts w:ascii="Times New Roman" w:eastAsia="Times New Roman" w:hAnsi="Times New Roman" w:cs="Times New Roman"/>
          <w:color w:val="000000"/>
          <w:spacing w:val="0"/>
          <w:w w:val="100"/>
          <w:position w:val="0"/>
        </w:rPr>
        <w:t>2</w:t>
      </w:r>
      <w:bookmarkEnd w:id="2357"/>
      <w:r>
        <w:rPr>
          <w:color w:val="000000"/>
          <w:spacing w:val="0"/>
          <w:w w:val="100"/>
          <w:position w:val="0"/>
        </w:rPr>
        <w:t>、</w:t>
        <w:tab/>
        <w:t>利润分配情况</w:t>
      </w:r>
      <w:bookmarkEnd w:id="2355"/>
      <w:bookmarkEnd w:id="2356"/>
      <w:bookmarkEnd w:id="2358"/>
    </w:p>
    <w:p>
      <w:pPr>
        <w:pStyle w:val="Style1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p>
    <w:p>
      <w:pPr>
        <w:pStyle w:val="Style29"/>
        <w:keepNext/>
        <w:keepLines/>
        <w:widowControl w:val="0"/>
        <w:shd w:val="clear" w:color="auto" w:fill="auto"/>
        <w:tabs>
          <w:tab w:pos="378" w:val="left"/>
        </w:tabs>
        <w:bidi w:val="0"/>
        <w:spacing w:before="0" w:after="320" w:line="240" w:lineRule="auto"/>
        <w:ind w:left="0" w:right="0" w:firstLine="0"/>
        <w:jc w:val="left"/>
      </w:pPr>
      <w:bookmarkStart w:id="2359" w:name="bookmark2359"/>
      <w:bookmarkStart w:id="2360" w:name="bookmark2360"/>
      <w:bookmarkStart w:id="2361" w:name="bookmark2361"/>
      <w:bookmarkStart w:id="2362" w:name="bookmark2362"/>
      <w:r>
        <w:rPr>
          <w:rFonts w:ascii="Times New Roman" w:eastAsia="Times New Roman" w:hAnsi="Times New Roman" w:cs="Times New Roman"/>
          <w:color w:val="000000"/>
          <w:spacing w:val="0"/>
          <w:w w:val="100"/>
          <w:position w:val="0"/>
        </w:rPr>
        <w:t>3</w:t>
      </w:r>
      <w:bookmarkEnd w:id="2361"/>
      <w:r>
        <w:rPr>
          <w:color w:val="000000"/>
          <w:spacing w:val="0"/>
          <w:w w:val="100"/>
          <w:position w:val="0"/>
        </w:rPr>
        <w:t>、</w:t>
        <w:tab/>
        <w:t>销售退回</w:t>
      </w:r>
      <w:bookmarkEnd w:id="2359"/>
      <w:bookmarkEnd w:id="2360"/>
      <w:bookmarkEnd w:id="2362"/>
    </w:p>
    <w:p>
      <w:pPr>
        <w:pStyle w:val="Style29"/>
        <w:keepNext/>
        <w:keepLines/>
        <w:widowControl w:val="0"/>
        <w:shd w:val="clear" w:color="auto" w:fill="auto"/>
        <w:tabs>
          <w:tab w:pos="378" w:val="left"/>
        </w:tabs>
        <w:bidi w:val="0"/>
        <w:spacing w:before="0" w:after="320" w:line="240" w:lineRule="auto"/>
        <w:ind w:left="0" w:right="0" w:firstLine="0"/>
        <w:jc w:val="left"/>
      </w:pPr>
      <w:bookmarkStart w:id="2363" w:name="bookmark2363"/>
      <w:bookmarkStart w:id="2364" w:name="bookmark2364"/>
      <w:bookmarkStart w:id="2365" w:name="bookmark2365"/>
      <w:bookmarkStart w:id="2366" w:name="bookmark2366"/>
      <w:r>
        <w:rPr>
          <w:rFonts w:ascii="Times New Roman" w:eastAsia="Times New Roman" w:hAnsi="Times New Roman" w:cs="Times New Roman"/>
          <w:color w:val="000000"/>
          <w:spacing w:val="0"/>
          <w:w w:val="100"/>
          <w:position w:val="0"/>
        </w:rPr>
        <w:t>4</w:t>
      </w:r>
      <w:bookmarkEnd w:id="2365"/>
      <w:r>
        <w:rPr>
          <w:color w:val="000000"/>
          <w:spacing w:val="0"/>
          <w:w w:val="100"/>
          <w:position w:val="0"/>
        </w:rPr>
        <w:t>、</w:t>
        <w:tab/>
        <w:t>其他资产负债表日后事项说明</w:t>
      </w:r>
      <w:bookmarkEnd w:id="2363"/>
      <w:bookmarkEnd w:id="2364"/>
      <w:bookmarkEnd w:id="2366"/>
    </w:p>
    <w:p>
      <w:pPr>
        <w:pStyle w:val="Style20"/>
        <w:keepNext w:val="0"/>
        <w:keepLines w:val="0"/>
        <w:widowControl w:val="0"/>
        <w:shd w:val="clear" w:color="auto" w:fill="auto"/>
        <w:bidi w:val="0"/>
        <w:spacing w:before="0" w:after="640" w:line="240" w:lineRule="auto"/>
        <w:ind w:left="0" w:right="0" w:firstLine="500"/>
        <w:jc w:val="left"/>
        <w:rPr>
          <w:sz w:val="24"/>
          <w:szCs w:val="24"/>
        </w:rPr>
      </w:pPr>
      <w:r>
        <w:rPr>
          <w:color w:val="000000"/>
          <w:spacing w:val="0"/>
          <w:w w:val="100"/>
          <w:position w:val="0"/>
          <w:sz w:val="24"/>
          <w:szCs w:val="24"/>
        </w:rPr>
        <w:t>截至董事会批准报告日，本公司不存在其他应披露的资产负债表日后事项。</w:t>
      </w:r>
    </w:p>
    <w:p>
      <w:pPr>
        <w:pStyle w:val="Style23"/>
        <w:keepNext/>
        <w:keepLines/>
        <w:widowControl w:val="0"/>
        <w:shd w:val="clear" w:color="auto" w:fill="auto"/>
        <w:bidi w:val="0"/>
        <w:spacing w:before="0" w:line="240" w:lineRule="auto"/>
        <w:ind w:left="0" w:right="0" w:firstLine="0"/>
        <w:jc w:val="left"/>
      </w:pPr>
      <w:bookmarkStart w:id="2367" w:name="bookmark2367"/>
      <w:bookmarkStart w:id="2368" w:name="bookmark2368"/>
      <w:bookmarkStart w:id="2369" w:name="bookmark2369"/>
      <w:r>
        <w:rPr>
          <w:color w:val="000000"/>
          <w:spacing w:val="0"/>
          <w:w w:val="100"/>
          <w:position w:val="0"/>
          <w:sz w:val="24"/>
          <w:szCs w:val="24"/>
        </w:rPr>
        <w:t>十六、其他重要事项</w:t>
      </w:r>
      <w:bookmarkEnd w:id="2367"/>
      <w:bookmarkEnd w:id="2368"/>
      <w:bookmarkEnd w:id="2369"/>
    </w:p>
    <w:p>
      <w:pPr>
        <w:pStyle w:val="Style29"/>
        <w:keepNext/>
        <w:keepLines/>
        <w:widowControl w:val="0"/>
        <w:shd w:val="clear" w:color="auto" w:fill="auto"/>
        <w:bidi w:val="0"/>
        <w:spacing w:before="0" w:after="320" w:line="240" w:lineRule="auto"/>
        <w:ind w:left="0" w:right="0" w:firstLine="0"/>
        <w:jc w:val="left"/>
      </w:pPr>
      <w:bookmarkStart w:id="2370" w:name="bookmark2370"/>
      <w:bookmarkStart w:id="2371" w:name="bookmark2371"/>
      <w:bookmarkStart w:id="2372" w:name="bookmark237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370"/>
      <w:bookmarkEnd w:id="2371"/>
      <w:bookmarkEnd w:id="2372"/>
    </w:p>
    <w:p>
      <w:pPr>
        <w:pStyle w:val="Style40"/>
        <w:keepNext/>
        <w:keepLines/>
        <w:widowControl w:val="0"/>
        <w:shd w:val="clear" w:color="auto" w:fill="auto"/>
        <w:bidi w:val="0"/>
        <w:spacing w:before="0" w:after="380" w:line="240" w:lineRule="auto"/>
        <w:ind w:left="0" w:right="0" w:firstLine="0"/>
        <w:jc w:val="left"/>
      </w:pPr>
      <w:bookmarkStart w:id="2373" w:name="bookmark2373"/>
      <w:bookmarkStart w:id="2374" w:name="bookmark2374"/>
      <w:bookmarkStart w:id="2375" w:name="bookmark2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373"/>
      <w:bookmarkEnd w:id="2374"/>
      <w:bookmarkEnd w:id="23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pStyle w:val="Style40"/>
        <w:keepNext/>
        <w:keepLines/>
        <w:widowControl w:val="0"/>
        <w:shd w:val="clear" w:color="auto" w:fill="auto"/>
        <w:bidi w:val="0"/>
        <w:spacing w:before="0" w:after="340" w:line="240" w:lineRule="auto"/>
        <w:ind w:left="0" w:right="0" w:firstLine="0"/>
        <w:jc w:val="left"/>
      </w:pPr>
      <w:bookmarkStart w:id="2376" w:name="bookmark2376"/>
      <w:bookmarkStart w:id="2377" w:name="bookmark2377"/>
      <w:bookmarkStart w:id="2378" w:name="bookmark2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376"/>
      <w:bookmarkEnd w:id="2377"/>
      <w:bookmarkEnd w:id="2378"/>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left"/>
      </w:pPr>
      <w:bookmarkStart w:id="2379" w:name="bookmark2379"/>
      <w:bookmarkStart w:id="2380" w:name="bookmark2380"/>
      <w:bookmarkStart w:id="2381" w:name="bookmark2381"/>
      <w:bookmarkStart w:id="2382" w:name="bookmark2382"/>
      <w:r>
        <w:rPr>
          <w:rFonts w:ascii="Times New Roman" w:eastAsia="Times New Roman" w:hAnsi="Times New Roman" w:cs="Times New Roman"/>
          <w:color w:val="000000"/>
          <w:spacing w:val="0"/>
          <w:w w:val="100"/>
          <w:position w:val="0"/>
        </w:rPr>
        <w:t>2</w:t>
      </w:r>
      <w:bookmarkEnd w:id="2381"/>
      <w:r>
        <w:rPr>
          <w:color w:val="000000"/>
          <w:spacing w:val="0"/>
          <w:w w:val="100"/>
          <w:position w:val="0"/>
        </w:rPr>
        <w:t>、</w:t>
        <w:tab/>
        <w:t>债务重组</w:t>
      </w:r>
      <w:bookmarkEnd w:id="2379"/>
      <w:bookmarkEnd w:id="2380"/>
      <w:bookmarkEnd w:id="2382"/>
    </w:p>
    <w:p>
      <w:pPr>
        <w:pStyle w:val="Style29"/>
        <w:keepNext/>
        <w:keepLines/>
        <w:widowControl w:val="0"/>
        <w:shd w:val="clear" w:color="auto" w:fill="auto"/>
        <w:tabs>
          <w:tab w:pos="378" w:val="left"/>
        </w:tabs>
        <w:bidi w:val="0"/>
        <w:spacing w:before="0" w:after="340" w:line="240" w:lineRule="auto"/>
        <w:ind w:left="0" w:right="0" w:firstLine="0"/>
        <w:jc w:val="left"/>
      </w:pPr>
      <w:bookmarkStart w:id="2383" w:name="bookmark2383"/>
      <w:bookmarkStart w:id="2384" w:name="bookmark2384"/>
      <w:bookmarkStart w:id="2385" w:name="bookmark2385"/>
      <w:bookmarkStart w:id="2386" w:name="bookmark2386"/>
      <w:r>
        <w:rPr>
          <w:rFonts w:ascii="Times New Roman" w:eastAsia="Times New Roman" w:hAnsi="Times New Roman" w:cs="Times New Roman"/>
          <w:color w:val="000000"/>
          <w:spacing w:val="0"/>
          <w:w w:val="100"/>
          <w:position w:val="0"/>
        </w:rPr>
        <w:t>3</w:t>
      </w:r>
      <w:bookmarkEnd w:id="2385"/>
      <w:r>
        <w:rPr>
          <w:color w:val="000000"/>
          <w:spacing w:val="0"/>
          <w:w w:val="100"/>
          <w:position w:val="0"/>
        </w:rPr>
        <w:t>、</w:t>
        <w:tab/>
        <w:t>资产置换</w:t>
      </w:r>
      <w:bookmarkEnd w:id="2383"/>
      <w:bookmarkEnd w:id="2384"/>
      <w:bookmarkEnd w:id="2386"/>
    </w:p>
    <w:p>
      <w:pPr>
        <w:pStyle w:val="Style40"/>
        <w:keepNext/>
        <w:keepLines/>
        <w:widowControl w:val="0"/>
        <w:shd w:val="clear" w:color="auto" w:fill="auto"/>
        <w:tabs>
          <w:tab w:pos="493" w:val="left"/>
        </w:tabs>
        <w:bidi w:val="0"/>
        <w:spacing w:before="0" w:after="340" w:line="240" w:lineRule="auto"/>
        <w:ind w:left="0" w:right="0" w:firstLine="0"/>
        <w:jc w:val="left"/>
      </w:pPr>
      <w:bookmarkStart w:id="2387" w:name="bookmark2387"/>
      <w:bookmarkStart w:id="2388" w:name="bookmark2388"/>
      <w:bookmarkStart w:id="2389" w:name="bookmark2389"/>
      <w:bookmarkStart w:id="2390" w:name="bookmark2390"/>
      <w:r>
        <w:rPr>
          <w:color w:val="000000"/>
          <w:spacing w:val="0"/>
          <w:w w:val="100"/>
          <w:position w:val="0"/>
        </w:rPr>
        <w:t>（</w:t>
      </w:r>
      <w:bookmarkEnd w:id="238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387"/>
      <w:bookmarkEnd w:id="2388"/>
      <w:bookmarkEnd w:id="2390"/>
    </w:p>
    <w:p>
      <w:pPr>
        <w:pStyle w:val="Style40"/>
        <w:keepNext/>
        <w:keepLines/>
        <w:widowControl w:val="0"/>
        <w:shd w:val="clear" w:color="auto" w:fill="auto"/>
        <w:tabs>
          <w:tab w:pos="493" w:val="left"/>
        </w:tabs>
        <w:bidi w:val="0"/>
        <w:spacing w:before="0" w:after="340" w:line="240" w:lineRule="auto"/>
        <w:ind w:left="0" w:right="0" w:firstLine="0"/>
        <w:jc w:val="left"/>
      </w:pPr>
      <w:bookmarkStart w:id="2391" w:name="bookmark2391"/>
      <w:bookmarkStart w:id="2392" w:name="bookmark2392"/>
      <w:bookmarkStart w:id="2393" w:name="bookmark2393"/>
      <w:bookmarkStart w:id="2394" w:name="bookmark2394"/>
      <w:r>
        <w:rPr>
          <w:color w:val="000000"/>
          <w:spacing w:val="0"/>
          <w:w w:val="100"/>
          <w:position w:val="0"/>
        </w:rPr>
        <w:t>（</w:t>
      </w:r>
      <w:bookmarkEnd w:id="239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391"/>
      <w:bookmarkEnd w:id="2392"/>
      <w:bookmarkEnd w:id="2394"/>
    </w:p>
    <w:p>
      <w:pPr>
        <w:pStyle w:val="Style29"/>
        <w:keepNext/>
        <w:keepLines/>
        <w:widowControl w:val="0"/>
        <w:shd w:val="clear" w:color="auto" w:fill="auto"/>
        <w:tabs>
          <w:tab w:pos="378" w:val="left"/>
        </w:tabs>
        <w:bidi w:val="0"/>
        <w:spacing w:before="0" w:after="340" w:line="240" w:lineRule="auto"/>
        <w:ind w:left="0" w:right="0" w:firstLine="0"/>
        <w:jc w:val="left"/>
      </w:pPr>
      <w:bookmarkStart w:id="2395" w:name="bookmark2395"/>
      <w:bookmarkStart w:id="2396" w:name="bookmark2396"/>
      <w:bookmarkStart w:id="2397" w:name="bookmark2397"/>
      <w:bookmarkStart w:id="2398" w:name="bookmark2398"/>
      <w:r>
        <w:rPr>
          <w:rFonts w:ascii="Times New Roman" w:eastAsia="Times New Roman" w:hAnsi="Times New Roman" w:cs="Times New Roman"/>
          <w:color w:val="000000"/>
          <w:spacing w:val="0"/>
          <w:w w:val="100"/>
          <w:position w:val="0"/>
        </w:rPr>
        <w:t>4</w:t>
      </w:r>
      <w:bookmarkEnd w:id="2397"/>
      <w:r>
        <w:rPr>
          <w:color w:val="000000"/>
          <w:spacing w:val="0"/>
          <w:w w:val="100"/>
          <w:position w:val="0"/>
        </w:rPr>
        <w:t>、</w:t>
        <w:tab/>
        <w:t>年金计划</w:t>
      </w:r>
      <w:bookmarkEnd w:id="2395"/>
      <w:bookmarkEnd w:id="2396"/>
      <w:bookmarkEnd w:id="2398"/>
    </w:p>
    <w:p>
      <w:pPr>
        <w:pStyle w:val="Style29"/>
        <w:keepNext/>
        <w:keepLines/>
        <w:widowControl w:val="0"/>
        <w:shd w:val="clear" w:color="auto" w:fill="auto"/>
        <w:tabs>
          <w:tab w:pos="378" w:val="left"/>
        </w:tabs>
        <w:bidi w:val="0"/>
        <w:spacing w:before="0" w:after="380" w:line="240" w:lineRule="auto"/>
        <w:ind w:left="0" w:right="0" w:firstLine="0"/>
        <w:jc w:val="left"/>
      </w:pPr>
      <w:bookmarkStart w:id="2399" w:name="bookmark2399"/>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5</w:t>
      </w:r>
      <w:bookmarkEnd w:id="2401"/>
      <w:r>
        <w:rPr>
          <w:color w:val="000000"/>
          <w:spacing w:val="0"/>
          <w:w w:val="100"/>
          <w:position w:val="0"/>
        </w:rPr>
        <w:t>、</w:t>
        <w:tab/>
        <w:t>终止经营</w:t>
      </w:r>
      <w:bookmarkEnd w:id="2399"/>
      <w:bookmarkEnd w:id="2400"/>
      <w:bookmarkEnd w:id="240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4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403" w:name="bookmark2403"/>
      <w:bookmarkStart w:id="2404" w:name="bookmark2404"/>
      <w:bookmarkStart w:id="2405" w:name="bookmark2405"/>
      <w:bookmarkStart w:id="2406" w:name="bookmark2406"/>
      <w:r>
        <w:rPr>
          <w:rFonts w:ascii="Times New Roman" w:eastAsia="Times New Roman" w:hAnsi="Times New Roman" w:cs="Times New Roman"/>
          <w:color w:val="000000"/>
          <w:spacing w:val="0"/>
          <w:w w:val="100"/>
          <w:position w:val="0"/>
        </w:rPr>
        <w:t>6</w:t>
      </w:r>
      <w:bookmarkEnd w:id="2405"/>
      <w:r>
        <w:rPr>
          <w:color w:val="000000"/>
          <w:spacing w:val="0"/>
          <w:w w:val="100"/>
          <w:position w:val="0"/>
        </w:rPr>
        <w:t>、分部信息</w:t>
      </w:r>
      <w:bookmarkEnd w:id="2403"/>
      <w:bookmarkEnd w:id="2404"/>
      <w:bookmarkEnd w:id="2406"/>
    </w:p>
    <w:p>
      <w:pPr>
        <w:pStyle w:val="Style40"/>
        <w:keepNext/>
        <w:keepLines/>
        <w:widowControl w:val="0"/>
        <w:shd w:val="clear" w:color="auto" w:fill="auto"/>
        <w:tabs>
          <w:tab w:pos="493" w:val="left"/>
        </w:tabs>
        <w:bidi w:val="0"/>
        <w:spacing w:before="0" w:after="340" w:line="240" w:lineRule="auto"/>
        <w:ind w:left="0" w:right="0" w:firstLine="0"/>
        <w:jc w:val="left"/>
      </w:pPr>
      <w:bookmarkStart w:id="2407" w:name="bookmark2407"/>
      <w:bookmarkStart w:id="2408" w:name="bookmark2408"/>
      <w:bookmarkStart w:id="2409" w:name="bookmark2409"/>
      <w:bookmarkStart w:id="2410" w:name="bookmark2410"/>
      <w:r>
        <w:rPr>
          <w:color w:val="000000"/>
          <w:spacing w:val="0"/>
          <w:w w:val="100"/>
          <w:position w:val="0"/>
        </w:rPr>
        <w:t>（</w:t>
      </w:r>
      <w:bookmarkEnd w:id="240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407"/>
      <w:bookmarkEnd w:id="2408"/>
      <w:bookmarkEnd w:id="2410"/>
    </w:p>
    <w:p>
      <w:pPr>
        <w:pStyle w:val="Style40"/>
        <w:keepNext/>
        <w:keepLines/>
        <w:widowControl w:val="0"/>
        <w:shd w:val="clear" w:color="auto" w:fill="auto"/>
        <w:tabs>
          <w:tab w:pos="493" w:val="left"/>
        </w:tabs>
        <w:bidi w:val="0"/>
        <w:spacing w:before="0" w:after="340" w:line="240" w:lineRule="auto"/>
        <w:ind w:left="0" w:right="0" w:firstLine="0"/>
        <w:jc w:val="left"/>
      </w:pPr>
      <w:bookmarkStart w:id="2411" w:name="bookmark2411"/>
      <w:bookmarkStart w:id="2412" w:name="bookmark2412"/>
      <w:bookmarkStart w:id="2413" w:name="bookmark2413"/>
      <w:bookmarkStart w:id="2414" w:name="bookmark2414"/>
      <w:r>
        <w:rPr>
          <w:color w:val="000000"/>
          <w:spacing w:val="0"/>
          <w:w w:val="100"/>
          <w:position w:val="0"/>
        </w:rPr>
        <w:t>（</w:t>
      </w:r>
      <w:bookmarkEnd w:id="241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411"/>
      <w:bookmarkEnd w:id="2412"/>
      <w:bookmarkEnd w:id="24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36" w:right="1015" w:bottom="1465" w:left="1021" w:header="0" w:footer="3" w:gutter="0"/>
          <w:cols w:space="720"/>
          <w:noEndnote/>
          <w:rtlGutter w:val="0"/>
          <w:docGrid w:linePitch="360"/>
        </w:sectPr>
      </w:pPr>
    </w:p>
    <w:p>
      <w:pPr>
        <w:pStyle w:val="Style40"/>
        <w:keepNext/>
        <w:keepLines/>
        <w:widowControl w:val="0"/>
        <w:numPr>
          <w:ilvl w:val="0"/>
          <w:numId w:val="161"/>
        </w:numPr>
        <w:shd w:val="clear" w:color="auto" w:fill="auto"/>
        <w:tabs>
          <w:tab w:pos="493" w:val="left"/>
        </w:tabs>
        <w:bidi w:val="0"/>
        <w:spacing w:before="0" w:after="340" w:line="240" w:lineRule="auto"/>
        <w:ind w:left="0" w:right="0" w:firstLine="0"/>
        <w:jc w:val="left"/>
      </w:pPr>
      <w:bookmarkStart w:id="2415" w:name="bookmark2415"/>
      <w:bookmarkStart w:id="2416" w:name="bookmark2416"/>
      <w:bookmarkStart w:id="2417" w:name="bookmark2417"/>
      <w:bookmarkStart w:id="2418" w:name="bookmark2418"/>
      <w:bookmarkEnd w:id="2417"/>
      <w:r>
        <w:rPr>
          <w:color w:val="000000"/>
          <w:spacing w:val="0"/>
          <w:w w:val="100"/>
          <w:position w:val="0"/>
        </w:rPr>
        <w:t>公司无报告分部的，或者不能披露各报告分部的资产总额和负债总额的，应说明原因</w:t>
      </w:r>
      <w:bookmarkEnd w:id="2415"/>
      <w:bookmarkEnd w:id="2416"/>
      <w:bookmarkEnd w:id="2418"/>
    </w:p>
    <w:p>
      <w:pPr>
        <w:pStyle w:val="Style40"/>
        <w:keepNext/>
        <w:keepLines/>
        <w:widowControl w:val="0"/>
        <w:numPr>
          <w:ilvl w:val="0"/>
          <w:numId w:val="161"/>
        </w:numPr>
        <w:shd w:val="clear" w:color="auto" w:fill="auto"/>
        <w:tabs>
          <w:tab w:pos="493" w:val="left"/>
        </w:tabs>
        <w:bidi w:val="0"/>
        <w:spacing w:before="0" w:after="340" w:line="240" w:lineRule="auto"/>
        <w:ind w:left="0" w:right="0" w:firstLine="0"/>
        <w:jc w:val="left"/>
      </w:pPr>
      <w:bookmarkStart w:id="2415" w:name="bookmark2415"/>
      <w:bookmarkStart w:id="2416" w:name="bookmark2416"/>
      <w:bookmarkStart w:id="2419" w:name="bookmark2419"/>
      <w:bookmarkStart w:id="2420" w:name="bookmark2420"/>
      <w:bookmarkEnd w:id="2419"/>
      <w:r>
        <w:rPr>
          <w:color w:val="000000"/>
          <w:spacing w:val="0"/>
          <w:w w:val="100"/>
          <w:position w:val="0"/>
        </w:rPr>
        <w:t>其他说明</w:t>
      </w:r>
      <w:bookmarkEnd w:id="2415"/>
      <w:bookmarkEnd w:id="2416"/>
      <w:bookmarkEnd w:id="2420"/>
    </w:p>
    <w:p>
      <w:pPr>
        <w:pStyle w:val="Style29"/>
        <w:keepNext/>
        <w:keepLines/>
        <w:widowControl w:val="0"/>
        <w:shd w:val="clear" w:color="auto" w:fill="auto"/>
        <w:tabs>
          <w:tab w:pos="373" w:val="left"/>
        </w:tabs>
        <w:bidi w:val="0"/>
        <w:spacing w:before="0" w:after="340" w:line="240" w:lineRule="auto"/>
        <w:ind w:left="0" w:right="0" w:firstLine="0"/>
        <w:jc w:val="left"/>
      </w:pPr>
      <w:bookmarkStart w:id="2421" w:name="bookmark2421"/>
      <w:bookmarkStart w:id="2422" w:name="bookmark2422"/>
      <w:bookmarkStart w:id="2423" w:name="bookmark2423"/>
      <w:bookmarkStart w:id="2424" w:name="bookmark2424"/>
      <w:r>
        <w:rPr>
          <w:rFonts w:ascii="Times New Roman" w:eastAsia="Times New Roman" w:hAnsi="Times New Roman" w:cs="Times New Roman"/>
          <w:color w:val="000000"/>
          <w:spacing w:val="0"/>
          <w:w w:val="100"/>
          <w:position w:val="0"/>
        </w:rPr>
        <w:t>7</w:t>
      </w:r>
      <w:bookmarkEnd w:id="2423"/>
      <w:r>
        <w:rPr>
          <w:color w:val="000000"/>
          <w:spacing w:val="0"/>
          <w:w w:val="100"/>
          <w:position w:val="0"/>
        </w:rPr>
        <w:t>、</w:t>
        <w:tab/>
        <w:t>其他对投资者决策有影响的重要交易和事项</w:t>
      </w:r>
      <w:bookmarkEnd w:id="2421"/>
      <w:bookmarkEnd w:id="2422"/>
      <w:bookmarkEnd w:id="2424"/>
    </w:p>
    <w:p>
      <w:pPr>
        <w:pStyle w:val="Style29"/>
        <w:keepNext/>
        <w:keepLines/>
        <w:widowControl w:val="0"/>
        <w:shd w:val="clear" w:color="auto" w:fill="auto"/>
        <w:tabs>
          <w:tab w:pos="378" w:val="left"/>
        </w:tabs>
        <w:bidi w:val="0"/>
        <w:spacing w:before="0" w:after="340" w:line="240" w:lineRule="auto"/>
        <w:ind w:left="0" w:right="0" w:firstLine="0"/>
        <w:jc w:val="left"/>
      </w:pPr>
      <w:bookmarkStart w:id="2425" w:name="bookmark2425"/>
      <w:bookmarkStart w:id="2426" w:name="bookmark2426"/>
      <w:bookmarkStart w:id="2427" w:name="bookmark2427"/>
      <w:bookmarkStart w:id="2428" w:name="bookmark2428"/>
      <w:r>
        <w:rPr>
          <w:rFonts w:ascii="Times New Roman" w:eastAsia="Times New Roman" w:hAnsi="Times New Roman" w:cs="Times New Roman"/>
          <w:color w:val="000000"/>
          <w:spacing w:val="0"/>
          <w:w w:val="100"/>
          <w:position w:val="0"/>
        </w:rPr>
        <w:t>8</w:t>
      </w:r>
      <w:bookmarkEnd w:id="2427"/>
      <w:r>
        <w:rPr>
          <w:color w:val="000000"/>
          <w:spacing w:val="0"/>
          <w:w w:val="100"/>
          <w:position w:val="0"/>
        </w:rPr>
        <w:t>、</w:t>
        <w:tab/>
        <w:t>其他</w:t>
      </w:r>
      <w:bookmarkEnd w:id="2425"/>
      <w:bookmarkEnd w:id="2426"/>
      <w:bookmarkEnd w:id="2428"/>
    </w:p>
    <w:p>
      <w:pPr>
        <w:pStyle w:val="Style23"/>
        <w:keepNext/>
        <w:keepLines/>
        <w:widowControl w:val="0"/>
        <w:shd w:val="clear" w:color="auto" w:fill="auto"/>
        <w:bidi w:val="0"/>
        <w:spacing w:before="0" w:after="340" w:line="240" w:lineRule="auto"/>
        <w:ind w:left="0" w:right="0" w:firstLine="0"/>
        <w:jc w:val="left"/>
      </w:pPr>
      <w:bookmarkStart w:id="2429" w:name="bookmark2429"/>
      <w:bookmarkStart w:id="2430" w:name="bookmark2430"/>
      <w:bookmarkStart w:id="2431" w:name="bookmark2431"/>
      <w:r>
        <w:rPr>
          <w:color w:val="000000"/>
          <w:spacing w:val="0"/>
          <w:w w:val="100"/>
          <w:position w:val="0"/>
          <w:sz w:val="24"/>
          <w:szCs w:val="24"/>
        </w:rPr>
        <w:t>十七、母公司财务报表主要项目注释</w:t>
      </w:r>
      <w:bookmarkEnd w:id="2429"/>
      <w:bookmarkEnd w:id="2430"/>
      <w:bookmarkEnd w:id="2431"/>
    </w:p>
    <w:p>
      <w:pPr>
        <w:pStyle w:val="Style29"/>
        <w:keepNext/>
        <w:keepLines/>
        <w:widowControl w:val="0"/>
        <w:shd w:val="clear" w:color="auto" w:fill="auto"/>
        <w:bidi w:val="0"/>
        <w:spacing w:before="0" w:after="340" w:line="240" w:lineRule="auto"/>
        <w:ind w:left="0" w:right="0" w:firstLine="0"/>
        <w:jc w:val="left"/>
      </w:pPr>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432"/>
      <w:bookmarkEnd w:id="2433"/>
      <w:bookmarkEnd w:id="2434"/>
    </w:p>
    <w:p>
      <w:pPr>
        <w:pStyle w:val="Style40"/>
        <w:keepNext/>
        <w:keepLines/>
        <w:widowControl w:val="0"/>
        <w:shd w:val="clear" w:color="auto" w:fill="auto"/>
        <w:bidi w:val="0"/>
        <w:spacing w:before="0" w:after="340" w:line="240" w:lineRule="auto"/>
        <w:ind w:left="0" w:right="0" w:firstLine="0"/>
        <w:jc w:val="left"/>
      </w:pPr>
      <w:bookmarkStart w:id="2435" w:name="bookmark2435"/>
      <w:bookmarkStart w:id="2436" w:name="bookmark2436"/>
      <w:bookmarkStart w:id="2437" w:name="bookmark2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435"/>
      <w:bookmarkEnd w:id="2436"/>
      <w:bookmarkEnd w:id="24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7,592,86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7,592,86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2,813,37</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219,763,</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2,593,612</w:t>
            </w:r>
          </w:p>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1,248,454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111,218,4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1,137,235,7</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 内关联方客户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15,477,9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15,477,99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11,004.00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应收中央企业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2,348,59</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7,957.24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175,553,</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2,173,044</w:t>
            </w:r>
          </w:p>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,577.97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1,142,777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92,124,25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1,050,653,2</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99.67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应收国企、政 府及事业单位客户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233,721,</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536.19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29,305,5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204,415,9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81,405,71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13,862,09</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67,543,626.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应收其他客户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215,578,</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14,904,4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200,673,7</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24,259,95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5,232,125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19,027,824. </w:t>
            </w:r>
            <w:r>
              <w:rPr>
                <w:rFonts w:ascii="Times New Roman" w:eastAsia="Times New Roman" w:hAnsi="Times New Roman" w:cs="Times New Roman"/>
                <w:color w:val="000000"/>
                <w:spacing w:val="0"/>
                <w:w w:val="100"/>
                <w:position w:val="0"/>
              </w:rPr>
              <w:t>75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2,820,96</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8,595.68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227,356,</w:t>
            </w:r>
          </w:p>
          <w:p>
            <w:pPr>
              <w:pStyle w:val="Style20"/>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292.40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2,593,612</w:t>
            </w:r>
          </w:p>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,303.28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1,248,454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111,218,4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1,137,235,7</w:t>
            </w:r>
          </w:p>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确定该组合依据的说明：</w:t>
      </w:r>
    </w:p>
    <w:p>
      <w:pPr>
        <w:pStyle w:val="Style18"/>
        <w:keepNext w:val="0"/>
        <w:keepLines w:val="0"/>
        <w:widowControl w:val="0"/>
        <w:numPr>
          <w:ilvl w:val="0"/>
          <w:numId w:val="163"/>
        </w:numPr>
        <w:shd w:val="clear" w:color="auto" w:fill="auto"/>
        <w:tabs>
          <w:tab w:pos="753" w:val="left"/>
        </w:tabs>
        <w:bidi w:val="0"/>
        <w:spacing w:before="0" w:after="240" w:line="240" w:lineRule="auto"/>
        <w:ind w:left="0" w:right="0"/>
        <w:jc w:val="left"/>
      </w:pPr>
      <w:bookmarkStart w:id="2438" w:name="bookmark2438"/>
      <w:bookmarkEnd w:id="2438"/>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日，按单项计提坏账准备的款项系本公司预计难以收回，因此全额计提坏账准备。</w:t>
      </w:r>
    </w:p>
    <w:p>
      <w:pPr>
        <w:pStyle w:val="Style25"/>
        <w:keepNext w:val="0"/>
        <w:keepLines w:val="0"/>
        <w:widowControl w:val="0"/>
        <w:numPr>
          <w:ilvl w:val="0"/>
          <w:numId w:val="165"/>
        </w:numPr>
        <w:shd w:val="clear" w:color="auto" w:fill="auto"/>
        <w:tabs>
          <w:tab w:pos="567" w:val="left"/>
        </w:tabs>
        <w:bidi w:val="0"/>
        <w:spacing w:before="0" w:after="0" w:line="240" w:lineRule="auto"/>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日，按组合</w:t>
      </w:r>
      <w:r>
        <w:rPr>
          <w:color w:val="000000"/>
          <w:spacing w:val="0"/>
          <w:w w:val="100"/>
          <w:position w:val="0"/>
          <w:sz w:val="18"/>
          <w:szCs w:val="18"/>
        </w:rPr>
        <w:t>1</w:t>
      </w:r>
      <w:r>
        <w:rPr>
          <w:color w:val="000000"/>
          <w:spacing w:val="0"/>
          <w:w w:val="100"/>
          <w:position w:val="0"/>
        </w:rPr>
        <w:t>应收合并范围内关联方客户计提坏账准备的应收账款</w:t>
      </w:r>
    </w:p>
    <w:tbl>
      <w:tblPr>
        <w:tblOverlap w:val="never"/>
        <w:jc w:val="center"/>
        <w:tblLayout w:type="fixed"/>
      </w:tblPr>
      <w:tblGrid>
        <w:gridCol w:w="1075"/>
        <w:gridCol w:w="1426"/>
        <w:gridCol w:w="1358"/>
        <w:gridCol w:w="1406"/>
        <w:gridCol w:w="1224"/>
        <w:gridCol w:w="1133"/>
        <w:gridCol w:w="1483"/>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计提比例（</w:t>
            </w:r>
            <w:r>
              <w:rPr>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15,477,990.72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15,477,990.72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11,004.00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日，按组合</w:t>
      </w:r>
      <w:r>
        <w:rPr>
          <w:color w:val="000000"/>
          <w:spacing w:val="0"/>
          <w:w w:val="100"/>
          <w:position w:val="0"/>
          <w:sz w:val="18"/>
          <w:szCs w:val="18"/>
        </w:rPr>
        <w:t>2</w:t>
      </w:r>
      <w:r>
        <w:rPr>
          <w:color w:val="000000"/>
          <w:spacing w:val="0"/>
          <w:w w:val="100"/>
          <w:position w:val="0"/>
        </w:rPr>
        <w:t>应收中央企业客户计提坏账准备的应收账款</w:t>
      </w:r>
    </w:p>
    <w:tbl>
      <w:tblPr>
        <w:tblOverlap w:val="never"/>
        <w:jc w:val="center"/>
        <w:tblLayout w:type="fixed"/>
      </w:tblPr>
      <w:tblGrid>
        <w:gridCol w:w="955"/>
        <w:gridCol w:w="1478"/>
        <w:gridCol w:w="1402"/>
        <w:gridCol w:w="1214"/>
        <w:gridCol w:w="1512"/>
        <w:gridCol w:w="1363"/>
        <w:gridCol w:w="1186"/>
      </w:tblGrid>
      <w:tr>
        <w:trPr>
          <w:trHeight w:val="360"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2,003,771,204.50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100,188,560.21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906,693,345.82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45,334,667.29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231,228,877.65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23,122,887.76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168,771,540.29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16,877,154.03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69,211,233.22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20,763,369.97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38,373,441.39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11,512,032.42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21,764,626.53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10,882,313.27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16,493,606.07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8,246,803.04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10,128,836.41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8,103,069.13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11,460,114.41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9,168,091.53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12,493,178.93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12,493,178.93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985,506.94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985,506.94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2,348,597,957.24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175,553,379.27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1,142,777,554.92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92,124,255.25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④于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日，按组合</w:t>
      </w:r>
      <w:r>
        <w:rPr>
          <w:color w:val="000000"/>
          <w:spacing w:val="0"/>
          <w:w w:val="100"/>
          <w:position w:val="0"/>
          <w:sz w:val="18"/>
          <w:szCs w:val="18"/>
        </w:rPr>
        <w:t>3</w:t>
      </w:r>
      <w:r>
        <w:rPr>
          <w:color w:val="000000"/>
          <w:spacing w:val="0"/>
          <w:w w:val="100"/>
          <w:position w:val="0"/>
        </w:rPr>
        <w:t>应收国企、政府及事业单位客户计提坏账准备的应收账款</w:t>
      </w:r>
    </w:p>
    <w:tbl>
      <w:tblPr>
        <w:tblOverlap w:val="never"/>
        <w:jc w:val="center"/>
        <w:tblLayout w:type="fixed"/>
      </w:tblPr>
      <w:tblGrid>
        <w:gridCol w:w="950"/>
        <w:gridCol w:w="1478"/>
        <w:gridCol w:w="1517"/>
        <w:gridCol w:w="1229"/>
        <w:gridCol w:w="1387"/>
        <w:gridCol w:w="1301"/>
        <w:gridCol w:w="1243"/>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180,380,963.19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9,019,048.15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53,135,572.89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2,656,778.64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18,697,388.65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1,869,738.87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11,078,164.16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1,107,816.42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14,761,451.22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4,428,435.37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5,962,784.62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1,788,835.39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11,039,803.26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5,519,901.63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2,334,693.68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1,167,346.84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1,867,343.01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1,493,874.41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8,765,943.35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7,012,754.68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6,974,586.86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6,974,586.86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128,560.08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128,560.08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233,721,536.19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29,305,585.29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81,405,718.78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13,862,092.05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⑤于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日，按组合</w:t>
      </w:r>
      <w:r>
        <w:rPr>
          <w:color w:val="000000"/>
          <w:spacing w:val="0"/>
          <w:w w:val="100"/>
          <w:position w:val="0"/>
          <w:sz w:val="18"/>
          <w:szCs w:val="18"/>
        </w:rPr>
        <w:t>3</w:t>
      </w:r>
      <w:r>
        <w:rPr>
          <w:color w:val="000000"/>
          <w:spacing w:val="0"/>
          <w:w w:val="100"/>
          <w:position w:val="0"/>
        </w:rPr>
        <w:t>应收国企、政府及事业单位客户计提坏账准备的应收账款</w:t>
      </w:r>
    </w:p>
    <w:tbl>
      <w:tblPr>
        <w:tblOverlap w:val="never"/>
        <w:jc w:val="center"/>
        <w:tblLayout w:type="fixed"/>
      </w:tblPr>
      <w:tblGrid>
        <w:gridCol w:w="950"/>
        <w:gridCol w:w="1478"/>
        <w:gridCol w:w="1517"/>
        <w:gridCol w:w="1229"/>
        <w:gridCol w:w="1387"/>
        <w:gridCol w:w="1301"/>
        <w:gridCol w:w="1243"/>
      </w:tblGrid>
      <w:tr>
        <w:trPr>
          <w:trHeight w:val="355"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195,752,736.59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9,787,636.83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14,637,187.88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731,859.39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14,303,540.80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1,430,354.08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1,248,749.53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124,874.95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1,494,839.01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448,451.70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291,769.86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87,530.96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291,769.86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145,884.93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7,325,294.86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3,662,647.43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3,216,124.87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2,572,899.90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658,676.73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526,941.38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80.00</w:t>
            </w:r>
          </w:p>
        </w:tc>
      </w:tr>
    </w:tbl>
    <w:p>
      <w:pPr>
        <w:spacing w:lineRule="exact" w:line="1"/>
        <w:rPr>
          <w:sz w:val="2"/>
          <w:szCs w:val="2"/>
        </w:rPr>
      </w:pPr>
      <w:r>
        <w:br w:type="page"/>
      </w:r>
    </w:p>
    <w:tbl>
      <w:tblPr>
        <w:tblOverlap w:val="never"/>
        <w:jc w:val="center"/>
        <w:tblLayout w:type="fixed"/>
      </w:tblPr>
      <w:tblGrid>
        <w:gridCol w:w="950"/>
        <w:gridCol w:w="1478"/>
        <w:gridCol w:w="1517"/>
        <w:gridCol w:w="1234"/>
        <w:gridCol w:w="1382"/>
        <w:gridCol w:w="1301"/>
        <w:gridCol w:w="1243"/>
      </w:tblGrid>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519,232.97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519,232.97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98,271.37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215,578,244.10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14,904,460.41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24,259,950.23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5,232,125.48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w:t>
            </w:r>
          </w:p>
        </w:tc>
      </w:tr>
    </w:tbl>
    <w:p>
      <w:pPr>
        <w:widowControl w:val="0"/>
        <w:spacing w:after="119" w:line="1" w:lineRule="exact"/>
      </w:pPr>
    </w:p>
    <w:p>
      <w:pPr>
        <w:pStyle w:val="Style18"/>
        <w:keepNext w:val="0"/>
        <w:keepLines w:val="0"/>
        <w:widowControl w:val="0"/>
        <w:shd w:val="clear" w:color="auto" w:fill="auto"/>
        <w:bidi w:val="0"/>
        <w:spacing w:before="0" w:after="460" w:line="240" w:lineRule="auto"/>
        <w:ind w:left="0" w:right="0"/>
        <w:jc w:val="left"/>
      </w:pPr>
      <w:r>
        <w:rPr>
          <w:color w:val="000000"/>
          <w:spacing w:val="0"/>
          <w:w w:val="100"/>
          <w:position w:val="0"/>
        </w:rPr>
        <w:t>按组合计提坏账准备的确认标准及说明见附注五、</w:t>
      </w:r>
      <w:r>
        <w:rPr>
          <w:color w:val="000000"/>
          <w:spacing w:val="0"/>
          <w:w w:val="100"/>
          <w:position w:val="0"/>
          <w:sz w:val="18"/>
          <w:szCs w:val="18"/>
        </w:rPr>
        <w:t>10</w:t>
      </w:r>
      <w:r>
        <w:rPr>
          <w:color w:val="000000"/>
          <w:spacing w:val="0"/>
          <w:w w:val="100"/>
          <w:position w:val="0"/>
        </w:rPr>
        <w:t>。</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p>
      <w:pPr>
        <w:pStyle w:val="Style18"/>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0" w:line="240" w:lineRule="auto"/>
        <w:ind w:left="0" w:right="0" w:firstLine="0"/>
        <w:jc w:val="center"/>
      </w:pPr>
      <w:r>
        <w:rPr>
          <w:color w:val="000000"/>
          <w:spacing w:val="0"/>
          <w:w w:val="100"/>
          <w:position w:val="0"/>
        </w:rPr>
        <w:t>期末余额</w:t>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0" w:val="left"/>
          <w:tab w:leader="hyphen" w:pos="4761" w:val="left"/>
          <w:tab w:leader="hyphen" w:pos="7184" w:val="left"/>
          <w:tab w:leader="hyphen" w:pos="9570" w:val="left"/>
        </w:tabs>
        <w:bidi w:val="0"/>
        <w:spacing w:before="0" w:after="0" w:line="240" w:lineRule="auto"/>
        <w:ind w:left="1040" w:right="0" w:firstLine="0"/>
        <w:jc w:val="left"/>
      </w:pPr>
      <w:r>
        <w:rPr>
          <w:color w:val="000000"/>
          <w:spacing w:val="0"/>
          <w:w w:val="100"/>
          <w:position w:val="0"/>
        </w:rPr>
        <w:t>名称</w:t>
        <w:tab/>
        <w:tab/>
        <w:tab/>
        <w:tab/>
      </w:r>
    </w:p>
    <w:p>
      <w:pPr>
        <w:pStyle w:val="Style18"/>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0" w:val="left"/>
          <w:tab w:pos="4761" w:val="left"/>
        </w:tabs>
        <w:bidi w:val="0"/>
        <w:spacing w:before="0" w:after="41" w:line="240" w:lineRule="auto"/>
        <w:ind w:left="0" w:right="0" w:firstLine="0"/>
        <w:jc w:val="center"/>
      </w:pPr>
      <w:r>
        <w:rPr>
          <w:color w:val="000000"/>
          <w:spacing w:val="0"/>
          <w:w w:val="100"/>
          <w:position w:val="0"/>
        </w:rPr>
        <w:t>账面余额</w:t>
        <w:tab/>
        <w:t>坏账准备</w:t>
        <w:tab/>
        <w:t>计提比例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2,395,397,548.66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266,138,262.90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85,633,227.45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73,799,556.67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34,120,909.43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19,632,248.48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20,046,398.76</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2,820,968,595.68</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2439" w:name="bookmark2439"/>
      <w:bookmarkStart w:id="2440" w:name="bookmark2440"/>
      <w:bookmarkStart w:id="2441" w:name="bookmark24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439"/>
      <w:bookmarkEnd w:id="2440"/>
      <w:bookmarkEnd w:id="244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7,592,867.43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7,592,867.43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应收中央 企业客户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92,124,255.25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83,429,124.02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175,553,379.27</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应收国企、 政府及事业单位 客户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13,862,092.05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15,443,493.24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29,305,585.29</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5,232,125.48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9,672,334.93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14,904,460.41</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111,218,472.78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116,137,819.62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227,356,292.40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2442" w:name="bookmark2442"/>
      <w:bookmarkStart w:id="2443" w:name="bookmark2443"/>
      <w:bookmarkStart w:id="2444" w:name="bookmark2444"/>
      <w:bookmarkStart w:id="2445" w:name="bookmark2445"/>
      <w:r>
        <w:rPr>
          <w:color w:val="000000"/>
          <w:spacing w:val="0"/>
          <w:w w:val="100"/>
          <w:position w:val="0"/>
        </w:rPr>
        <w:t>（</w:t>
      </w:r>
      <w:bookmarkEnd w:id="244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442"/>
      <w:bookmarkEnd w:id="2443"/>
      <w:bookmarkEnd w:id="24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应收账款核销说明：</w:t>
      </w:r>
    </w:p>
    <w:p>
      <w:pPr>
        <w:pStyle w:val="Style20"/>
        <w:keepNext w:val="0"/>
        <w:keepLines w:val="0"/>
        <w:widowControl w:val="0"/>
        <w:shd w:val="clear" w:color="auto" w:fill="auto"/>
        <w:bidi w:val="0"/>
        <w:spacing w:before="0" w:after="320" w:line="240" w:lineRule="auto"/>
        <w:ind w:left="0" w:right="0" w:firstLine="0"/>
        <w:jc w:val="left"/>
        <w:rPr>
          <w:sz w:val="24"/>
          <w:szCs w:val="24"/>
        </w:rPr>
      </w:pPr>
      <w:r>
        <w:rPr>
          <w:color w:val="000000"/>
          <w:spacing w:val="0"/>
          <w:w w:val="100"/>
          <w:position w:val="0"/>
          <w:sz w:val="24"/>
          <w:szCs w:val="24"/>
        </w:rPr>
        <w:t>本期无实际核销的应收账款。</w:t>
      </w:r>
    </w:p>
    <w:p>
      <w:pPr>
        <w:pStyle w:val="Style40"/>
        <w:keepNext/>
        <w:keepLines/>
        <w:widowControl w:val="0"/>
        <w:shd w:val="clear" w:color="auto" w:fill="auto"/>
        <w:bidi w:val="0"/>
        <w:spacing w:before="0" w:after="380" w:line="240" w:lineRule="auto"/>
        <w:ind w:left="0" w:right="0" w:firstLine="0"/>
        <w:jc w:val="left"/>
      </w:pPr>
      <w:bookmarkStart w:id="2446" w:name="bookmark2446"/>
      <w:bookmarkStart w:id="2447" w:name="bookmark2447"/>
      <w:bookmarkStart w:id="2448" w:name="bookmark2448"/>
      <w:bookmarkStart w:id="2449" w:name="bookmark2449"/>
      <w:r>
        <w:rPr>
          <w:color w:val="000000"/>
          <w:spacing w:val="0"/>
          <w:w w:val="100"/>
          <w:position w:val="0"/>
        </w:rPr>
        <w:t>（</w:t>
      </w:r>
      <w:bookmarkEnd w:id="244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446"/>
      <w:bookmarkEnd w:id="2447"/>
      <w:bookmarkEnd w:id="24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中国移动通信集团广东有限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510,819,188.90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28,962,653.06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中国移动通信集团广西有限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209,084,129.66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11,848,088.02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中国移动通信集团贵州有限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102,652,547.62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5,773,643.73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广州城市电力工程有限公司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89,267,193.86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4,463,359.69</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中国移动通信集团安徽有限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74,554,736.97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6,645,938.81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986,377,797.01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2450" w:name="bookmark2450"/>
      <w:bookmarkStart w:id="2451" w:name="bookmark2451"/>
      <w:bookmarkStart w:id="2452" w:name="bookmark2452"/>
      <w:bookmarkStart w:id="2453" w:name="bookmark2453"/>
      <w:r>
        <w:rPr>
          <w:color w:val="000000"/>
          <w:spacing w:val="0"/>
          <w:w w:val="100"/>
          <w:position w:val="0"/>
        </w:rPr>
        <w:t>（</w:t>
      </w:r>
      <w:bookmarkEnd w:id="2452"/>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450"/>
      <w:bookmarkEnd w:id="2451"/>
      <w:bookmarkEnd w:id="2453"/>
    </w:p>
    <w:p>
      <w:pPr>
        <w:pStyle w:val="Style20"/>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本期无因转移应收账款且继续涉入形成的资产、负债。</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both"/>
      </w:pPr>
      <w:bookmarkStart w:id="2454" w:name="bookmark2454"/>
      <w:bookmarkStart w:id="2455" w:name="bookmark2455"/>
      <w:bookmarkStart w:id="2456" w:name="bookmark2456"/>
      <w:bookmarkStart w:id="2457" w:name="bookmark2457"/>
      <w:r>
        <w:rPr>
          <w:color w:val="000000"/>
          <w:spacing w:val="0"/>
          <w:w w:val="100"/>
          <w:position w:val="0"/>
        </w:rPr>
        <w:t>（</w:t>
      </w:r>
      <w:bookmarkEnd w:id="2456"/>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454"/>
      <w:bookmarkEnd w:id="2455"/>
      <w:bookmarkEnd w:id="2457"/>
    </w:p>
    <w:p>
      <w:pPr>
        <w:pStyle w:val="Style20"/>
        <w:keepNext w:val="0"/>
        <w:keepLines w:val="0"/>
        <w:widowControl w:val="0"/>
        <w:shd w:val="clear" w:color="auto" w:fill="auto"/>
        <w:bidi w:val="0"/>
        <w:spacing w:before="0" w:after="340" w:line="240" w:lineRule="auto"/>
        <w:ind w:left="0" w:right="0" w:firstLine="0"/>
        <w:jc w:val="both"/>
        <w:rPr>
          <w:sz w:val="24"/>
          <w:szCs w:val="24"/>
        </w:rPr>
      </w:pPr>
      <w:r>
        <w:rPr>
          <w:color w:val="000000"/>
          <w:spacing w:val="0"/>
          <w:w w:val="100"/>
          <w:position w:val="0"/>
          <w:sz w:val="24"/>
          <w:szCs w:val="24"/>
        </w:rPr>
        <w:t>本期无因金融资产转移而终止确认的应收账款。</w:t>
      </w:r>
    </w:p>
    <w:p>
      <w:pPr>
        <w:pStyle w:val="Style29"/>
        <w:keepNext/>
        <w:keepLines/>
        <w:widowControl w:val="0"/>
        <w:shd w:val="clear" w:color="auto" w:fill="auto"/>
        <w:bidi w:val="0"/>
        <w:spacing w:before="0" w:after="340" w:line="240" w:lineRule="auto"/>
        <w:ind w:left="0" w:right="0" w:firstLine="0"/>
        <w:jc w:val="both"/>
      </w:pPr>
      <w:bookmarkStart w:id="2458" w:name="bookmark2458"/>
      <w:bookmarkStart w:id="2459" w:name="bookmark2459"/>
      <w:bookmarkStart w:id="2460" w:name="bookmark246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458"/>
      <w:bookmarkEnd w:id="2459"/>
      <w:bookmarkEnd w:id="24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946,795,886.53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362,593,536.24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946,795,886.53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362,593,536.24</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2461" w:name="bookmark2461"/>
      <w:bookmarkStart w:id="2462" w:name="bookmark2462"/>
      <w:bookmarkStart w:id="2463" w:name="bookmark2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461"/>
      <w:bookmarkEnd w:id="2462"/>
      <w:bookmarkEnd w:id="2463"/>
    </w:p>
    <w:p>
      <w:pPr>
        <w:pStyle w:val="Style58"/>
        <w:keepNext/>
        <w:keepLines/>
        <w:widowControl w:val="0"/>
        <w:shd w:val="clear" w:color="auto" w:fill="auto"/>
        <w:bidi w:val="0"/>
        <w:spacing w:before="0" w:after="340" w:line="240" w:lineRule="auto"/>
        <w:ind w:left="0" w:right="0" w:firstLine="0"/>
        <w:jc w:val="both"/>
      </w:pPr>
      <w:bookmarkStart w:id="2464" w:name="bookmark2464"/>
      <w:bookmarkStart w:id="2465" w:name="bookmark2465"/>
      <w:bookmarkStart w:id="2466" w:name="bookmark2466"/>
      <w:bookmarkStart w:id="2467" w:name="bookmark2467"/>
      <w:r>
        <w:rPr>
          <w:rFonts w:ascii="Times New Roman" w:eastAsia="Times New Roman" w:hAnsi="Times New Roman" w:cs="Times New Roman"/>
          <w:color w:val="000000"/>
          <w:spacing w:val="0"/>
          <w:w w:val="100"/>
          <w:position w:val="0"/>
        </w:rPr>
        <w:t>1</w:t>
      </w:r>
      <w:bookmarkEnd w:id="2466"/>
      <w:r>
        <w:rPr>
          <w:color w:val="000000"/>
          <w:spacing w:val="0"/>
          <w:w w:val="100"/>
          <w:position w:val="0"/>
        </w:rPr>
        <w:t>）应收利息分类</w:t>
      </w:r>
      <w:bookmarkEnd w:id="2464"/>
      <w:bookmarkEnd w:id="2465"/>
      <w:bookmarkEnd w:id="24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both"/>
      </w:pPr>
      <w:bookmarkStart w:id="2468" w:name="bookmark2468"/>
      <w:bookmarkStart w:id="2469" w:name="bookmark2469"/>
      <w:bookmarkStart w:id="2470" w:name="bookmark2470"/>
      <w:bookmarkStart w:id="2471" w:name="bookmark2471"/>
      <w:r>
        <w:rPr>
          <w:rFonts w:ascii="Times New Roman" w:eastAsia="Times New Roman" w:hAnsi="Times New Roman" w:cs="Times New Roman"/>
          <w:color w:val="000000"/>
          <w:spacing w:val="0"/>
          <w:w w:val="100"/>
          <w:position w:val="0"/>
        </w:rPr>
        <w:t>2</w:t>
      </w:r>
      <w:bookmarkEnd w:id="2470"/>
      <w:r>
        <w:rPr>
          <w:color w:val="000000"/>
          <w:spacing w:val="0"/>
          <w:w w:val="100"/>
          <w:position w:val="0"/>
        </w:rPr>
        <w:t>）重要逾期利息</w:t>
      </w:r>
      <w:bookmarkEnd w:id="2468"/>
      <w:bookmarkEnd w:id="2469"/>
      <w:bookmarkEnd w:id="247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58"/>
        <w:keepNext/>
        <w:keepLines/>
        <w:widowControl w:val="0"/>
        <w:shd w:val="clear" w:color="auto" w:fill="auto"/>
        <w:bidi w:val="0"/>
        <w:spacing w:before="0" w:after="340" w:line="240" w:lineRule="auto"/>
        <w:ind w:left="0" w:right="0" w:firstLine="0"/>
        <w:jc w:val="both"/>
      </w:pPr>
      <w:bookmarkStart w:id="2472" w:name="bookmark2472"/>
      <w:bookmarkStart w:id="2473" w:name="bookmark2473"/>
      <w:bookmarkStart w:id="2474" w:name="bookmark2474"/>
      <w:bookmarkStart w:id="2475" w:name="bookmark2475"/>
      <w:r>
        <w:rPr>
          <w:rFonts w:ascii="Times New Roman" w:eastAsia="Times New Roman" w:hAnsi="Times New Roman" w:cs="Times New Roman"/>
          <w:color w:val="000000"/>
          <w:spacing w:val="0"/>
          <w:w w:val="100"/>
          <w:position w:val="0"/>
        </w:rPr>
        <w:t>3</w:t>
      </w:r>
      <w:bookmarkEnd w:id="2474"/>
      <w:r>
        <w:rPr>
          <w:color w:val="000000"/>
          <w:spacing w:val="0"/>
          <w:w w:val="100"/>
          <w:position w:val="0"/>
        </w:rPr>
        <w:t>）坏账准备计提情况</w:t>
      </w:r>
      <w:bookmarkEnd w:id="2472"/>
      <w:bookmarkEnd w:id="2473"/>
      <w:bookmarkEnd w:id="2475"/>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both"/>
      </w:pPr>
      <w:bookmarkStart w:id="2476" w:name="bookmark2476"/>
      <w:bookmarkStart w:id="2477" w:name="bookmark2477"/>
      <w:bookmarkStart w:id="2478" w:name="bookmark24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476"/>
      <w:bookmarkEnd w:id="2477"/>
      <w:bookmarkEnd w:id="2478"/>
    </w:p>
    <w:p>
      <w:pPr>
        <w:pStyle w:val="Style58"/>
        <w:keepNext/>
        <w:keepLines/>
        <w:widowControl w:val="0"/>
        <w:shd w:val="clear" w:color="auto" w:fill="auto"/>
        <w:bidi w:val="0"/>
        <w:spacing w:before="0" w:after="340" w:line="240" w:lineRule="auto"/>
        <w:ind w:left="0" w:right="0" w:firstLine="0"/>
        <w:jc w:val="both"/>
      </w:pPr>
      <w:bookmarkStart w:id="2479" w:name="bookmark2479"/>
      <w:bookmarkStart w:id="2480" w:name="bookmark2480"/>
      <w:bookmarkStart w:id="2481" w:name="bookmark2481"/>
      <w:bookmarkStart w:id="2482" w:name="bookmark2482"/>
      <w:r>
        <w:rPr>
          <w:rFonts w:ascii="Times New Roman" w:eastAsia="Times New Roman" w:hAnsi="Times New Roman" w:cs="Times New Roman"/>
          <w:color w:val="000000"/>
          <w:spacing w:val="0"/>
          <w:w w:val="100"/>
          <w:position w:val="0"/>
        </w:rPr>
        <w:t>1</w:t>
      </w:r>
      <w:bookmarkEnd w:id="2481"/>
      <w:r>
        <w:rPr>
          <w:color w:val="000000"/>
          <w:spacing w:val="0"/>
          <w:w w:val="100"/>
          <w:position w:val="0"/>
        </w:rPr>
        <w:t>）应收股利分类</w:t>
      </w:r>
      <w:bookmarkEnd w:id="2479"/>
      <w:bookmarkEnd w:id="2480"/>
      <w:bookmarkEnd w:id="248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483" w:name="bookmark2483"/>
      <w:bookmarkStart w:id="2484" w:name="bookmark2484"/>
      <w:bookmarkStart w:id="2485" w:name="bookmark2485"/>
      <w:bookmarkStart w:id="2486" w:name="bookmark2486"/>
      <w:r>
        <w:rPr>
          <w:rFonts w:ascii="Times New Roman" w:eastAsia="Times New Roman" w:hAnsi="Times New Roman" w:cs="Times New Roman"/>
          <w:color w:val="000000"/>
          <w:spacing w:val="0"/>
          <w:w w:val="100"/>
          <w:position w:val="0"/>
        </w:rPr>
        <w:t>2</w:t>
      </w:r>
      <w:bookmarkEnd w:id="248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483"/>
      <w:bookmarkEnd w:id="2484"/>
      <w:bookmarkEnd w:id="2486"/>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58"/>
        <w:keepNext/>
        <w:keepLines/>
        <w:widowControl w:val="0"/>
        <w:shd w:val="clear" w:color="auto" w:fill="auto"/>
        <w:bidi w:val="0"/>
        <w:spacing w:before="0" w:after="340" w:line="240" w:lineRule="auto"/>
        <w:ind w:left="0" w:right="0" w:firstLine="0"/>
        <w:jc w:val="left"/>
      </w:pPr>
      <w:bookmarkStart w:id="2487" w:name="bookmark2487"/>
      <w:bookmarkStart w:id="2488" w:name="bookmark2488"/>
      <w:bookmarkStart w:id="2489" w:name="bookmark2489"/>
      <w:bookmarkStart w:id="2490" w:name="bookmark2490"/>
      <w:r>
        <w:rPr>
          <w:rFonts w:ascii="Times New Roman" w:eastAsia="Times New Roman" w:hAnsi="Times New Roman" w:cs="Times New Roman"/>
          <w:color w:val="000000"/>
          <w:spacing w:val="0"/>
          <w:w w:val="100"/>
          <w:position w:val="0"/>
        </w:rPr>
        <w:t>3</w:t>
      </w:r>
      <w:bookmarkEnd w:id="2489"/>
      <w:r>
        <w:rPr>
          <w:color w:val="000000"/>
          <w:spacing w:val="0"/>
          <w:w w:val="100"/>
          <w:position w:val="0"/>
        </w:rPr>
        <w:t>）坏账准备计提情况</w:t>
      </w:r>
      <w:bookmarkEnd w:id="2487"/>
      <w:bookmarkEnd w:id="2488"/>
      <w:bookmarkEnd w:id="2490"/>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40" w:line="240" w:lineRule="auto"/>
        <w:ind w:left="0" w:right="0" w:firstLine="0"/>
        <w:jc w:val="left"/>
      </w:pPr>
      <w:bookmarkStart w:id="2491" w:name="bookmark2491"/>
      <w:bookmarkStart w:id="2492" w:name="bookmark2492"/>
      <w:bookmarkStart w:id="2493" w:name="bookmark2493"/>
      <w:bookmarkStart w:id="2494" w:name="bookmark2494"/>
      <w:r>
        <w:rPr>
          <w:color w:val="000000"/>
          <w:spacing w:val="0"/>
          <w:w w:val="100"/>
          <w:position w:val="0"/>
        </w:rPr>
        <w:t>（</w:t>
      </w:r>
      <w:bookmarkEnd w:id="249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491"/>
      <w:bookmarkEnd w:id="2492"/>
      <w:bookmarkEnd w:id="2494"/>
    </w:p>
    <w:p>
      <w:pPr>
        <w:pStyle w:val="Style58"/>
        <w:keepNext/>
        <w:keepLines/>
        <w:widowControl w:val="0"/>
        <w:shd w:val="clear" w:color="auto" w:fill="auto"/>
        <w:bidi w:val="0"/>
        <w:spacing w:before="0" w:after="340" w:line="240" w:lineRule="auto"/>
        <w:ind w:left="0" w:right="0" w:firstLine="0"/>
        <w:jc w:val="left"/>
      </w:pPr>
      <w:bookmarkStart w:id="2495" w:name="bookmark2495"/>
      <w:bookmarkStart w:id="2496" w:name="bookmark2496"/>
      <w:bookmarkStart w:id="2497" w:name="bookmark249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495"/>
      <w:bookmarkEnd w:id="2496"/>
      <w:bookmarkEnd w:id="24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946,795,886.53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362,593,536.24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946,795,886.53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362,593,536.24</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498" w:name="bookmark2498"/>
      <w:bookmarkStart w:id="2499" w:name="bookmark2499"/>
      <w:bookmarkStart w:id="2500" w:name="bookmark250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498"/>
      <w:bookmarkEnd w:id="2499"/>
      <w:bookmarkEnd w:id="25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845,618,657.78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87,235,124.22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16,176,492.56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33,446,069.97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12,230,615.06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7,996,077.80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13,219,377.11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982,476,344.53</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both"/>
      </w:pPr>
      <w:bookmarkStart w:id="2501" w:name="bookmark2501"/>
      <w:bookmarkStart w:id="2502" w:name="bookmark2502"/>
      <w:bookmarkStart w:id="2503" w:name="bookmark2503"/>
      <w:bookmarkStart w:id="2504" w:name="bookmark2504"/>
      <w:r>
        <w:rPr>
          <w:rFonts w:ascii="Times New Roman" w:eastAsia="Times New Roman" w:hAnsi="Times New Roman" w:cs="Times New Roman"/>
          <w:color w:val="000000"/>
          <w:spacing w:val="0"/>
          <w:w w:val="100"/>
          <w:position w:val="0"/>
        </w:rPr>
        <w:t>3</w:t>
      </w:r>
      <w:bookmarkEnd w:id="2503"/>
      <w:r>
        <w:rPr>
          <w:color w:val="000000"/>
          <w:spacing w:val="0"/>
          <w:w w:val="100"/>
          <w:position w:val="0"/>
        </w:rPr>
        <w:t>）本期计提、收回或转回的坏账准备情况</w:t>
      </w:r>
      <w:bookmarkEnd w:id="2501"/>
      <w:bookmarkEnd w:id="2502"/>
      <w:bookmarkEnd w:id="2504"/>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本期计提坏账准备情况:</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84"/>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4</w:t>
            </w:r>
            <w:r>
              <w:rPr>
                <w:color w:val="000000"/>
                <w:spacing w:val="0"/>
                <w:w w:val="100"/>
                <w:position w:val="0"/>
              </w:rPr>
              <w:t>应收押金和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35,859,846.6</w:t>
            </w:r>
          </w:p>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-4,092,255.67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31,767,590.98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5</w:t>
            </w:r>
            <w:r>
              <w:rPr>
                <w:color w:val="000000"/>
                <w:spacing w:val="0"/>
                <w:w w:val="100"/>
                <w:position w:val="0"/>
              </w:rPr>
              <w:t>应收备用金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1,850,526.25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906,013.93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2,756,540.18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6</w:t>
            </w:r>
            <w:r>
              <w:rPr>
                <w:color w:val="000000"/>
                <w:spacing w:val="0"/>
                <w:w w:val="100"/>
                <w:position w:val="0"/>
              </w:rPr>
              <w:t>应收代垫款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874,306.60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-106,831.31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767,475.29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7</w:t>
            </w:r>
            <w:r>
              <w:rPr>
                <w:color w:val="000000"/>
                <w:spacing w:val="0"/>
                <w:w w:val="100"/>
                <w:position w:val="0"/>
              </w:rPr>
              <w:t>应收其他款 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60,068.28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328,783.27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388,851.55</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38,644,747.7</w:t>
            </w:r>
          </w:p>
          <w:p>
            <w:pPr>
              <w:pStyle w:val="Style20"/>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-2,964,289.78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35,680,458.00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58"/>
        <w:keepNext/>
        <w:keepLines/>
        <w:widowControl w:val="0"/>
        <w:shd w:val="clear" w:color="auto" w:fill="auto"/>
        <w:bidi w:val="0"/>
        <w:spacing w:before="0" w:after="360" w:line="240" w:lineRule="auto"/>
        <w:ind w:left="0" w:right="0" w:firstLine="0"/>
        <w:jc w:val="left"/>
      </w:pPr>
      <w:bookmarkStart w:id="2505" w:name="bookmark2505"/>
      <w:bookmarkStart w:id="2506" w:name="bookmark2506"/>
      <w:bookmarkStart w:id="2507" w:name="bookmark2507"/>
      <w:bookmarkStart w:id="2508" w:name="bookmark2508"/>
      <w:r>
        <w:rPr>
          <w:rFonts w:ascii="Times New Roman" w:eastAsia="Times New Roman" w:hAnsi="Times New Roman" w:cs="Times New Roman"/>
          <w:color w:val="000000"/>
          <w:spacing w:val="0"/>
          <w:w w:val="100"/>
          <w:position w:val="0"/>
        </w:rPr>
        <w:t>4</w:t>
      </w:r>
      <w:bookmarkEnd w:id="2507"/>
      <w:r>
        <w:rPr>
          <w:color w:val="000000"/>
          <w:spacing w:val="0"/>
          <w:w w:val="100"/>
          <w:position w:val="0"/>
        </w:rPr>
        <w:t>）本期实际核销的其他应收款情况</w:t>
      </w:r>
      <w:bookmarkEnd w:id="2505"/>
      <w:bookmarkEnd w:id="2506"/>
      <w:bookmarkEnd w:id="25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8"/>
        <w:gridCol w:w="1680"/>
      </w:tblGrid>
      <w:tr>
        <w:trPr>
          <w:trHeight w:val="403"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79" w:line="1" w:lineRule="exact"/>
      </w:pPr>
    </w:p>
    <w:p>
      <w:pPr>
        <w:pStyle w:val="Style20"/>
        <w:keepNext w:val="0"/>
        <w:keepLines w:val="0"/>
        <w:widowControl w:val="0"/>
        <w:shd w:val="clear" w:color="auto" w:fill="auto"/>
        <w:bidi w:val="0"/>
        <w:spacing w:before="0" w:after="300" w:line="240" w:lineRule="auto"/>
        <w:ind w:left="0" w:right="0" w:firstLine="0"/>
        <w:jc w:val="left"/>
        <w:rPr>
          <w:sz w:val="24"/>
          <w:szCs w:val="24"/>
        </w:rPr>
      </w:pPr>
      <w:r>
        <w:rPr>
          <w:color w:val="000000"/>
          <w:spacing w:val="0"/>
          <w:w w:val="100"/>
          <w:position w:val="0"/>
          <w:sz w:val="24"/>
          <w:szCs w:val="24"/>
        </w:rPr>
        <w:t>本期无实际核销的其他应收款。</w:t>
      </w:r>
    </w:p>
    <w:p>
      <w:pPr>
        <w:pStyle w:val="Style58"/>
        <w:keepNext/>
        <w:keepLines/>
        <w:widowControl w:val="0"/>
        <w:shd w:val="clear" w:color="auto" w:fill="auto"/>
        <w:bidi w:val="0"/>
        <w:spacing w:before="0" w:after="360" w:line="240" w:lineRule="auto"/>
        <w:ind w:left="0" w:right="0" w:firstLine="0"/>
        <w:jc w:val="left"/>
      </w:pPr>
      <w:bookmarkStart w:id="2509" w:name="bookmark2509"/>
      <w:bookmarkStart w:id="2510" w:name="bookmark2510"/>
      <w:bookmarkStart w:id="2511" w:name="bookmark2511"/>
      <w:bookmarkStart w:id="2512" w:name="bookmark2512"/>
      <w:r>
        <w:rPr>
          <w:rFonts w:ascii="Times New Roman" w:eastAsia="Times New Roman" w:hAnsi="Times New Roman" w:cs="Times New Roman"/>
          <w:color w:val="000000"/>
          <w:spacing w:val="0"/>
          <w:w w:val="100"/>
          <w:position w:val="0"/>
        </w:rPr>
        <w:t>5</w:t>
      </w:r>
      <w:bookmarkEnd w:id="2511"/>
      <w:r>
        <w:rPr>
          <w:color w:val="000000"/>
          <w:spacing w:val="0"/>
          <w:w w:val="100"/>
          <w:position w:val="0"/>
        </w:rPr>
        <w:t>）按欠款方归集的期末余额前五名的其他应收款情况</w:t>
      </w:r>
      <w:bookmarkEnd w:id="2509"/>
      <w:bookmarkEnd w:id="2510"/>
      <w:bookmarkEnd w:id="25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五象云谷有限公司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516,409,703.46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广西信安锐达科技有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149,957,962.30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广州市泺立能源科技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108,068,545.60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广州智海信息科技有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14,310,068.53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润和世联数据科技有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11,571,095.90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800,317,375.79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8"/>
        <w:keepNext/>
        <w:keepLines/>
        <w:widowControl w:val="0"/>
        <w:shd w:val="clear" w:color="auto" w:fill="auto"/>
        <w:bidi w:val="0"/>
        <w:spacing w:before="0" w:after="380" w:line="240" w:lineRule="auto"/>
        <w:ind w:left="0" w:right="0" w:firstLine="0"/>
        <w:jc w:val="left"/>
      </w:pPr>
      <w:bookmarkStart w:id="2513" w:name="bookmark2513"/>
      <w:bookmarkStart w:id="2514" w:name="bookmark2514"/>
      <w:bookmarkStart w:id="2515" w:name="bookmark2515"/>
      <w:bookmarkStart w:id="2516" w:name="bookmark2516"/>
      <w:r>
        <w:rPr>
          <w:rFonts w:ascii="Times New Roman" w:eastAsia="Times New Roman" w:hAnsi="Times New Roman" w:cs="Times New Roman"/>
          <w:color w:val="000000"/>
          <w:spacing w:val="0"/>
          <w:w w:val="100"/>
          <w:position w:val="0"/>
        </w:rPr>
        <w:t>6</w:t>
      </w:r>
      <w:bookmarkEnd w:id="2515"/>
      <w:r>
        <w:rPr>
          <w:color w:val="000000"/>
          <w:spacing w:val="0"/>
          <w:w w:val="100"/>
          <w:position w:val="0"/>
        </w:rPr>
        <w:t>）涉及政府补助的应收款项</w:t>
      </w:r>
      <w:bookmarkEnd w:id="2513"/>
      <w:bookmarkEnd w:id="2514"/>
      <w:bookmarkEnd w:id="251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0"/>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4"/>
          <w:szCs w:val="24"/>
        </w:rPr>
        <w:t>本期无涉及政府补助的其他应收款。</w:t>
      </w:r>
    </w:p>
    <w:p>
      <w:pPr>
        <w:pStyle w:val="Style58"/>
        <w:keepNext/>
        <w:keepLines/>
        <w:widowControl w:val="0"/>
        <w:shd w:val="clear" w:color="auto" w:fill="auto"/>
        <w:tabs>
          <w:tab w:pos="392" w:val="left"/>
        </w:tabs>
        <w:bidi w:val="0"/>
        <w:spacing w:before="0" w:after="340" w:line="240" w:lineRule="auto"/>
        <w:ind w:left="0" w:right="0" w:firstLine="0"/>
        <w:jc w:val="left"/>
      </w:pPr>
      <w:bookmarkStart w:id="2517" w:name="bookmark2517"/>
      <w:bookmarkStart w:id="2518" w:name="bookmark2518"/>
      <w:bookmarkStart w:id="2519" w:name="bookmark2519"/>
      <w:bookmarkStart w:id="2520" w:name="bookmark2520"/>
      <w:r>
        <w:rPr>
          <w:rFonts w:ascii="Times New Roman" w:eastAsia="Times New Roman" w:hAnsi="Times New Roman" w:cs="Times New Roman"/>
          <w:color w:val="000000"/>
          <w:spacing w:val="0"/>
          <w:w w:val="100"/>
          <w:position w:val="0"/>
        </w:rPr>
        <w:t>7</w:t>
      </w:r>
      <w:bookmarkEnd w:id="2519"/>
      <w:r>
        <w:rPr>
          <w:color w:val="000000"/>
          <w:spacing w:val="0"/>
          <w:w w:val="100"/>
          <w:position w:val="0"/>
        </w:rPr>
        <w:t>）</w:t>
        <w:tab/>
        <w:t>因金融资产转移而终止确认的其他应收款</w:t>
      </w:r>
      <w:bookmarkEnd w:id="2517"/>
      <w:bookmarkEnd w:id="2518"/>
      <w:bookmarkEnd w:id="2520"/>
    </w:p>
    <w:p>
      <w:pPr>
        <w:pStyle w:val="Style20"/>
        <w:keepNext w:val="0"/>
        <w:keepLines w:val="0"/>
        <w:widowControl w:val="0"/>
        <w:shd w:val="clear" w:color="auto" w:fill="auto"/>
        <w:bidi w:val="0"/>
        <w:spacing w:before="0" w:after="340" w:line="240" w:lineRule="auto"/>
        <w:ind w:left="0" w:right="0" w:firstLine="0"/>
        <w:jc w:val="left"/>
        <w:rPr>
          <w:sz w:val="24"/>
          <w:szCs w:val="24"/>
        </w:rPr>
      </w:pPr>
      <w:r>
        <w:rPr>
          <w:color w:val="000000"/>
          <w:spacing w:val="0"/>
          <w:w w:val="100"/>
          <w:position w:val="0"/>
          <w:sz w:val="24"/>
          <w:szCs w:val="24"/>
        </w:rPr>
        <w:t>本期无因金融资产转移而终止确认的其他应收款。</w:t>
      </w:r>
    </w:p>
    <w:p>
      <w:pPr>
        <w:pStyle w:val="Style58"/>
        <w:keepNext/>
        <w:keepLines/>
        <w:widowControl w:val="0"/>
        <w:shd w:val="clear" w:color="auto" w:fill="auto"/>
        <w:tabs>
          <w:tab w:pos="397" w:val="left"/>
        </w:tabs>
        <w:bidi w:val="0"/>
        <w:spacing w:before="0" w:after="340" w:line="240" w:lineRule="auto"/>
        <w:ind w:left="0" w:right="0" w:firstLine="0"/>
        <w:jc w:val="left"/>
      </w:pPr>
      <w:bookmarkStart w:id="2521" w:name="bookmark2521"/>
      <w:bookmarkStart w:id="2522" w:name="bookmark2522"/>
      <w:bookmarkStart w:id="2523" w:name="bookmark2523"/>
      <w:bookmarkStart w:id="2524" w:name="bookmark2524"/>
      <w:r>
        <w:rPr>
          <w:rFonts w:ascii="Times New Roman" w:eastAsia="Times New Roman" w:hAnsi="Times New Roman" w:cs="Times New Roman"/>
          <w:color w:val="000000"/>
          <w:spacing w:val="0"/>
          <w:w w:val="100"/>
          <w:position w:val="0"/>
        </w:rPr>
        <w:t>8</w:t>
      </w:r>
      <w:bookmarkEnd w:id="2523"/>
      <w:r>
        <w:rPr>
          <w:color w:val="000000"/>
          <w:spacing w:val="0"/>
          <w:w w:val="100"/>
          <w:position w:val="0"/>
        </w:rPr>
        <w:t>）</w:t>
        <w:tab/>
        <w:t>转移其他应收款且继续涉入形成的资产、负债金额</w:t>
      </w:r>
      <w:bookmarkEnd w:id="2521"/>
      <w:bookmarkEnd w:id="2522"/>
      <w:bookmarkEnd w:id="2524"/>
    </w:p>
    <w:p>
      <w:pPr>
        <w:pStyle w:val="Style20"/>
        <w:keepNext w:val="0"/>
        <w:keepLines w:val="0"/>
        <w:widowControl w:val="0"/>
        <w:shd w:val="clear" w:color="auto" w:fill="auto"/>
        <w:bidi w:val="0"/>
        <w:spacing w:before="0" w:after="80" w:line="240" w:lineRule="auto"/>
        <w:ind w:left="0" w:right="0" w:firstLine="0"/>
        <w:jc w:val="left"/>
        <w:rPr>
          <w:sz w:val="24"/>
          <w:szCs w:val="24"/>
        </w:rPr>
      </w:pPr>
      <w:r>
        <w:rPr>
          <w:color w:val="000000"/>
          <w:spacing w:val="0"/>
          <w:w w:val="100"/>
          <w:position w:val="0"/>
          <w:sz w:val="24"/>
          <w:szCs w:val="24"/>
        </w:rPr>
        <w:t>本期无因转移其他应收款且继续涉入形成的资产、负债。</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525" w:name="bookmark2525"/>
      <w:bookmarkStart w:id="2526" w:name="bookmark2526"/>
      <w:bookmarkStart w:id="2527" w:name="bookmark2527"/>
      <w:bookmarkStart w:id="2528" w:name="bookmark2528"/>
      <w:r>
        <w:rPr>
          <w:rFonts w:ascii="Times New Roman" w:eastAsia="Times New Roman" w:hAnsi="Times New Roman" w:cs="Times New Roman"/>
          <w:color w:val="000000"/>
          <w:spacing w:val="0"/>
          <w:w w:val="100"/>
          <w:position w:val="0"/>
        </w:rPr>
        <w:t>3</w:t>
      </w:r>
      <w:bookmarkEnd w:id="2527"/>
      <w:r>
        <w:rPr>
          <w:color w:val="000000"/>
          <w:spacing w:val="0"/>
          <w:w w:val="100"/>
          <w:position w:val="0"/>
        </w:rPr>
        <w:t>、长期股权投资</w:t>
      </w:r>
      <w:bookmarkEnd w:id="2525"/>
      <w:bookmarkEnd w:id="2526"/>
      <w:bookmarkEnd w:id="25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433,438,649.17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433,438,649.17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410,370,374.17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410,370,374.17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51,826,564.56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51,826,564.56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38,974,593.92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38,974,593.92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485,265,213.73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485,265,213.73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449,344,968.09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449,344,968.09</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529" w:name="bookmark2529"/>
      <w:bookmarkStart w:id="2530" w:name="bookmark2530"/>
      <w:bookmarkStart w:id="2531" w:name="bookmark2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529"/>
      <w:bookmarkEnd w:id="2530"/>
      <w:bookmarkEnd w:id="25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4"/>
        <w:gridCol w:w="1219"/>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广西润联检测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广西诚本规划 设计咨询有限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9,883,149.17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9,883,149.17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4"/>
        <w:gridCol w:w="1219"/>
      </w:tblGrid>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广州卓联科技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五象云谷有限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140,000,000.0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润沃科技（山 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广东南粤云视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广西信安锐达</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广州云谷创智</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润建智慧能源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广州市泺立能 源科技有限公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34,710,000.00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广州鑫广源电 力设计有限公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广东博深咨询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山东旋几工业 自动化有限公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40,799,900.00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40,799,900.00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天津安可达科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上海润建科技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广东润建电力</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46" w:lineRule="exact"/>
              <w:ind w:left="0" w:right="0" w:firstLine="0"/>
              <w:jc w:val="both"/>
            </w:pPr>
            <w:r>
              <w:rPr>
                <w:color w:val="000000"/>
                <w:spacing w:val="0"/>
                <w:w w:val="100"/>
                <w:position w:val="0"/>
              </w:rPr>
              <w:t>润建国际有限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R&amp;J</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INTERNATION</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AL(SINGAPOR</w:t>
            </w:r>
          </w:p>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R&amp;J</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Technologies</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2,067,325.00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1,968,275.00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4,035,600.00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4"/>
        <w:gridCol w:w="1219"/>
      </w:tblGrid>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润和世联数据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润建数智教育</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广州智海信息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广东润捷设计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润建新能源有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广州研通通信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深圳广润建设</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410,370,374.1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23,068,275.00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433,438,649.17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line="240" w:lineRule="auto"/>
        <w:ind w:left="0" w:right="0" w:firstLine="0"/>
        <w:jc w:val="left"/>
      </w:pPr>
      <w:bookmarkStart w:id="2532" w:name="bookmark2532"/>
      <w:bookmarkStart w:id="2533" w:name="bookmark2533"/>
      <w:bookmarkStart w:id="2534" w:name="bookmark2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532"/>
      <w:bookmarkEnd w:id="2533"/>
      <w:bookmarkEnd w:id="25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期初余额</w:t>
            </w:r>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期末余额</w:t>
            </w:r>
          </w:p>
          <w:p>
            <w:pPr>
              <w:pStyle w:val="Style20"/>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广西华能 润建新能 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5,800,000</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广州市旗 鱼软件科 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6,526,774</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1,247,624</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7,774,399</w:t>
            </w:r>
          </w:p>
          <w:p>
            <w:pPr>
              <w:pStyle w:val="Style2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广西梯度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32,000,00</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2,112,455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34,112,45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长沙麦融</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高科股份</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-1,875,11</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3,624,882</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南京润建</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447,819.5</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67,007.08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514,826.6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38,974,59</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5,500,000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1,551,970</w:t>
            </w:r>
          </w:p>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46,026,56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38,974,59</w:t>
            </w:r>
          </w:p>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11,300,00</w:t>
            </w:r>
          </w:p>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1,551,970</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51,826,56</w:t>
            </w:r>
          </w:p>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167"/>
        </w:numPr>
        <w:shd w:val="clear" w:color="auto" w:fill="auto"/>
        <w:bidi w:val="0"/>
        <w:spacing w:before="0" w:after="320" w:line="240" w:lineRule="auto"/>
        <w:ind w:left="0" w:right="0" w:firstLine="0"/>
        <w:jc w:val="left"/>
      </w:pPr>
      <w:bookmarkStart w:id="2535" w:name="bookmark2535"/>
      <w:bookmarkStart w:id="2536" w:name="bookmark2536"/>
      <w:bookmarkStart w:id="2537" w:name="bookmark2537"/>
      <w:bookmarkStart w:id="2538" w:name="bookmark2538"/>
      <w:bookmarkEnd w:id="2537"/>
      <w:r>
        <w:rPr>
          <w:color w:val="000000"/>
          <w:spacing w:val="0"/>
          <w:w w:val="100"/>
          <w:position w:val="0"/>
        </w:rPr>
        <w:t>其他说明</w:t>
      </w:r>
      <w:bookmarkEnd w:id="2535"/>
      <w:bookmarkEnd w:id="2536"/>
      <w:bookmarkEnd w:id="2538"/>
    </w:p>
    <w:p>
      <w:pPr>
        <w:pStyle w:val="Style29"/>
        <w:keepNext/>
        <w:keepLines/>
        <w:widowControl w:val="0"/>
        <w:shd w:val="clear" w:color="auto" w:fill="auto"/>
        <w:bidi w:val="0"/>
        <w:spacing w:before="0" w:line="240" w:lineRule="auto"/>
        <w:ind w:left="0" w:right="0" w:firstLine="0"/>
        <w:jc w:val="left"/>
      </w:pPr>
      <w:bookmarkStart w:id="2539" w:name="bookmark2539"/>
      <w:bookmarkStart w:id="2540" w:name="bookmark2540"/>
      <w:bookmarkStart w:id="2541" w:name="bookmark2541"/>
      <w:bookmarkStart w:id="2542" w:name="bookmark2542"/>
      <w:r>
        <w:rPr>
          <w:rFonts w:ascii="Times New Roman" w:eastAsia="Times New Roman" w:hAnsi="Times New Roman" w:cs="Times New Roman"/>
          <w:color w:val="000000"/>
          <w:spacing w:val="0"/>
          <w:w w:val="100"/>
          <w:position w:val="0"/>
        </w:rPr>
        <w:t>4</w:t>
      </w:r>
      <w:bookmarkEnd w:id="2541"/>
      <w:r>
        <w:rPr>
          <w:color w:val="000000"/>
          <w:spacing w:val="0"/>
          <w:w w:val="100"/>
          <w:position w:val="0"/>
        </w:rPr>
        <w:t>、营业收入和营业成本</w:t>
      </w:r>
      <w:bookmarkEnd w:id="2539"/>
      <w:bookmarkEnd w:id="2540"/>
      <w:bookmarkEnd w:id="25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6,032,785,521.43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4,857,817,759.30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3,906,651,402.78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3,244,156,608.32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2,085,587.35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2,338,307.38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3,320,073.01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4,168,867.08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6,034,871,108.78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4,860,156,066.68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3,909,971,475.79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3,248,325,475.40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79" w:line="1" w:lineRule="exact"/>
      </w:pPr>
    </w:p>
    <w:p>
      <w:pPr>
        <w:pStyle w:val="Style18"/>
        <w:keepNext w:val="0"/>
        <w:keepLines w:val="0"/>
        <w:widowControl w:val="0"/>
        <w:shd w:val="clear" w:color="auto" w:fill="auto"/>
        <w:bidi w:val="0"/>
        <w:spacing w:before="0" w:after="560" w:line="309" w:lineRule="exact"/>
        <w:ind w:left="0" w:right="0"/>
        <w:jc w:val="both"/>
      </w:pPr>
      <w:r>
        <w:rPr>
          <w:color w:val="000000"/>
          <w:spacing w:val="0"/>
          <w:w w:val="100"/>
          <w:position w:val="0"/>
        </w:rPr>
        <w:t>对于产品销售类业务，本公司在客户取得相关商品的控制权时完成履约义务；对于提供通信技术服务类业务，区分通信 网络建设服务与通信网络维护与优化服务，其中本公司提供的通信网络建设服务依据业经客户或第三方监理确认的工作量确 认单确认已完成的履约义务，本公司提供的通信网络维护与优化服务依据业经客户确认的代维费用结算单或按合同约定分期 确认已完成的履约义务。本公司的合同价款不存在重大融资成分。</w:t>
      </w:r>
    </w:p>
    <w:p>
      <w:pPr>
        <w:pStyle w:val="Style18"/>
        <w:keepNext w:val="0"/>
        <w:keepLines w:val="0"/>
        <w:widowControl w:val="0"/>
        <w:shd w:val="clear" w:color="auto" w:fill="auto"/>
        <w:bidi w:val="0"/>
        <w:spacing w:before="0" w:after="80" w:line="309" w:lineRule="exact"/>
        <w:ind w:left="0" w:right="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80" w:line="310" w:lineRule="exact"/>
        <w:ind w:left="0" w:right="0"/>
        <w:jc w:val="both"/>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9,400,930,900.00</w:t>
      </w:r>
      <w:r>
        <w:rPr>
          <w:color w:val="000000"/>
          <w:spacing w:val="0"/>
          <w:w w:val="100"/>
          <w:position w:val="0"/>
        </w:rPr>
        <w:t xml:space="preserve">元，其中， </w:t>
      </w:r>
      <w:r>
        <w:rPr>
          <w:color w:val="000000"/>
          <w:spacing w:val="0"/>
          <w:w w:val="100"/>
          <w:position w:val="0"/>
          <w:sz w:val="18"/>
          <w:szCs w:val="18"/>
        </w:rPr>
        <w:t>6,113,273,800.00</w:t>
      </w:r>
      <w:r>
        <w:rPr>
          <w:color w:val="000000"/>
          <w:spacing w:val="0"/>
          <w:w w:val="100"/>
          <w:position w:val="0"/>
        </w:rPr>
        <w:t>元预计将于</w:t>
      </w:r>
      <w:r>
        <w:rPr>
          <w:color w:val="000000"/>
          <w:spacing w:val="0"/>
          <w:w w:val="100"/>
          <w:position w:val="0"/>
          <w:sz w:val="18"/>
          <w:szCs w:val="18"/>
        </w:rPr>
        <w:t>2022</w:t>
      </w:r>
      <w:r>
        <w:rPr>
          <w:color w:val="000000"/>
          <w:spacing w:val="0"/>
          <w:w w:val="100"/>
          <w:position w:val="0"/>
        </w:rPr>
        <w:t>年度确认收入，</w:t>
      </w:r>
      <w:r>
        <w:rPr>
          <w:color w:val="000000"/>
          <w:spacing w:val="0"/>
          <w:w w:val="100"/>
          <w:position w:val="0"/>
          <w:sz w:val="18"/>
          <w:szCs w:val="18"/>
        </w:rPr>
        <w:t xml:space="preserve">2, </w:t>
      </w:r>
      <w:r>
        <w:rPr>
          <w:color w:val="000000"/>
          <w:spacing w:val="0"/>
          <w:w w:val="100"/>
          <w:position w:val="0"/>
          <w:sz w:val="18"/>
          <w:szCs w:val="18"/>
        </w:rPr>
        <w:t xml:space="preserve">333,323,800. </w:t>
      </w:r>
      <w:r>
        <w:rPr>
          <w:color w:val="000000"/>
          <w:spacing w:val="0"/>
          <w:w w:val="100"/>
          <w:position w:val="0"/>
          <w:sz w:val="18"/>
          <w:szCs w:val="18"/>
        </w:rPr>
        <w:t>00</w:t>
      </w:r>
      <w:r>
        <w:rPr>
          <w:color w:val="000000"/>
          <w:spacing w:val="0"/>
          <w:w w:val="100"/>
          <w:position w:val="0"/>
        </w:rPr>
        <w:t>元预计将于</w:t>
      </w:r>
      <w:r>
        <w:rPr>
          <w:color w:val="000000"/>
          <w:spacing w:val="0"/>
          <w:w w:val="100"/>
          <w:position w:val="0"/>
          <w:sz w:val="18"/>
          <w:szCs w:val="18"/>
        </w:rPr>
        <w:t>2023</w:t>
      </w:r>
      <w:r>
        <w:rPr>
          <w:color w:val="000000"/>
          <w:spacing w:val="0"/>
          <w:w w:val="100"/>
          <w:position w:val="0"/>
        </w:rPr>
        <w:t>年度确认收入，</w:t>
      </w:r>
      <w:r>
        <w:rPr>
          <w:color w:val="000000"/>
          <w:spacing w:val="0"/>
          <w:w w:val="100"/>
          <w:position w:val="0"/>
          <w:sz w:val="18"/>
          <w:szCs w:val="18"/>
        </w:rPr>
        <w:t xml:space="preserve">954, 333, </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元 预计将于</w:t>
      </w:r>
      <w:r>
        <w:rPr>
          <w:color w:val="000000"/>
          <w:spacing w:val="0"/>
          <w:w w:val="100"/>
          <w:position w:val="0"/>
          <w:sz w:val="18"/>
          <w:szCs w:val="18"/>
        </w:rPr>
        <w:t>2024</w:t>
      </w:r>
      <w:r>
        <w:rPr>
          <w:color w:val="000000"/>
          <w:spacing w:val="0"/>
          <w:w w:val="100"/>
          <w:position w:val="0"/>
        </w:rPr>
        <w:t>年度确认收入。</w:t>
      </w:r>
    </w:p>
    <w:p>
      <w:pPr>
        <w:pStyle w:val="Style18"/>
        <w:keepNext w:val="0"/>
        <w:keepLines w:val="0"/>
        <w:widowControl w:val="0"/>
        <w:shd w:val="clear" w:color="auto" w:fill="auto"/>
        <w:bidi w:val="0"/>
        <w:spacing w:before="0" w:after="360" w:line="309"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543" w:name="bookmark2543"/>
      <w:bookmarkStart w:id="2544" w:name="bookmark2544"/>
      <w:bookmarkStart w:id="2545" w:name="bookmark2545"/>
      <w:bookmarkStart w:id="2546" w:name="bookmark2546"/>
      <w:r>
        <w:rPr>
          <w:rFonts w:ascii="Times New Roman" w:eastAsia="Times New Roman" w:hAnsi="Times New Roman" w:cs="Times New Roman"/>
          <w:color w:val="000000"/>
          <w:spacing w:val="0"/>
          <w:w w:val="100"/>
          <w:position w:val="0"/>
        </w:rPr>
        <w:t>5</w:t>
      </w:r>
      <w:bookmarkEnd w:id="2545"/>
      <w:r>
        <w:rPr>
          <w:color w:val="000000"/>
          <w:spacing w:val="0"/>
          <w:w w:val="100"/>
          <w:position w:val="0"/>
        </w:rPr>
        <w:t>、投资收益</w:t>
      </w:r>
      <w:bookmarkEnd w:id="2543"/>
      <w:bookmarkEnd w:id="2544"/>
      <w:bookmarkEnd w:id="25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1,551,970.64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-38,305.32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-442,081.10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6,377,004.72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148,925.67</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-812,385.47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-5,803.10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1,086,585.17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6,039,740.87</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2547" w:name="bookmark2547"/>
      <w:bookmarkStart w:id="2548" w:name="bookmark2548"/>
      <w:bookmarkStart w:id="2549" w:name="bookmark2549"/>
      <w:bookmarkStart w:id="2550" w:name="bookmark2550"/>
      <w:r>
        <w:rPr>
          <w:rFonts w:ascii="Times New Roman" w:eastAsia="Times New Roman" w:hAnsi="Times New Roman" w:cs="Times New Roman"/>
          <w:color w:val="000000"/>
          <w:spacing w:val="0"/>
          <w:w w:val="100"/>
          <w:position w:val="0"/>
        </w:rPr>
        <w:t>6</w:t>
      </w:r>
      <w:bookmarkEnd w:id="2549"/>
      <w:r>
        <w:rPr>
          <w:color w:val="000000"/>
          <w:spacing w:val="0"/>
          <w:w w:val="100"/>
          <w:position w:val="0"/>
        </w:rPr>
        <w:t>、其他</w:t>
      </w:r>
      <w:bookmarkEnd w:id="2547"/>
      <w:bookmarkEnd w:id="2548"/>
      <w:bookmarkEnd w:id="2550"/>
    </w:p>
    <w:p>
      <w:pPr>
        <w:pStyle w:val="Style23"/>
        <w:keepNext/>
        <w:keepLines/>
        <w:widowControl w:val="0"/>
        <w:shd w:val="clear" w:color="auto" w:fill="auto"/>
        <w:bidi w:val="0"/>
        <w:spacing w:before="0" w:after="340" w:line="240" w:lineRule="auto"/>
        <w:ind w:left="0" w:right="0" w:firstLine="0"/>
        <w:jc w:val="left"/>
      </w:pPr>
      <w:bookmarkStart w:id="2551" w:name="bookmark2551"/>
      <w:bookmarkStart w:id="2552" w:name="bookmark2552"/>
      <w:bookmarkStart w:id="2553" w:name="bookmark2553"/>
      <w:r>
        <w:rPr>
          <w:color w:val="000000"/>
          <w:spacing w:val="0"/>
          <w:w w:val="100"/>
          <w:position w:val="0"/>
          <w:sz w:val="24"/>
          <w:szCs w:val="24"/>
        </w:rPr>
        <w:t>十八、补充资料</w:t>
      </w:r>
      <w:bookmarkEnd w:id="2551"/>
      <w:bookmarkEnd w:id="2552"/>
      <w:bookmarkEnd w:id="2553"/>
    </w:p>
    <w:p>
      <w:pPr>
        <w:pStyle w:val="Style29"/>
        <w:keepNext/>
        <w:keepLines/>
        <w:widowControl w:val="0"/>
        <w:shd w:val="clear" w:color="auto" w:fill="auto"/>
        <w:bidi w:val="0"/>
        <w:spacing w:before="0" w:after="340" w:line="240" w:lineRule="auto"/>
        <w:ind w:left="0" w:right="0" w:firstLine="0"/>
        <w:jc w:val="left"/>
      </w:pPr>
      <w:bookmarkStart w:id="2554" w:name="bookmark2554"/>
      <w:bookmarkStart w:id="2555" w:name="bookmark2555"/>
      <w:bookmarkStart w:id="2556" w:name="bookmark255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554"/>
      <w:bookmarkEnd w:id="2555"/>
      <w:bookmarkEnd w:id="2556"/>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24,918,400.92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主要系南宁市科技项目经费后补助等政 府补助款</w:t>
            </w: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3,873,306.19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主要系银行结构性存款等理财收益</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-3,337,272.90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主要系捐赠支出及固定资产报废损失</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1,112,580.71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主要系进项税加计抵减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4,220,803.69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1,447,470.03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20,881,786.54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2557" w:name="bookmark2557"/>
      <w:bookmarkStart w:id="2558" w:name="bookmark2558"/>
      <w:bookmarkStart w:id="2559" w:name="bookmark255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557"/>
      <w:bookmarkEnd w:id="2558"/>
      <w:bookmarkEnd w:id="2559"/>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r>
    </w:tbl>
    <w:p>
      <w:pPr>
        <w:pStyle w:val="Style29"/>
        <w:keepNext/>
        <w:keepLines/>
        <w:widowControl w:val="0"/>
        <w:shd w:val="clear" w:color="auto" w:fill="auto"/>
        <w:tabs>
          <w:tab w:pos="404" w:val="left"/>
        </w:tabs>
        <w:bidi w:val="0"/>
        <w:spacing w:before="0" w:after="280" w:line="326" w:lineRule="exact"/>
        <w:ind w:left="0" w:right="0" w:firstLine="0"/>
        <w:jc w:val="left"/>
      </w:pPr>
      <w:bookmarkStart w:id="2560" w:name="bookmark2560"/>
      <w:bookmarkStart w:id="2561" w:name="bookmark2561"/>
      <w:bookmarkStart w:id="2562" w:name="bookmark2562"/>
      <w:bookmarkStart w:id="2563" w:name="bookmark2563"/>
      <w:r>
        <w:rPr>
          <w:rFonts w:ascii="Times New Roman" w:eastAsia="Times New Roman" w:hAnsi="Times New Roman" w:cs="Times New Roman"/>
          <w:color w:val="000000"/>
          <w:spacing w:val="0"/>
          <w:w w:val="100"/>
          <w:position w:val="0"/>
        </w:rPr>
        <w:t>3</w:t>
      </w:r>
      <w:bookmarkEnd w:id="2562"/>
      <w:r>
        <w:rPr>
          <w:color w:val="000000"/>
          <w:spacing w:val="0"/>
          <w:w w:val="100"/>
          <w:position w:val="0"/>
        </w:rPr>
        <w:t>、</w:t>
        <w:tab/>
        <w:t>境内外会计准则下会计数据差异</w:t>
      </w:r>
      <w:bookmarkEnd w:id="2560"/>
      <w:bookmarkEnd w:id="2561"/>
      <w:bookmarkEnd w:id="2563"/>
    </w:p>
    <w:p>
      <w:pPr>
        <w:pStyle w:val="Style40"/>
        <w:keepNext/>
        <w:keepLines/>
        <w:widowControl w:val="0"/>
        <w:shd w:val="clear" w:color="auto" w:fill="auto"/>
        <w:tabs>
          <w:tab w:pos="493" w:val="left"/>
        </w:tabs>
        <w:bidi w:val="0"/>
        <w:spacing w:before="0" w:line="326" w:lineRule="exact"/>
        <w:ind w:left="0" w:right="0" w:firstLine="0"/>
        <w:jc w:val="left"/>
      </w:pPr>
      <w:bookmarkStart w:id="2564" w:name="bookmark2564"/>
      <w:bookmarkStart w:id="2565" w:name="bookmark2565"/>
      <w:bookmarkStart w:id="2566" w:name="bookmark2566"/>
      <w:bookmarkStart w:id="2567" w:name="bookmark2567"/>
      <w:r>
        <w:rPr>
          <w:color w:val="000000"/>
          <w:spacing w:val="0"/>
          <w:w w:val="100"/>
          <w:position w:val="0"/>
        </w:rPr>
        <w:t>（</w:t>
      </w:r>
      <w:bookmarkEnd w:id="256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564"/>
      <w:bookmarkEnd w:id="2565"/>
      <w:bookmarkEnd w:id="2567"/>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26" w:lineRule="exact"/>
        <w:ind w:left="0" w:right="0" w:firstLine="0"/>
        <w:jc w:val="left"/>
      </w:pPr>
      <w:bookmarkStart w:id="2568" w:name="bookmark2568"/>
      <w:bookmarkStart w:id="2569" w:name="bookmark2569"/>
      <w:bookmarkStart w:id="2570" w:name="bookmark2570"/>
      <w:bookmarkStart w:id="2571" w:name="bookmark2571"/>
      <w:r>
        <w:rPr>
          <w:color w:val="000000"/>
          <w:spacing w:val="0"/>
          <w:w w:val="100"/>
          <w:position w:val="0"/>
        </w:rPr>
        <w:t>（</w:t>
      </w:r>
      <w:bookmarkEnd w:id="257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568"/>
      <w:bookmarkEnd w:id="2569"/>
      <w:bookmarkEnd w:id="2571"/>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589" w:val="left"/>
        </w:tabs>
        <w:bidi w:val="0"/>
        <w:spacing w:before="0" w:after="280" w:line="326" w:lineRule="exact"/>
        <w:ind w:left="0" w:right="0" w:firstLine="0"/>
        <w:jc w:val="left"/>
      </w:pPr>
      <w:bookmarkStart w:id="2572" w:name="bookmark2572"/>
      <w:bookmarkStart w:id="2573" w:name="bookmark2573"/>
      <w:bookmarkStart w:id="2574" w:name="bookmark2574"/>
      <w:bookmarkStart w:id="2575" w:name="bookmark2575"/>
      <w:r>
        <w:rPr>
          <w:color w:val="000000"/>
          <w:spacing w:val="0"/>
          <w:w w:val="100"/>
          <w:position w:val="0"/>
        </w:rPr>
        <w:t>（</w:t>
      </w:r>
      <w:bookmarkEnd w:id="2574"/>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572"/>
      <w:bookmarkEnd w:id="2573"/>
      <w:bookmarkEnd w:id="2575"/>
    </w:p>
    <w:p>
      <w:pPr>
        <w:pStyle w:val="Style29"/>
        <w:keepNext/>
        <w:keepLines/>
        <w:widowControl w:val="0"/>
        <w:shd w:val="clear" w:color="auto" w:fill="auto"/>
        <w:tabs>
          <w:tab w:pos="404" w:val="left"/>
        </w:tabs>
        <w:bidi w:val="0"/>
        <w:spacing w:before="0" w:after="280" w:line="326" w:lineRule="exact"/>
        <w:ind w:left="0" w:right="0" w:firstLine="0"/>
        <w:jc w:val="left"/>
      </w:pPr>
      <w:bookmarkStart w:id="2576" w:name="bookmark2576"/>
      <w:bookmarkStart w:id="2577" w:name="bookmark2577"/>
      <w:bookmarkStart w:id="2578" w:name="bookmark2578"/>
      <w:bookmarkStart w:id="2579" w:name="bookmark2579"/>
      <w:r>
        <w:rPr>
          <w:rFonts w:ascii="Times New Roman" w:eastAsia="Times New Roman" w:hAnsi="Times New Roman" w:cs="Times New Roman"/>
          <w:color w:val="000000"/>
          <w:spacing w:val="0"/>
          <w:w w:val="100"/>
          <w:position w:val="0"/>
        </w:rPr>
        <w:t>4</w:t>
      </w:r>
      <w:bookmarkEnd w:id="2578"/>
      <w:r>
        <w:rPr>
          <w:color w:val="000000"/>
          <w:spacing w:val="0"/>
          <w:w w:val="100"/>
          <w:position w:val="0"/>
        </w:rPr>
        <w:t>、</w:t>
        <w:tab/>
        <w:t>其他</w:t>
      </w:r>
      <w:bookmarkEnd w:id="2576"/>
      <w:bookmarkEnd w:id="2577"/>
      <w:bookmarkEnd w:id="2579"/>
    </w:p>
    <w:sectPr>
      <w:footnotePr>
        <w:pos w:val="pageBottom"/>
        <w:numFmt w:val="decimal"/>
        <w:numRestart w:val="continuous"/>
      </w:footnotePr>
      <w:pgSz w:w="11900" w:h="16840"/>
      <w:pgMar w:top="1398" w:right="1115" w:bottom="1547" w:left="10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Sun" w:eastAsia="SimSun" w:hAnsi="SimSun" w:cs="SimSun"/>
      <w:b w:val="0"/>
      <w:bCs w:val="0"/>
      <w:i w:val="0"/>
      <w:iCs w:val="0"/>
      <w:smallCaps w:val="0"/>
      <w:strike w:val="0"/>
      <w:color w:val="424041"/>
      <w:sz w:val="14"/>
      <w:szCs w:val="14"/>
      <w:u w:val="none"/>
      <w:shd w:val="clear" w:color="auto" w:fill="auto"/>
    </w:rPr>
  </w:style>
  <w:style w:type="character" w:customStyle="1" w:styleId="CharStyle38">
    <w:name w:val="Body text (4)_"/>
    <w:basedOn w:val="DefaultParagraphFont"/>
    <w:link w:val="Style37"/>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9">
    <w:name w:val="Heading #5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5)"/>
    <w:basedOn w:val="Normal"/>
    <w:link w:val="CharStyle3"/>
    <w:pPr>
      <w:widowControl w:val="0"/>
      <w:shd w:val="clear" w:color="auto" w:fill="auto"/>
      <w:spacing w:after="9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460" w:after="7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styleId="Style18">
    <w:name w:val="Body text"/>
    <w:basedOn w:val="Normal"/>
    <w:link w:val="CharStyle19"/>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0">
    <w:name w:val="Other"/>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2"/>
    <w:basedOn w:val="Normal"/>
    <w:link w:val="CharStyle24"/>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pPr>
    <w:rPr>
      <w:rFonts w:ascii="SimSun" w:eastAsia="SimSun" w:hAnsi="SimSun" w:cs="SimSun"/>
      <w:b w:val="0"/>
      <w:bCs w:val="0"/>
      <w:i w:val="0"/>
      <w:iCs w:val="0"/>
      <w:smallCaps w:val="0"/>
      <w:strike w:val="0"/>
      <w:color w:val="424041"/>
      <w:sz w:val="14"/>
      <w:szCs w:val="14"/>
      <w:u w:val="none"/>
      <w:shd w:val="clear" w:color="auto" w:fill="auto"/>
    </w:rPr>
  </w:style>
  <w:style w:type="paragraph" w:customStyle="1" w:styleId="Style37">
    <w:name w:val="Body text (4)"/>
    <w:basedOn w:val="Normal"/>
    <w:link w:val="CharStyle38"/>
    <w:pPr>
      <w:widowControl w:val="0"/>
      <w:shd w:val="clear" w:color="auto" w:fill="auto"/>
      <w:spacing w:line="312" w:lineRule="exact"/>
      <w:ind w:firstLine="380"/>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40">
    <w:name w:val="Heading #4"/>
    <w:basedOn w:val="Normal"/>
    <w:link w:val="CharStyle4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Heading #5"/>
    <w:basedOn w:val="Normal"/>
    <w:link w:val="CharStyle59"/>
    <w:pPr>
      <w:widowControl w:val="0"/>
      <w:shd w:val="clear" w:color="auto" w:fill="auto"/>
      <w:spacing w:after="35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Microsoft 帐户</dc:creator>
  <cp:keywords/>
</cp:coreProperties>
</file>