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4.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5.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6.xml" ContentType="application/vnd.openxmlformats-officedocument.wordprocessingml.header+xml"/>
  <Override PartName="/word/footer23.xml" ContentType="application/vnd.openxmlformats-officedocument.wordprocessingml.footer+xml"/>
  <Override PartName="/word/header7.xml" ContentType="application/vnd.openxmlformats-officedocument.wordprocessingml.header+xml"/>
  <Override PartName="/word/footer24.xml" ContentType="application/vnd.openxmlformats-officedocument.wordprocessingml.footer+xml"/>
  <Override PartName="/word/header8.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9.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0.xml" ContentType="application/vnd.openxmlformats-officedocument.wordprocessingml.header+xml"/>
  <Override PartName="/word/footer29.xml" ContentType="application/vnd.openxmlformats-officedocument.wordprocessingml.footer+xml"/>
  <Override PartName="/word/header11.xml" ContentType="application/vnd.openxmlformats-officedocument.wordprocessingml.header+xml"/>
  <Override PartName="/word/footer30.xml" ContentType="application/vnd.openxmlformats-officedocument.wordprocessingml.footer+xml"/>
  <Override PartName="/word/header12.xml" ContentType="application/vnd.openxmlformats-officedocument.wordprocessingml.header+xml"/>
  <Override PartName="/word/footer31.xml" ContentType="application/vnd.openxmlformats-officedocument.wordprocessingml.footer+xml"/>
  <Override PartName="/word/header13.xml" ContentType="application/vnd.openxmlformats-officedocument.wordprocessingml.header+xml"/>
  <Override PartName="/word/footer32.xml" ContentType="application/vnd.openxmlformats-officedocument.wordprocessingml.footer+xml"/>
  <Override PartName="/word/header14.xml" ContentType="application/vnd.openxmlformats-officedocument.wordprocessingml.header+xml"/>
  <Override PartName="/word/footer33.xml" ContentType="application/vnd.openxmlformats-officedocument.wordprocessingml.footer+xml"/>
  <Override PartName="/word/header15.xml" ContentType="application/vnd.openxmlformats-officedocument.wordprocessingml.header+xml"/>
  <Override PartName="/word/footer34.xml" ContentType="application/vnd.openxmlformats-officedocument.wordprocessingml.footer+xml"/>
  <Override PartName="/word/header16.xml" ContentType="application/vnd.openxmlformats-officedocument.wordprocessingml.head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before="140"/>
        <w:ind w:left="1" w:right="0" w:firstLine="0"/>
        <w:jc w:val="center"/>
        <w:rPr>
          <w:rFonts w:ascii="宋体" w:hAnsi="宋体" w:cs="宋体" w:eastAsia="宋体" w:hint="default"/>
          <w:sz w:val="44"/>
          <w:szCs w:val="44"/>
        </w:rPr>
      </w:pPr>
      <w:r>
        <w:rPr>
          <w:rFonts w:ascii="宋体" w:hAnsi="宋体" w:cs="宋体" w:eastAsia="宋体" w:hint="default"/>
          <w:b/>
          <w:bCs/>
          <w:sz w:val="44"/>
          <w:szCs w:val="44"/>
        </w:rPr>
        <w:t>北京神州泰岳软件股份有限公司</w:t>
      </w:r>
      <w:r>
        <w:rPr>
          <w:rFonts w:ascii="宋体" w:hAnsi="宋体" w:cs="宋体" w:eastAsia="宋体" w:hint="default"/>
          <w:sz w:val="44"/>
          <w:szCs w:val="44"/>
        </w:rPr>
      </w:r>
    </w:p>
    <w:p>
      <w:pPr>
        <w:spacing w:line="240" w:lineRule="auto" w:before="0"/>
        <w:rPr>
          <w:rFonts w:ascii="宋体" w:hAnsi="宋体" w:cs="宋体" w:eastAsia="宋体" w:hint="default"/>
          <w:b/>
          <w:bCs/>
          <w:sz w:val="44"/>
          <w:szCs w:val="44"/>
        </w:rPr>
      </w:pPr>
    </w:p>
    <w:p>
      <w:pPr>
        <w:spacing w:line="240" w:lineRule="auto" w:before="0"/>
        <w:rPr>
          <w:rFonts w:ascii="宋体" w:hAnsi="宋体" w:cs="宋体" w:eastAsia="宋体" w:hint="default"/>
          <w:b/>
          <w:bCs/>
          <w:sz w:val="44"/>
          <w:szCs w:val="44"/>
        </w:rPr>
      </w:pPr>
    </w:p>
    <w:p>
      <w:pPr>
        <w:spacing w:line="240" w:lineRule="auto" w:before="0"/>
        <w:rPr>
          <w:rFonts w:ascii="宋体" w:hAnsi="宋体" w:cs="宋体" w:eastAsia="宋体" w:hint="default"/>
          <w:b/>
          <w:bCs/>
          <w:sz w:val="44"/>
          <w:szCs w:val="44"/>
        </w:rPr>
      </w:pPr>
    </w:p>
    <w:p>
      <w:pPr>
        <w:spacing w:line="240" w:lineRule="auto" w:before="6"/>
        <w:rPr>
          <w:rFonts w:ascii="宋体" w:hAnsi="宋体" w:cs="宋体" w:eastAsia="宋体" w:hint="default"/>
          <w:b/>
          <w:bCs/>
          <w:sz w:val="62"/>
          <w:szCs w:val="62"/>
        </w:rPr>
      </w:pPr>
    </w:p>
    <w:p>
      <w:pPr>
        <w:spacing w:before="0"/>
        <w:ind w:left="0" w:right="0" w:firstLine="0"/>
        <w:jc w:val="center"/>
        <w:rPr>
          <w:rFonts w:ascii="宋体" w:hAnsi="宋体" w:cs="宋体" w:eastAsia="宋体" w:hint="default"/>
          <w:sz w:val="44"/>
          <w:szCs w:val="44"/>
        </w:rPr>
      </w:pPr>
      <w:r>
        <w:rPr>
          <w:rFonts w:ascii="宋体" w:hAnsi="宋体" w:cs="宋体" w:eastAsia="宋体" w:hint="default"/>
          <w:b/>
          <w:bCs/>
          <w:sz w:val="44"/>
          <w:szCs w:val="44"/>
        </w:rPr>
        <w:t>2010年度报告</w:t>
      </w:r>
      <w:r>
        <w:rPr>
          <w:rFonts w:ascii="宋体" w:hAnsi="宋体" w:cs="宋体" w:eastAsia="宋体" w:hint="default"/>
          <w:sz w:val="44"/>
          <w:szCs w:val="44"/>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7"/>
          <w:szCs w:val="27"/>
        </w:rPr>
      </w:pPr>
    </w:p>
    <w:tbl>
      <w:tblPr>
        <w:tblW w:w="0" w:type="auto"/>
        <w:jc w:val="left"/>
        <w:tblInd w:w="2373" w:type="dxa"/>
        <w:tblLayout w:type="fixed"/>
        <w:tblCellMar>
          <w:top w:w="0" w:type="dxa"/>
          <w:left w:w="0" w:type="dxa"/>
          <w:bottom w:w="0" w:type="dxa"/>
          <w:right w:w="0" w:type="dxa"/>
        </w:tblCellMar>
        <w:tblLook w:val="01E0"/>
      </w:tblPr>
      <w:tblGrid>
        <w:gridCol w:w="2114"/>
        <w:gridCol w:w="3110"/>
      </w:tblGrid>
      <w:tr>
        <w:trPr>
          <w:trHeight w:val="496" w:hRule="exact"/>
        </w:trPr>
        <w:tc>
          <w:tcPr>
            <w:tcW w:w="2114" w:type="dxa"/>
            <w:tcBorders>
              <w:top w:val="nil" w:sz="6" w:space="0" w:color="auto"/>
              <w:left w:val="nil" w:sz="6" w:space="0" w:color="auto"/>
              <w:bottom w:val="nil" w:sz="6" w:space="0" w:color="auto"/>
              <w:right w:val="nil" w:sz="6" w:space="0" w:color="auto"/>
            </w:tcBorders>
          </w:tcPr>
          <w:p>
            <w:pPr>
              <w:pStyle w:val="TableParagraph"/>
              <w:spacing w:line="401" w:lineRule="exact"/>
              <w:ind w:right="105"/>
              <w:jc w:val="right"/>
              <w:rPr>
                <w:rFonts w:ascii="Microsoft JhengHei" w:hAnsi="Microsoft JhengHei" w:cs="Microsoft JhengHei" w:eastAsia="Microsoft JhengHei" w:hint="default"/>
                <w:sz w:val="36"/>
                <w:szCs w:val="36"/>
              </w:rPr>
            </w:pPr>
            <w:r>
              <w:rPr>
                <w:rFonts w:ascii="Microsoft JhengHei" w:hAnsi="Microsoft JhengHei" w:cs="Microsoft JhengHei" w:eastAsia="Microsoft JhengHei" w:hint="default"/>
                <w:b/>
                <w:bCs/>
                <w:sz w:val="36"/>
                <w:szCs w:val="36"/>
              </w:rPr>
              <w:t>股票代码：</w:t>
            </w:r>
            <w:r>
              <w:rPr>
                <w:rFonts w:ascii="Microsoft JhengHei" w:hAnsi="Microsoft JhengHei" w:cs="Microsoft JhengHei" w:eastAsia="Microsoft JhengHei" w:hint="default"/>
                <w:sz w:val="36"/>
                <w:szCs w:val="36"/>
              </w:rPr>
            </w:r>
          </w:p>
        </w:tc>
        <w:tc>
          <w:tcPr>
            <w:tcW w:w="3110" w:type="dxa"/>
            <w:tcBorders>
              <w:top w:val="nil" w:sz="6" w:space="0" w:color="auto"/>
              <w:left w:val="nil" w:sz="6" w:space="0" w:color="auto"/>
              <w:bottom w:val="nil" w:sz="6" w:space="0" w:color="auto"/>
              <w:right w:val="nil" w:sz="6" w:space="0" w:color="auto"/>
            </w:tcBorders>
          </w:tcPr>
          <w:p>
            <w:pPr>
              <w:pStyle w:val="TableParagraph"/>
              <w:spacing w:line="401" w:lineRule="exact"/>
              <w:ind w:left="108" w:right="0"/>
              <w:jc w:val="left"/>
              <w:rPr>
                <w:rFonts w:ascii="Microsoft JhengHei" w:hAnsi="Microsoft JhengHei" w:cs="Microsoft JhengHei" w:eastAsia="Microsoft JhengHei" w:hint="default"/>
                <w:sz w:val="36"/>
                <w:szCs w:val="36"/>
              </w:rPr>
            </w:pPr>
            <w:r>
              <w:rPr>
                <w:rFonts w:ascii="Microsoft JhengHei"/>
                <w:b/>
                <w:w w:val="95"/>
                <w:sz w:val="36"/>
              </w:rPr>
              <w:t>300002</w:t>
            </w:r>
            <w:r>
              <w:rPr>
                <w:rFonts w:ascii="Microsoft JhengHei"/>
                <w:sz w:val="36"/>
              </w:rPr>
            </w:r>
          </w:p>
        </w:tc>
      </w:tr>
      <w:tr>
        <w:trPr>
          <w:trHeight w:val="657" w:hRule="exact"/>
        </w:trPr>
        <w:tc>
          <w:tcPr>
            <w:tcW w:w="2114" w:type="dxa"/>
            <w:tcBorders>
              <w:top w:val="nil" w:sz="6" w:space="0" w:color="auto"/>
              <w:left w:val="nil" w:sz="6" w:space="0" w:color="auto"/>
              <w:bottom w:val="nil" w:sz="6" w:space="0" w:color="auto"/>
              <w:right w:val="nil" w:sz="6" w:space="0" w:color="auto"/>
            </w:tcBorders>
          </w:tcPr>
          <w:p>
            <w:pPr>
              <w:pStyle w:val="TableParagraph"/>
              <w:spacing w:line="536" w:lineRule="exact"/>
              <w:ind w:right="106"/>
              <w:jc w:val="right"/>
              <w:rPr>
                <w:rFonts w:ascii="Microsoft JhengHei" w:hAnsi="Microsoft JhengHei" w:cs="Microsoft JhengHei" w:eastAsia="Microsoft JhengHei" w:hint="default"/>
                <w:sz w:val="36"/>
                <w:szCs w:val="36"/>
              </w:rPr>
            </w:pPr>
            <w:r>
              <w:rPr>
                <w:rFonts w:ascii="Microsoft JhengHei" w:hAnsi="Microsoft JhengHei" w:cs="Microsoft JhengHei" w:eastAsia="Microsoft JhengHei" w:hint="default"/>
                <w:b/>
                <w:bCs/>
                <w:sz w:val="36"/>
                <w:szCs w:val="36"/>
              </w:rPr>
              <w:t>股票简称：</w:t>
            </w:r>
            <w:r>
              <w:rPr>
                <w:rFonts w:ascii="Microsoft JhengHei" w:hAnsi="Microsoft JhengHei" w:cs="Microsoft JhengHei" w:eastAsia="Microsoft JhengHei" w:hint="default"/>
                <w:sz w:val="36"/>
                <w:szCs w:val="36"/>
              </w:rPr>
            </w:r>
          </w:p>
        </w:tc>
        <w:tc>
          <w:tcPr>
            <w:tcW w:w="3110" w:type="dxa"/>
            <w:tcBorders>
              <w:top w:val="nil" w:sz="6" w:space="0" w:color="auto"/>
              <w:left w:val="nil" w:sz="6" w:space="0" w:color="auto"/>
              <w:bottom w:val="nil" w:sz="6" w:space="0" w:color="auto"/>
              <w:right w:val="nil" w:sz="6" w:space="0" w:color="auto"/>
            </w:tcBorders>
          </w:tcPr>
          <w:p>
            <w:pPr>
              <w:pStyle w:val="TableParagraph"/>
              <w:spacing w:line="536" w:lineRule="exact"/>
              <w:ind w:left="107" w:right="0"/>
              <w:jc w:val="left"/>
              <w:rPr>
                <w:rFonts w:ascii="Microsoft JhengHei" w:hAnsi="Microsoft JhengHei" w:cs="Microsoft JhengHei" w:eastAsia="Microsoft JhengHei" w:hint="default"/>
                <w:sz w:val="36"/>
                <w:szCs w:val="36"/>
              </w:rPr>
            </w:pPr>
            <w:r>
              <w:rPr>
                <w:rFonts w:ascii="Microsoft JhengHei" w:hAnsi="Microsoft JhengHei" w:cs="Microsoft JhengHei" w:eastAsia="Microsoft JhengHei" w:hint="default"/>
                <w:b/>
                <w:bCs/>
                <w:sz w:val="36"/>
                <w:szCs w:val="36"/>
              </w:rPr>
              <w:t>神州泰岳</w:t>
            </w:r>
            <w:r>
              <w:rPr>
                <w:rFonts w:ascii="Microsoft JhengHei" w:hAnsi="Microsoft JhengHei" w:cs="Microsoft JhengHei" w:eastAsia="Microsoft JhengHei" w:hint="default"/>
                <w:sz w:val="36"/>
                <w:szCs w:val="36"/>
              </w:rPr>
            </w:r>
          </w:p>
        </w:tc>
      </w:tr>
      <w:tr>
        <w:trPr>
          <w:trHeight w:val="521" w:hRule="exact"/>
        </w:trPr>
        <w:tc>
          <w:tcPr>
            <w:tcW w:w="2114" w:type="dxa"/>
            <w:tcBorders>
              <w:top w:val="nil" w:sz="6" w:space="0" w:color="auto"/>
              <w:left w:val="nil" w:sz="6" w:space="0" w:color="auto"/>
              <w:bottom w:val="nil" w:sz="6" w:space="0" w:color="auto"/>
              <w:right w:val="nil" w:sz="6" w:space="0" w:color="auto"/>
            </w:tcBorders>
          </w:tcPr>
          <w:p>
            <w:pPr>
              <w:pStyle w:val="TableParagraph"/>
              <w:spacing w:line="561" w:lineRule="exact"/>
              <w:ind w:right="106"/>
              <w:jc w:val="right"/>
              <w:rPr>
                <w:rFonts w:ascii="Microsoft JhengHei" w:hAnsi="Microsoft JhengHei" w:cs="Microsoft JhengHei" w:eastAsia="Microsoft JhengHei" w:hint="default"/>
                <w:sz w:val="36"/>
                <w:szCs w:val="36"/>
              </w:rPr>
            </w:pPr>
            <w:r>
              <w:rPr>
                <w:rFonts w:ascii="Microsoft JhengHei" w:hAnsi="Microsoft JhengHei" w:cs="Microsoft JhengHei" w:eastAsia="Microsoft JhengHei" w:hint="default"/>
                <w:b/>
                <w:bCs/>
                <w:sz w:val="36"/>
                <w:szCs w:val="36"/>
              </w:rPr>
              <w:t>披露日期：</w:t>
            </w:r>
            <w:r>
              <w:rPr>
                <w:rFonts w:ascii="Microsoft JhengHei" w:hAnsi="Microsoft JhengHei" w:cs="Microsoft JhengHei" w:eastAsia="Microsoft JhengHei" w:hint="default"/>
                <w:sz w:val="36"/>
                <w:szCs w:val="36"/>
              </w:rPr>
            </w:r>
          </w:p>
        </w:tc>
        <w:tc>
          <w:tcPr>
            <w:tcW w:w="3110" w:type="dxa"/>
            <w:tcBorders>
              <w:top w:val="nil" w:sz="6" w:space="0" w:color="auto"/>
              <w:left w:val="nil" w:sz="6" w:space="0" w:color="auto"/>
              <w:bottom w:val="nil" w:sz="6" w:space="0" w:color="auto"/>
              <w:right w:val="nil" w:sz="6" w:space="0" w:color="auto"/>
            </w:tcBorders>
          </w:tcPr>
          <w:p>
            <w:pPr>
              <w:pStyle w:val="TableParagraph"/>
              <w:spacing w:line="561" w:lineRule="exact"/>
              <w:ind w:left="107" w:right="0"/>
              <w:jc w:val="left"/>
              <w:rPr>
                <w:rFonts w:ascii="Microsoft JhengHei" w:hAnsi="Microsoft JhengHei" w:cs="Microsoft JhengHei" w:eastAsia="Microsoft JhengHei" w:hint="default"/>
                <w:sz w:val="36"/>
                <w:szCs w:val="36"/>
              </w:rPr>
            </w:pPr>
            <w:r>
              <w:rPr>
                <w:rFonts w:ascii="Microsoft JhengHei" w:hAnsi="Microsoft JhengHei" w:cs="Microsoft JhengHei" w:eastAsia="Microsoft JhengHei" w:hint="default"/>
                <w:b/>
                <w:bCs/>
                <w:sz w:val="36"/>
                <w:szCs w:val="36"/>
              </w:rPr>
              <w:t>2011</w:t>
            </w:r>
            <w:r>
              <w:rPr>
                <w:rFonts w:ascii="Microsoft JhengHei" w:hAnsi="Microsoft JhengHei" w:cs="Microsoft JhengHei" w:eastAsia="Microsoft JhengHei" w:hint="default"/>
                <w:b/>
                <w:bCs/>
                <w:spacing w:val="-46"/>
                <w:sz w:val="36"/>
                <w:szCs w:val="36"/>
              </w:rPr>
              <w:t> </w:t>
            </w:r>
            <w:r>
              <w:rPr>
                <w:rFonts w:ascii="Microsoft JhengHei" w:hAnsi="Microsoft JhengHei" w:cs="Microsoft JhengHei" w:eastAsia="Microsoft JhengHei" w:hint="default"/>
                <w:b/>
                <w:bCs/>
                <w:sz w:val="36"/>
                <w:szCs w:val="36"/>
              </w:rPr>
              <w:t>年</w:t>
            </w:r>
            <w:r>
              <w:rPr>
                <w:rFonts w:ascii="Microsoft JhengHei" w:hAnsi="Microsoft JhengHei" w:cs="Microsoft JhengHei" w:eastAsia="Microsoft JhengHei" w:hint="default"/>
                <w:b/>
                <w:bCs/>
                <w:spacing w:val="-47"/>
                <w:sz w:val="36"/>
                <w:szCs w:val="36"/>
              </w:rPr>
              <w:t> </w:t>
            </w:r>
            <w:r>
              <w:rPr>
                <w:rFonts w:ascii="Microsoft JhengHei" w:hAnsi="Microsoft JhengHei" w:cs="Microsoft JhengHei" w:eastAsia="Microsoft JhengHei" w:hint="default"/>
                <w:b/>
                <w:bCs/>
                <w:sz w:val="36"/>
                <w:szCs w:val="36"/>
              </w:rPr>
              <w:t>3</w:t>
            </w:r>
            <w:r>
              <w:rPr>
                <w:rFonts w:ascii="Microsoft JhengHei" w:hAnsi="Microsoft JhengHei" w:cs="Microsoft JhengHei" w:eastAsia="Microsoft JhengHei" w:hint="default"/>
                <w:b/>
                <w:bCs/>
                <w:spacing w:val="-47"/>
                <w:sz w:val="36"/>
                <w:szCs w:val="36"/>
              </w:rPr>
              <w:t> </w:t>
            </w:r>
            <w:r>
              <w:rPr>
                <w:rFonts w:ascii="Microsoft JhengHei" w:hAnsi="Microsoft JhengHei" w:cs="Microsoft JhengHei" w:eastAsia="Microsoft JhengHei" w:hint="default"/>
                <w:b/>
                <w:bCs/>
                <w:sz w:val="36"/>
                <w:szCs w:val="36"/>
              </w:rPr>
              <w:t>月</w:t>
            </w:r>
            <w:r>
              <w:rPr>
                <w:rFonts w:ascii="Microsoft JhengHei" w:hAnsi="Microsoft JhengHei" w:cs="Microsoft JhengHei" w:eastAsia="Microsoft JhengHei" w:hint="default"/>
                <w:b/>
                <w:bCs/>
                <w:spacing w:val="-46"/>
                <w:sz w:val="36"/>
                <w:szCs w:val="36"/>
              </w:rPr>
              <w:t> </w:t>
            </w:r>
            <w:r>
              <w:rPr>
                <w:rFonts w:ascii="Microsoft JhengHei" w:hAnsi="Microsoft JhengHei" w:cs="Microsoft JhengHei" w:eastAsia="Microsoft JhengHei" w:hint="default"/>
                <w:b/>
                <w:bCs/>
                <w:sz w:val="36"/>
                <w:szCs w:val="36"/>
              </w:rPr>
              <w:t>17</w:t>
            </w:r>
            <w:r>
              <w:rPr>
                <w:rFonts w:ascii="Microsoft JhengHei" w:hAnsi="Microsoft JhengHei" w:cs="Microsoft JhengHei" w:eastAsia="Microsoft JhengHei" w:hint="default"/>
                <w:b/>
                <w:bCs/>
                <w:spacing w:val="-47"/>
                <w:sz w:val="36"/>
                <w:szCs w:val="36"/>
              </w:rPr>
              <w:t> </w:t>
            </w:r>
            <w:r>
              <w:rPr>
                <w:rFonts w:ascii="Microsoft JhengHei" w:hAnsi="Microsoft JhengHei" w:cs="Microsoft JhengHei" w:eastAsia="Microsoft JhengHei" w:hint="default"/>
                <w:b/>
                <w:bCs/>
                <w:sz w:val="36"/>
                <w:szCs w:val="36"/>
              </w:rPr>
              <w:t>日</w:t>
            </w:r>
            <w:r>
              <w:rPr>
                <w:rFonts w:ascii="Microsoft JhengHei" w:hAnsi="Microsoft JhengHei" w:cs="Microsoft JhengHei" w:eastAsia="Microsoft JhengHei" w:hint="default"/>
                <w:sz w:val="36"/>
                <w:szCs w:val="36"/>
              </w:rPr>
            </w:r>
          </w:p>
        </w:tc>
      </w:tr>
    </w:tbl>
    <w:p>
      <w:pPr>
        <w:spacing w:after="0" w:line="561" w:lineRule="exact"/>
        <w:jc w:val="left"/>
        <w:rPr>
          <w:rFonts w:ascii="Microsoft JhengHei" w:hAnsi="Microsoft JhengHei" w:cs="Microsoft JhengHei" w:eastAsia="Microsoft JhengHei" w:hint="default"/>
          <w:sz w:val="36"/>
          <w:szCs w:val="36"/>
        </w:rPr>
        <w:sectPr>
          <w:headerReference w:type="default" r:id="rId5"/>
          <w:footerReference w:type="default" r:id="rId6"/>
          <w:type w:val="continuous"/>
          <w:pgSz w:w="11910" w:h="16840"/>
          <w:pgMar w:header="851" w:footer="982" w:top="1360" w:bottom="1180" w:left="1660" w:right="1660"/>
          <w:pgNumType w:start="1"/>
        </w:sectPr>
      </w:pPr>
    </w:p>
    <w:p>
      <w:pPr>
        <w:spacing w:line="240" w:lineRule="auto" w:before="6"/>
        <w:rPr>
          <w:rFonts w:ascii="宋体" w:hAnsi="宋体" w:cs="宋体" w:eastAsia="宋体" w:hint="default"/>
          <w:b/>
          <w:bCs/>
          <w:sz w:val="23"/>
          <w:szCs w:val="23"/>
        </w:rPr>
      </w:pPr>
    </w:p>
    <w:p>
      <w:pPr>
        <w:tabs>
          <w:tab w:pos="1124" w:val="left" w:leader="none"/>
        </w:tabs>
        <w:spacing w:before="13"/>
        <w:ind w:left="0" w:right="0" w:firstLine="0"/>
        <w:jc w:val="center"/>
        <w:rPr>
          <w:rFonts w:ascii="宋体" w:hAnsi="宋体" w:cs="宋体" w:eastAsia="宋体" w:hint="default"/>
          <w:sz w:val="28"/>
          <w:szCs w:val="28"/>
        </w:rPr>
      </w:pPr>
      <w:r>
        <w:rPr>
          <w:rFonts w:ascii="宋体" w:hAnsi="宋体" w:cs="宋体" w:eastAsia="宋体" w:hint="default"/>
          <w:b/>
          <w:bCs/>
          <w:w w:val="95"/>
          <w:sz w:val="28"/>
          <w:szCs w:val="28"/>
        </w:rPr>
        <w:t>目</w:t>
        <w:tab/>
      </w:r>
      <w:r>
        <w:rPr>
          <w:rFonts w:ascii="宋体" w:hAnsi="宋体" w:cs="宋体" w:eastAsia="宋体" w:hint="default"/>
          <w:b/>
          <w:bCs/>
          <w:sz w:val="28"/>
          <w:szCs w:val="28"/>
        </w:rPr>
        <w:t>录</w:t>
      </w:r>
      <w:r>
        <w:rPr>
          <w:rFonts w:ascii="宋体" w:hAnsi="宋体" w:cs="宋体" w:eastAsia="宋体" w:hint="default"/>
          <w:sz w:val="28"/>
          <w:szCs w:val="28"/>
        </w:rPr>
      </w: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8"/>
        <w:rPr>
          <w:rFonts w:ascii="宋体" w:hAnsi="宋体" w:cs="宋体" w:eastAsia="宋体" w:hint="default"/>
          <w:b/>
          <w:bCs/>
          <w:sz w:val="33"/>
          <w:szCs w:val="33"/>
        </w:rPr>
      </w:pPr>
    </w:p>
    <w:sdt>
      <w:sdtPr>
        <w:docPartObj>
          <w:docPartGallery w:val="Table of Contents"/>
          <w:docPartUnique/>
        </w:docPartObj>
      </w:sdtPr>
      <w:sdtEndPr/>
      <w:sdtContent>
        <w:p>
          <w:pPr>
            <w:pStyle w:val="TOC3"/>
            <w:tabs>
              <w:tab w:pos="8435" w:val="right" w:leader="dot"/>
            </w:tabs>
            <w:spacing w:line="240" w:lineRule="auto"/>
            <w:ind w:right="0"/>
            <w:jc w:val="left"/>
            <w:rPr>
              <w:rFonts w:ascii="Times New Roman" w:hAnsi="Times New Roman" w:cs="Times New Roman" w:eastAsia="Times New Roman" w:hint="default"/>
              <w:b w:val="0"/>
              <w:bCs w:val="0"/>
              <w:i w:val="0"/>
              <w:sz w:val="21"/>
              <w:szCs w:val="21"/>
            </w:rPr>
          </w:pPr>
          <w:hyperlink w:history="true" w:anchor="_bookmark0">
            <w:r>
              <w:rPr>
                <w:i w:val="0"/>
                <w:sz w:val="21"/>
                <w:szCs w:val="21"/>
              </w:rPr>
              <w:t>重要提示</w:t>
            </w:r>
            <w:r>
              <w:rPr>
                <w:rFonts w:ascii="Times New Roman" w:hAnsi="Times New Roman" w:cs="Times New Roman" w:eastAsia="Times New Roman" w:hint="default"/>
                <w:b w:val="0"/>
                <w:bCs w:val="0"/>
                <w:i w:val="0"/>
                <w:sz w:val="21"/>
                <w:szCs w:val="21"/>
              </w:rPr>
              <w:tab/>
              <w:t>3</w:t>
            </w:r>
          </w:hyperlink>
        </w:p>
        <w:p>
          <w:pPr>
            <w:pStyle w:val="TOC1"/>
            <w:tabs>
              <w:tab w:pos="983" w:val="left" w:leader="none"/>
              <w:tab w:pos="8434" w:val="right" w:leader="dot"/>
            </w:tabs>
            <w:spacing w:line="240" w:lineRule="auto"/>
            <w:ind w:right="0"/>
            <w:jc w:val="left"/>
            <w:rPr>
              <w:rFonts w:ascii="Times New Roman" w:hAnsi="Times New Roman" w:cs="Times New Roman" w:eastAsia="Times New Roman" w:hint="default"/>
              <w:b w:val="0"/>
              <w:bCs w:val="0"/>
            </w:rPr>
          </w:pPr>
          <w:hyperlink w:history="true" w:anchor="_bookmark1">
            <w:r>
              <w:rPr>
                <w:w w:val="95"/>
              </w:rPr>
              <w:t>第一节</w:t>
              <w:tab/>
            </w:r>
            <w:r>
              <w:rPr/>
              <w:t>公司基本情况简介</w:t>
            </w:r>
            <w:r>
              <w:rPr>
                <w:rFonts w:ascii="Times New Roman" w:hAnsi="Times New Roman" w:cs="Times New Roman" w:eastAsia="Times New Roman" w:hint="default"/>
                <w:b w:val="0"/>
                <w:bCs w:val="0"/>
              </w:rPr>
              <w:tab/>
              <w:t>4</w:t>
            </w:r>
          </w:hyperlink>
        </w:p>
        <w:p>
          <w:pPr>
            <w:pStyle w:val="TOC1"/>
            <w:tabs>
              <w:tab w:pos="984" w:val="left" w:leader="none"/>
              <w:tab w:pos="8434" w:val="right" w:leader="dot"/>
            </w:tabs>
            <w:spacing w:line="240" w:lineRule="auto"/>
            <w:ind w:right="0"/>
            <w:jc w:val="left"/>
            <w:rPr>
              <w:rFonts w:ascii="Times New Roman" w:hAnsi="Times New Roman" w:cs="Times New Roman" w:eastAsia="Times New Roman" w:hint="default"/>
              <w:b w:val="0"/>
              <w:bCs w:val="0"/>
            </w:rPr>
          </w:pPr>
          <w:hyperlink w:history="true" w:anchor="_bookmark2">
            <w:r>
              <w:rPr>
                <w:w w:val="95"/>
              </w:rPr>
              <w:t>第二节</w:t>
              <w:tab/>
            </w:r>
            <w:r>
              <w:rPr/>
              <w:t>会计数据和业务数据摘要</w:t>
            </w:r>
            <w:r>
              <w:rPr>
                <w:rFonts w:ascii="Times New Roman" w:hAnsi="Times New Roman" w:cs="Times New Roman" w:eastAsia="Times New Roman" w:hint="default"/>
                <w:b w:val="0"/>
                <w:bCs w:val="0"/>
              </w:rPr>
              <w:tab/>
              <w:t>5</w:t>
            </w:r>
          </w:hyperlink>
        </w:p>
        <w:p>
          <w:pPr>
            <w:pStyle w:val="TOC1"/>
            <w:tabs>
              <w:tab w:pos="983" w:val="left" w:leader="none"/>
              <w:tab w:pos="8433" w:val="right" w:leader="dot"/>
            </w:tabs>
            <w:spacing w:line="240" w:lineRule="auto"/>
            <w:ind w:right="0"/>
            <w:jc w:val="left"/>
            <w:rPr>
              <w:rFonts w:ascii="Times New Roman" w:hAnsi="Times New Roman" w:cs="Times New Roman" w:eastAsia="Times New Roman" w:hint="default"/>
              <w:b w:val="0"/>
              <w:bCs w:val="0"/>
            </w:rPr>
          </w:pPr>
          <w:hyperlink w:history="true" w:anchor="_bookmark3">
            <w:r>
              <w:rPr>
                <w:w w:val="95"/>
              </w:rPr>
              <w:t>第三节</w:t>
              <w:tab/>
            </w:r>
            <w:r>
              <w:rPr/>
              <w:t>董事会报告</w:t>
            </w:r>
            <w:r>
              <w:rPr>
                <w:rFonts w:ascii="Times New Roman" w:hAnsi="Times New Roman" w:cs="Times New Roman" w:eastAsia="Times New Roman" w:hint="default"/>
                <w:b w:val="0"/>
                <w:bCs w:val="0"/>
              </w:rPr>
              <w:tab/>
              <w:t>7</w:t>
            </w:r>
          </w:hyperlink>
        </w:p>
        <w:p>
          <w:pPr>
            <w:pStyle w:val="TOC2"/>
            <w:tabs>
              <w:tab w:pos="983" w:val="left" w:leader="none"/>
              <w:tab w:pos="8433" w:val="right" w:leader="dot"/>
            </w:tabs>
            <w:spacing w:line="240" w:lineRule="auto"/>
            <w:ind w:right="0"/>
            <w:jc w:val="left"/>
            <w:rPr>
              <w:rFonts w:ascii="Times New Roman" w:hAnsi="Times New Roman" w:cs="Times New Roman" w:eastAsia="Times New Roman" w:hint="default"/>
              <w:b w:val="0"/>
              <w:bCs w:val="0"/>
              <w:i w:val="0"/>
              <w:sz w:val="21"/>
              <w:szCs w:val="21"/>
            </w:rPr>
          </w:pPr>
          <w:hyperlink w:history="true" w:anchor="_bookmark4">
            <w:r>
              <w:rPr>
                <w:i w:val="0"/>
                <w:w w:val="95"/>
                <w:sz w:val="21"/>
                <w:szCs w:val="21"/>
              </w:rPr>
              <w:t>第四节</w:t>
              <w:tab/>
            </w:r>
            <w:r>
              <w:rPr>
                <w:i w:val="0"/>
                <w:sz w:val="21"/>
                <w:szCs w:val="21"/>
              </w:rPr>
              <w:t>重要事项</w:t>
            </w:r>
            <w:r>
              <w:rPr>
                <w:rFonts w:ascii="Times New Roman" w:hAnsi="Times New Roman" w:cs="Times New Roman" w:eastAsia="Times New Roman" w:hint="default"/>
                <w:b w:val="0"/>
                <w:bCs w:val="0"/>
                <w:i w:val="0"/>
                <w:sz w:val="21"/>
                <w:szCs w:val="21"/>
              </w:rPr>
              <w:tab/>
              <w:t>45</w:t>
            </w:r>
          </w:hyperlink>
        </w:p>
        <w:p>
          <w:pPr>
            <w:pStyle w:val="TOC1"/>
            <w:tabs>
              <w:tab w:pos="983" w:val="left" w:leader="none"/>
              <w:tab w:pos="8433" w:val="right" w:leader="dot"/>
            </w:tabs>
            <w:spacing w:line="240" w:lineRule="auto"/>
            <w:ind w:right="0"/>
            <w:jc w:val="left"/>
            <w:rPr>
              <w:rFonts w:ascii="Times New Roman" w:hAnsi="Times New Roman" w:cs="Times New Roman" w:eastAsia="Times New Roman" w:hint="default"/>
              <w:b w:val="0"/>
              <w:bCs w:val="0"/>
            </w:rPr>
          </w:pPr>
          <w:hyperlink w:history="true" w:anchor="_bookmark5">
            <w:r>
              <w:rPr>
                <w:w w:val="95"/>
              </w:rPr>
              <w:t>第五节</w:t>
              <w:tab/>
            </w:r>
            <w:r>
              <w:rPr/>
              <w:t>股本变动及股东情况</w:t>
            </w:r>
            <w:r>
              <w:rPr>
                <w:rFonts w:ascii="Times New Roman" w:hAnsi="Times New Roman" w:cs="Times New Roman" w:eastAsia="Times New Roman" w:hint="default"/>
                <w:b w:val="0"/>
                <w:bCs w:val="0"/>
              </w:rPr>
              <w:tab/>
              <w:t>53</w:t>
            </w:r>
          </w:hyperlink>
        </w:p>
        <w:p>
          <w:pPr>
            <w:pStyle w:val="TOC1"/>
            <w:tabs>
              <w:tab w:pos="984" w:val="left" w:leader="none"/>
              <w:tab w:pos="8435" w:val="right" w:leader="dot"/>
            </w:tabs>
            <w:spacing w:line="240" w:lineRule="auto"/>
            <w:ind w:right="0"/>
            <w:jc w:val="left"/>
            <w:rPr>
              <w:rFonts w:ascii="Times New Roman" w:hAnsi="Times New Roman" w:cs="Times New Roman" w:eastAsia="Times New Roman" w:hint="default"/>
              <w:b w:val="0"/>
              <w:bCs w:val="0"/>
            </w:rPr>
          </w:pPr>
          <w:hyperlink w:history="true" w:anchor="_bookmark6">
            <w:r>
              <w:rPr>
                <w:w w:val="95"/>
              </w:rPr>
              <w:t>第六节</w:t>
              <w:tab/>
            </w:r>
            <w:r>
              <w:rPr/>
              <w:t>董事、监事、高级管理人员和员工情况</w:t>
            </w:r>
            <w:r>
              <w:rPr>
                <w:rFonts w:ascii="Times New Roman" w:hAnsi="Times New Roman" w:cs="Times New Roman" w:eastAsia="Times New Roman" w:hint="default"/>
                <w:b w:val="0"/>
                <w:bCs w:val="0"/>
              </w:rPr>
              <w:tab/>
              <w:t>59</w:t>
            </w:r>
          </w:hyperlink>
        </w:p>
        <w:p>
          <w:pPr>
            <w:pStyle w:val="TOC2"/>
            <w:tabs>
              <w:tab w:pos="983" w:val="left" w:leader="none"/>
              <w:tab w:pos="8433" w:val="right" w:leader="dot"/>
            </w:tabs>
            <w:spacing w:line="240" w:lineRule="auto"/>
            <w:ind w:right="0"/>
            <w:jc w:val="left"/>
            <w:rPr>
              <w:rFonts w:ascii="Times New Roman" w:hAnsi="Times New Roman" w:cs="Times New Roman" w:eastAsia="Times New Roman" w:hint="default"/>
              <w:b w:val="0"/>
              <w:bCs w:val="0"/>
              <w:i w:val="0"/>
              <w:sz w:val="21"/>
              <w:szCs w:val="21"/>
            </w:rPr>
          </w:pPr>
          <w:hyperlink w:history="true" w:anchor="_bookmark7">
            <w:r>
              <w:rPr>
                <w:i w:val="0"/>
                <w:w w:val="95"/>
                <w:sz w:val="21"/>
                <w:szCs w:val="21"/>
              </w:rPr>
              <w:t>第七节</w:t>
              <w:tab/>
            </w:r>
            <w:r>
              <w:rPr>
                <w:i w:val="0"/>
                <w:sz w:val="21"/>
                <w:szCs w:val="21"/>
              </w:rPr>
              <w:t>公司治理结构</w:t>
            </w:r>
            <w:r>
              <w:rPr>
                <w:rFonts w:ascii="Times New Roman" w:hAnsi="Times New Roman" w:cs="Times New Roman" w:eastAsia="Times New Roman" w:hint="default"/>
                <w:b w:val="0"/>
                <w:bCs w:val="0"/>
                <w:i w:val="0"/>
                <w:sz w:val="21"/>
                <w:szCs w:val="21"/>
              </w:rPr>
              <w:tab/>
              <w:t>66</w:t>
            </w:r>
          </w:hyperlink>
        </w:p>
        <w:p>
          <w:pPr>
            <w:pStyle w:val="TOC2"/>
            <w:tabs>
              <w:tab w:pos="983" w:val="left" w:leader="none"/>
              <w:tab w:pos="8433" w:val="right" w:leader="dot"/>
            </w:tabs>
            <w:spacing w:line="240" w:lineRule="auto"/>
            <w:ind w:right="0"/>
            <w:jc w:val="left"/>
            <w:rPr>
              <w:rFonts w:ascii="Times New Roman" w:hAnsi="Times New Roman" w:cs="Times New Roman" w:eastAsia="Times New Roman" w:hint="default"/>
              <w:b w:val="0"/>
              <w:bCs w:val="0"/>
              <w:i w:val="0"/>
              <w:sz w:val="21"/>
              <w:szCs w:val="21"/>
            </w:rPr>
          </w:pPr>
          <w:hyperlink w:history="true" w:anchor="_bookmark8">
            <w:r>
              <w:rPr>
                <w:i w:val="0"/>
                <w:w w:val="95"/>
                <w:sz w:val="21"/>
                <w:szCs w:val="21"/>
              </w:rPr>
              <w:t>第八节</w:t>
              <w:tab/>
            </w:r>
            <w:r>
              <w:rPr>
                <w:i w:val="0"/>
                <w:sz w:val="21"/>
                <w:szCs w:val="21"/>
              </w:rPr>
              <w:t>监事会报告</w:t>
            </w:r>
            <w:r>
              <w:rPr>
                <w:rFonts w:ascii="Times New Roman" w:hAnsi="Times New Roman" w:cs="Times New Roman" w:eastAsia="Times New Roman" w:hint="default"/>
                <w:b w:val="0"/>
                <w:bCs w:val="0"/>
                <w:i w:val="0"/>
                <w:sz w:val="21"/>
                <w:szCs w:val="21"/>
              </w:rPr>
              <w:tab/>
              <w:t>74</w:t>
            </w:r>
          </w:hyperlink>
        </w:p>
        <w:p>
          <w:pPr>
            <w:pStyle w:val="TOC2"/>
            <w:tabs>
              <w:tab w:pos="983" w:val="left" w:leader="none"/>
              <w:tab w:pos="8433" w:val="right" w:leader="dot"/>
            </w:tabs>
            <w:spacing w:line="240" w:lineRule="auto"/>
            <w:ind w:right="0"/>
            <w:jc w:val="left"/>
            <w:rPr>
              <w:rFonts w:ascii="Times New Roman" w:hAnsi="Times New Roman" w:cs="Times New Roman" w:eastAsia="Times New Roman" w:hint="default"/>
              <w:b w:val="0"/>
              <w:bCs w:val="0"/>
              <w:i w:val="0"/>
              <w:sz w:val="21"/>
              <w:szCs w:val="21"/>
            </w:rPr>
          </w:pPr>
          <w:hyperlink w:history="true" w:anchor="_bookmark9">
            <w:r>
              <w:rPr>
                <w:i w:val="0"/>
                <w:w w:val="95"/>
                <w:sz w:val="21"/>
                <w:szCs w:val="21"/>
              </w:rPr>
              <w:t>第九节</w:t>
              <w:tab/>
            </w:r>
            <w:r>
              <w:rPr>
                <w:i w:val="0"/>
                <w:sz w:val="21"/>
                <w:szCs w:val="21"/>
              </w:rPr>
              <w:t>财务报告</w:t>
            </w:r>
            <w:r>
              <w:rPr>
                <w:rFonts w:ascii="Times New Roman" w:hAnsi="Times New Roman" w:cs="Times New Roman" w:eastAsia="Times New Roman" w:hint="default"/>
                <w:b w:val="0"/>
                <w:bCs w:val="0"/>
                <w:i w:val="0"/>
                <w:sz w:val="21"/>
                <w:szCs w:val="21"/>
              </w:rPr>
              <w:tab/>
              <w:t>78</w:t>
            </w:r>
          </w:hyperlink>
        </w:p>
        <w:p>
          <w:pPr>
            <w:pStyle w:val="TOC2"/>
            <w:tabs>
              <w:tab w:pos="983" w:val="left" w:leader="none"/>
              <w:tab w:pos="8434" w:val="right" w:leader="dot"/>
            </w:tabs>
            <w:spacing w:line="240" w:lineRule="auto"/>
            <w:ind w:right="0"/>
            <w:jc w:val="left"/>
            <w:rPr>
              <w:rFonts w:ascii="Times New Roman" w:hAnsi="Times New Roman" w:cs="Times New Roman" w:eastAsia="Times New Roman" w:hint="default"/>
              <w:b w:val="0"/>
              <w:bCs w:val="0"/>
              <w:i w:val="0"/>
              <w:sz w:val="21"/>
              <w:szCs w:val="21"/>
            </w:rPr>
          </w:pPr>
          <w:hyperlink w:history="true" w:anchor="_bookmark10">
            <w:r>
              <w:rPr>
                <w:i w:val="0"/>
                <w:w w:val="95"/>
                <w:sz w:val="21"/>
                <w:szCs w:val="21"/>
              </w:rPr>
              <w:t>第十节</w:t>
              <w:tab/>
            </w:r>
            <w:r>
              <w:rPr>
                <w:i w:val="0"/>
                <w:sz w:val="21"/>
                <w:szCs w:val="21"/>
              </w:rPr>
              <w:t>备查文件</w:t>
            </w:r>
            <w:r>
              <w:rPr>
                <w:rFonts w:ascii="Times New Roman" w:hAnsi="Times New Roman" w:cs="Times New Roman" w:eastAsia="Times New Roman" w:hint="default"/>
                <w:b w:val="0"/>
                <w:bCs w:val="0"/>
                <w:i w:val="0"/>
                <w:sz w:val="21"/>
                <w:szCs w:val="21"/>
              </w:rPr>
              <w:tab/>
              <w:t>161</w:t>
            </w:r>
          </w:hyperlink>
        </w:p>
      </w:sdtContent>
    </w:sdt>
    <w:p>
      <w:pPr>
        <w:spacing w:after="0" w:line="240" w:lineRule="auto"/>
        <w:jc w:val="left"/>
        <w:rPr>
          <w:rFonts w:ascii="Times New Roman" w:hAnsi="Times New Roman" w:cs="Times New Roman" w:eastAsia="Times New Roman" w:hint="default"/>
          <w:sz w:val="21"/>
          <w:szCs w:val="21"/>
        </w:rPr>
        <w:sectPr>
          <w:pgSz w:w="11910" w:h="16840"/>
          <w:pgMar w:header="851" w:footer="982" w:top="1360" w:bottom="1180" w:left="1660" w:right="1660"/>
        </w:sectPr>
      </w:pPr>
    </w:p>
    <w:p>
      <w:pPr>
        <w:spacing w:line="240" w:lineRule="auto" w:before="0"/>
        <w:rPr>
          <w:rFonts w:ascii="Times New Roman" w:hAnsi="Times New Roman" w:cs="Times New Roman" w:eastAsia="Times New Roman" w:hint="default"/>
          <w:sz w:val="24"/>
          <w:szCs w:val="24"/>
        </w:rPr>
      </w:pPr>
    </w:p>
    <w:p>
      <w:pPr>
        <w:spacing w:line="240" w:lineRule="auto" w:before="9"/>
        <w:rPr>
          <w:rFonts w:ascii="Times New Roman" w:hAnsi="Times New Roman" w:cs="Times New Roman" w:eastAsia="Times New Roman" w:hint="default"/>
          <w:sz w:val="33"/>
          <w:szCs w:val="33"/>
        </w:rPr>
      </w:pPr>
    </w:p>
    <w:p>
      <w:pPr>
        <w:pStyle w:val="Heading1"/>
        <w:spacing w:line="240" w:lineRule="auto" w:before="0"/>
        <w:ind w:left="2" w:right="0"/>
        <w:jc w:val="center"/>
        <w:rPr>
          <w:b w:val="0"/>
          <w:bCs w:val="0"/>
        </w:rPr>
      </w:pPr>
      <w:bookmarkStart w:name="_bookmark0" w:id="1"/>
      <w:bookmarkEnd w:id="1"/>
      <w:r>
        <w:rPr>
          <w:b w:val="0"/>
          <w:bCs w:val="0"/>
        </w:rPr>
      </w:r>
      <w:r>
        <w:rPr/>
        <w:t>重要提示</w:t>
      </w:r>
      <w:r>
        <w:rPr>
          <w:b w:val="0"/>
          <w:bCs w:val="0"/>
        </w:rPr>
      </w:r>
    </w:p>
    <w:p>
      <w:pPr>
        <w:spacing w:line="240" w:lineRule="auto" w:before="7"/>
        <w:rPr>
          <w:rFonts w:ascii="宋体" w:hAnsi="宋体" w:cs="宋体" w:eastAsia="宋体" w:hint="default"/>
          <w:b/>
          <w:bCs/>
          <w:sz w:val="31"/>
          <w:szCs w:val="31"/>
        </w:rPr>
      </w:pPr>
    </w:p>
    <w:p>
      <w:pPr>
        <w:pStyle w:val="BodyText"/>
        <w:spacing w:line="408" w:lineRule="auto"/>
        <w:ind w:left="140" w:right="136" w:firstLine="420"/>
        <w:jc w:val="both"/>
      </w:pPr>
      <w:r>
        <w:rPr/>
        <w:t>1、本公司董事会、监事会及董事、监事、高级管理人员保证本报告所载资料不存在任 </w:t>
      </w:r>
      <w:r>
        <w:rPr>
          <w:spacing w:val="-3"/>
        </w:rPr>
        <w:t>何虚假记载、误导性陈述或者重大遗漏，并对其内容的真实性、准确性和完整性承担个别及</w:t>
      </w:r>
      <w:r>
        <w:rPr>
          <w:spacing w:val="-81"/>
        </w:rPr>
        <w:t> </w:t>
      </w:r>
      <w:r>
        <w:rPr>
          <w:spacing w:val="-81"/>
        </w:rPr>
      </w:r>
      <w:r>
        <w:rPr>
          <w:spacing w:val="-3"/>
        </w:rPr>
        <w:t>连带责任。本年度报告摘要摘自年度报告全文，报告全文同时刊载于证监会指定网站和公司</w:t>
      </w:r>
      <w:r>
        <w:rPr>
          <w:spacing w:val="-79"/>
        </w:rPr>
        <w:t> </w:t>
      </w:r>
      <w:r>
        <w:rPr>
          <w:spacing w:val="-79"/>
        </w:rPr>
      </w:r>
      <w:r>
        <w:rPr>
          <w:spacing w:val="-3"/>
        </w:rPr>
        <w:t>网站。为全面了解本公司生产经营状况和财务成果及公司的未来发展规划，投资者应到指定</w:t>
      </w:r>
      <w:r>
        <w:rPr>
          <w:spacing w:val="-79"/>
        </w:rPr>
        <w:t> </w:t>
      </w:r>
      <w:r>
        <w:rPr>
          <w:spacing w:val="-79"/>
        </w:rPr>
      </w:r>
      <w:r>
        <w:rPr/>
        <w:t>网站仔细阅读年度报告全文。</w:t>
      </w:r>
    </w:p>
    <w:p>
      <w:pPr>
        <w:pStyle w:val="BodyText"/>
        <w:spacing w:line="408" w:lineRule="auto" w:before="96"/>
        <w:ind w:left="140" w:right="147" w:firstLine="420"/>
        <w:jc w:val="both"/>
      </w:pPr>
      <w:r>
        <w:rPr/>
        <w:t>2、没有董事、监事、高级管理人员声明对年度报告内容的真实性、准确性和完整性无 法保证或存在异议。</w:t>
      </w:r>
    </w:p>
    <w:p>
      <w:pPr>
        <w:pStyle w:val="BodyText"/>
        <w:spacing w:line="240" w:lineRule="auto" w:before="95"/>
        <w:ind w:left="560" w:right="0"/>
        <w:jc w:val="left"/>
      </w:pPr>
      <w:r>
        <w:rPr/>
        <w:t>3、所有董事均已出席审议本次年报的董事会会议。</w:t>
      </w:r>
    </w:p>
    <w:p>
      <w:pPr>
        <w:spacing w:line="240" w:lineRule="auto" w:before="8"/>
        <w:rPr>
          <w:rFonts w:ascii="宋体" w:hAnsi="宋体" w:cs="宋体" w:eastAsia="宋体" w:hint="default"/>
          <w:sz w:val="18"/>
          <w:szCs w:val="18"/>
        </w:rPr>
      </w:pPr>
    </w:p>
    <w:p>
      <w:pPr>
        <w:pStyle w:val="BodyText"/>
        <w:spacing w:line="408" w:lineRule="auto"/>
        <w:ind w:left="140" w:right="147" w:firstLine="420"/>
        <w:jc w:val="both"/>
      </w:pPr>
      <w:r>
        <w:rPr/>
        <w:t>4、立信会计师事务所有限公司为本公司2010年度财务报告出具了标准无保留意见的审 计报告。</w:t>
      </w:r>
    </w:p>
    <w:p>
      <w:pPr>
        <w:pStyle w:val="BodyText"/>
        <w:spacing w:line="386" w:lineRule="auto" w:before="96"/>
        <w:ind w:left="140" w:right="148" w:firstLine="420"/>
        <w:jc w:val="both"/>
      </w:pPr>
      <w:r>
        <w:rPr>
          <w:rFonts w:ascii="Times New Roman" w:hAnsi="Times New Roman" w:cs="Times New Roman" w:eastAsia="Times New Roman" w:hint="default"/>
        </w:rPr>
        <w:t>5</w:t>
      </w:r>
      <w:r>
        <w:rPr/>
        <w:t>、公司负责人王宁先生、主管会计工作负责人万能先生及会计机构负责人林红女士声 明：保证年度报告中财务报告的真实、完整。</w:t>
      </w:r>
    </w:p>
    <w:p>
      <w:pPr>
        <w:spacing w:after="0" w:line="386" w:lineRule="auto"/>
        <w:jc w:val="both"/>
        <w:sectPr>
          <w:pgSz w:w="11910" w:h="16840"/>
          <w:pgMar w:header="851" w:footer="982" w:top="1360" w:bottom="1180" w:left="1660" w:right="1660"/>
        </w:sectPr>
      </w:pPr>
    </w:p>
    <w:p>
      <w:pPr>
        <w:spacing w:line="240" w:lineRule="auto" w:before="4"/>
        <w:rPr>
          <w:rFonts w:ascii="宋体" w:hAnsi="宋体" w:cs="宋体" w:eastAsia="宋体" w:hint="default"/>
          <w:sz w:val="15"/>
          <w:szCs w:val="15"/>
        </w:rPr>
      </w:pPr>
    </w:p>
    <w:p>
      <w:pPr>
        <w:pStyle w:val="Heading1"/>
        <w:tabs>
          <w:tab w:pos="966" w:val="left" w:leader="none"/>
        </w:tabs>
        <w:spacing w:line="240" w:lineRule="auto"/>
        <w:ind w:left="2" w:right="0"/>
        <w:jc w:val="center"/>
        <w:rPr>
          <w:b w:val="0"/>
          <w:bCs w:val="0"/>
        </w:rPr>
      </w:pPr>
      <w:bookmarkStart w:name="_bookmark1" w:id="2"/>
      <w:bookmarkEnd w:id="2"/>
      <w:r>
        <w:rPr>
          <w:b w:val="0"/>
          <w:bCs w:val="0"/>
        </w:rPr>
      </w:r>
      <w:r>
        <w:rPr>
          <w:w w:val="95"/>
        </w:rPr>
        <w:t>第一节</w:t>
        <w:tab/>
      </w:r>
      <w:r>
        <w:rPr/>
        <w:t>公司基本情况简介</w:t>
      </w:r>
      <w:r>
        <w:rPr>
          <w:b w:val="0"/>
          <w:bCs w:val="0"/>
        </w:rPr>
      </w:r>
    </w:p>
    <w:p>
      <w:pPr>
        <w:spacing w:line="240" w:lineRule="auto" w:before="0"/>
        <w:rPr>
          <w:rFonts w:ascii="宋体" w:hAnsi="宋体" w:cs="宋体" w:eastAsia="宋体" w:hint="default"/>
          <w:b/>
          <w:bCs/>
          <w:sz w:val="24"/>
          <w:szCs w:val="24"/>
        </w:rPr>
      </w:pPr>
    </w:p>
    <w:p>
      <w:pPr>
        <w:pStyle w:val="Heading2"/>
        <w:spacing w:line="240" w:lineRule="auto" w:before="173"/>
        <w:ind w:left="480" w:right="1277"/>
        <w:jc w:val="left"/>
        <w:rPr>
          <w:b w:val="0"/>
          <w:bCs w:val="0"/>
        </w:rPr>
      </w:pPr>
      <w:r>
        <w:rPr/>
        <w:t>一、公司法定中文名称：北京神州泰岳软件股份有限公司</w:t>
      </w:r>
      <w:r>
        <w:rPr>
          <w:b w:val="0"/>
          <w:bCs w:val="0"/>
        </w:rPr>
      </w:r>
    </w:p>
    <w:p>
      <w:pPr>
        <w:spacing w:line="240" w:lineRule="auto" w:before="9"/>
        <w:rPr>
          <w:rFonts w:ascii="宋体" w:hAnsi="宋体" w:cs="宋体" w:eastAsia="宋体" w:hint="default"/>
          <w:b/>
          <w:bCs/>
          <w:sz w:val="26"/>
          <w:szCs w:val="26"/>
        </w:rPr>
      </w:pPr>
    </w:p>
    <w:p>
      <w:pPr>
        <w:pStyle w:val="BodyText"/>
        <w:spacing w:line="408" w:lineRule="auto"/>
        <w:ind w:left="899" w:right="1277"/>
        <w:jc w:val="left"/>
      </w:pPr>
      <w:r>
        <w:rPr/>
        <w:t>法定英文名称：Beijing Ultrapower Software Co.,</w:t>
      </w:r>
      <w:r>
        <w:rPr>
          <w:spacing w:val="-32"/>
        </w:rPr>
        <w:t> </w:t>
      </w:r>
      <w:r>
        <w:rPr/>
        <w:t>LTD</w:t>
      </w:r>
      <w:r>
        <w:rPr>
          <w:spacing w:val="-1"/>
        </w:rPr>
        <w:t> </w:t>
      </w:r>
      <w:r>
        <w:rPr/>
        <w:t>中文简称：神州泰岳</w:t>
      </w:r>
    </w:p>
    <w:p>
      <w:pPr>
        <w:spacing w:line="544" w:lineRule="auto" w:before="46"/>
        <w:ind w:left="479" w:right="6253" w:firstLine="420"/>
        <w:jc w:val="both"/>
        <w:rPr>
          <w:rFonts w:ascii="宋体" w:hAnsi="宋体" w:cs="宋体" w:eastAsia="宋体" w:hint="default"/>
          <w:sz w:val="21"/>
          <w:szCs w:val="21"/>
        </w:rPr>
      </w:pPr>
      <w:r>
        <w:rPr>
          <w:rFonts w:ascii="宋体" w:hAnsi="宋体" w:cs="宋体" w:eastAsia="宋体" w:hint="default"/>
          <w:sz w:val="21"/>
          <w:szCs w:val="21"/>
        </w:rPr>
        <w:t>英文简称：Ultrapower </w:t>
      </w:r>
      <w:r>
        <w:rPr>
          <w:rFonts w:ascii="宋体" w:hAnsi="宋体" w:cs="宋体" w:eastAsia="宋体" w:hint="default"/>
          <w:b/>
          <w:bCs/>
          <w:sz w:val="21"/>
          <w:szCs w:val="21"/>
        </w:rPr>
        <w:t>二、公司法定代表人：王宁</w:t>
      </w:r>
      <w:r>
        <w:rPr>
          <w:rFonts w:ascii="宋体" w:hAnsi="宋体" w:cs="宋体" w:eastAsia="宋体" w:hint="default"/>
          <w:b/>
          <w:bCs/>
          <w:spacing w:val="1"/>
          <w:w w:val="99"/>
          <w:sz w:val="21"/>
          <w:szCs w:val="21"/>
        </w:rPr>
        <w:t> </w:t>
      </w:r>
      <w:r>
        <w:rPr>
          <w:rFonts w:ascii="宋体" w:hAnsi="宋体" w:cs="宋体" w:eastAsia="宋体" w:hint="default"/>
          <w:b/>
          <w:bCs/>
          <w:sz w:val="21"/>
          <w:szCs w:val="21"/>
        </w:rPr>
        <w:t>三、公司联系人及联系方式</w:t>
      </w:r>
      <w:r>
        <w:rPr>
          <w:rFonts w:ascii="宋体" w:hAnsi="宋体" w:cs="宋体" w:eastAsia="宋体" w:hint="default"/>
          <w:sz w:val="21"/>
          <w:szCs w:val="21"/>
        </w:rPr>
      </w:r>
    </w:p>
    <w:tbl>
      <w:tblPr>
        <w:tblW w:w="0" w:type="auto"/>
        <w:jc w:val="left"/>
        <w:tblInd w:w="117" w:type="dxa"/>
        <w:tblLayout w:type="fixed"/>
        <w:tblCellMar>
          <w:top w:w="0" w:type="dxa"/>
          <w:left w:w="0" w:type="dxa"/>
          <w:bottom w:w="0" w:type="dxa"/>
          <w:right w:w="0" w:type="dxa"/>
        </w:tblCellMar>
        <w:tblLook w:val="01E0"/>
      </w:tblPr>
      <w:tblGrid>
        <w:gridCol w:w="3130"/>
        <w:gridCol w:w="5890"/>
      </w:tblGrid>
      <w:tr>
        <w:trPr>
          <w:trHeight w:val="479" w:hRule="exact"/>
        </w:trPr>
        <w:tc>
          <w:tcPr>
            <w:tcW w:w="3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center"/>
              <w:rPr>
                <w:rFonts w:ascii="宋体" w:hAnsi="宋体" w:cs="宋体" w:eastAsia="宋体" w:hint="default"/>
                <w:sz w:val="21"/>
                <w:szCs w:val="21"/>
              </w:rPr>
            </w:pPr>
            <w:r>
              <w:rPr>
                <w:rFonts w:ascii="宋体" w:hAnsi="宋体" w:cs="宋体" w:eastAsia="宋体" w:hint="default"/>
                <w:sz w:val="21"/>
                <w:szCs w:val="21"/>
              </w:rPr>
              <w:t>董事会秘书</w:t>
            </w:r>
          </w:p>
        </w:tc>
        <w:tc>
          <w:tcPr>
            <w:tcW w:w="5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center"/>
              <w:rPr>
                <w:rFonts w:ascii="宋体" w:hAnsi="宋体" w:cs="宋体" w:eastAsia="宋体" w:hint="default"/>
                <w:sz w:val="21"/>
                <w:szCs w:val="21"/>
              </w:rPr>
            </w:pPr>
            <w:r>
              <w:rPr>
                <w:rFonts w:ascii="宋体" w:hAnsi="宋体" w:cs="宋体" w:eastAsia="宋体" w:hint="default"/>
                <w:sz w:val="21"/>
                <w:szCs w:val="21"/>
              </w:rPr>
              <w:t>黄松浪</w:t>
            </w:r>
          </w:p>
        </w:tc>
      </w:tr>
      <w:tr>
        <w:trPr>
          <w:trHeight w:val="478" w:hRule="exact"/>
        </w:trPr>
        <w:tc>
          <w:tcPr>
            <w:tcW w:w="3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证券事务代表</w:t>
            </w:r>
          </w:p>
        </w:tc>
        <w:tc>
          <w:tcPr>
            <w:tcW w:w="5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center"/>
              <w:rPr>
                <w:rFonts w:ascii="宋体" w:hAnsi="宋体" w:cs="宋体" w:eastAsia="宋体" w:hint="default"/>
                <w:sz w:val="21"/>
                <w:szCs w:val="21"/>
              </w:rPr>
            </w:pPr>
            <w:r>
              <w:rPr>
                <w:rFonts w:ascii="宋体" w:hAnsi="宋体" w:cs="宋体" w:eastAsia="宋体" w:hint="default"/>
                <w:sz w:val="21"/>
                <w:szCs w:val="21"/>
              </w:rPr>
              <w:t>张黔山</w:t>
            </w:r>
          </w:p>
        </w:tc>
      </w:tr>
      <w:tr>
        <w:trPr>
          <w:trHeight w:val="556" w:hRule="exact"/>
        </w:trPr>
        <w:tc>
          <w:tcPr>
            <w:tcW w:w="3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联系地址</w:t>
            </w:r>
          </w:p>
        </w:tc>
        <w:tc>
          <w:tcPr>
            <w:tcW w:w="5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北京市朝阳区北苑路甲</w:t>
            </w:r>
            <w:r>
              <w:rPr>
                <w:rFonts w:ascii="宋体" w:hAnsi="宋体" w:cs="宋体" w:eastAsia="宋体" w:hint="default"/>
                <w:spacing w:val="-56"/>
                <w:sz w:val="21"/>
                <w:szCs w:val="21"/>
              </w:rPr>
              <w:t> </w:t>
            </w:r>
            <w:r>
              <w:rPr>
                <w:rFonts w:ascii="宋体" w:hAnsi="宋体" w:cs="宋体" w:eastAsia="宋体" w:hint="default"/>
                <w:sz w:val="21"/>
                <w:szCs w:val="21"/>
              </w:rPr>
              <w:t>13</w:t>
            </w:r>
            <w:r>
              <w:rPr>
                <w:rFonts w:ascii="宋体" w:hAnsi="宋体" w:cs="宋体" w:eastAsia="宋体" w:hint="default"/>
                <w:spacing w:val="-55"/>
                <w:sz w:val="21"/>
                <w:szCs w:val="21"/>
              </w:rPr>
              <w:t> </w:t>
            </w:r>
            <w:r>
              <w:rPr>
                <w:rFonts w:ascii="宋体" w:hAnsi="宋体" w:cs="宋体" w:eastAsia="宋体" w:hint="default"/>
                <w:sz w:val="21"/>
                <w:szCs w:val="21"/>
              </w:rPr>
              <w:t>号院</w:t>
            </w:r>
            <w:r>
              <w:rPr>
                <w:rFonts w:ascii="宋体" w:hAnsi="宋体" w:cs="宋体" w:eastAsia="宋体" w:hint="default"/>
                <w:spacing w:val="-57"/>
                <w:sz w:val="21"/>
                <w:szCs w:val="21"/>
              </w:rPr>
              <w:t> </w:t>
            </w: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号楼</w:t>
            </w:r>
            <w:r>
              <w:rPr>
                <w:rFonts w:ascii="宋体" w:hAnsi="宋体" w:cs="宋体" w:eastAsia="宋体" w:hint="default"/>
                <w:spacing w:val="-56"/>
                <w:sz w:val="21"/>
                <w:szCs w:val="21"/>
              </w:rPr>
              <w:t> </w:t>
            </w:r>
            <w:r>
              <w:rPr>
                <w:rFonts w:ascii="宋体" w:hAnsi="宋体" w:cs="宋体" w:eastAsia="宋体" w:hint="default"/>
                <w:sz w:val="21"/>
                <w:szCs w:val="21"/>
              </w:rPr>
              <w:t>22</w:t>
            </w:r>
            <w:r>
              <w:rPr>
                <w:rFonts w:ascii="宋体" w:hAnsi="宋体" w:cs="宋体" w:eastAsia="宋体" w:hint="default"/>
                <w:spacing w:val="-55"/>
                <w:sz w:val="21"/>
                <w:szCs w:val="21"/>
              </w:rPr>
              <w:t> </w:t>
            </w:r>
            <w:r>
              <w:rPr>
                <w:rFonts w:ascii="宋体" w:hAnsi="宋体" w:cs="宋体" w:eastAsia="宋体" w:hint="default"/>
                <w:sz w:val="21"/>
                <w:szCs w:val="21"/>
              </w:rPr>
              <w:t>层</w:t>
            </w:r>
          </w:p>
        </w:tc>
      </w:tr>
      <w:tr>
        <w:trPr>
          <w:trHeight w:val="479" w:hRule="exact"/>
        </w:trPr>
        <w:tc>
          <w:tcPr>
            <w:tcW w:w="3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center"/>
              <w:rPr>
                <w:rFonts w:ascii="宋体" w:hAnsi="宋体" w:cs="宋体" w:eastAsia="宋体" w:hint="default"/>
                <w:sz w:val="21"/>
                <w:szCs w:val="21"/>
              </w:rPr>
            </w:pPr>
            <w:r>
              <w:rPr>
                <w:rFonts w:ascii="宋体" w:hAnsi="宋体" w:cs="宋体" w:eastAsia="宋体" w:hint="default"/>
                <w:sz w:val="21"/>
                <w:szCs w:val="21"/>
              </w:rPr>
              <w:t>电话</w:t>
            </w:r>
          </w:p>
        </w:tc>
        <w:tc>
          <w:tcPr>
            <w:tcW w:w="5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sz w:val="21"/>
              </w:rPr>
              <w:t>010-58847555</w:t>
            </w:r>
          </w:p>
        </w:tc>
      </w:tr>
      <w:tr>
        <w:trPr>
          <w:trHeight w:val="478" w:hRule="exact"/>
        </w:trPr>
        <w:tc>
          <w:tcPr>
            <w:tcW w:w="3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center"/>
              <w:rPr>
                <w:rFonts w:ascii="宋体" w:hAnsi="宋体" w:cs="宋体" w:eastAsia="宋体" w:hint="default"/>
                <w:sz w:val="21"/>
                <w:szCs w:val="21"/>
              </w:rPr>
            </w:pPr>
            <w:r>
              <w:rPr>
                <w:rFonts w:ascii="宋体" w:hAnsi="宋体" w:cs="宋体" w:eastAsia="宋体" w:hint="default"/>
                <w:sz w:val="21"/>
                <w:szCs w:val="21"/>
              </w:rPr>
              <w:t>传真</w:t>
            </w:r>
          </w:p>
        </w:tc>
        <w:tc>
          <w:tcPr>
            <w:tcW w:w="5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sz w:val="21"/>
              </w:rPr>
              <w:t>010-58847583</w:t>
            </w:r>
          </w:p>
        </w:tc>
      </w:tr>
      <w:tr>
        <w:trPr>
          <w:trHeight w:val="479" w:hRule="exact"/>
        </w:trPr>
        <w:tc>
          <w:tcPr>
            <w:tcW w:w="3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电子信箱</w:t>
            </w:r>
          </w:p>
        </w:tc>
        <w:tc>
          <w:tcPr>
            <w:tcW w:w="5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color w:val="0000FF"/>
                <w:sz w:val="21"/>
              </w:rPr>
            </w:r>
            <w:hyperlink r:id="rId7">
              <w:r>
                <w:rPr>
                  <w:rFonts w:ascii="宋体"/>
                  <w:color w:val="0000FF"/>
                  <w:sz w:val="21"/>
                  <w:u w:val="single" w:color="0000FF"/>
                </w:rPr>
                <w:t>IRM@ultrapower.com.cn</w:t>
              </w:r>
              <w:r>
                <w:rPr>
                  <w:rFonts w:ascii="宋体"/>
                  <w:color w:val="0000FF"/>
                  <w:sz w:val="21"/>
                </w:rPr>
              </w:r>
              <w:r>
                <w:rPr>
                  <w:rFonts w:ascii="宋体"/>
                  <w:sz w:val="21"/>
                </w:rPr>
              </w:r>
            </w:hyperlink>
          </w:p>
        </w:tc>
      </w:tr>
    </w:tbl>
    <w:p>
      <w:pPr>
        <w:spacing w:line="240" w:lineRule="auto" w:before="7"/>
        <w:rPr>
          <w:rFonts w:ascii="宋体" w:hAnsi="宋体" w:cs="宋体" w:eastAsia="宋体" w:hint="default"/>
          <w:b/>
          <w:bCs/>
          <w:sz w:val="15"/>
          <w:szCs w:val="15"/>
        </w:rPr>
      </w:pPr>
    </w:p>
    <w:p>
      <w:pPr>
        <w:pStyle w:val="Heading2"/>
        <w:spacing w:line="240" w:lineRule="auto" w:before="35"/>
        <w:ind w:left="480" w:right="1277"/>
        <w:jc w:val="left"/>
        <w:rPr>
          <w:b w:val="0"/>
          <w:bCs w:val="0"/>
        </w:rPr>
      </w:pPr>
      <w:r>
        <w:rPr/>
        <w:t>四、公司注册地址：北京市海淀区万泉庄路</w:t>
      </w:r>
      <w:r>
        <w:rPr>
          <w:spacing w:val="-56"/>
        </w:rPr>
        <w:t> </w:t>
      </w:r>
      <w:r>
        <w:rPr>
          <w:rFonts w:ascii="Times New Roman" w:hAnsi="Times New Roman" w:cs="Times New Roman" w:eastAsia="Times New Roman" w:hint="default"/>
        </w:rPr>
        <w:t>28</w:t>
      </w:r>
      <w:r>
        <w:rPr>
          <w:rFonts w:ascii="Times New Roman" w:hAnsi="Times New Roman" w:cs="Times New Roman" w:eastAsia="Times New Roman" w:hint="default"/>
          <w:spacing w:val="-4"/>
        </w:rPr>
        <w:t> </w:t>
      </w:r>
      <w:r>
        <w:rPr/>
        <w:t>号万柳新贵大厦</w:t>
      </w:r>
      <w:r>
        <w:rPr>
          <w:spacing w:val="-56"/>
        </w:rPr>
        <w:t> </w:t>
      </w:r>
      <w:r>
        <w:rPr>
          <w:rFonts w:ascii="Times New Roman" w:hAnsi="Times New Roman" w:cs="Times New Roman" w:eastAsia="Times New Roman" w:hint="default"/>
        </w:rPr>
        <w:t>A</w:t>
      </w:r>
      <w:r>
        <w:rPr>
          <w:rFonts w:ascii="Times New Roman" w:hAnsi="Times New Roman" w:cs="Times New Roman" w:eastAsia="Times New Roman" w:hint="default"/>
          <w:spacing w:val="-4"/>
        </w:rPr>
        <w:t> </w:t>
      </w:r>
      <w:r>
        <w:rPr/>
        <w:t>座</w:t>
      </w:r>
      <w:r>
        <w:rPr>
          <w:spacing w:val="-55"/>
        </w:rPr>
        <w:t> </w:t>
      </w:r>
      <w:r>
        <w:rPr>
          <w:rFonts w:ascii="Times New Roman" w:hAnsi="Times New Roman" w:cs="Times New Roman" w:eastAsia="Times New Roman" w:hint="default"/>
        </w:rPr>
        <w:t>5</w:t>
      </w:r>
      <w:r>
        <w:rPr>
          <w:rFonts w:ascii="Times New Roman" w:hAnsi="Times New Roman" w:cs="Times New Roman" w:eastAsia="Times New Roman" w:hint="default"/>
          <w:spacing w:val="-4"/>
        </w:rPr>
        <w:t> </w:t>
      </w:r>
      <w:r>
        <w:rPr/>
        <w:t>层</w:t>
      </w:r>
      <w:r>
        <w:rPr>
          <w:b w:val="0"/>
          <w:bCs w:val="0"/>
        </w:rPr>
      </w:r>
    </w:p>
    <w:p>
      <w:pPr>
        <w:spacing w:line="240" w:lineRule="auto" w:before="6"/>
        <w:rPr>
          <w:rFonts w:ascii="宋体" w:hAnsi="宋体" w:cs="宋体" w:eastAsia="宋体" w:hint="default"/>
          <w:b/>
          <w:bCs/>
          <w:sz w:val="25"/>
          <w:szCs w:val="25"/>
        </w:rPr>
      </w:pPr>
    </w:p>
    <w:p>
      <w:pPr>
        <w:pStyle w:val="BodyText"/>
        <w:spacing w:line="408" w:lineRule="auto"/>
        <w:ind w:left="900" w:right="1277"/>
        <w:jc w:val="left"/>
      </w:pPr>
      <w:r>
        <w:rPr/>
        <w:t>主要办公地址：北京市朝阳区北苑路甲</w:t>
      </w:r>
      <w:r>
        <w:rPr>
          <w:spacing w:val="-56"/>
        </w:rPr>
        <w:t> </w:t>
      </w:r>
      <w:r>
        <w:rPr/>
        <w:t>13</w:t>
      </w:r>
      <w:r>
        <w:rPr>
          <w:spacing w:val="-55"/>
        </w:rPr>
        <w:t> </w:t>
      </w:r>
      <w:r>
        <w:rPr/>
        <w:t>号院</w:t>
      </w:r>
      <w:r>
        <w:rPr>
          <w:spacing w:val="-57"/>
        </w:rPr>
        <w:t> </w:t>
      </w:r>
      <w:r>
        <w:rPr/>
        <w:t>1</w:t>
      </w:r>
      <w:r>
        <w:rPr>
          <w:spacing w:val="-55"/>
        </w:rPr>
        <w:t> </w:t>
      </w:r>
      <w:r>
        <w:rPr/>
        <w:t>号楼</w:t>
      </w:r>
      <w:r>
        <w:rPr>
          <w:spacing w:val="-57"/>
        </w:rPr>
        <w:t> </w:t>
      </w:r>
      <w:r>
        <w:rPr/>
        <w:t>22</w:t>
      </w:r>
      <w:r>
        <w:rPr>
          <w:spacing w:val="-55"/>
        </w:rPr>
        <w:t> </w:t>
      </w:r>
      <w:r>
        <w:rPr/>
        <w:t>层</w:t>
      </w:r>
      <w:r>
        <w:rPr/>
        <w:t> 邮政编码：100107</w:t>
      </w:r>
    </w:p>
    <w:p>
      <w:pPr>
        <w:pStyle w:val="BodyText"/>
        <w:spacing w:line="408" w:lineRule="auto" w:before="46"/>
        <w:ind w:left="900" w:right="4459"/>
        <w:jc w:val="left"/>
      </w:pPr>
      <w:hyperlink r:id="rId8">
        <w:r>
          <w:rPr/>
          <w:t>网址：www.ultrapower.com.cn</w:t>
        </w:r>
      </w:hyperlink>
      <w:r>
        <w:rPr>
          <w:spacing w:val="-1"/>
        </w:rPr>
        <w:t> </w:t>
      </w:r>
      <w:r>
        <w:rPr/>
        <w:t>投资者关系信箱：</w:t>
      </w:r>
      <w:hyperlink r:id="rId7">
        <w:r>
          <w:rPr/>
          <w:t>IRM@ultrapower.com.cn</w:t>
        </w:r>
      </w:hyperlink>
    </w:p>
    <w:p>
      <w:pPr>
        <w:spacing w:line="240" w:lineRule="auto" w:before="6"/>
        <w:rPr>
          <w:rFonts w:ascii="宋体" w:hAnsi="宋体" w:cs="宋体" w:eastAsia="宋体" w:hint="default"/>
          <w:sz w:val="15"/>
          <w:szCs w:val="15"/>
        </w:rPr>
      </w:pPr>
    </w:p>
    <w:p>
      <w:pPr>
        <w:pStyle w:val="Heading2"/>
        <w:spacing w:line="240" w:lineRule="auto"/>
        <w:ind w:left="480" w:right="1277"/>
        <w:jc w:val="left"/>
        <w:rPr>
          <w:b w:val="0"/>
          <w:bCs w:val="0"/>
        </w:rPr>
      </w:pPr>
      <w:r>
        <w:rPr>
          <w:spacing w:val="1"/>
          <w:w w:val="99"/>
        </w:rPr>
        <w:t>五、公</w:t>
      </w:r>
      <w:r>
        <w:rPr>
          <w:spacing w:val="-1"/>
          <w:w w:val="99"/>
        </w:rPr>
        <w:t>司选</w:t>
      </w:r>
      <w:r>
        <w:rPr>
          <w:spacing w:val="1"/>
          <w:w w:val="99"/>
        </w:rPr>
        <w:t>定的信</w:t>
      </w:r>
      <w:r>
        <w:rPr>
          <w:spacing w:val="-1"/>
          <w:w w:val="99"/>
        </w:rPr>
        <w:t>息披</w:t>
      </w:r>
      <w:r>
        <w:rPr>
          <w:spacing w:val="1"/>
          <w:w w:val="99"/>
        </w:rPr>
        <w:t>露报纸</w:t>
      </w:r>
      <w:r>
        <w:rPr>
          <w:spacing w:val="-1"/>
          <w:w w:val="99"/>
        </w:rPr>
        <w:t>名</w:t>
      </w:r>
      <w:r>
        <w:rPr>
          <w:spacing w:val="1"/>
          <w:w w:val="99"/>
        </w:rPr>
        <w:t>称</w:t>
      </w:r>
      <w:r>
        <w:rPr>
          <w:spacing w:val="-106"/>
          <w:w w:val="99"/>
        </w:rPr>
        <w:t>：</w:t>
      </w:r>
      <w:r>
        <w:rPr>
          <w:spacing w:val="1"/>
          <w:w w:val="99"/>
        </w:rPr>
        <w:t>《证券</w:t>
      </w:r>
      <w:r>
        <w:rPr>
          <w:spacing w:val="-1"/>
          <w:w w:val="99"/>
        </w:rPr>
        <w:t>时</w:t>
      </w:r>
      <w:r>
        <w:rPr>
          <w:spacing w:val="1"/>
          <w:w w:val="99"/>
        </w:rPr>
        <w:t>报</w:t>
      </w:r>
      <w:r>
        <w:rPr>
          <w:spacing w:val="-106"/>
          <w:w w:val="99"/>
        </w:rPr>
        <w:t>》</w:t>
      </w:r>
      <w:r>
        <w:rPr>
          <w:spacing w:val="-105"/>
          <w:w w:val="99"/>
        </w:rPr>
        <w:t>、</w:t>
      </w:r>
      <w:r>
        <w:rPr>
          <w:spacing w:val="1"/>
          <w:w w:val="99"/>
        </w:rPr>
        <w:t>《中国</w:t>
      </w:r>
      <w:r>
        <w:rPr>
          <w:spacing w:val="-1"/>
          <w:w w:val="99"/>
        </w:rPr>
        <w:t>证券</w:t>
      </w:r>
      <w:r>
        <w:rPr>
          <w:spacing w:val="1"/>
          <w:w w:val="99"/>
        </w:rPr>
        <w:t>报》</w:t>
      </w:r>
      <w:r>
        <w:rPr>
          <w:b w:val="0"/>
          <w:bCs w:val="0"/>
        </w:rPr>
      </w:r>
    </w:p>
    <w:p>
      <w:pPr>
        <w:spacing w:line="240" w:lineRule="auto" w:before="9"/>
        <w:rPr>
          <w:rFonts w:ascii="宋体" w:hAnsi="宋体" w:cs="宋体" w:eastAsia="宋体" w:hint="default"/>
          <w:b/>
          <w:bCs/>
          <w:sz w:val="26"/>
          <w:szCs w:val="26"/>
        </w:rPr>
      </w:pPr>
    </w:p>
    <w:p>
      <w:pPr>
        <w:pStyle w:val="BodyText"/>
        <w:spacing w:line="408" w:lineRule="auto"/>
        <w:ind w:left="900" w:right="1277"/>
        <w:jc w:val="left"/>
      </w:pPr>
      <w:hyperlink r:id="rId9">
        <w:r>
          <w:rPr>
            <w:spacing w:val="-1"/>
          </w:rPr>
          <w:t>登载年度报告的网站网址：www.cninfo</w:t>
        </w:r>
      </w:hyperlink>
      <w:r>
        <w:rPr>
          <w:spacing w:val="-1"/>
        </w:rPr>
        <w:t>.com.cn</w:t>
      </w:r>
      <w:r>
        <w:rPr>
          <w:spacing w:val="-103"/>
        </w:rPr>
        <w:t> </w:t>
      </w:r>
      <w:r>
        <w:rPr>
          <w:spacing w:val="-103"/>
        </w:rPr>
      </w:r>
      <w:r>
        <w:rPr/>
        <w:t>公司年度报告备置地点：公司董事会办公室</w:t>
      </w:r>
    </w:p>
    <w:p>
      <w:pPr>
        <w:spacing w:line="240" w:lineRule="auto" w:before="6"/>
        <w:rPr>
          <w:rFonts w:ascii="宋体" w:hAnsi="宋体" w:cs="宋体" w:eastAsia="宋体" w:hint="default"/>
          <w:sz w:val="15"/>
          <w:szCs w:val="15"/>
        </w:rPr>
      </w:pPr>
    </w:p>
    <w:p>
      <w:pPr>
        <w:tabs>
          <w:tab w:pos="3629" w:val="left" w:leader="none"/>
        </w:tabs>
        <w:spacing w:line="544" w:lineRule="auto" w:before="0"/>
        <w:ind w:left="900" w:right="3954" w:hanging="420"/>
        <w:jc w:val="left"/>
        <w:rPr>
          <w:rFonts w:ascii="宋体" w:hAnsi="宋体" w:cs="宋体" w:eastAsia="宋体" w:hint="default"/>
          <w:sz w:val="21"/>
          <w:szCs w:val="21"/>
        </w:rPr>
      </w:pPr>
      <w:r>
        <w:rPr>
          <w:rFonts w:ascii="宋体" w:hAnsi="宋体" w:cs="宋体" w:eastAsia="宋体" w:hint="default"/>
          <w:b/>
          <w:bCs/>
          <w:sz w:val="21"/>
          <w:szCs w:val="21"/>
        </w:rPr>
        <w:t>六、公司股票上市交易所：深圳证券交易所</w:t>
      </w:r>
      <w:r>
        <w:rPr>
          <w:rFonts w:ascii="宋体" w:hAnsi="宋体" w:cs="宋体" w:eastAsia="宋体" w:hint="default"/>
          <w:b/>
          <w:bCs/>
          <w:spacing w:val="1"/>
          <w:w w:val="99"/>
          <w:sz w:val="21"/>
          <w:szCs w:val="21"/>
        </w:rPr>
        <w:t> </w:t>
      </w:r>
      <w:r>
        <w:rPr>
          <w:rFonts w:ascii="宋体" w:hAnsi="宋体" w:cs="宋体" w:eastAsia="宋体" w:hint="default"/>
          <w:sz w:val="21"/>
          <w:szCs w:val="21"/>
        </w:rPr>
        <w:t>股票简称：神州泰岳</w:t>
        <w:tab/>
        <w:t>股票代码：300002</w:t>
      </w:r>
    </w:p>
    <w:p>
      <w:pPr>
        <w:spacing w:after="0" w:line="544" w:lineRule="auto"/>
        <w:jc w:val="left"/>
        <w:rPr>
          <w:rFonts w:ascii="宋体" w:hAnsi="宋体" w:cs="宋体" w:eastAsia="宋体" w:hint="default"/>
          <w:sz w:val="21"/>
          <w:szCs w:val="21"/>
        </w:rPr>
        <w:sectPr>
          <w:pgSz w:w="11910" w:h="16840"/>
          <w:pgMar w:header="851" w:footer="982" w:top="1360" w:bottom="1180" w:left="1320" w:right="1320"/>
        </w:sectPr>
      </w:pPr>
    </w:p>
    <w:p>
      <w:pPr>
        <w:pStyle w:val="Heading1"/>
        <w:tabs>
          <w:tab w:pos="964" w:val="left" w:leader="none"/>
        </w:tabs>
        <w:spacing w:line="240" w:lineRule="auto" w:before="119"/>
        <w:ind w:right="15"/>
        <w:jc w:val="center"/>
        <w:rPr>
          <w:b w:val="0"/>
          <w:bCs w:val="0"/>
        </w:rPr>
      </w:pPr>
      <w:bookmarkStart w:name="_bookmark2" w:id="3"/>
      <w:bookmarkEnd w:id="3"/>
      <w:r>
        <w:rPr>
          <w:b w:val="0"/>
          <w:bCs w:val="0"/>
        </w:rPr>
      </w:r>
      <w:r>
        <w:rPr>
          <w:w w:val="95"/>
        </w:rPr>
        <w:t>第二节</w:t>
        <w:tab/>
      </w:r>
      <w:r>
        <w:rPr/>
        <w:t>会计数据和业务数据摘要</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4"/>
          <w:szCs w:val="14"/>
        </w:rPr>
      </w:pPr>
    </w:p>
    <w:p>
      <w:pPr>
        <w:pStyle w:val="Heading2"/>
        <w:spacing w:line="240" w:lineRule="auto" w:before="35"/>
        <w:ind w:left="1420" w:right="0"/>
        <w:jc w:val="left"/>
        <w:rPr>
          <w:b w:val="0"/>
          <w:bCs w:val="0"/>
        </w:rPr>
      </w:pPr>
      <w:r>
        <w:rPr/>
        <w:t>一、主要会计数据</w:t>
      </w:r>
      <w:r>
        <w:rPr>
          <w:b w:val="0"/>
          <w:bCs w:val="0"/>
        </w:rPr>
      </w:r>
    </w:p>
    <w:p>
      <w:pPr>
        <w:spacing w:line="240" w:lineRule="auto" w:before="0"/>
        <w:rPr>
          <w:rFonts w:ascii="宋体" w:hAnsi="宋体" w:cs="宋体" w:eastAsia="宋体" w:hint="default"/>
          <w:b/>
          <w:bCs/>
          <w:sz w:val="18"/>
          <w:szCs w:val="18"/>
        </w:rPr>
      </w:pPr>
    </w:p>
    <w:p>
      <w:pPr>
        <w:pStyle w:val="BodyText"/>
        <w:spacing w:line="240" w:lineRule="auto" w:before="35"/>
        <w:ind w:left="0" w:right="1962"/>
        <w:jc w:val="right"/>
      </w:pPr>
      <w:r>
        <w:rPr>
          <w:spacing w:val="-1"/>
        </w:rPr>
        <w:t>单位</w:t>
      </w:r>
      <w:r>
        <w:rPr>
          <w:spacing w:val="-94"/>
        </w:rPr>
        <w:t>：</w:t>
      </w:r>
      <w:r>
        <w:rPr/>
        <w:t>元</w:t>
      </w:r>
    </w:p>
    <w:p>
      <w:pPr>
        <w:spacing w:line="240" w:lineRule="auto" w:before="13"/>
        <w:rPr>
          <w:rFonts w:ascii="宋体" w:hAnsi="宋体" w:cs="宋体" w:eastAsia="宋体"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847"/>
        <w:gridCol w:w="1670"/>
        <w:gridCol w:w="1568"/>
        <w:gridCol w:w="1704"/>
        <w:gridCol w:w="1225"/>
        <w:gridCol w:w="1465"/>
        <w:gridCol w:w="1465"/>
      </w:tblGrid>
      <w:tr>
        <w:trPr>
          <w:trHeight w:val="161" w:hRule="exact"/>
        </w:trPr>
        <w:tc>
          <w:tcPr>
            <w:tcW w:w="1847" w:type="dxa"/>
            <w:tcBorders>
              <w:top w:val="single" w:sz="4" w:space="0" w:color="000000"/>
              <w:left w:val="single" w:sz="4" w:space="0" w:color="000000"/>
              <w:bottom w:val="nil" w:sz="6" w:space="0" w:color="auto"/>
              <w:right w:val="single" w:sz="4" w:space="0" w:color="000000"/>
            </w:tcBorders>
            <w:shd w:val="clear" w:color="auto" w:fill="DCDCDC"/>
          </w:tcPr>
          <w:p>
            <w:pPr/>
          </w:p>
        </w:tc>
        <w:tc>
          <w:tcPr>
            <w:tcW w:w="1670" w:type="dxa"/>
            <w:tcBorders>
              <w:top w:val="single" w:sz="4" w:space="0" w:color="000000"/>
              <w:left w:val="single" w:sz="4" w:space="0" w:color="000000"/>
              <w:bottom w:val="nil" w:sz="6" w:space="0" w:color="auto"/>
              <w:right w:val="single" w:sz="4" w:space="0" w:color="000000"/>
            </w:tcBorders>
            <w:shd w:val="clear" w:color="auto" w:fill="DCDCDC"/>
          </w:tcPr>
          <w:p>
            <w:pPr/>
          </w:p>
        </w:tc>
        <w:tc>
          <w:tcPr>
            <w:tcW w:w="3272"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1225" w:type="dxa"/>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10"/>
              <w:ind w:left="517" w:right="64" w:hanging="452"/>
              <w:jc w:val="left"/>
              <w:rPr>
                <w:rFonts w:ascii="宋体" w:hAnsi="宋体" w:cs="宋体" w:eastAsia="宋体" w:hint="default"/>
                <w:sz w:val="18"/>
                <w:szCs w:val="18"/>
              </w:rPr>
            </w:pPr>
            <w:r>
              <w:rPr>
                <w:rFonts w:ascii="宋体" w:hAnsi="宋体" w:cs="宋体" w:eastAsia="宋体" w:hint="default"/>
                <w:b/>
                <w:bCs/>
                <w:sz w:val="18"/>
                <w:szCs w:val="18"/>
              </w:rPr>
              <w:t>本年比上年增</w:t>
            </w:r>
            <w:r>
              <w:rPr>
                <w:rFonts w:ascii="宋体" w:hAnsi="宋体" w:cs="宋体" w:eastAsia="宋体" w:hint="default"/>
                <w:b/>
                <w:bCs/>
                <w:w w:val="99"/>
                <w:sz w:val="18"/>
                <w:szCs w:val="18"/>
              </w:rPr>
              <w:t> </w:t>
            </w:r>
            <w:r>
              <w:rPr>
                <w:rFonts w:ascii="宋体" w:hAnsi="宋体" w:cs="宋体" w:eastAsia="宋体" w:hint="default"/>
                <w:b/>
                <w:bCs/>
                <w:sz w:val="18"/>
                <w:szCs w:val="18"/>
              </w:rPr>
              <w:t>减</w:t>
            </w:r>
            <w:r>
              <w:rPr>
                <w:rFonts w:ascii="宋体" w:hAnsi="宋体" w:cs="宋体" w:eastAsia="宋体" w:hint="default"/>
                <w:sz w:val="18"/>
                <w:szCs w:val="18"/>
              </w:rPr>
            </w:r>
          </w:p>
        </w:tc>
        <w:tc>
          <w:tcPr>
            <w:tcW w:w="2930" w:type="dxa"/>
            <w:gridSpan w:val="2"/>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12" w:hRule="exact"/>
        </w:trPr>
        <w:tc>
          <w:tcPr>
            <w:tcW w:w="1847" w:type="dxa"/>
            <w:tcBorders>
              <w:top w:val="nil" w:sz="6" w:space="0" w:color="auto"/>
              <w:left w:val="single" w:sz="4" w:space="0" w:color="000000"/>
              <w:bottom w:val="nil" w:sz="6" w:space="0" w:color="auto"/>
              <w:right w:val="single" w:sz="4" w:space="0" w:color="000000"/>
            </w:tcBorders>
            <w:shd w:val="clear" w:color="auto" w:fill="DCDCDC"/>
          </w:tcPr>
          <w:p>
            <w:pPr/>
          </w:p>
        </w:tc>
        <w:tc>
          <w:tcPr>
            <w:tcW w:w="167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2010</w:t>
            </w:r>
            <w:r>
              <w:rPr>
                <w:rFonts w:ascii="宋体" w:hAnsi="宋体" w:cs="宋体" w:eastAsia="宋体" w:hint="default"/>
                <w:b/>
                <w:bCs/>
                <w:spacing w:val="-47"/>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c>
          <w:tcPr>
            <w:tcW w:w="3272"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2009</w:t>
            </w:r>
            <w:r>
              <w:rPr>
                <w:rFonts w:ascii="宋体" w:hAnsi="宋体" w:cs="宋体" w:eastAsia="宋体" w:hint="default"/>
                <w:b/>
                <w:bCs/>
                <w:spacing w:val="-47"/>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c>
          <w:tcPr>
            <w:tcW w:w="1225" w:type="dxa"/>
            <w:vMerge/>
            <w:tcBorders>
              <w:left w:val="single" w:sz="4" w:space="0" w:color="000000"/>
              <w:right w:val="single" w:sz="4" w:space="0" w:color="000000"/>
            </w:tcBorders>
            <w:shd w:val="clear" w:color="auto" w:fill="DCDCDC"/>
          </w:tcPr>
          <w:p>
            <w:pPr/>
          </w:p>
        </w:tc>
        <w:tc>
          <w:tcPr>
            <w:tcW w:w="2930"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2008</w:t>
            </w:r>
            <w:r>
              <w:rPr>
                <w:rFonts w:ascii="宋体" w:hAnsi="宋体" w:cs="宋体" w:eastAsia="宋体" w:hint="default"/>
                <w:b/>
                <w:bCs/>
                <w:spacing w:val="-47"/>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r>
      <w:tr>
        <w:trPr>
          <w:trHeight w:val="161" w:hRule="exact"/>
        </w:trPr>
        <w:tc>
          <w:tcPr>
            <w:tcW w:w="1847" w:type="dxa"/>
            <w:tcBorders>
              <w:top w:val="nil" w:sz="6" w:space="0" w:color="auto"/>
              <w:left w:val="single" w:sz="4" w:space="0" w:color="000000"/>
              <w:bottom w:val="single" w:sz="4" w:space="0" w:color="000000"/>
              <w:right w:val="single" w:sz="4" w:space="0" w:color="000000"/>
            </w:tcBorders>
            <w:shd w:val="clear" w:color="auto" w:fill="DCDCDC"/>
          </w:tcPr>
          <w:p>
            <w:pPr/>
          </w:p>
        </w:tc>
        <w:tc>
          <w:tcPr>
            <w:tcW w:w="1670" w:type="dxa"/>
            <w:tcBorders>
              <w:top w:val="nil" w:sz="6" w:space="0" w:color="auto"/>
              <w:left w:val="single" w:sz="4" w:space="0" w:color="000000"/>
              <w:bottom w:val="single" w:sz="4" w:space="0" w:color="000000"/>
              <w:right w:val="single" w:sz="4" w:space="0" w:color="000000"/>
            </w:tcBorders>
            <w:shd w:val="clear" w:color="auto" w:fill="DCDCDC"/>
          </w:tcPr>
          <w:p>
            <w:pPr/>
          </w:p>
        </w:tc>
        <w:tc>
          <w:tcPr>
            <w:tcW w:w="3272"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1225" w:type="dxa"/>
            <w:vMerge/>
            <w:tcBorders>
              <w:left w:val="single" w:sz="4" w:space="0" w:color="000000"/>
              <w:bottom w:val="single" w:sz="4" w:space="0" w:color="000000"/>
              <w:right w:val="single" w:sz="4" w:space="0" w:color="000000"/>
            </w:tcBorders>
            <w:shd w:val="clear" w:color="auto" w:fill="DCDCDC"/>
          </w:tcPr>
          <w:p>
            <w:pPr/>
          </w:p>
        </w:tc>
        <w:tc>
          <w:tcPr>
            <w:tcW w:w="2930" w:type="dxa"/>
            <w:gridSpan w:val="2"/>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23" w:hRule="exact"/>
        </w:trPr>
        <w:tc>
          <w:tcPr>
            <w:tcW w:w="184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67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5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06" w:right="0"/>
              <w:jc w:val="left"/>
              <w:rPr>
                <w:rFonts w:ascii="宋体" w:hAnsi="宋体" w:cs="宋体" w:eastAsia="宋体" w:hint="default"/>
                <w:sz w:val="18"/>
                <w:szCs w:val="18"/>
              </w:rPr>
            </w:pPr>
            <w:r>
              <w:rPr>
                <w:rFonts w:ascii="宋体" w:hAnsi="宋体" w:cs="宋体" w:eastAsia="宋体" w:hint="default"/>
                <w:b/>
                <w:bCs/>
                <w:sz w:val="18"/>
                <w:szCs w:val="18"/>
              </w:rPr>
              <w:t>调整前</w:t>
            </w:r>
            <w:r>
              <w:rPr>
                <w:rFonts w:ascii="宋体" w:hAnsi="宋体" w:cs="宋体" w:eastAsia="宋体" w:hint="default"/>
                <w:sz w:val="18"/>
                <w:szCs w:val="18"/>
              </w:rPr>
            </w:r>
          </w:p>
        </w:tc>
        <w:tc>
          <w:tcPr>
            <w:tcW w:w="17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调整后</w:t>
            </w:r>
            <w:r>
              <w:rPr>
                <w:rFonts w:ascii="宋体" w:hAnsi="宋体" w:cs="宋体" w:eastAsia="宋体" w:hint="default"/>
                <w:sz w:val="18"/>
                <w:szCs w:val="18"/>
              </w:rPr>
            </w:r>
          </w:p>
        </w:tc>
        <w:tc>
          <w:tcPr>
            <w:tcW w:w="12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调整后</w:t>
            </w:r>
            <w:r>
              <w:rPr>
                <w:rFonts w:ascii="宋体" w:hAnsi="宋体" w:cs="宋体" w:eastAsia="宋体" w:hint="default"/>
                <w:sz w:val="18"/>
                <w:szCs w:val="18"/>
              </w:rPr>
            </w:r>
          </w:p>
        </w:tc>
        <w:tc>
          <w:tcPr>
            <w:tcW w:w="14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调整前</w:t>
            </w:r>
            <w:r>
              <w:rPr>
                <w:rFonts w:ascii="宋体" w:hAnsi="宋体" w:cs="宋体" w:eastAsia="宋体" w:hint="default"/>
                <w:sz w:val="18"/>
                <w:szCs w:val="18"/>
              </w:rPr>
            </w:r>
          </w:p>
        </w:tc>
        <w:tc>
          <w:tcPr>
            <w:tcW w:w="14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454" w:right="0"/>
              <w:jc w:val="left"/>
              <w:rPr>
                <w:rFonts w:ascii="宋体" w:hAnsi="宋体" w:cs="宋体" w:eastAsia="宋体" w:hint="default"/>
                <w:sz w:val="18"/>
                <w:szCs w:val="18"/>
              </w:rPr>
            </w:pPr>
            <w:r>
              <w:rPr>
                <w:rFonts w:ascii="宋体" w:hAnsi="宋体" w:cs="宋体" w:eastAsia="宋体" w:hint="default"/>
                <w:b/>
                <w:bCs/>
                <w:sz w:val="18"/>
                <w:szCs w:val="18"/>
              </w:rPr>
              <w:t>调整后</w:t>
            </w:r>
            <w:r>
              <w:rPr>
                <w:rFonts w:ascii="宋体" w:hAnsi="宋体" w:cs="宋体" w:eastAsia="宋体" w:hint="default"/>
                <w:sz w:val="18"/>
                <w:szCs w:val="18"/>
              </w:rPr>
            </w:r>
          </w:p>
        </w:tc>
      </w:tr>
      <w:tr>
        <w:trPr>
          <w:trHeight w:val="151" w:hRule="exact"/>
        </w:trPr>
        <w:tc>
          <w:tcPr>
            <w:tcW w:w="1847" w:type="dxa"/>
            <w:tcBorders>
              <w:top w:val="single" w:sz="4" w:space="0" w:color="000000"/>
              <w:left w:val="single" w:sz="4" w:space="0" w:color="000000"/>
              <w:bottom w:val="nil" w:sz="6" w:space="0" w:color="auto"/>
              <w:right w:val="single" w:sz="4" w:space="0" w:color="000000"/>
            </w:tcBorders>
            <w:shd w:val="clear" w:color="auto" w:fill="DCDCDC"/>
          </w:tcPr>
          <w:p>
            <w:pPr/>
          </w:p>
        </w:tc>
        <w:tc>
          <w:tcPr>
            <w:tcW w:w="1670" w:type="dxa"/>
            <w:vMerge w:val="restart"/>
            <w:tcBorders>
              <w:top w:val="single" w:sz="4" w:space="0" w:color="000000"/>
              <w:left w:val="single" w:sz="13" w:space="0" w:color="DCDCDC"/>
              <w:right w:val="single" w:sz="4" w:space="0" w:color="000000"/>
            </w:tcBorders>
          </w:tcPr>
          <w:p>
            <w:pPr>
              <w:pStyle w:val="TableParagraph"/>
              <w:spacing w:line="240" w:lineRule="auto" w:before="157"/>
              <w:ind w:left="365" w:right="0"/>
              <w:jc w:val="left"/>
              <w:rPr>
                <w:rFonts w:ascii="宋体" w:hAnsi="宋体" w:cs="宋体" w:eastAsia="宋体" w:hint="default"/>
                <w:sz w:val="18"/>
                <w:szCs w:val="18"/>
              </w:rPr>
            </w:pPr>
            <w:r>
              <w:rPr>
                <w:rFonts w:ascii="宋体"/>
                <w:sz w:val="18"/>
              </w:rPr>
              <w:t>841,628,987.00</w:t>
            </w:r>
          </w:p>
        </w:tc>
        <w:tc>
          <w:tcPr>
            <w:tcW w:w="1568" w:type="dxa"/>
            <w:vMerge w:val="restart"/>
            <w:tcBorders>
              <w:top w:val="single" w:sz="4" w:space="0" w:color="000000"/>
              <w:left w:val="single" w:sz="4" w:space="0" w:color="000000"/>
              <w:right w:val="single" w:sz="4" w:space="0" w:color="000000"/>
            </w:tcBorders>
          </w:tcPr>
          <w:p>
            <w:pPr>
              <w:pStyle w:val="TableParagraph"/>
              <w:spacing w:line="240" w:lineRule="auto" w:before="157"/>
              <w:ind w:left="274" w:right="0"/>
              <w:jc w:val="left"/>
              <w:rPr>
                <w:rFonts w:ascii="宋体" w:hAnsi="宋体" w:cs="宋体" w:eastAsia="宋体" w:hint="default"/>
                <w:sz w:val="18"/>
                <w:szCs w:val="18"/>
              </w:rPr>
            </w:pPr>
            <w:r>
              <w:rPr>
                <w:rFonts w:ascii="宋体"/>
                <w:sz w:val="18"/>
              </w:rPr>
              <w:t>722,758,690.50</w:t>
            </w:r>
          </w:p>
        </w:tc>
        <w:tc>
          <w:tcPr>
            <w:tcW w:w="1704" w:type="dxa"/>
            <w:vMerge w:val="restart"/>
            <w:tcBorders>
              <w:top w:val="single" w:sz="4" w:space="0" w:color="000000"/>
              <w:left w:val="single" w:sz="4" w:space="0" w:color="000000"/>
              <w:right w:val="single" w:sz="4" w:space="0" w:color="000000"/>
            </w:tcBorders>
          </w:tcPr>
          <w:p>
            <w:pPr>
              <w:pStyle w:val="TableParagraph"/>
              <w:spacing w:line="240" w:lineRule="auto" w:before="157"/>
              <w:ind w:left="411" w:right="0"/>
              <w:jc w:val="left"/>
              <w:rPr>
                <w:rFonts w:ascii="宋体" w:hAnsi="宋体" w:cs="宋体" w:eastAsia="宋体" w:hint="default"/>
                <w:sz w:val="18"/>
                <w:szCs w:val="18"/>
              </w:rPr>
            </w:pPr>
            <w:r>
              <w:rPr>
                <w:rFonts w:ascii="宋体"/>
                <w:sz w:val="18"/>
              </w:rPr>
              <w:t>722,900,469.20</w:t>
            </w:r>
          </w:p>
        </w:tc>
        <w:tc>
          <w:tcPr>
            <w:tcW w:w="1225" w:type="dxa"/>
            <w:vMerge w:val="restart"/>
            <w:tcBorders>
              <w:top w:val="single" w:sz="4" w:space="0" w:color="000000"/>
              <w:left w:val="single" w:sz="4" w:space="0" w:color="000000"/>
              <w:right w:val="single" w:sz="4" w:space="0" w:color="000000"/>
            </w:tcBorders>
          </w:tcPr>
          <w:p>
            <w:pPr>
              <w:pStyle w:val="TableParagraph"/>
              <w:spacing w:line="240" w:lineRule="auto" w:before="157"/>
              <w:ind w:left="652" w:right="0"/>
              <w:jc w:val="left"/>
              <w:rPr>
                <w:rFonts w:ascii="宋体" w:hAnsi="宋体" w:cs="宋体" w:eastAsia="宋体" w:hint="default"/>
                <w:sz w:val="18"/>
                <w:szCs w:val="18"/>
              </w:rPr>
            </w:pPr>
            <w:r>
              <w:rPr>
                <w:rFonts w:ascii="宋体"/>
                <w:sz w:val="18"/>
              </w:rPr>
              <w:t>16.42%</w:t>
            </w:r>
          </w:p>
        </w:tc>
        <w:tc>
          <w:tcPr>
            <w:tcW w:w="1465" w:type="dxa"/>
            <w:vMerge w:val="restart"/>
            <w:tcBorders>
              <w:top w:val="single" w:sz="4" w:space="0" w:color="000000"/>
              <w:left w:val="single" w:sz="4" w:space="0" w:color="000000"/>
              <w:right w:val="single" w:sz="4" w:space="0" w:color="000000"/>
            </w:tcBorders>
          </w:tcPr>
          <w:p>
            <w:pPr>
              <w:pStyle w:val="TableParagraph"/>
              <w:spacing w:line="240" w:lineRule="auto" w:before="157"/>
              <w:ind w:left="172" w:right="0"/>
              <w:jc w:val="left"/>
              <w:rPr>
                <w:rFonts w:ascii="宋体" w:hAnsi="宋体" w:cs="宋体" w:eastAsia="宋体" w:hint="default"/>
                <w:sz w:val="18"/>
                <w:szCs w:val="18"/>
              </w:rPr>
            </w:pPr>
            <w:r>
              <w:rPr>
                <w:rFonts w:ascii="宋体"/>
                <w:sz w:val="18"/>
              </w:rPr>
              <w:t>519,282,880.70</w:t>
            </w:r>
          </w:p>
        </w:tc>
        <w:tc>
          <w:tcPr>
            <w:tcW w:w="1465" w:type="dxa"/>
            <w:vMerge w:val="restart"/>
            <w:tcBorders>
              <w:top w:val="single" w:sz="4" w:space="0" w:color="000000"/>
              <w:left w:val="single" w:sz="4" w:space="0" w:color="000000"/>
              <w:right w:val="single" w:sz="4" w:space="0" w:color="000000"/>
            </w:tcBorders>
          </w:tcPr>
          <w:p>
            <w:pPr>
              <w:pStyle w:val="TableParagraph"/>
              <w:spacing w:line="240" w:lineRule="auto" w:before="157"/>
              <w:ind w:left="171" w:right="0"/>
              <w:jc w:val="left"/>
              <w:rPr>
                <w:rFonts w:ascii="宋体" w:hAnsi="宋体" w:cs="宋体" w:eastAsia="宋体" w:hint="default"/>
                <w:sz w:val="18"/>
                <w:szCs w:val="18"/>
              </w:rPr>
            </w:pPr>
            <w:r>
              <w:rPr>
                <w:rFonts w:ascii="宋体"/>
                <w:sz w:val="18"/>
              </w:rPr>
              <w:t>520,711,467.20</w:t>
            </w:r>
          </w:p>
        </w:tc>
      </w:tr>
      <w:tr>
        <w:trPr>
          <w:trHeight w:val="312" w:hRule="exact"/>
        </w:trPr>
        <w:tc>
          <w:tcPr>
            <w:tcW w:w="184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0"/>
              <w:ind w:right="10"/>
              <w:jc w:val="center"/>
              <w:rPr>
                <w:rFonts w:ascii="宋体" w:hAnsi="宋体" w:cs="宋体" w:eastAsia="宋体" w:hint="default"/>
                <w:sz w:val="18"/>
                <w:szCs w:val="18"/>
              </w:rPr>
            </w:pPr>
            <w:r>
              <w:rPr>
                <w:rFonts w:ascii="宋体" w:hAnsi="宋体" w:cs="宋体" w:eastAsia="宋体" w:hint="default"/>
                <w:sz w:val="18"/>
                <w:szCs w:val="18"/>
              </w:rPr>
              <w:t>营业总收入（元）</w:t>
            </w:r>
          </w:p>
        </w:tc>
        <w:tc>
          <w:tcPr>
            <w:tcW w:w="1670" w:type="dxa"/>
            <w:vMerge/>
            <w:tcBorders>
              <w:left w:val="single" w:sz="13" w:space="0" w:color="DCDCDC"/>
              <w:right w:val="single" w:sz="4" w:space="0" w:color="000000"/>
            </w:tcBorders>
          </w:tcPr>
          <w:p>
            <w:pPr/>
          </w:p>
        </w:tc>
        <w:tc>
          <w:tcPr>
            <w:tcW w:w="1568" w:type="dxa"/>
            <w:vMerge/>
            <w:tcBorders>
              <w:left w:val="single" w:sz="4" w:space="0" w:color="000000"/>
              <w:right w:val="single" w:sz="4" w:space="0" w:color="000000"/>
            </w:tcBorders>
          </w:tcPr>
          <w:p>
            <w:pPr/>
          </w:p>
        </w:tc>
        <w:tc>
          <w:tcPr>
            <w:tcW w:w="1704" w:type="dxa"/>
            <w:vMerge/>
            <w:tcBorders>
              <w:left w:val="single" w:sz="4" w:space="0" w:color="000000"/>
              <w:right w:val="single" w:sz="4" w:space="0" w:color="000000"/>
            </w:tcBorders>
          </w:tcPr>
          <w:p>
            <w:pPr/>
          </w:p>
        </w:tc>
        <w:tc>
          <w:tcPr>
            <w:tcW w:w="1225" w:type="dxa"/>
            <w:vMerge/>
            <w:tcBorders>
              <w:left w:val="single" w:sz="4" w:space="0" w:color="000000"/>
              <w:right w:val="single" w:sz="4" w:space="0" w:color="000000"/>
            </w:tcBorders>
          </w:tcPr>
          <w:p>
            <w:pPr/>
          </w:p>
        </w:tc>
        <w:tc>
          <w:tcPr>
            <w:tcW w:w="1465" w:type="dxa"/>
            <w:vMerge/>
            <w:tcBorders>
              <w:left w:val="single" w:sz="4" w:space="0" w:color="000000"/>
              <w:right w:val="single" w:sz="4" w:space="0" w:color="000000"/>
            </w:tcBorders>
          </w:tcPr>
          <w:p>
            <w:pPr/>
          </w:p>
        </w:tc>
        <w:tc>
          <w:tcPr>
            <w:tcW w:w="1465" w:type="dxa"/>
            <w:vMerge/>
            <w:tcBorders>
              <w:left w:val="single" w:sz="4" w:space="0" w:color="000000"/>
              <w:right w:val="single" w:sz="4" w:space="0" w:color="000000"/>
            </w:tcBorders>
          </w:tcPr>
          <w:p>
            <w:pPr/>
          </w:p>
        </w:tc>
      </w:tr>
      <w:tr>
        <w:trPr>
          <w:trHeight w:val="151" w:hRule="exact"/>
        </w:trPr>
        <w:tc>
          <w:tcPr>
            <w:tcW w:w="1847" w:type="dxa"/>
            <w:tcBorders>
              <w:top w:val="nil" w:sz="6" w:space="0" w:color="auto"/>
              <w:left w:val="single" w:sz="4" w:space="0" w:color="000000"/>
              <w:bottom w:val="single" w:sz="4" w:space="0" w:color="000000"/>
              <w:right w:val="single" w:sz="4" w:space="0" w:color="000000"/>
            </w:tcBorders>
            <w:shd w:val="clear" w:color="auto" w:fill="DCDCDC"/>
          </w:tcPr>
          <w:p>
            <w:pPr/>
          </w:p>
        </w:tc>
        <w:tc>
          <w:tcPr>
            <w:tcW w:w="1670" w:type="dxa"/>
            <w:vMerge/>
            <w:tcBorders>
              <w:left w:val="single" w:sz="13" w:space="0" w:color="DCDCDC"/>
              <w:bottom w:val="single" w:sz="4" w:space="0" w:color="000000"/>
              <w:right w:val="single" w:sz="4" w:space="0" w:color="000000"/>
            </w:tcBorders>
          </w:tcPr>
          <w:p>
            <w:pPr/>
          </w:p>
        </w:tc>
        <w:tc>
          <w:tcPr>
            <w:tcW w:w="1568" w:type="dxa"/>
            <w:vMerge/>
            <w:tcBorders>
              <w:left w:val="single" w:sz="4" w:space="0" w:color="000000"/>
              <w:bottom w:val="single" w:sz="4" w:space="0" w:color="000000"/>
              <w:right w:val="single" w:sz="4" w:space="0" w:color="000000"/>
            </w:tcBorders>
          </w:tcPr>
          <w:p>
            <w:pPr/>
          </w:p>
        </w:tc>
        <w:tc>
          <w:tcPr>
            <w:tcW w:w="1704" w:type="dxa"/>
            <w:vMerge/>
            <w:tcBorders>
              <w:left w:val="single" w:sz="4" w:space="0" w:color="000000"/>
              <w:bottom w:val="single" w:sz="4" w:space="0" w:color="000000"/>
              <w:right w:val="single" w:sz="4" w:space="0" w:color="000000"/>
            </w:tcBorders>
          </w:tcPr>
          <w:p>
            <w:pPr/>
          </w:p>
        </w:tc>
        <w:tc>
          <w:tcPr>
            <w:tcW w:w="1225" w:type="dxa"/>
            <w:vMerge/>
            <w:tcBorders>
              <w:left w:val="single" w:sz="4" w:space="0" w:color="000000"/>
              <w:bottom w:val="single" w:sz="4" w:space="0" w:color="000000"/>
              <w:right w:val="single" w:sz="4" w:space="0" w:color="000000"/>
            </w:tcBorders>
          </w:tcPr>
          <w:p>
            <w:pPr/>
          </w:p>
        </w:tc>
        <w:tc>
          <w:tcPr>
            <w:tcW w:w="1465" w:type="dxa"/>
            <w:vMerge/>
            <w:tcBorders>
              <w:left w:val="single" w:sz="4" w:space="0" w:color="000000"/>
              <w:bottom w:val="single" w:sz="4" w:space="0" w:color="000000"/>
              <w:right w:val="single" w:sz="4" w:space="0" w:color="000000"/>
            </w:tcBorders>
          </w:tcPr>
          <w:p>
            <w:pPr/>
          </w:p>
        </w:tc>
        <w:tc>
          <w:tcPr>
            <w:tcW w:w="1465" w:type="dxa"/>
            <w:vMerge/>
            <w:tcBorders>
              <w:left w:val="single" w:sz="4" w:space="0" w:color="000000"/>
              <w:bottom w:val="single" w:sz="4" w:space="0" w:color="000000"/>
              <w:right w:val="single" w:sz="4" w:space="0" w:color="000000"/>
            </w:tcBorders>
          </w:tcPr>
          <w:p>
            <w:pPr/>
          </w:p>
        </w:tc>
      </w:tr>
      <w:tr>
        <w:trPr>
          <w:trHeight w:val="158" w:hRule="exact"/>
        </w:trPr>
        <w:tc>
          <w:tcPr>
            <w:tcW w:w="1847" w:type="dxa"/>
            <w:tcBorders>
              <w:top w:val="single" w:sz="4" w:space="0" w:color="000000"/>
              <w:left w:val="single" w:sz="4" w:space="0" w:color="000000"/>
              <w:bottom w:val="nil" w:sz="6" w:space="0" w:color="auto"/>
              <w:right w:val="single" w:sz="4" w:space="0" w:color="000000"/>
            </w:tcBorders>
            <w:shd w:val="clear" w:color="auto" w:fill="DCDCDC"/>
          </w:tcPr>
          <w:p>
            <w:pPr/>
          </w:p>
        </w:tc>
        <w:tc>
          <w:tcPr>
            <w:tcW w:w="1670" w:type="dxa"/>
            <w:vMerge w:val="restart"/>
            <w:tcBorders>
              <w:top w:val="single" w:sz="4" w:space="0" w:color="000000"/>
              <w:left w:val="single" w:sz="13" w:space="0" w:color="DCDCDC"/>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365" w:right="0"/>
              <w:jc w:val="left"/>
              <w:rPr>
                <w:rFonts w:ascii="宋体" w:hAnsi="宋体" w:cs="宋体" w:eastAsia="宋体" w:hint="default"/>
                <w:sz w:val="18"/>
                <w:szCs w:val="18"/>
              </w:rPr>
            </w:pPr>
            <w:r>
              <w:rPr>
                <w:rFonts w:ascii="宋体"/>
                <w:sz w:val="18"/>
              </w:rPr>
              <w:t>365,407,703.90</w:t>
            </w:r>
          </w:p>
        </w:tc>
        <w:tc>
          <w:tcPr>
            <w:tcW w:w="1568"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74" w:right="0"/>
              <w:jc w:val="left"/>
              <w:rPr>
                <w:rFonts w:ascii="宋体" w:hAnsi="宋体" w:cs="宋体" w:eastAsia="宋体" w:hint="default"/>
                <w:sz w:val="18"/>
                <w:szCs w:val="18"/>
              </w:rPr>
            </w:pPr>
            <w:r>
              <w:rPr>
                <w:rFonts w:ascii="宋体"/>
                <w:sz w:val="18"/>
              </w:rPr>
              <w:t>300,408,620.72</w:t>
            </w:r>
          </w:p>
        </w:tc>
        <w:tc>
          <w:tcPr>
            <w:tcW w:w="1704"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411" w:right="0"/>
              <w:jc w:val="left"/>
              <w:rPr>
                <w:rFonts w:ascii="宋体" w:hAnsi="宋体" w:cs="宋体" w:eastAsia="宋体" w:hint="default"/>
                <w:sz w:val="18"/>
                <w:szCs w:val="18"/>
              </w:rPr>
            </w:pPr>
            <w:r>
              <w:rPr>
                <w:rFonts w:ascii="宋体"/>
                <w:sz w:val="18"/>
              </w:rPr>
              <w:t>300,038,932.01</w:t>
            </w:r>
          </w:p>
        </w:tc>
        <w:tc>
          <w:tcPr>
            <w:tcW w:w="1225"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652" w:right="0"/>
              <w:jc w:val="left"/>
              <w:rPr>
                <w:rFonts w:ascii="宋体" w:hAnsi="宋体" w:cs="宋体" w:eastAsia="宋体" w:hint="default"/>
                <w:sz w:val="18"/>
                <w:szCs w:val="18"/>
              </w:rPr>
            </w:pPr>
            <w:r>
              <w:rPr>
                <w:rFonts w:ascii="宋体"/>
                <w:sz w:val="18"/>
              </w:rPr>
              <w:t>21.79%</w:t>
            </w:r>
          </w:p>
        </w:tc>
        <w:tc>
          <w:tcPr>
            <w:tcW w:w="1465"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72" w:right="0"/>
              <w:jc w:val="left"/>
              <w:rPr>
                <w:rFonts w:ascii="宋体" w:hAnsi="宋体" w:cs="宋体" w:eastAsia="宋体" w:hint="default"/>
                <w:sz w:val="18"/>
                <w:szCs w:val="18"/>
              </w:rPr>
            </w:pPr>
            <w:r>
              <w:rPr>
                <w:rFonts w:ascii="宋体"/>
                <w:sz w:val="18"/>
              </w:rPr>
              <w:t>124,169,629.45</w:t>
            </w:r>
          </w:p>
        </w:tc>
        <w:tc>
          <w:tcPr>
            <w:tcW w:w="1465"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71" w:right="0"/>
              <w:jc w:val="left"/>
              <w:rPr>
                <w:rFonts w:ascii="宋体" w:hAnsi="宋体" w:cs="宋体" w:eastAsia="宋体" w:hint="default"/>
                <w:sz w:val="18"/>
                <w:szCs w:val="18"/>
              </w:rPr>
            </w:pPr>
            <w:r>
              <w:rPr>
                <w:rFonts w:ascii="宋体"/>
                <w:sz w:val="18"/>
              </w:rPr>
              <w:t>121,807,094.24</w:t>
            </w:r>
          </w:p>
        </w:tc>
      </w:tr>
      <w:tr>
        <w:trPr>
          <w:trHeight w:val="312" w:hRule="exact"/>
        </w:trPr>
        <w:tc>
          <w:tcPr>
            <w:tcW w:w="184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0"/>
              <w:ind w:right="10"/>
              <w:jc w:val="center"/>
              <w:rPr>
                <w:rFonts w:ascii="宋体" w:hAnsi="宋体" w:cs="宋体" w:eastAsia="宋体" w:hint="default"/>
                <w:sz w:val="18"/>
                <w:szCs w:val="18"/>
              </w:rPr>
            </w:pPr>
            <w:r>
              <w:rPr>
                <w:rFonts w:ascii="宋体" w:hAnsi="宋体" w:cs="宋体" w:eastAsia="宋体" w:hint="default"/>
                <w:sz w:val="18"/>
                <w:szCs w:val="18"/>
              </w:rPr>
              <w:t>利润总额（元）</w:t>
            </w:r>
          </w:p>
        </w:tc>
        <w:tc>
          <w:tcPr>
            <w:tcW w:w="1670" w:type="dxa"/>
            <w:vMerge/>
            <w:tcBorders>
              <w:left w:val="single" w:sz="13" w:space="0" w:color="DCDCDC"/>
              <w:right w:val="single" w:sz="4" w:space="0" w:color="000000"/>
            </w:tcBorders>
          </w:tcPr>
          <w:p>
            <w:pPr/>
          </w:p>
        </w:tc>
        <w:tc>
          <w:tcPr>
            <w:tcW w:w="1568" w:type="dxa"/>
            <w:vMerge/>
            <w:tcBorders>
              <w:left w:val="single" w:sz="4" w:space="0" w:color="000000"/>
              <w:right w:val="single" w:sz="4" w:space="0" w:color="000000"/>
            </w:tcBorders>
          </w:tcPr>
          <w:p>
            <w:pPr/>
          </w:p>
        </w:tc>
        <w:tc>
          <w:tcPr>
            <w:tcW w:w="1704" w:type="dxa"/>
            <w:vMerge/>
            <w:tcBorders>
              <w:left w:val="single" w:sz="4" w:space="0" w:color="000000"/>
              <w:right w:val="single" w:sz="4" w:space="0" w:color="000000"/>
            </w:tcBorders>
          </w:tcPr>
          <w:p>
            <w:pPr/>
          </w:p>
        </w:tc>
        <w:tc>
          <w:tcPr>
            <w:tcW w:w="1225" w:type="dxa"/>
            <w:vMerge/>
            <w:tcBorders>
              <w:left w:val="single" w:sz="4" w:space="0" w:color="000000"/>
              <w:right w:val="single" w:sz="4" w:space="0" w:color="000000"/>
            </w:tcBorders>
          </w:tcPr>
          <w:p>
            <w:pPr/>
          </w:p>
        </w:tc>
        <w:tc>
          <w:tcPr>
            <w:tcW w:w="1465" w:type="dxa"/>
            <w:vMerge/>
            <w:tcBorders>
              <w:left w:val="single" w:sz="4" w:space="0" w:color="000000"/>
              <w:right w:val="single" w:sz="4" w:space="0" w:color="000000"/>
            </w:tcBorders>
          </w:tcPr>
          <w:p>
            <w:pPr/>
          </w:p>
        </w:tc>
        <w:tc>
          <w:tcPr>
            <w:tcW w:w="1465" w:type="dxa"/>
            <w:vMerge/>
            <w:tcBorders>
              <w:left w:val="single" w:sz="4" w:space="0" w:color="000000"/>
              <w:right w:val="single" w:sz="4" w:space="0" w:color="000000"/>
            </w:tcBorders>
          </w:tcPr>
          <w:p>
            <w:pPr/>
          </w:p>
        </w:tc>
      </w:tr>
      <w:tr>
        <w:trPr>
          <w:trHeight w:val="160" w:hRule="exact"/>
        </w:trPr>
        <w:tc>
          <w:tcPr>
            <w:tcW w:w="1847" w:type="dxa"/>
            <w:tcBorders>
              <w:top w:val="nil" w:sz="6" w:space="0" w:color="auto"/>
              <w:left w:val="single" w:sz="4" w:space="0" w:color="000000"/>
              <w:bottom w:val="single" w:sz="4" w:space="0" w:color="000000"/>
              <w:right w:val="single" w:sz="4" w:space="0" w:color="000000"/>
            </w:tcBorders>
            <w:shd w:val="clear" w:color="auto" w:fill="DCDCDC"/>
          </w:tcPr>
          <w:p>
            <w:pPr/>
          </w:p>
        </w:tc>
        <w:tc>
          <w:tcPr>
            <w:tcW w:w="1670" w:type="dxa"/>
            <w:vMerge/>
            <w:tcBorders>
              <w:left w:val="single" w:sz="13" w:space="0" w:color="DCDCDC"/>
              <w:bottom w:val="single" w:sz="4" w:space="0" w:color="000000"/>
              <w:right w:val="single" w:sz="4" w:space="0" w:color="000000"/>
            </w:tcBorders>
          </w:tcPr>
          <w:p>
            <w:pPr/>
          </w:p>
        </w:tc>
        <w:tc>
          <w:tcPr>
            <w:tcW w:w="1568" w:type="dxa"/>
            <w:vMerge/>
            <w:tcBorders>
              <w:left w:val="single" w:sz="4" w:space="0" w:color="000000"/>
              <w:bottom w:val="single" w:sz="4" w:space="0" w:color="000000"/>
              <w:right w:val="single" w:sz="4" w:space="0" w:color="000000"/>
            </w:tcBorders>
          </w:tcPr>
          <w:p>
            <w:pPr/>
          </w:p>
        </w:tc>
        <w:tc>
          <w:tcPr>
            <w:tcW w:w="1704" w:type="dxa"/>
            <w:vMerge/>
            <w:tcBorders>
              <w:left w:val="single" w:sz="4" w:space="0" w:color="000000"/>
              <w:bottom w:val="single" w:sz="4" w:space="0" w:color="000000"/>
              <w:right w:val="single" w:sz="4" w:space="0" w:color="000000"/>
            </w:tcBorders>
          </w:tcPr>
          <w:p>
            <w:pPr/>
          </w:p>
        </w:tc>
        <w:tc>
          <w:tcPr>
            <w:tcW w:w="1225" w:type="dxa"/>
            <w:vMerge/>
            <w:tcBorders>
              <w:left w:val="single" w:sz="4" w:space="0" w:color="000000"/>
              <w:bottom w:val="single" w:sz="4" w:space="0" w:color="000000"/>
              <w:right w:val="single" w:sz="4" w:space="0" w:color="000000"/>
            </w:tcBorders>
          </w:tcPr>
          <w:p>
            <w:pPr/>
          </w:p>
        </w:tc>
        <w:tc>
          <w:tcPr>
            <w:tcW w:w="1465" w:type="dxa"/>
            <w:vMerge/>
            <w:tcBorders>
              <w:left w:val="single" w:sz="4" w:space="0" w:color="000000"/>
              <w:bottom w:val="single" w:sz="4" w:space="0" w:color="000000"/>
              <w:right w:val="single" w:sz="4" w:space="0" w:color="000000"/>
            </w:tcBorders>
          </w:tcPr>
          <w:p>
            <w:pPr/>
          </w:p>
        </w:tc>
        <w:tc>
          <w:tcPr>
            <w:tcW w:w="1465" w:type="dxa"/>
            <w:vMerge/>
            <w:tcBorders>
              <w:left w:val="single" w:sz="4" w:space="0" w:color="000000"/>
              <w:bottom w:val="single" w:sz="4" w:space="0" w:color="000000"/>
              <w:right w:val="single" w:sz="4" w:space="0" w:color="000000"/>
            </w:tcBorders>
          </w:tcPr>
          <w:p>
            <w:pPr/>
          </w:p>
        </w:tc>
      </w:tr>
      <w:tr>
        <w:trPr>
          <w:trHeight w:val="150" w:hRule="exact"/>
        </w:trPr>
        <w:tc>
          <w:tcPr>
            <w:tcW w:w="1847" w:type="dxa"/>
            <w:tcBorders>
              <w:top w:val="single" w:sz="4" w:space="0" w:color="000000"/>
              <w:left w:val="single" w:sz="4" w:space="0" w:color="000000"/>
              <w:bottom w:val="nil" w:sz="6" w:space="0" w:color="auto"/>
              <w:right w:val="single" w:sz="4" w:space="0" w:color="000000"/>
            </w:tcBorders>
            <w:shd w:val="clear" w:color="auto" w:fill="DCDCDC"/>
          </w:tcPr>
          <w:p>
            <w:pPr/>
          </w:p>
        </w:tc>
        <w:tc>
          <w:tcPr>
            <w:tcW w:w="1670" w:type="dxa"/>
            <w:vMerge w:val="restart"/>
            <w:tcBorders>
              <w:top w:val="single" w:sz="4" w:space="0" w:color="000000"/>
              <w:left w:val="single" w:sz="13" w:space="0" w:color="DCDCDC"/>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365" w:right="0"/>
              <w:jc w:val="left"/>
              <w:rPr>
                <w:rFonts w:ascii="宋体" w:hAnsi="宋体" w:cs="宋体" w:eastAsia="宋体" w:hint="default"/>
                <w:sz w:val="18"/>
                <w:szCs w:val="18"/>
              </w:rPr>
            </w:pPr>
            <w:r>
              <w:rPr>
                <w:rFonts w:ascii="宋体"/>
                <w:sz w:val="18"/>
              </w:rPr>
              <w:t>327,915,598.64</w:t>
            </w:r>
          </w:p>
        </w:tc>
        <w:tc>
          <w:tcPr>
            <w:tcW w:w="1568"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274" w:right="0"/>
              <w:jc w:val="left"/>
              <w:rPr>
                <w:rFonts w:ascii="宋体" w:hAnsi="宋体" w:cs="宋体" w:eastAsia="宋体" w:hint="default"/>
                <w:sz w:val="18"/>
                <w:szCs w:val="18"/>
              </w:rPr>
            </w:pPr>
            <w:r>
              <w:rPr>
                <w:rFonts w:ascii="宋体"/>
                <w:sz w:val="18"/>
              </w:rPr>
              <w:t>270,751,746.79</w:t>
            </w:r>
          </w:p>
        </w:tc>
        <w:tc>
          <w:tcPr>
            <w:tcW w:w="1704"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411" w:right="0"/>
              <w:jc w:val="left"/>
              <w:rPr>
                <w:rFonts w:ascii="宋体" w:hAnsi="宋体" w:cs="宋体" w:eastAsia="宋体" w:hint="default"/>
                <w:sz w:val="18"/>
                <w:szCs w:val="18"/>
              </w:rPr>
            </w:pPr>
            <w:r>
              <w:rPr>
                <w:rFonts w:ascii="宋体"/>
                <w:sz w:val="18"/>
              </w:rPr>
              <w:t>270,372,598.73</w:t>
            </w:r>
          </w:p>
        </w:tc>
        <w:tc>
          <w:tcPr>
            <w:tcW w:w="1225"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652" w:right="0"/>
              <w:jc w:val="left"/>
              <w:rPr>
                <w:rFonts w:ascii="宋体" w:hAnsi="宋体" w:cs="宋体" w:eastAsia="宋体" w:hint="default"/>
                <w:sz w:val="18"/>
                <w:szCs w:val="18"/>
              </w:rPr>
            </w:pPr>
            <w:r>
              <w:rPr>
                <w:rFonts w:ascii="宋体"/>
                <w:sz w:val="18"/>
              </w:rPr>
              <w:t>21.28%</w:t>
            </w:r>
          </w:p>
        </w:tc>
        <w:tc>
          <w:tcPr>
            <w:tcW w:w="1465"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172" w:right="0"/>
              <w:jc w:val="left"/>
              <w:rPr>
                <w:rFonts w:ascii="宋体" w:hAnsi="宋体" w:cs="宋体" w:eastAsia="宋体" w:hint="default"/>
                <w:sz w:val="18"/>
                <w:szCs w:val="18"/>
              </w:rPr>
            </w:pPr>
            <w:r>
              <w:rPr>
                <w:rFonts w:ascii="宋体"/>
                <w:sz w:val="18"/>
              </w:rPr>
              <w:t>120,548,004.16</w:t>
            </w:r>
          </w:p>
        </w:tc>
        <w:tc>
          <w:tcPr>
            <w:tcW w:w="1465"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171" w:right="0"/>
              <w:jc w:val="left"/>
              <w:rPr>
                <w:rFonts w:ascii="宋体" w:hAnsi="宋体" w:cs="宋体" w:eastAsia="宋体" w:hint="default"/>
                <w:sz w:val="18"/>
                <w:szCs w:val="18"/>
              </w:rPr>
            </w:pPr>
            <w:r>
              <w:rPr>
                <w:rFonts w:ascii="宋体"/>
                <w:sz w:val="18"/>
              </w:rPr>
              <w:t>118,185,468.95</w:t>
            </w:r>
          </w:p>
        </w:tc>
      </w:tr>
      <w:tr>
        <w:trPr>
          <w:trHeight w:val="624" w:hRule="exact"/>
        </w:trPr>
        <w:tc>
          <w:tcPr>
            <w:tcW w:w="184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16" w:lineRule="auto" w:before="10"/>
              <w:ind w:left="372" w:right="23" w:hanging="360"/>
              <w:jc w:val="left"/>
              <w:rPr>
                <w:rFonts w:ascii="宋体" w:hAnsi="宋体" w:cs="宋体" w:eastAsia="宋体" w:hint="default"/>
                <w:sz w:val="18"/>
                <w:szCs w:val="18"/>
              </w:rPr>
            </w:pPr>
            <w:r>
              <w:rPr>
                <w:rFonts w:ascii="宋体" w:hAnsi="宋体" w:cs="宋体" w:eastAsia="宋体" w:hint="default"/>
                <w:sz w:val="18"/>
                <w:szCs w:val="18"/>
              </w:rPr>
              <w:t>归属于上市公司股东的 净利润（元）</w:t>
            </w:r>
          </w:p>
        </w:tc>
        <w:tc>
          <w:tcPr>
            <w:tcW w:w="1670" w:type="dxa"/>
            <w:vMerge/>
            <w:tcBorders>
              <w:left w:val="single" w:sz="13" w:space="0" w:color="DCDCDC"/>
              <w:right w:val="single" w:sz="4" w:space="0" w:color="000000"/>
            </w:tcBorders>
          </w:tcPr>
          <w:p>
            <w:pPr/>
          </w:p>
        </w:tc>
        <w:tc>
          <w:tcPr>
            <w:tcW w:w="1568" w:type="dxa"/>
            <w:vMerge/>
            <w:tcBorders>
              <w:left w:val="single" w:sz="4" w:space="0" w:color="000000"/>
              <w:right w:val="single" w:sz="4" w:space="0" w:color="000000"/>
            </w:tcBorders>
          </w:tcPr>
          <w:p>
            <w:pPr/>
          </w:p>
        </w:tc>
        <w:tc>
          <w:tcPr>
            <w:tcW w:w="1704" w:type="dxa"/>
            <w:vMerge/>
            <w:tcBorders>
              <w:left w:val="single" w:sz="4" w:space="0" w:color="000000"/>
              <w:right w:val="single" w:sz="4" w:space="0" w:color="000000"/>
            </w:tcBorders>
          </w:tcPr>
          <w:p>
            <w:pPr/>
          </w:p>
        </w:tc>
        <w:tc>
          <w:tcPr>
            <w:tcW w:w="1225" w:type="dxa"/>
            <w:vMerge/>
            <w:tcBorders>
              <w:left w:val="single" w:sz="4" w:space="0" w:color="000000"/>
              <w:right w:val="single" w:sz="4" w:space="0" w:color="000000"/>
            </w:tcBorders>
          </w:tcPr>
          <w:p>
            <w:pPr/>
          </w:p>
        </w:tc>
        <w:tc>
          <w:tcPr>
            <w:tcW w:w="1465" w:type="dxa"/>
            <w:vMerge/>
            <w:tcBorders>
              <w:left w:val="single" w:sz="4" w:space="0" w:color="000000"/>
              <w:right w:val="single" w:sz="4" w:space="0" w:color="000000"/>
            </w:tcBorders>
          </w:tcPr>
          <w:p>
            <w:pPr/>
          </w:p>
        </w:tc>
        <w:tc>
          <w:tcPr>
            <w:tcW w:w="1465" w:type="dxa"/>
            <w:vMerge/>
            <w:tcBorders>
              <w:left w:val="single" w:sz="4" w:space="0" w:color="000000"/>
              <w:right w:val="single" w:sz="4" w:space="0" w:color="000000"/>
            </w:tcBorders>
          </w:tcPr>
          <w:p>
            <w:pPr/>
          </w:p>
        </w:tc>
      </w:tr>
      <w:tr>
        <w:trPr>
          <w:trHeight w:val="151" w:hRule="exact"/>
        </w:trPr>
        <w:tc>
          <w:tcPr>
            <w:tcW w:w="1847" w:type="dxa"/>
            <w:tcBorders>
              <w:top w:val="nil" w:sz="6" w:space="0" w:color="auto"/>
              <w:left w:val="single" w:sz="4" w:space="0" w:color="000000"/>
              <w:bottom w:val="single" w:sz="4" w:space="0" w:color="000000"/>
              <w:right w:val="single" w:sz="4" w:space="0" w:color="000000"/>
            </w:tcBorders>
            <w:shd w:val="clear" w:color="auto" w:fill="DCDCDC"/>
          </w:tcPr>
          <w:p>
            <w:pPr/>
          </w:p>
        </w:tc>
        <w:tc>
          <w:tcPr>
            <w:tcW w:w="1670" w:type="dxa"/>
            <w:vMerge/>
            <w:tcBorders>
              <w:left w:val="single" w:sz="13" w:space="0" w:color="DCDCDC"/>
              <w:bottom w:val="single" w:sz="4" w:space="0" w:color="000000"/>
              <w:right w:val="single" w:sz="4" w:space="0" w:color="000000"/>
            </w:tcBorders>
          </w:tcPr>
          <w:p>
            <w:pPr/>
          </w:p>
        </w:tc>
        <w:tc>
          <w:tcPr>
            <w:tcW w:w="1568" w:type="dxa"/>
            <w:vMerge/>
            <w:tcBorders>
              <w:left w:val="single" w:sz="4" w:space="0" w:color="000000"/>
              <w:bottom w:val="single" w:sz="4" w:space="0" w:color="000000"/>
              <w:right w:val="single" w:sz="4" w:space="0" w:color="000000"/>
            </w:tcBorders>
          </w:tcPr>
          <w:p>
            <w:pPr/>
          </w:p>
        </w:tc>
        <w:tc>
          <w:tcPr>
            <w:tcW w:w="1704" w:type="dxa"/>
            <w:vMerge/>
            <w:tcBorders>
              <w:left w:val="single" w:sz="4" w:space="0" w:color="000000"/>
              <w:bottom w:val="single" w:sz="4" w:space="0" w:color="000000"/>
              <w:right w:val="single" w:sz="4" w:space="0" w:color="000000"/>
            </w:tcBorders>
          </w:tcPr>
          <w:p>
            <w:pPr/>
          </w:p>
        </w:tc>
        <w:tc>
          <w:tcPr>
            <w:tcW w:w="1225" w:type="dxa"/>
            <w:vMerge/>
            <w:tcBorders>
              <w:left w:val="single" w:sz="4" w:space="0" w:color="000000"/>
              <w:bottom w:val="single" w:sz="4" w:space="0" w:color="000000"/>
              <w:right w:val="single" w:sz="4" w:space="0" w:color="000000"/>
            </w:tcBorders>
          </w:tcPr>
          <w:p>
            <w:pPr/>
          </w:p>
        </w:tc>
        <w:tc>
          <w:tcPr>
            <w:tcW w:w="1465" w:type="dxa"/>
            <w:vMerge/>
            <w:tcBorders>
              <w:left w:val="single" w:sz="4" w:space="0" w:color="000000"/>
              <w:bottom w:val="single" w:sz="4" w:space="0" w:color="000000"/>
              <w:right w:val="single" w:sz="4" w:space="0" w:color="000000"/>
            </w:tcBorders>
          </w:tcPr>
          <w:p>
            <w:pPr/>
          </w:p>
        </w:tc>
        <w:tc>
          <w:tcPr>
            <w:tcW w:w="1465" w:type="dxa"/>
            <w:vMerge/>
            <w:tcBorders>
              <w:left w:val="single" w:sz="4" w:space="0" w:color="000000"/>
              <w:bottom w:val="single" w:sz="4" w:space="0" w:color="000000"/>
              <w:right w:val="single" w:sz="4" w:space="0" w:color="000000"/>
            </w:tcBorders>
          </w:tcPr>
          <w:p>
            <w:pPr/>
          </w:p>
        </w:tc>
      </w:tr>
      <w:tr>
        <w:trPr>
          <w:trHeight w:val="150" w:hRule="exact"/>
        </w:trPr>
        <w:tc>
          <w:tcPr>
            <w:tcW w:w="1847" w:type="dxa"/>
            <w:tcBorders>
              <w:top w:val="single" w:sz="4" w:space="0" w:color="000000"/>
              <w:left w:val="single" w:sz="4" w:space="0" w:color="000000"/>
              <w:bottom w:val="nil" w:sz="6" w:space="0" w:color="auto"/>
              <w:right w:val="single" w:sz="4" w:space="0" w:color="000000"/>
            </w:tcBorders>
            <w:shd w:val="clear" w:color="auto" w:fill="DCDCDC"/>
          </w:tcPr>
          <w:p>
            <w:pPr/>
          </w:p>
        </w:tc>
        <w:tc>
          <w:tcPr>
            <w:tcW w:w="1670" w:type="dxa"/>
            <w:vMerge w:val="restart"/>
            <w:tcBorders>
              <w:top w:val="single" w:sz="4" w:space="0" w:color="000000"/>
              <w:left w:val="single" w:sz="13" w:space="0" w:color="DCDCDC"/>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365" w:right="0"/>
              <w:jc w:val="left"/>
              <w:rPr>
                <w:rFonts w:ascii="宋体" w:hAnsi="宋体" w:cs="宋体" w:eastAsia="宋体" w:hint="default"/>
                <w:sz w:val="18"/>
                <w:szCs w:val="18"/>
              </w:rPr>
            </w:pPr>
            <w:r>
              <w:rPr>
                <w:rFonts w:ascii="宋体"/>
                <w:sz w:val="18"/>
              </w:rPr>
              <w:t>324,132,842.94</w:t>
            </w:r>
          </w:p>
        </w:tc>
        <w:tc>
          <w:tcPr>
            <w:tcW w:w="156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274" w:right="0"/>
              <w:jc w:val="left"/>
              <w:rPr>
                <w:rFonts w:ascii="宋体" w:hAnsi="宋体" w:cs="宋体" w:eastAsia="宋体" w:hint="default"/>
                <w:sz w:val="18"/>
                <w:szCs w:val="18"/>
              </w:rPr>
            </w:pPr>
            <w:r>
              <w:rPr>
                <w:rFonts w:ascii="宋体"/>
                <w:sz w:val="18"/>
              </w:rPr>
              <w:t>265,112,794.21</w:t>
            </w:r>
          </w:p>
        </w:tc>
        <w:tc>
          <w:tcPr>
            <w:tcW w:w="170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411" w:right="0"/>
              <w:jc w:val="left"/>
              <w:rPr>
                <w:rFonts w:ascii="宋体" w:hAnsi="宋体" w:cs="宋体" w:eastAsia="宋体" w:hint="default"/>
                <w:sz w:val="18"/>
                <w:szCs w:val="18"/>
              </w:rPr>
            </w:pPr>
            <w:r>
              <w:rPr>
                <w:rFonts w:ascii="宋体"/>
                <w:sz w:val="18"/>
              </w:rPr>
              <w:t>265,112,794.21</w:t>
            </w:r>
          </w:p>
        </w:tc>
        <w:tc>
          <w:tcPr>
            <w:tcW w:w="122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652" w:right="0"/>
              <w:jc w:val="left"/>
              <w:rPr>
                <w:rFonts w:ascii="宋体" w:hAnsi="宋体" w:cs="宋体" w:eastAsia="宋体" w:hint="default"/>
                <w:sz w:val="18"/>
                <w:szCs w:val="18"/>
              </w:rPr>
            </w:pPr>
            <w:r>
              <w:rPr>
                <w:rFonts w:ascii="宋体"/>
                <w:sz w:val="18"/>
              </w:rPr>
              <w:t>22.26%</w:t>
            </w:r>
          </w:p>
        </w:tc>
        <w:tc>
          <w:tcPr>
            <w:tcW w:w="146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172" w:right="0"/>
              <w:jc w:val="left"/>
              <w:rPr>
                <w:rFonts w:ascii="宋体" w:hAnsi="宋体" w:cs="宋体" w:eastAsia="宋体" w:hint="default"/>
                <w:sz w:val="18"/>
                <w:szCs w:val="18"/>
              </w:rPr>
            </w:pPr>
            <w:r>
              <w:rPr>
                <w:rFonts w:ascii="宋体"/>
                <w:sz w:val="18"/>
              </w:rPr>
              <w:t>106,556,982.66</w:t>
            </w:r>
          </w:p>
        </w:tc>
        <w:tc>
          <w:tcPr>
            <w:tcW w:w="146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171" w:right="0"/>
              <w:jc w:val="left"/>
              <w:rPr>
                <w:rFonts w:ascii="宋体" w:hAnsi="宋体" w:cs="宋体" w:eastAsia="宋体" w:hint="default"/>
                <w:sz w:val="18"/>
                <w:szCs w:val="18"/>
              </w:rPr>
            </w:pPr>
            <w:r>
              <w:rPr>
                <w:rFonts w:ascii="宋体"/>
                <w:sz w:val="18"/>
              </w:rPr>
              <w:t>106,556,982.66</w:t>
            </w:r>
          </w:p>
        </w:tc>
      </w:tr>
      <w:tr>
        <w:trPr>
          <w:trHeight w:val="936" w:hRule="exact"/>
        </w:trPr>
        <w:tc>
          <w:tcPr>
            <w:tcW w:w="184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16" w:lineRule="auto" w:before="11"/>
              <w:ind w:left="12" w:right="23"/>
              <w:jc w:val="center"/>
              <w:rPr>
                <w:rFonts w:ascii="宋体" w:hAnsi="宋体" w:cs="宋体" w:eastAsia="宋体" w:hint="default"/>
                <w:sz w:val="18"/>
                <w:szCs w:val="18"/>
              </w:rPr>
            </w:pPr>
            <w:r>
              <w:rPr>
                <w:rFonts w:ascii="宋体" w:hAnsi="宋体" w:cs="宋体" w:eastAsia="宋体" w:hint="default"/>
                <w:sz w:val="18"/>
                <w:szCs w:val="18"/>
              </w:rPr>
              <w:t>归属于上市公司股东的 扣除非经常性损益的净 利润（元）</w:t>
            </w:r>
          </w:p>
        </w:tc>
        <w:tc>
          <w:tcPr>
            <w:tcW w:w="1670" w:type="dxa"/>
            <w:vMerge/>
            <w:tcBorders>
              <w:left w:val="single" w:sz="13" w:space="0" w:color="DCDCDC"/>
              <w:right w:val="single" w:sz="4" w:space="0" w:color="000000"/>
            </w:tcBorders>
          </w:tcPr>
          <w:p>
            <w:pPr/>
          </w:p>
        </w:tc>
        <w:tc>
          <w:tcPr>
            <w:tcW w:w="1568" w:type="dxa"/>
            <w:vMerge/>
            <w:tcBorders>
              <w:left w:val="single" w:sz="4" w:space="0" w:color="000000"/>
              <w:right w:val="single" w:sz="4" w:space="0" w:color="000000"/>
            </w:tcBorders>
          </w:tcPr>
          <w:p>
            <w:pPr/>
          </w:p>
        </w:tc>
        <w:tc>
          <w:tcPr>
            <w:tcW w:w="1704" w:type="dxa"/>
            <w:vMerge/>
            <w:tcBorders>
              <w:left w:val="single" w:sz="4" w:space="0" w:color="000000"/>
              <w:right w:val="single" w:sz="4" w:space="0" w:color="000000"/>
            </w:tcBorders>
          </w:tcPr>
          <w:p>
            <w:pPr/>
          </w:p>
        </w:tc>
        <w:tc>
          <w:tcPr>
            <w:tcW w:w="1225" w:type="dxa"/>
            <w:vMerge/>
            <w:tcBorders>
              <w:left w:val="single" w:sz="4" w:space="0" w:color="000000"/>
              <w:right w:val="single" w:sz="4" w:space="0" w:color="000000"/>
            </w:tcBorders>
          </w:tcPr>
          <w:p>
            <w:pPr/>
          </w:p>
        </w:tc>
        <w:tc>
          <w:tcPr>
            <w:tcW w:w="1465" w:type="dxa"/>
            <w:vMerge/>
            <w:tcBorders>
              <w:left w:val="single" w:sz="4" w:space="0" w:color="000000"/>
              <w:right w:val="single" w:sz="4" w:space="0" w:color="000000"/>
            </w:tcBorders>
          </w:tcPr>
          <w:p>
            <w:pPr/>
          </w:p>
        </w:tc>
        <w:tc>
          <w:tcPr>
            <w:tcW w:w="1465" w:type="dxa"/>
            <w:vMerge/>
            <w:tcBorders>
              <w:left w:val="single" w:sz="4" w:space="0" w:color="000000"/>
              <w:right w:val="single" w:sz="4" w:space="0" w:color="000000"/>
            </w:tcBorders>
          </w:tcPr>
          <w:p>
            <w:pPr/>
          </w:p>
        </w:tc>
      </w:tr>
      <w:tr>
        <w:trPr>
          <w:trHeight w:val="150" w:hRule="exact"/>
        </w:trPr>
        <w:tc>
          <w:tcPr>
            <w:tcW w:w="1847" w:type="dxa"/>
            <w:tcBorders>
              <w:top w:val="nil" w:sz="6" w:space="0" w:color="auto"/>
              <w:left w:val="single" w:sz="4" w:space="0" w:color="000000"/>
              <w:bottom w:val="single" w:sz="4" w:space="0" w:color="000000"/>
              <w:right w:val="single" w:sz="4" w:space="0" w:color="000000"/>
            </w:tcBorders>
            <w:shd w:val="clear" w:color="auto" w:fill="DCDCDC"/>
          </w:tcPr>
          <w:p>
            <w:pPr/>
          </w:p>
        </w:tc>
        <w:tc>
          <w:tcPr>
            <w:tcW w:w="1670" w:type="dxa"/>
            <w:vMerge/>
            <w:tcBorders>
              <w:left w:val="single" w:sz="13" w:space="0" w:color="DCDCDC"/>
              <w:bottom w:val="single" w:sz="4" w:space="0" w:color="000000"/>
              <w:right w:val="single" w:sz="4" w:space="0" w:color="000000"/>
            </w:tcBorders>
          </w:tcPr>
          <w:p>
            <w:pPr/>
          </w:p>
        </w:tc>
        <w:tc>
          <w:tcPr>
            <w:tcW w:w="1568" w:type="dxa"/>
            <w:vMerge/>
            <w:tcBorders>
              <w:left w:val="single" w:sz="4" w:space="0" w:color="000000"/>
              <w:bottom w:val="single" w:sz="4" w:space="0" w:color="000000"/>
              <w:right w:val="single" w:sz="4" w:space="0" w:color="000000"/>
            </w:tcBorders>
          </w:tcPr>
          <w:p>
            <w:pPr/>
          </w:p>
        </w:tc>
        <w:tc>
          <w:tcPr>
            <w:tcW w:w="1704" w:type="dxa"/>
            <w:vMerge/>
            <w:tcBorders>
              <w:left w:val="single" w:sz="4" w:space="0" w:color="000000"/>
              <w:bottom w:val="single" w:sz="4" w:space="0" w:color="000000"/>
              <w:right w:val="single" w:sz="4" w:space="0" w:color="000000"/>
            </w:tcBorders>
          </w:tcPr>
          <w:p>
            <w:pPr/>
          </w:p>
        </w:tc>
        <w:tc>
          <w:tcPr>
            <w:tcW w:w="1225" w:type="dxa"/>
            <w:vMerge/>
            <w:tcBorders>
              <w:left w:val="single" w:sz="4" w:space="0" w:color="000000"/>
              <w:bottom w:val="single" w:sz="4" w:space="0" w:color="000000"/>
              <w:right w:val="single" w:sz="4" w:space="0" w:color="000000"/>
            </w:tcBorders>
          </w:tcPr>
          <w:p>
            <w:pPr/>
          </w:p>
        </w:tc>
        <w:tc>
          <w:tcPr>
            <w:tcW w:w="1465" w:type="dxa"/>
            <w:vMerge/>
            <w:tcBorders>
              <w:left w:val="single" w:sz="4" w:space="0" w:color="000000"/>
              <w:bottom w:val="single" w:sz="4" w:space="0" w:color="000000"/>
              <w:right w:val="single" w:sz="4" w:space="0" w:color="000000"/>
            </w:tcBorders>
          </w:tcPr>
          <w:p>
            <w:pPr/>
          </w:p>
        </w:tc>
        <w:tc>
          <w:tcPr>
            <w:tcW w:w="1465" w:type="dxa"/>
            <w:vMerge/>
            <w:tcBorders>
              <w:left w:val="single" w:sz="4" w:space="0" w:color="000000"/>
              <w:bottom w:val="single" w:sz="4" w:space="0" w:color="000000"/>
              <w:right w:val="single" w:sz="4" w:space="0" w:color="000000"/>
            </w:tcBorders>
          </w:tcPr>
          <w:p>
            <w:pPr/>
          </w:p>
        </w:tc>
      </w:tr>
      <w:tr>
        <w:trPr>
          <w:trHeight w:val="150" w:hRule="exact"/>
        </w:trPr>
        <w:tc>
          <w:tcPr>
            <w:tcW w:w="1847" w:type="dxa"/>
            <w:tcBorders>
              <w:top w:val="single" w:sz="4" w:space="0" w:color="000000"/>
              <w:left w:val="single" w:sz="4" w:space="0" w:color="000000"/>
              <w:bottom w:val="nil" w:sz="6" w:space="0" w:color="auto"/>
              <w:right w:val="single" w:sz="4" w:space="0" w:color="000000"/>
            </w:tcBorders>
            <w:shd w:val="clear" w:color="auto" w:fill="DCDCDC"/>
          </w:tcPr>
          <w:p>
            <w:pPr/>
          </w:p>
        </w:tc>
        <w:tc>
          <w:tcPr>
            <w:tcW w:w="1670" w:type="dxa"/>
            <w:vMerge w:val="restart"/>
            <w:tcBorders>
              <w:top w:val="single" w:sz="4" w:space="0" w:color="000000"/>
              <w:left w:val="single" w:sz="13" w:space="0" w:color="DCDCDC"/>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365" w:right="0"/>
              <w:jc w:val="left"/>
              <w:rPr>
                <w:rFonts w:ascii="宋体" w:hAnsi="宋体" w:cs="宋体" w:eastAsia="宋体" w:hint="default"/>
                <w:sz w:val="18"/>
                <w:szCs w:val="18"/>
              </w:rPr>
            </w:pPr>
            <w:r>
              <w:rPr>
                <w:rFonts w:ascii="宋体"/>
                <w:sz w:val="18"/>
              </w:rPr>
              <w:t>195,656,620.10</w:t>
            </w:r>
          </w:p>
        </w:tc>
        <w:tc>
          <w:tcPr>
            <w:tcW w:w="1568"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274" w:right="0"/>
              <w:jc w:val="left"/>
              <w:rPr>
                <w:rFonts w:ascii="宋体" w:hAnsi="宋体" w:cs="宋体" w:eastAsia="宋体" w:hint="default"/>
                <w:sz w:val="18"/>
                <w:szCs w:val="18"/>
              </w:rPr>
            </w:pPr>
            <w:r>
              <w:rPr>
                <w:rFonts w:ascii="宋体"/>
                <w:sz w:val="18"/>
              </w:rPr>
              <w:t>212,096,510.95</w:t>
            </w:r>
          </w:p>
        </w:tc>
        <w:tc>
          <w:tcPr>
            <w:tcW w:w="1704"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411" w:right="0"/>
              <w:jc w:val="left"/>
              <w:rPr>
                <w:rFonts w:ascii="宋体" w:hAnsi="宋体" w:cs="宋体" w:eastAsia="宋体" w:hint="default"/>
                <w:sz w:val="18"/>
                <w:szCs w:val="18"/>
              </w:rPr>
            </w:pPr>
            <w:r>
              <w:rPr>
                <w:rFonts w:ascii="宋体"/>
                <w:sz w:val="18"/>
              </w:rPr>
              <w:t>212,142,955.13</w:t>
            </w:r>
          </w:p>
        </w:tc>
        <w:tc>
          <w:tcPr>
            <w:tcW w:w="1225"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652" w:right="0"/>
              <w:jc w:val="left"/>
              <w:rPr>
                <w:rFonts w:ascii="宋体" w:hAnsi="宋体" w:cs="宋体" w:eastAsia="宋体" w:hint="default"/>
                <w:sz w:val="18"/>
                <w:szCs w:val="18"/>
              </w:rPr>
            </w:pPr>
            <w:r>
              <w:rPr>
                <w:rFonts w:ascii="宋体"/>
                <w:sz w:val="18"/>
              </w:rPr>
              <w:t>-7.77%</w:t>
            </w:r>
          </w:p>
        </w:tc>
        <w:tc>
          <w:tcPr>
            <w:tcW w:w="1465"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172" w:right="0"/>
              <w:jc w:val="left"/>
              <w:rPr>
                <w:rFonts w:ascii="宋体" w:hAnsi="宋体" w:cs="宋体" w:eastAsia="宋体" w:hint="default"/>
                <w:sz w:val="18"/>
                <w:szCs w:val="18"/>
              </w:rPr>
            </w:pPr>
            <w:r>
              <w:rPr>
                <w:rFonts w:ascii="宋体"/>
                <w:sz w:val="18"/>
              </w:rPr>
              <w:t>143,625,861.29</w:t>
            </w:r>
          </w:p>
        </w:tc>
        <w:tc>
          <w:tcPr>
            <w:tcW w:w="1465"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171" w:right="0"/>
              <w:jc w:val="left"/>
              <w:rPr>
                <w:rFonts w:ascii="宋体" w:hAnsi="宋体" w:cs="宋体" w:eastAsia="宋体" w:hint="default"/>
                <w:sz w:val="18"/>
                <w:szCs w:val="18"/>
              </w:rPr>
            </w:pPr>
            <w:r>
              <w:rPr>
                <w:rFonts w:ascii="宋体"/>
                <w:sz w:val="18"/>
              </w:rPr>
              <w:t>144,797,001.39</w:t>
            </w:r>
          </w:p>
        </w:tc>
      </w:tr>
      <w:tr>
        <w:trPr>
          <w:trHeight w:val="624" w:hRule="exact"/>
        </w:trPr>
        <w:tc>
          <w:tcPr>
            <w:tcW w:w="184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16" w:lineRule="auto" w:before="11"/>
              <w:ind w:left="372" w:right="23" w:hanging="360"/>
              <w:jc w:val="left"/>
              <w:rPr>
                <w:rFonts w:ascii="宋体" w:hAnsi="宋体" w:cs="宋体" w:eastAsia="宋体" w:hint="default"/>
                <w:sz w:val="18"/>
                <w:szCs w:val="18"/>
              </w:rPr>
            </w:pPr>
            <w:r>
              <w:rPr>
                <w:rFonts w:ascii="宋体" w:hAnsi="宋体" w:cs="宋体" w:eastAsia="宋体" w:hint="default"/>
                <w:sz w:val="18"/>
                <w:szCs w:val="18"/>
              </w:rPr>
              <w:t>经营活动产生的现金流 量净额（元）</w:t>
            </w:r>
          </w:p>
        </w:tc>
        <w:tc>
          <w:tcPr>
            <w:tcW w:w="1670" w:type="dxa"/>
            <w:vMerge/>
            <w:tcBorders>
              <w:left w:val="single" w:sz="13" w:space="0" w:color="DCDCDC"/>
              <w:right w:val="single" w:sz="4" w:space="0" w:color="000000"/>
            </w:tcBorders>
          </w:tcPr>
          <w:p>
            <w:pPr/>
          </w:p>
        </w:tc>
        <w:tc>
          <w:tcPr>
            <w:tcW w:w="1568" w:type="dxa"/>
            <w:vMerge/>
            <w:tcBorders>
              <w:left w:val="single" w:sz="4" w:space="0" w:color="000000"/>
              <w:right w:val="single" w:sz="4" w:space="0" w:color="000000"/>
            </w:tcBorders>
          </w:tcPr>
          <w:p>
            <w:pPr/>
          </w:p>
        </w:tc>
        <w:tc>
          <w:tcPr>
            <w:tcW w:w="1704" w:type="dxa"/>
            <w:vMerge/>
            <w:tcBorders>
              <w:left w:val="single" w:sz="4" w:space="0" w:color="000000"/>
              <w:right w:val="single" w:sz="4" w:space="0" w:color="000000"/>
            </w:tcBorders>
          </w:tcPr>
          <w:p>
            <w:pPr/>
          </w:p>
        </w:tc>
        <w:tc>
          <w:tcPr>
            <w:tcW w:w="1225" w:type="dxa"/>
            <w:vMerge/>
            <w:tcBorders>
              <w:left w:val="single" w:sz="4" w:space="0" w:color="000000"/>
              <w:right w:val="single" w:sz="4" w:space="0" w:color="000000"/>
            </w:tcBorders>
          </w:tcPr>
          <w:p>
            <w:pPr/>
          </w:p>
        </w:tc>
        <w:tc>
          <w:tcPr>
            <w:tcW w:w="1465" w:type="dxa"/>
            <w:vMerge/>
            <w:tcBorders>
              <w:left w:val="single" w:sz="4" w:space="0" w:color="000000"/>
              <w:right w:val="single" w:sz="4" w:space="0" w:color="000000"/>
            </w:tcBorders>
          </w:tcPr>
          <w:p>
            <w:pPr/>
          </w:p>
        </w:tc>
        <w:tc>
          <w:tcPr>
            <w:tcW w:w="1465" w:type="dxa"/>
            <w:vMerge/>
            <w:tcBorders>
              <w:left w:val="single" w:sz="4" w:space="0" w:color="000000"/>
              <w:right w:val="single" w:sz="4" w:space="0" w:color="000000"/>
            </w:tcBorders>
          </w:tcPr>
          <w:p>
            <w:pPr/>
          </w:p>
        </w:tc>
      </w:tr>
      <w:tr>
        <w:trPr>
          <w:trHeight w:val="152" w:hRule="exact"/>
        </w:trPr>
        <w:tc>
          <w:tcPr>
            <w:tcW w:w="1847" w:type="dxa"/>
            <w:tcBorders>
              <w:top w:val="nil" w:sz="6" w:space="0" w:color="auto"/>
              <w:left w:val="single" w:sz="4" w:space="0" w:color="000000"/>
              <w:bottom w:val="single" w:sz="4" w:space="0" w:color="000000"/>
              <w:right w:val="single" w:sz="4" w:space="0" w:color="000000"/>
            </w:tcBorders>
            <w:shd w:val="clear" w:color="auto" w:fill="DCDCDC"/>
          </w:tcPr>
          <w:p>
            <w:pPr/>
          </w:p>
        </w:tc>
        <w:tc>
          <w:tcPr>
            <w:tcW w:w="1670" w:type="dxa"/>
            <w:vMerge/>
            <w:tcBorders>
              <w:left w:val="single" w:sz="13" w:space="0" w:color="DCDCDC"/>
              <w:bottom w:val="single" w:sz="4" w:space="0" w:color="000000"/>
              <w:right w:val="single" w:sz="4" w:space="0" w:color="000000"/>
            </w:tcBorders>
          </w:tcPr>
          <w:p>
            <w:pPr/>
          </w:p>
        </w:tc>
        <w:tc>
          <w:tcPr>
            <w:tcW w:w="1568" w:type="dxa"/>
            <w:vMerge/>
            <w:tcBorders>
              <w:left w:val="single" w:sz="4" w:space="0" w:color="000000"/>
              <w:bottom w:val="single" w:sz="4" w:space="0" w:color="000000"/>
              <w:right w:val="single" w:sz="4" w:space="0" w:color="000000"/>
            </w:tcBorders>
          </w:tcPr>
          <w:p>
            <w:pPr/>
          </w:p>
        </w:tc>
        <w:tc>
          <w:tcPr>
            <w:tcW w:w="1704" w:type="dxa"/>
            <w:vMerge/>
            <w:tcBorders>
              <w:left w:val="single" w:sz="4" w:space="0" w:color="000000"/>
              <w:bottom w:val="single" w:sz="4" w:space="0" w:color="000000"/>
              <w:right w:val="single" w:sz="4" w:space="0" w:color="000000"/>
            </w:tcBorders>
          </w:tcPr>
          <w:p>
            <w:pPr/>
          </w:p>
        </w:tc>
        <w:tc>
          <w:tcPr>
            <w:tcW w:w="1225" w:type="dxa"/>
            <w:vMerge/>
            <w:tcBorders>
              <w:left w:val="single" w:sz="4" w:space="0" w:color="000000"/>
              <w:bottom w:val="single" w:sz="4" w:space="0" w:color="000000"/>
              <w:right w:val="single" w:sz="4" w:space="0" w:color="000000"/>
            </w:tcBorders>
          </w:tcPr>
          <w:p>
            <w:pPr/>
          </w:p>
        </w:tc>
        <w:tc>
          <w:tcPr>
            <w:tcW w:w="1465" w:type="dxa"/>
            <w:vMerge/>
            <w:tcBorders>
              <w:left w:val="single" w:sz="4" w:space="0" w:color="000000"/>
              <w:bottom w:val="single" w:sz="4" w:space="0" w:color="000000"/>
              <w:right w:val="single" w:sz="4" w:space="0" w:color="000000"/>
            </w:tcBorders>
          </w:tcPr>
          <w:p>
            <w:pPr/>
          </w:p>
        </w:tc>
        <w:tc>
          <w:tcPr>
            <w:tcW w:w="1465" w:type="dxa"/>
            <w:vMerge/>
            <w:tcBorders>
              <w:left w:val="single" w:sz="4" w:space="0" w:color="000000"/>
              <w:bottom w:val="single" w:sz="4" w:space="0" w:color="000000"/>
              <w:right w:val="single" w:sz="4" w:space="0" w:color="000000"/>
            </w:tcBorders>
          </w:tcPr>
          <w:p>
            <w:pPr/>
          </w:p>
        </w:tc>
      </w:tr>
      <w:tr>
        <w:trPr>
          <w:trHeight w:val="160" w:hRule="exact"/>
        </w:trPr>
        <w:tc>
          <w:tcPr>
            <w:tcW w:w="1847" w:type="dxa"/>
            <w:tcBorders>
              <w:top w:val="single" w:sz="4" w:space="0" w:color="000000"/>
              <w:left w:val="single" w:sz="4" w:space="0" w:color="000000"/>
              <w:bottom w:val="nil" w:sz="6" w:space="0" w:color="auto"/>
              <w:right w:val="single" w:sz="4" w:space="0" w:color="000000"/>
            </w:tcBorders>
            <w:shd w:val="clear" w:color="auto" w:fill="DCDCDC"/>
          </w:tcPr>
          <w:p>
            <w:pPr/>
          </w:p>
        </w:tc>
        <w:tc>
          <w:tcPr>
            <w:tcW w:w="1670" w:type="dxa"/>
            <w:tcBorders>
              <w:top w:val="single" w:sz="4" w:space="0" w:color="000000"/>
              <w:left w:val="single" w:sz="4" w:space="0" w:color="000000"/>
              <w:bottom w:val="nil" w:sz="6" w:space="0" w:color="auto"/>
              <w:right w:val="single" w:sz="4" w:space="0" w:color="000000"/>
            </w:tcBorders>
            <w:shd w:val="clear" w:color="auto" w:fill="DCDCDC"/>
          </w:tcPr>
          <w:p>
            <w:pPr/>
          </w:p>
        </w:tc>
        <w:tc>
          <w:tcPr>
            <w:tcW w:w="3272"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1225" w:type="dxa"/>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10"/>
              <w:ind w:left="335" w:right="64" w:hanging="270"/>
              <w:jc w:val="left"/>
              <w:rPr>
                <w:rFonts w:ascii="宋体" w:hAnsi="宋体" w:cs="宋体" w:eastAsia="宋体" w:hint="default"/>
                <w:sz w:val="18"/>
                <w:szCs w:val="18"/>
              </w:rPr>
            </w:pPr>
            <w:r>
              <w:rPr>
                <w:rFonts w:ascii="宋体" w:hAnsi="宋体" w:cs="宋体" w:eastAsia="宋体" w:hint="default"/>
                <w:b/>
                <w:bCs/>
                <w:sz w:val="18"/>
                <w:szCs w:val="18"/>
              </w:rPr>
              <w:t>本年末比上年</w:t>
            </w:r>
            <w:r>
              <w:rPr>
                <w:rFonts w:ascii="宋体" w:hAnsi="宋体" w:cs="宋体" w:eastAsia="宋体" w:hint="default"/>
                <w:b/>
                <w:bCs/>
                <w:w w:val="99"/>
                <w:sz w:val="18"/>
                <w:szCs w:val="18"/>
              </w:rPr>
              <w:t> </w:t>
            </w:r>
            <w:r>
              <w:rPr>
                <w:rFonts w:ascii="宋体" w:hAnsi="宋体" w:cs="宋体" w:eastAsia="宋体" w:hint="default"/>
                <w:b/>
                <w:bCs/>
                <w:sz w:val="18"/>
                <w:szCs w:val="18"/>
              </w:rPr>
              <w:t>末增减</w:t>
            </w:r>
            <w:r>
              <w:rPr>
                <w:rFonts w:ascii="宋体" w:hAnsi="宋体" w:cs="宋体" w:eastAsia="宋体" w:hint="default"/>
                <w:sz w:val="18"/>
                <w:szCs w:val="18"/>
              </w:rPr>
            </w:r>
          </w:p>
        </w:tc>
        <w:tc>
          <w:tcPr>
            <w:tcW w:w="2930" w:type="dxa"/>
            <w:gridSpan w:val="2"/>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12" w:hRule="exact"/>
        </w:trPr>
        <w:tc>
          <w:tcPr>
            <w:tcW w:w="1847" w:type="dxa"/>
            <w:tcBorders>
              <w:top w:val="nil" w:sz="6" w:space="0" w:color="auto"/>
              <w:left w:val="single" w:sz="4" w:space="0" w:color="000000"/>
              <w:bottom w:val="nil" w:sz="6" w:space="0" w:color="auto"/>
              <w:right w:val="single" w:sz="4" w:space="0" w:color="000000"/>
            </w:tcBorders>
            <w:shd w:val="clear" w:color="auto" w:fill="DCDCDC"/>
          </w:tcPr>
          <w:p>
            <w:pPr/>
          </w:p>
        </w:tc>
        <w:tc>
          <w:tcPr>
            <w:tcW w:w="167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b/>
                <w:bCs/>
                <w:sz w:val="18"/>
                <w:szCs w:val="18"/>
              </w:rPr>
              <w:t>2010</w:t>
            </w:r>
            <w:r>
              <w:rPr>
                <w:rFonts w:ascii="宋体" w:hAnsi="宋体" w:cs="宋体" w:eastAsia="宋体" w:hint="default"/>
                <w:b/>
                <w:bCs/>
                <w:spacing w:val="-49"/>
                <w:sz w:val="18"/>
                <w:szCs w:val="18"/>
              </w:rPr>
              <w:t> </w:t>
            </w:r>
            <w:r>
              <w:rPr>
                <w:rFonts w:ascii="宋体" w:hAnsi="宋体" w:cs="宋体" w:eastAsia="宋体" w:hint="default"/>
                <w:b/>
                <w:bCs/>
                <w:sz w:val="18"/>
                <w:szCs w:val="18"/>
              </w:rPr>
              <w:t>年末</w:t>
            </w:r>
            <w:r>
              <w:rPr>
                <w:rFonts w:ascii="宋体" w:hAnsi="宋体" w:cs="宋体" w:eastAsia="宋体" w:hint="default"/>
                <w:sz w:val="18"/>
                <w:szCs w:val="18"/>
              </w:rPr>
            </w:r>
          </w:p>
        </w:tc>
        <w:tc>
          <w:tcPr>
            <w:tcW w:w="3272"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b/>
                <w:bCs/>
                <w:sz w:val="18"/>
                <w:szCs w:val="18"/>
              </w:rPr>
              <w:t>2009</w:t>
            </w:r>
            <w:r>
              <w:rPr>
                <w:rFonts w:ascii="宋体" w:hAnsi="宋体" w:cs="宋体" w:eastAsia="宋体" w:hint="default"/>
                <w:b/>
                <w:bCs/>
                <w:spacing w:val="-49"/>
                <w:sz w:val="18"/>
                <w:szCs w:val="18"/>
              </w:rPr>
              <w:t> </w:t>
            </w:r>
            <w:r>
              <w:rPr>
                <w:rFonts w:ascii="宋体" w:hAnsi="宋体" w:cs="宋体" w:eastAsia="宋体" w:hint="default"/>
                <w:b/>
                <w:bCs/>
                <w:sz w:val="18"/>
                <w:szCs w:val="18"/>
              </w:rPr>
              <w:t>年末</w:t>
            </w:r>
            <w:r>
              <w:rPr>
                <w:rFonts w:ascii="宋体" w:hAnsi="宋体" w:cs="宋体" w:eastAsia="宋体" w:hint="default"/>
                <w:sz w:val="18"/>
                <w:szCs w:val="18"/>
              </w:rPr>
            </w:r>
          </w:p>
        </w:tc>
        <w:tc>
          <w:tcPr>
            <w:tcW w:w="1225" w:type="dxa"/>
            <w:vMerge/>
            <w:tcBorders>
              <w:left w:val="single" w:sz="4" w:space="0" w:color="000000"/>
              <w:right w:val="single" w:sz="4" w:space="0" w:color="000000"/>
            </w:tcBorders>
            <w:shd w:val="clear" w:color="auto" w:fill="DCDCDC"/>
          </w:tcPr>
          <w:p>
            <w:pPr/>
          </w:p>
        </w:tc>
        <w:tc>
          <w:tcPr>
            <w:tcW w:w="2930"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b/>
                <w:bCs/>
                <w:sz w:val="18"/>
                <w:szCs w:val="18"/>
              </w:rPr>
              <w:t>2008</w:t>
            </w:r>
            <w:r>
              <w:rPr>
                <w:rFonts w:ascii="宋体" w:hAnsi="宋体" w:cs="宋体" w:eastAsia="宋体" w:hint="default"/>
                <w:b/>
                <w:bCs/>
                <w:spacing w:val="-49"/>
                <w:sz w:val="18"/>
                <w:szCs w:val="18"/>
              </w:rPr>
              <w:t> </w:t>
            </w:r>
            <w:r>
              <w:rPr>
                <w:rFonts w:ascii="宋体" w:hAnsi="宋体" w:cs="宋体" w:eastAsia="宋体" w:hint="default"/>
                <w:b/>
                <w:bCs/>
                <w:sz w:val="18"/>
                <w:szCs w:val="18"/>
              </w:rPr>
              <w:t>年末</w:t>
            </w:r>
            <w:r>
              <w:rPr>
                <w:rFonts w:ascii="宋体" w:hAnsi="宋体" w:cs="宋体" w:eastAsia="宋体" w:hint="default"/>
                <w:sz w:val="18"/>
                <w:szCs w:val="18"/>
              </w:rPr>
            </w:r>
          </w:p>
        </w:tc>
      </w:tr>
      <w:tr>
        <w:trPr>
          <w:trHeight w:val="161" w:hRule="exact"/>
        </w:trPr>
        <w:tc>
          <w:tcPr>
            <w:tcW w:w="1847" w:type="dxa"/>
            <w:tcBorders>
              <w:top w:val="nil" w:sz="6" w:space="0" w:color="auto"/>
              <w:left w:val="single" w:sz="4" w:space="0" w:color="000000"/>
              <w:bottom w:val="single" w:sz="4" w:space="0" w:color="000000"/>
              <w:right w:val="single" w:sz="4" w:space="0" w:color="000000"/>
            </w:tcBorders>
            <w:shd w:val="clear" w:color="auto" w:fill="DCDCDC"/>
          </w:tcPr>
          <w:p>
            <w:pPr/>
          </w:p>
        </w:tc>
        <w:tc>
          <w:tcPr>
            <w:tcW w:w="1670" w:type="dxa"/>
            <w:tcBorders>
              <w:top w:val="nil" w:sz="6" w:space="0" w:color="auto"/>
              <w:left w:val="single" w:sz="4" w:space="0" w:color="000000"/>
              <w:bottom w:val="single" w:sz="4" w:space="0" w:color="000000"/>
              <w:right w:val="single" w:sz="4" w:space="0" w:color="000000"/>
            </w:tcBorders>
            <w:shd w:val="clear" w:color="auto" w:fill="DCDCDC"/>
          </w:tcPr>
          <w:p>
            <w:pPr/>
          </w:p>
        </w:tc>
        <w:tc>
          <w:tcPr>
            <w:tcW w:w="3272"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1225" w:type="dxa"/>
            <w:vMerge/>
            <w:tcBorders>
              <w:left w:val="single" w:sz="4" w:space="0" w:color="000000"/>
              <w:bottom w:val="single" w:sz="4" w:space="0" w:color="000000"/>
              <w:right w:val="single" w:sz="4" w:space="0" w:color="000000"/>
            </w:tcBorders>
            <w:shd w:val="clear" w:color="auto" w:fill="DCDCDC"/>
          </w:tcPr>
          <w:p>
            <w:pPr/>
          </w:p>
        </w:tc>
        <w:tc>
          <w:tcPr>
            <w:tcW w:w="2930" w:type="dxa"/>
            <w:gridSpan w:val="2"/>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22" w:hRule="exact"/>
        </w:trPr>
        <w:tc>
          <w:tcPr>
            <w:tcW w:w="184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67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5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506" w:right="0"/>
              <w:jc w:val="left"/>
              <w:rPr>
                <w:rFonts w:ascii="宋体" w:hAnsi="宋体" w:cs="宋体" w:eastAsia="宋体" w:hint="default"/>
                <w:sz w:val="18"/>
                <w:szCs w:val="18"/>
              </w:rPr>
            </w:pPr>
            <w:r>
              <w:rPr>
                <w:rFonts w:ascii="宋体" w:hAnsi="宋体" w:cs="宋体" w:eastAsia="宋体" w:hint="default"/>
                <w:b/>
                <w:bCs/>
                <w:sz w:val="18"/>
                <w:szCs w:val="18"/>
              </w:rPr>
              <w:t>调整前</w:t>
            </w:r>
            <w:r>
              <w:rPr>
                <w:rFonts w:ascii="宋体" w:hAnsi="宋体" w:cs="宋体" w:eastAsia="宋体" w:hint="default"/>
                <w:sz w:val="18"/>
                <w:szCs w:val="18"/>
              </w:rPr>
            </w:r>
          </w:p>
        </w:tc>
        <w:tc>
          <w:tcPr>
            <w:tcW w:w="17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b/>
                <w:bCs/>
                <w:sz w:val="18"/>
                <w:szCs w:val="18"/>
              </w:rPr>
              <w:t>调整后</w:t>
            </w:r>
            <w:r>
              <w:rPr>
                <w:rFonts w:ascii="宋体" w:hAnsi="宋体" w:cs="宋体" w:eastAsia="宋体" w:hint="default"/>
                <w:sz w:val="18"/>
                <w:szCs w:val="18"/>
              </w:rPr>
            </w:r>
          </w:p>
        </w:tc>
        <w:tc>
          <w:tcPr>
            <w:tcW w:w="12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b/>
                <w:bCs/>
                <w:sz w:val="18"/>
                <w:szCs w:val="18"/>
              </w:rPr>
              <w:t>调整后</w:t>
            </w:r>
            <w:r>
              <w:rPr>
                <w:rFonts w:ascii="宋体" w:hAnsi="宋体" w:cs="宋体" w:eastAsia="宋体" w:hint="default"/>
                <w:sz w:val="18"/>
                <w:szCs w:val="18"/>
              </w:rPr>
            </w:r>
          </w:p>
        </w:tc>
        <w:tc>
          <w:tcPr>
            <w:tcW w:w="14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b/>
                <w:bCs/>
                <w:sz w:val="18"/>
                <w:szCs w:val="18"/>
              </w:rPr>
              <w:t>调整前</w:t>
            </w:r>
            <w:r>
              <w:rPr>
                <w:rFonts w:ascii="宋体" w:hAnsi="宋体" w:cs="宋体" w:eastAsia="宋体" w:hint="default"/>
                <w:sz w:val="18"/>
                <w:szCs w:val="18"/>
              </w:rPr>
            </w:r>
          </w:p>
        </w:tc>
        <w:tc>
          <w:tcPr>
            <w:tcW w:w="14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454" w:right="0"/>
              <w:jc w:val="left"/>
              <w:rPr>
                <w:rFonts w:ascii="宋体" w:hAnsi="宋体" w:cs="宋体" w:eastAsia="宋体" w:hint="default"/>
                <w:sz w:val="18"/>
                <w:szCs w:val="18"/>
              </w:rPr>
            </w:pPr>
            <w:r>
              <w:rPr>
                <w:rFonts w:ascii="宋体" w:hAnsi="宋体" w:cs="宋体" w:eastAsia="宋体" w:hint="default"/>
                <w:b/>
                <w:bCs/>
                <w:sz w:val="18"/>
                <w:szCs w:val="18"/>
              </w:rPr>
              <w:t>调整后</w:t>
            </w:r>
            <w:r>
              <w:rPr>
                <w:rFonts w:ascii="宋体" w:hAnsi="宋体" w:cs="宋体" w:eastAsia="宋体" w:hint="default"/>
                <w:sz w:val="18"/>
                <w:szCs w:val="18"/>
              </w:rPr>
            </w:r>
          </w:p>
        </w:tc>
      </w:tr>
      <w:tr>
        <w:trPr>
          <w:trHeight w:val="159" w:hRule="exact"/>
        </w:trPr>
        <w:tc>
          <w:tcPr>
            <w:tcW w:w="1847" w:type="dxa"/>
            <w:tcBorders>
              <w:top w:val="single" w:sz="4" w:space="0" w:color="000000"/>
              <w:left w:val="single" w:sz="4" w:space="0" w:color="000000"/>
              <w:bottom w:val="nil" w:sz="6" w:space="0" w:color="auto"/>
              <w:right w:val="single" w:sz="4" w:space="0" w:color="000000"/>
            </w:tcBorders>
            <w:shd w:val="clear" w:color="auto" w:fill="DCDCDC"/>
          </w:tcPr>
          <w:p>
            <w:pPr/>
          </w:p>
        </w:tc>
        <w:tc>
          <w:tcPr>
            <w:tcW w:w="1670" w:type="dxa"/>
            <w:vMerge w:val="restart"/>
            <w:tcBorders>
              <w:top w:val="single" w:sz="4" w:space="0" w:color="000000"/>
              <w:left w:val="single" w:sz="13" w:space="0" w:color="DCDCDC"/>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85" w:right="0"/>
              <w:jc w:val="left"/>
              <w:rPr>
                <w:rFonts w:ascii="宋体" w:hAnsi="宋体" w:cs="宋体" w:eastAsia="宋体" w:hint="default"/>
                <w:sz w:val="18"/>
                <w:szCs w:val="18"/>
              </w:rPr>
            </w:pPr>
            <w:r>
              <w:rPr>
                <w:rFonts w:ascii="宋体"/>
                <w:sz w:val="18"/>
              </w:rPr>
              <w:t>2,742,956,807.54</w:t>
            </w:r>
          </w:p>
        </w:tc>
        <w:tc>
          <w:tcPr>
            <w:tcW w:w="1568"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94" w:right="0"/>
              <w:jc w:val="left"/>
              <w:rPr>
                <w:rFonts w:ascii="宋体" w:hAnsi="宋体" w:cs="宋体" w:eastAsia="宋体" w:hint="default"/>
                <w:sz w:val="18"/>
                <w:szCs w:val="18"/>
              </w:rPr>
            </w:pPr>
            <w:r>
              <w:rPr>
                <w:rFonts w:ascii="宋体"/>
                <w:sz w:val="18"/>
              </w:rPr>
              <w:t>2,379,038,038.68</w:t>
            </w:r>
          </w:p>
        </w:tc>
        <w:tc>
          <w:tcPr>
            <w:tcW w:w="1704"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31" w:right="0"/>
              <w:jc w:val="left"/>
              <w:rPr>
                <w:rFonts w:ascii="宋体" w:hAnsi="宋体" w:cs="宋体" w:eastAsia="宋体" w:hint="default"/>
                <w:sz w:val="18"/>
                <w:szCs w:val="18"/>
              </w:rPr>
            </w:pPr>
            <w:r>
              <w:rPr>
                <w:rFonts w:ascii="宋体"/>
                <w:sz w:val="18"/>
              </w:rPr>
              <w:t>2,391,351,636.87</w:t>
            </w:r>
          </w:p>
        </w:tc>
        <w:tc>
          <w:tcPr>
            <w:tcW w:w="1225"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652" w:right="0"/>
              <w:jc w:val="left"/>
              <w:rPr>
                <w:rFonts w:ascii="宋体" w:hAnsi="宋体" w:cs="宋体" w:eastAsia="宋体" w:hint="default"/>
                <w:sz w:val="18"/>
                <w:szCs w:val="18"/>
              </w:rPr>
            </w:pPr>
            <w:r>
              <w:rPr>
                <w:rFonts w:ascii="宋体"/>
                <w:sz w:val="18"/>
              </w:rPr>
              <w:t>14.70%</w:t>
            </w:r>
          </w:p>
        </w:tc>
        <w:tc>
          <w:tcPr>
            <w:tcW w:w="1465"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72" w:right="0"/>
              <w:jc w:val="left"/>
              <w:rPr>
                <w:rFonts w:ascii="宋体" w:hAnsi="宋体" w:cs="宋体" w:eastAsia="宋体" w:hint="default"/>
                <w:sz w:val="18"/>
                <w:szCs w:val="18"/>
              </w:rPr>
            </w:pPr>
            <w:r>
              <w:rPr>
                <w:rFonts w:ascii="宋体"/>
                <w:sz w:val="18"/>
              </w:rPr>
              <w:t>380,122,774.80</w:t>
            </w:r>
          </w:p>
        </w:tc>
        <w:tc>
          <w:tcPr>
            <w:tcW w:w="1465"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71" w:right="0"/>
              <w:jc w:val="left"/>
              <w:rPr>
                <w:rFonts w:ascii="宋体" w:hAnsi="宋体" w:cs="宋体" w:eastAsia="宋体" w:hint="default"/>
                <w:sz w:val="18"/>
                <w:szCs w:val="18"/>
              </w:rPr>
            </w:pPr>
            <w:r>
              <w:rPr>
                <w:rFonts w:ascii="宋体"/>
                <w:sz w:val="18"/>
              </w:rPr>
              <w:t>392,852,923.71</w:t>
            </w:r>
          </w:p>
        </w:tc>
      </w:tr>
      <w:tr>
        <w:trPr>
          <w:trHeight w:val="312" w:hRule="exact"/>
        </w:trPr>
        <w:tc>
          <w:tcPr>
            <w:tcW w:w="184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0"/>
              <w:ind w:right="10"/>
              <w:jc w:val="center"/>
              <w:rPr>
                <w:rFonts w:ascii="宋体" w:hAnsi="宋体" w:cs="宋体" w:eastAsia="宋体" w:hint="default"/>
                <w:sz w:val="18"/>
                <w:szCs w:val="18"/>
              </w:rPr>
            </w:pPr>
            <w:r>
              <w:rPr>
                <w:rFonts w:ascii="宋体" w:hAnsi="宋体" w:cs="宋体" w:eastAsia="宋体" w:hint="default"/>
                <w:sz w:val="18"/>
                <w:szCs w:val="18"/>
              </w:rPr>
              <w:t>总资产（元）</w:t>
            </w:r>
          </w:p>
        </w:tc>
        <w:tc>
          <w:tcPr>
            <w:tcW w:w="1670" w:type="dxa"/>
            <w:vMerge/>
            <w:tcBorders>
              <w:left w:val="single" w:sz="13" w:space="0" w:color="DCDCDC"/>
              <w:right w:val="single" w:sz="4" w:space="0" w:color="000000"/>
            </w:tcBorders>
          </w:tcPr>
          <w:p>
            <w:pPr/>
          </w:p>
        </w:tc>
        <w:tc>
          <w:tcPr>
            <w:tcW w:w="1568" w:type="dxa"/>
            <w:vMerge/>
            <w:tcBorders>
              <w:left w:val="single" w:sz="4" w:space="0" w:color="000000"/>
              <w:right w:val="single" w:sz="4" w:space="0" w:color="000000"/>
            </w:tcBorders>
          </w:tcPr>
          <w:p>
            <w:pPr/>
          </w:p>
        </w:tc>
        <w:tc>
          <w:tcPr>
            <w:tcW w:w="1704" w:type="dxa"/>
            <w:vMerge/>
            <w:tcBorders>
              <w:left w:val="single" w:sz="4" w:space="0" w:color="000000"/>
              <w:right w:val="single" w:sz="4" w:space="0" w:color="000000"/>
            </w:tcBorders>
          </w:tcPr>
          <w:p>
            <w:pPr/>
          </w:p>
        </w:tc>
        <w:tc>
          <w:tcPr>
            <w:tcW w:w="1225" w:type="dxa"/>
            <w:vMerge/>
            <w:tcBorders>
              <w:left w:val="single" w:sz="4" w:space="0" w:color="000000"/>
              <w:right w:val="single" w:sz="4" w:space="0" w:color="000000"/>
            </w:tcBorders>
          </w:tcPr>
          <w:p>
            <w:pPr/>
          </w:p>
        </w:tc>
        <w:tc>
          <w:tcPr>
            <w:tcW w:w="1465" w:type="dxa"/>
            <w:vMerge/>
            <w:tcBorders>
              <w:left w:val="single" w:sz="4" w:space="0" w:color="000000"/>
              <w:right w:val="single" w:sz="4" w:space="0" w:color="000000"/>
            </w:tcBorders>
          </w:tcPr>
          <w:p>
            <w:pPr/>
          </w:p>
        </w:tc>
        <w:tc>
          <w:tcPr>
            <w:tcW w:w="1465" w:type="dxa"/>
            <w:vMerge/>
            <w:tcBorders>
              <w:left w:val="single" w:sz="4" w:space="0" w:color="000000"/>
              <w:right w:val="single" w:sz="4" w:space="0" w:color="000000"/>
            </w:tcBorders>
          </w:tcPr>
          <w:p>
            <w:pPr/>
          </w:p>
        </w:tc>
      </w:tr>
      <w:tr>
        <w:trPr>
          <w:trHeight w:val="159" w:hRule="exact"/>
        </w:trPr>
        <w:tc>
          <w:tcPr>
            <w:tcW w:w="1847" w:type="dxa"/>
            <w:tcBorders>
              <w:top w:val="nil" w:sz="6" w:space="0" w:color="auto"/>
              <w:left w:val="single" w:sz="4" w:space="0" w:color="000000"/>
              <w:bottom w:val="single" w:sz="4" w:space="0" w:color="000000"/>
              <w:right w:val="single" w:sz="4" w:space="0" w:color="000000"/>
            </w:tcBorders>
            <w:shd w:val="clear" w:color="auto" w:fill="DCDCDC"/>
          </w:tcPr>
          <w:p>
            <w:pPr/>
          </w:p>
        </w:tc>
        <w:tc>
          <w:tcPr>
            <w:tcW w:w="1670" w:type="dxa"/>
            <w:vMerge/>
            <w:tcBorders>
              <w:left w:val="single" w:sz="13" w:space="0" w:color="DCDCDC"/>
              <w:bottom w:val="single" w:sz="4" w:space="0" w:color="000000"/>
              <w:right w:val="single" w:sz="4" w:space="0" w:color="000000"/>
            </w:tcBorders>
          </w:tcPr>
          <w:p>
            <w:pPr/>
          </w:p>
        </w:tc>
        <w:tc>
          <w:tcPr>
            <w:tcW w:w="1568" w:type="dxa"/>
            <w:vMerge/>
            <w:tcBorders>
              <w:left w:val="single" w:sz="4" w:space="0" w:color="000000"/>
              <w:bottom w:val="single" w:sz="4" w:space="0" w:color="000000"/>
              <w:right w:val="single" w:sz="4" w:space="0" w:color="000000"/>
            </w:tcBorders>
          </w:tcPr>
          <w:p>
            <w:pPr/>
          </w:p>
        </w:tc>
        <w:tc>
          <w:tcPr>
            <w:tcW w:w="1704" w:type="dxa"/>
            <w:vMerge/>
            <w:tcBorders>
              <w:left w:val="single" w:sz="4" w:space="0" w:color="000000"/>
              <w:bottom w:val="single" w:sz="4" w:space="0" w:color="000000"/>
              <w:right w:val="single" w:sz="4" w:space="0" w:color="000000"/>
            </w:tcBorders>
          </w:tcPr>
          <w:p>
            <w:pPr/>
          </w:p>
        </w:tc>
        <w:tc>
          <w:tcPr>
            <w:tcW w:w="1225" w:type="dxa"/>
            <w:vMerge/>
            <w:tcBorders>
              <w:left w:val="single" w:sz="4" w:space="0" w:color="000000"/>
              <w:bottom w:val="single" w:sz="4" w:space="0" w:color="000000"/>
              <w:right w:val="single" w:sz="4" w:space="0" w:color="000000"/>
            </w:tcBorders>
          </w:tcPr>
          <w:p>
            <w:pPr/>
          </w:p>
        </w:tc>
        <w:tc>
          <w:tcPr>
            <w:tcW w:w="1465" w:type="dxa"/>
            <w:vMerge/>
            <w:tcBorders>
              <w:left w:val="single" w:sz="4" w:space="0" w:color="000000"/>
              <w:bottom w:val="single" w:sz="4" w:space="0" w:color="000000"/>
              <w:right w:val="single" w:sz="4" w:space="0" w:color="000000"/>
            </w:tcBorders>
          </w:tcPr>
          <w:p>
            <w:pPr/>
          </w:p>
        </w:tc>
        <w:tc>
          <w:tcPr>
            <w:tcW w:w="1465" w:type="dxa"/>
            <w:vMerge/>
            <w:tcBorders>
              <w:left w:val="single" w:sz="4" w:space="0" w:color="000000"/>
              <w:bottom w:val="single" w:sz="4" w:space="0" w:color="000000"/>
              <w:right w:val="single" w:sz="4" w:space="0" w:color="000000"/>
            </w:tcBorders>
          </w:tcPr>
          <w:p>
            <w:pPr/>
          </w:p>
        </w:tc>
      </w:tr>
      <w:tr>
        <w:trPr>
          <w:trHeight w:val="150" w:hRule="exact"/>
        </w:trPr>
        <w:tc>
          <w:tcPr>
            <w:tcW w:w="1847" w:type="dxa"/>
            <w:tcBorders>
              <w:top w:val="single" w:sz="4" w:space="0" w:color="000000"/>
              <w:left w:val="single" w:sz="4" w:space="0" w:color="000000"/>
              <w:bottom w:val="nil" w:sz="6" w:space="0" w:color="auto"/>
              <w:right w:val="single" w:sz="4" w:space="0" w:color="000000"/>
            </w:tcBorders>
            <w:shd w:val="clear" w:color="auto" w:fill="DCDCDC"/>
          </w:tcPr>
          <w:p>
            <w:pPr/>
          </w:p>
        </w:tc>
        <w:tc>
          <w:tcPr>
            <w:tcW w:w="1670" w:type="dxa"/>
            <w:vMerge w:val="restart"/>
            <w:tcBorders>
              <w:top w:val="single" w:sz="4" w:space="0" w:color="000000"/>
              <w:left w:val="single" w:sz="13" w:space="0" w:color="DCDCDC"/>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185" w:right="0"/>
              <w:jc w:val="left"/>
              <w:rPr>
                <w:rFonts w:ascii="宋体" w:hAnsi="宋体" w:cs="宋体" w:eastAsia="宋体" w:hint="default"/>
                <w:sz w:val="18"/>
                <w:szCs w:val="18"/>
              </w:rPr>
            </w:pPr>
            <w:r>
              <w:rPr>
                <w:rFonts w:ascii="宋体"/>
                <w:sz w:val="18"/>
              </w:rPr>
              <w:t>2,550,776,213.82</w:t>
            </w:r>
          </w:p>
        </w:tc>
        <w:tc>
          <w:tcPr>
            <w:tcW w:w="1568"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94" w:right="0"/>
              <w:jc w:val="left"/>
              <w:rPr>
                <w:rFonts w:ascii="宋体" w:hAnsi="宋体" w:cs="宋体" w:eastAsia="宋体" w:hint="default"/>
                <w:sz w:val="18"/>
                <w:szCs w:val="18"/>
              </w:rPr>
            </w:pPr>
            <w:r>
              <w:rPr>
                <w:rFonts w:ascii="宋体"/>
                <w:sz w:val="18"/>
              </w:rPr>
              <w:t>2,260,092,556.66</w:t>
            </w:r>
          </w:p>
        </w:tc>
        <w:tc>
          <w:tcPr>
            <w:tcW w:w="1704"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231" w:right="0"/>
              <w:jc w:val="left"/>
              <w:rPr>
                <w:rFonts w:ascii="宋体" w:hAnsi="宋体" w:cs="宋体" w:eastAsia="宋体" w:hint="default"/>
                <w:sz w:val="18"/>
                <w:szCs w:val="18"/>
              </w:rPr>
            </w:pPr>
            <w:r>
              <w:rPr>
                <w:rFonts w:ascii="宋体"/>
                <w:sz w:val="18"/>
              </w:rPr>
              <w:t>2,267,453,010.25</w:t>
            </w:r>
          </w:p>
        </w:tc>
        <w:tc>
          <w:tcPr>
            <w:tcW w:w="1225"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652" w:right="0"/>
              <w:jc w:val="left"/>
              <w:rPr>
                <w:rFonts w:ascii="宋体" w:hAnsi="宋体" w:cs="宋体" w:eastAsia="宋体" w:hint="default"/>
                <w:sz w:val="18"/>
                <w:szCs w:val="18"/>
              </w:rPr>
            </w:pPr>
            <w:r>
              <w:rPr>
                <w:rFonts w:ascii="宋体"/>
                <w:sz w:val="18"/>
              </w:rPr>
              <w:t>12.50%</w:t>
            </w:r>
          </w:p>
        </w:tc>
        <w:tc>
          <w:tcPr>
            <w:tcW w:w="1465"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172" w:right="0"/>
              <w:jc w:val="left"/>
              <w:rPr>
                <w:rFonts w:ascii="宋体" w:hAnsi="宋体" w:cs="宋体" w:eastAsia="宋体" w:hint="default"/>
                <w:sz w:val="18"/>
                <w:szCs w:val="18"/>
              </w:rPr>
            </w:pPr>
            <w:r>
              <w:rPr>
                <w:rFonts w:ascii="宋体"/>
                <w:sz w:val="18"/>
              </w:rPr>
              <w:t>233,689,181.35</w:t>
            </w:r>
          </w:p>
        </w:tc>
        <w:tc>
          <w:tcPr>
            <w:tcW w:w="1465"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171" w:right="0"/>
              <w:jc w:val="left"/>
              <w:rPr>
                <w:rFonts w:ascii="宋体" w:hAnsi="宋体" w:cs="宋体" w:eastAsia="宋体" w:hint="default"/>
                <w:sz w:val="18"/>
                <w:szCs w:val="18"/>
              </w:rPr>
            </w:pPr>
            <w:r>
              <w:rPr>
                <w:rFonts w:ascii="宋体"/>
                <w:sz w:val="18"/>
              </w:rPr>
              <w:t>241,428,783.00</w:t>
            </w:r>
          </w:p>
        </w:tc>
      </w:tr>
      <w:tr>
        <w:trPr>
          <w:trHeight w:val="624" w:hRule="exact"/>
        </w:trPr>
        <w:tc>
          <w:tcPr>
            <w:tcW w:w="184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16" w:lineRule="auto" w:before="10"/>
              <w:ind w:left="192" w:right="23" w:hanging="180"/>
              <w:jc w:val="left"/>
              <w:rPr>
                <w:rFonts w:ascii="宋体" w:hAnsi="宋体" w:cs="宋体" w:eastAsia="宋体" w:hint="default"/>
                <w:sz w:val="18"/>
                <w:szCs w:val="18"/>
              </w:rPr>
            </w:pPr>
            <w:r>
              <w:rPr>
                <w:rFonts w:ascii="宋体" w:hAnsi="宋体" w:cs="宋体" w:eastAsia="宋体" w:hint="default"/>
                <w:sz w:val="18"/>
                <w:szCs w:val="18"/>
              </w:rPr>
              <w:t>归属于上市公司股东的 所有者权益（元）</w:t>
            </w:r>
          </w:p>
        </w:tc>
        <w:tc>
          <w:tcPr>
            <w:tcW w:w="1670" w:type="dxa"/>
            <w:vMerge/>
            <w:tcBorders>
              <w:left w:val="single" w:sz="13" w:space="0" w:color="DCDCDC"/>
              <w:right w:val="single" w:sz="4" w:space="0" w:color="000000"/>
            </w:tcBorders>
          </w:tcPr>
          <w:p>
            <w:pPr/>
          </w:p>
        </w:tc>
        <w:tc>
          <w:tcPr>
            <w:tcW w:w="1568" w:type="dxa"/>
            <w:vMerge/>
            <w:tcBorders>
              <w:left w:val="single" w:sz="4" w:space="0" w:color="000000"/>
              <w:right w:val="single" w:sz="4" w:space="0" w:color="000000"/>
            </w:tcBorders>
          </w:tcPr>
          <w:p>
            <w:pPr/>
          </w:p>
        </w:tc>
        <w:tc>
          <w:tcPr>
            <w:tcW w:w="1704" w:type="dxa"/>
            <w:vMerge/>
            <w:tcBorders>
              <w:left w:val="single" w:sz="4" w:space="0" w:color="000000"/>
              <w:right w:val="single" w:sz="4" w:space="0" w:color="000000"/>
            </w:tcBorders>
          </w:tcPr>
          <w:p>
            <w:pPr/>
          </w:p>
        </w:tc>
        <w:tc>
          <w:tcPr>
            <w:tcW w:w="1225" w:type="dxa"/>
            <w:vMerge/>
            <w:tcBorders>
              <w:left w:val="single" w:sz="4" w:space="0" w:color="000000"/>
              <w:right w:val="single" w:sz="4" w:space="0" w:color="000000"/>
            </w:tcBorders>
          </w:tcPr>
          <w:p>
            <w:pPr/>
          </w:p>
        </w:tc>
        <w:tc>
          <w:tcPr>
            <w:tcW w:w="1465" w:type="dxa"/>
            <w:vMerge/>
            <w:tcBorders>
              <w:left w:val="single" w:sz="4" w:space="0" w:color="000000"/>
              <w:right w:val="single" w:sz="4" w:space="0" w:color="000000"/>
            </w:tcBorders>
          </w:tcPr>
          <w:p>
            <w:pPr/>
          </w:p>
        </w:tc>
        <w:tc>
          <w:tcPr>
            <w:tcW w:w="1465" w:type="dxa"/>
            <w:vMerge/>
            <w:tcBorders>
              <w:left w:val="single" w:sz="4" w:space="0" w:color="000000"/>
              <w:right w:val="single" w:sz="4" w:space="0" w:color="000000"/>
            </w:tcBorders>
          </w:tcPr>
          <w:p>
            <w:pPr/>
          </w:p>
        </w:tc>
      </w:tr>
      <w:tr>
        <w:trPr>
          <w:trHeight w:val="151" w:hRule="exact"/>
        </w:trPr>
        <w:tc>
          <w:tcPr>
            <w:tcW w:w="1847" w:type="dxa"/>
            <w:tcBorders>
              <w:top w:val="nil" w:sz="6" w:space="0" w:color="auto"/>
              <w:left w:val="single" w:sz="4" w:space="0" w:color="000000"/>
              <w:bottom w:val="single" w:sz="4" w:space="0" w:color="000000"/>
              <w:right w:val="single" w:sz="4" w:space="0" w:color="000000"/>
            </w:tcBorders>
            <w:shd w:val="clear" w:color="auto" w:fill="DCDCDC"/>
          </w:tcPr>
          <w:p>
            <w:pPr/>
          </w:p>
        </w:tc>
        <w:tc>
          <w:tcPr>
            <w:tcW w:w="1670" w:type="dxa"/>
            <w:vMerge/>
            <w:tcBorders>
              <w:left w:val="single" w:sz="13" w:space="0" w:color="DCDCDC"/>
              <w:bottom w:val="single" w:sz="4" w:space="0" w:color="000000"/>
              <w:right w:val="single" w:sz="4" w:space="0" w:color="000000"/>
            </w:tcBorders>
          </w:tcPr>
          <w:p>
            <w:pPr/>
          </w:p>
        </w:tc>
        <w:tc>
          <w:tcPr>
            <w:tcW w:w="1568" w:type="dxa"/>
            <w:vMerge/>
            <w:tcBorders>
              <w:left w:val="single" w:sz="4" w:space="0" w:color="000000"/>
              <w:bottom w:val="single" w:sz="4" w:space="0" w:color="000000"/>
              <w:right w:val="single" w:sz="4" w:space="0" w:color="000000"/>
            </w:tcBorders>
          </w:tcPr>
          <w:p>
            <w:pPr/>
          </w:p>
        </w:tc>
        <w:tc>
          <w:tcPr>
            <w:tcW w:w="1704" w:type="dxa"/>
            <w:vMerge/>
            <w:tcBorders>
              <w:left w:val="single" w:sz="4" w:space="0" w:color="000000"/>
              <w:bottom w:val="single" w:sz="4" w:space="0" w:color="000000"/>
              <w:right w:val="single" w:sz="4" w:space="0" w:color="000000"/>
            </w:tcBorders>
          </w:tcPr>
          <w:p>
            <w:pPr/>
          </w:p>
        </w:tc>
        <w:tc>
          <w:tcPr>
            <w:tcW w:w="1225" w:type="dxa"/>
            <w:vMerge/>
            <w:tcBorders>
              <w:left w:val="single" w:sz="4" w:space="0" w:color="000000"/>
              <w:bottom w:val="single" w:sz="4" w:space="0" w:color="000000"/>
              <w:right w:val="single" w:sz="4" w:space="0" w:color="000000"/>
            </w:tcBorders>
          </w:tcPr>
          <w:p>
            <w:pPr/>
          </w:p>
        </w:tc>
        <w:tc>
          <w:tcPr>
            <w:tcW w:w="1465" w:type="dxa"/>
            <w:vMerge/>
            <w:tcBorders>
              <w:left w:val="single" w:sz="4" w:space="0" w:color="000000"/>
              <w:bottom w:val="single" w:sz="4" w:space="0" w:color="000000"/>
              <w:right w:val="single" w:sz="4" w:space="0" w:color="000000"/>
            </w:tcBorders>
          </w:tcPr>
          <w:p>
            <w:pPr/>
          </w:p>
        </w:tc>
        <w:tc>
          <w:tcPr>
            <w:tcW w:w="1465" w:type="dxa"/>
            <w:vMerge/>
            <w:tcBorders>
              <w:left w:val="single" w:sz="4" w:space="0" w:color="000000"/>
              <w:bottom w:val="single" w:sz="4" w:space="0" w:color="000000"/>
              <w:right w:val="single" w:sz="4" w:space="0" w:color="000000"/>
            </w:tcBorders>
          </w:tcPr>
          <w:p>
            <w:pPr/>
          </w:p>
        </w:tc>
      </w:tr>
      <w:tr>
        <w:trPr>
          <w:trHeight w:val="158" w:hRule="exact"/>
        </w:trPr>
        <w:tc>
          <w:tcPr>
            <w:tcW w:w="1847" w:type="dxa"/>
            <w:tcBorders>
              <w:top w:val="single" w:sz="4" w:space="0" w:color="000000"/>
              <w:left w:val="single" w:sz="4" w:space="0" w:color="000000"/>
              <w:bottom w:val="nil" w:sz="6" w:space="0" w:color="auto"/>
              <w:right w:val="single" w:sz="4" w:space="0" w:color="000000"/>
            </w:tcBorders>
            <w:shd w:val="clear" w:color="auto" w:fill="DCDCDC"/>
          </w:tcPr>
          <w:p>
            <w:pPr/>
          </w:p>
        </w:tc>
        <w:tc>
          <w:tcPr>
            <w:tcW w:w="1670" w:type="dxa"/>
            <w:vMerge w:val="restart"/>
            <w:tcBorders>
              <w:top w:val="single" w:sz="4" w:space="0" w:color="000000"/>
              <w:left w:val="single" w:sz="10" w:space="0" w:color="DCDCDC"/>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370" w:right="0"/>
              <w:jc w:val="left"/>
              <w:rPr>
                <w:rFonts w:ascii="宋体" w:hAnsi="宋体" w:cs="宋体" w:eastAsia="宋体" w:hint="default"/>
                <w:sz w:val="18"/>
                <w:szCs w:val="18"/>
              </w:rPr>
            </w:pPr>
            <w:r>
              <w:rPr>
                <w:rFonts w:ascii="宋体"/>
                <w:sz w:val="18"/>
              </w:rPr>
              <w:t>316,000,000.00</w:t>
            </w:r>
          </w:p>
        </w:tc>
        <w:tc>
          <w:tcPr>
            <w:tcW w:w="1568"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74" w:right="0"/>
              <w:jc w:val="left"/>
              <w:rPr>
                <w:rFonts w:ascii="宋体" w:hAnsi="宋体" w:cs="宋体" w:eastAsia="宋体" w:hint="default"/>
                <w:sz w:val="18"/>
                <w:szCs w:val="18"/>
              </w:rPr>
            </w:pPr>
            <w:r>
              <w:rPr>
                <w:rFonts w:ascii="宋体"/>
                <w:sz w:val="18"/>
              </w:rPr>
              <w:t>126,400,000.00</w:t>
            </w:r>
          </w:p>
        </w:tc>
        <w:tc>
          <w:tcPr>
            <w:tcW w:w="1704"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411" w:right="0"/>
              <w:jc w:val="left"/>
              <w:rPr>
                <w:rFonts w:ascii="宋体" w:hAnsi="宋体" w:cs="宋体" w:eastAsia="宋体" w:hint="default"/>
                <w:sz w:val="18"/>
                <w:szCs w:val="18"/>
              </w:rPr>
            </w:pPr>
            <w:r>
              <w:rPr>
                <w:rFonts w:ascii="宋体"/>
                <w:sz w:val="18"/>
              </w:rPr>
              <w:t>126,400,000.00</w:t>
            </w:r>
          </w:p>
        </w:tc>
        <w:tc>
          <w:tcPr>
            <w:tcW w:w="1225"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562" w:right="0"/>
              <w:jc w:val="left"/>
              <w:rPr>
                <w:rFonts w:ascii="宋体" w:hAnsi="宋体" w:cs="宋体" w:eastAsia="宋体" w:hint="default"/>
                <w:sz w:val="18"/>
                <w:szCs w:val="18"/>
              </w:rPr>
            </w:pPr>
            <w:r>
              <w:rPr>
                <w:rFonts w:ascii="宋体"/>
                <w:sz w:val="18"/>
              </w:rPr>
              <w:t>150.00%</w:t>
            </w:r>
          </w:p>
        </w:tc>
        <w:tc>
          <w:tcPr>
            <w:tcW w:w="1465"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62" w:right="0"/>
              <w:jc w:val="left"/>
              <w:rPr>
                <w:rFonts w:ascii="宋体" w:hAnsi="宋体" w:cs="宋体" w:eastAsia="宋体" w:hint="default"/>
                <w:sz w:val="18"/>
                <w:szCs w:val="18"/>
              </w:rPr>
            </w:pPr>
            <w:r>
              <w:rPr>
                <w:rFonts w:ascii="宋体"/>
                <w:sz w:val="18"/>
              </w:rPr>
              <w:t>43,184,000.00</w:t>
            </w:r>
          </w:p>
        </w:tc>
        <w:tc>
          <w:tcPr>
            <w:tcW w:w="1465"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61" w:right="0"/>
              <w:jc w:val="left"/>
              <w:rPr>
                <w:rFonts w:ascii="宋体" w:hAnsi="宋体" w:cs="宋体" w:eastAsia="宋体" w:hint="default"/>
                <w:sz w:val="18"/>
                <w:szCs w:val="18"/>
              </w:rPr>
            </w:pPr>
            <w:r>
              <w:rPr>
                <w:rFonts w:ascii="宋体"/>
                <w:sz w:val="18"/>
              </w:rPr>
              <w:t>43,184,000.00</w:t>
            </w:r>
          </w:p>
        </w:tc>
      </w:tr>
      <w:tr>
        <w:trPr>
          <w:trHeight w:val="312" w:hRule="exact"/>
        </w:trPr>
        <w:tc>
          <w:tcPr>
            <w:tcW w:w="184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1"/>
              <w:ind w:right="10"/>
              <w:jc w:val="center"/>
              <w:rPr>
                <w:rFonts w:ascii="宋体" w:hAnsi="宋体" w:cs="宋体" w:eastAsia="宋体" w:hint="default"/>
                <w:sz w:val="18"/>
                <w:szCs w:val="18"/>
              </w:rPr>
            </w:pPr>
            <w:r>
              <w:rPr>
                <w:rFonts w:ascii="宋体" w:hAnsi="宋体" w:cs="宋体" w:eastAsia="宋体" w:hint="default"/>
                <w:sz w:val="18"/>
                <w:szCs w:val="18"/>
              </w:rPr>
              <w:t>股本（股）</w:t>
            </w:r>
          </w:p>
        </w:tc>
        <w:tc>
          <w:tcPr>
            <w:tcW w:w="1670" w:type="dxa"/>
            <w:vMerge/>
            <w:tcBorders>
              <w:left w:val="single" w:sz="10" w:space="0" w:color="DCDCDC"/>
              <w:right w:val="single" w:sz="4" w:space="0" w:color="000000"/>
            </w:tcBorders>
          </w:tcPr>
          <w:p>
            <w:pPr/>
          </w:p>
        </w:tc>
        <w:tc>
          <w:tcPr>
            <w:tcW w:w="1568" w:type="dxa"/>
            <w:vMerge/>
            <w:tcBorders>
              <w:left w:val="single" w:sz="4" w:space="0" w:color="000000"/>
              <w:right w:val="single" w:sz="4" w:space="0" w:color="000000"/>
            </w:tcBorders>
          </w:tcPr>
          <w:p>
            <w:pPr/>
          </w:p>
        </w:tc>
        <w:tc>
          <w:tcPr>
            <w:tcW w:w="1704" w:type="dxa"/>
            <w:vMerge/>
            <w:tcBorders>
              <w:left w:val="single" w:sz="4" w:space="0" w:color="000000"/>
              <w:right w:val="single" w:sz="4" w:space="0" w:color="000000"/>
            </w:tcBorders>
          </w:tcPr>
          <w:p>
            <w:pPr/>
          </w:p>
        </w:tc>
        <w:tc>
          <w:tcPr>
            <w:tcW w:w="1225" w:type="dxa"/>
            <w:vMerge/>
            <w:tcBorders>
              <w:left w:val="single" w:sz="4" w:space="0" w:color="000000"/>
              <w:right w:val="single" w:sz="4" w:space="0" w:color="000000"/>
            </w:tcBorders>
          </w:tcPr>
          <w:p>
            <w:pPr/>
          </w:p>
        </w:tc>
        <w:tc>
          <w:tcPr>
            <w:tcW w:w="1465" w:type="dxa"/>
            <w:vMerge/>
            <w:tcBorders>
              <w:left w:val="single" w:sz="4" w:space="0" w:color="000000"/>
              <w:right w:val="single" w:sz="4" w:space="0" w:color="000000"/>
            </w:tcBorders>
          </w:tcPr>
          <w:p>
            <w:pPr/>
          </w:p>
        </w:tc>
        <w:tc>
          <w:tcPr>
            <w:tcW w:w="1465" w:type="dxa"/>
            <w:vMerge/>
            <w:tcBorders>
              <w:left w:val="single" w:sz="4" w:space="0" w:color="000000"/>
              <w:right w:val="single" w:sz="4" w:space="0" w:color="000000"/>
            </w:tcBorders>
          </w:tcPr>
          <w:p>
            <w:pPr/>
          </w:p>
        </w:tc>
      </w:tr>
      <w:tr>
        <w:trPr>
          <w:trHeight w:val="161" w:hRule="exact"/>
        </w:trPr>
        <w:tc>
          <w:tcPr>
            <w:tcW w:w="1847" w:type="dxa"/>
            <w:tcBorders>
              <w:top w:val="nil" w:sz="6" w:space="0" w:color="auto"/>
              <w:left w:val="single" w:sz="4" w:space="0" w:color="000000"/>
              <w:bottom w:val="single" w:sz="4" w:space="0" w:color="000000"/>
              <w:right w:val="single" w:sz="4" w:space="0" w:color="000000"/>
            </w:tcBorders>
            <w:shd w:val="clear" w:color="auto" w:fill="DCDCDC"/>
          </w:tcPr>
          <w:p>
            <w:pPr/>
          </w:p>
        </w:tc>
        <w:tc>
          <w:tcPr>
            <w:tcW w:w="1670" w:type="dxa"/>
            <w:vMerge/>
            <w:tcBorders>
              <w:left w:val="single" w:sz="10" w:space="0" w:color="DCDCDC"/>
              <w:bottom w:val="single" w:sz="4" w:space="0" w:color="000000"/>
              <w:right w:val="single" w:sz="4" w:space="0" w:color="000000"/>
            </w:tcBorders>
          </w:tcPr>
          <w:p>
            <w:pPr/>
          </w:p>
        </w:tc>
        <w:tc>
          <w:tcPr>
            <w:tcW w:w="1568" w:type="dxa"/>
            <w:vMerge/>
            <w:tcBorders>
              <w:left w:val="single" w:sz="4" w:space="0" w:color="000000"/>
              <w:bottom w:val="single" w:sz="4" w:space="0" w:color="000000"/>
              <w:right w:val="single" w:sz="4" w:space="0" w:color="000000"/>
            </w:tcBorders>
          </w:tcPr>
          <w:p>
            <w:pPr/>
          </w:p>
        </w:tc>
        <w:tc>
          <w:tcPr>
            <w:tcW w:w="1704" w:type="dxa"/>
            <w:vMerge/>
            <w:tcBorders>
              <w:left w:val="single" w:sz="4" w:space="0" w:color="000000"/>
              <w:bottom w:val="single" w:sz="4" w:space="0" w:color="000000"/>
              <w:right w:val="single" w:sz="4" w:space="0" w:color="000000"/>
            </w:tcBorders>
          </w:tcPr>
          <w:p>
            <w:pPr/>
          </w:p>
        </w:tc>
        <w:tc>
          <w:tcPr>
            <w:tcW w:w="1225" w:type="dxa"/>
            <w:vMerge/>
            <w:tcBorders>
              <w:left w:val="single" w:sz="4" w:space="0" w:color="000000"/>
              <w:bottom w:val="single" w:sz="4" w:space="0" w:color="000000"/>
              <w:right w:val="single" w:sz="4" w:space="0" w:color="000000"/>
            </w:tcBorders>
          </w:tcPr>
          <w:p>
            <w:pPr/>
          </w:p>
        </w:tc>
        <w:tc>
          <w:tcPr>
            <w:tcW w:w="1465" w:type="dxa"/>
            <w:vMerge/>
            <w:tcBorders>
              <w:left w:val="single" w:sz="4" w:space="0" w:color="000000"/>
              <w:bottom w:val="single" w:sz="4" w:space="0" w:color="000000"/>
              <w:right w:val="single" w:sz="4" w:space="0" w:color="000000"/>
            </w:tcBorders>
          </w:tcPr>
          <w:p>
            <w:pPr/>
          </w:p>
        </w:tc>
        <w:tc>
          <w:tcPr>
            <w:tcW w:w="1465" w:type="dxa"/>
            <w:vMerge/>
            <w:tcBorders>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7"/>
          <w:szCs w:val="17"/>
        </w:rPr>
      </w:pPr>
    </w:p>
    <w:p>
      <w:pPr>
        <w:pStyle w:val="Heading2"/>
        <w:spacing w:line="240" w:lineRule="auto" w:before="35"/>
        <w:ind w:left="1420" w:right="0"/>
        <w:jc w:val="left"/>
        <w:rPr>
          <w:b w:val="0"/>
          <w:bCs w:val="0"/>
        </w:rPr>
      </w:pPr>
      <w:r>
        <w:rPr/>
        <w:t>二、主要财务指标</w:t>
      </w:r>
      <w:r>
        <w:rPr>
          <w:b w:val="0"/>
          <w:bCs w:val="0"/>
        </w:rPr>
      </w:r>
    </w:p>
    <w:p>
      <w:pPr>
        <w:spacing w:line="240" w:lineRule="auto" w:before="0"/>
        <w:rPr>
          <w:rFonts w:ascii="宋体" w:hAnsi="宋体" w:cs="宋体" w:eastAsia="宋体" w:hint="default"/>
          <w:b/>
          <w:bCs/>
          <w:sz w:val="18"/>
          <w:szCs w:val="18"/>
        </w:rPr>
      </w:pPr>
    </w:p>
    <w:p>
      <w:pPr>
        <w:pStyle w:val="BodyText"/>
        <w:spacing w:line="240" w:lineRule="auto" w:before="35"/>
        <w:ind w:left="0" w:right="1436"/>
        <w:jc w:val="right"/>
      </w:pPr>
      <w:r>
        <w:rPr/>
        <w:t>单位：元</w:t>
      </w:r>
    </w:p>
    <w:p>
      <w:pPr>
        <w:spacing w:line="240" w:lineRule="auto" w:before="13"/>
        <w:rPr>
          <w:rFonts w:ascii="宋体" w:hAnsi="宋体" w:cs="宋体" w:eastAsia="宋体" w:hint="default"/>
          <w:sz w:val="3"/>
          <w:szCs w:val="3"/>
        </w:rPr>
      </w:pPr>
    </w:p>
    <w:tbl>
      <w:tblPr>
        <w:tblW w:w="0" w:type="auto"/>
        <w:jc w:val="left"/>
        <w:tblInd w:w="665" w:type="dxa"/>
        <w:tblLayout w:type="fixed"/>
        <w:tblCellMar>
          <w:top w:w="0" w:type="dxa"/>
          <w:left w:w="0" w:type="dxa"/>
          <w:bottom w:w="0" w:type="dxa"/>
          <w:right w:w="0" w:type="dxa"/>
        </w:tblCellMar>
        <w:tblLook w:val="01E0"/>
      </w:tblPr>
      <w:tblGrid>
        <w:gridCol w:w="2005"/>
        <w:gridCol w:w="1312"/>
        <w:gridCol w:w="1301"/>
        <w:gridCol w:w="1300"/>
        <w:gridCol w:w="1300"/>
        <w:gridCol w:w="1301"/>
        <w:gridCol w:w="1300"/>
      </w:tblGrid>
      <w:tr>
        <w:trPr>
          <w:trHeight w:val="161" w:hRule="exact"/>
        </w:trPr>
        <w:tc>
          <w:tcPr>
            <w:tcW w:w="2005" w:type="dxa"/>
            <w:tcBorders>
              <w:top w:val="single" w:sz="4" w:space="0" w:color="000000"/>
              <w:left w:val="single" w:sz="4" w:space="0" w:color="000000"/>
              <w:bottom w:val="nil" w:sz="6" w:space="0" w:color="auto"/>
              <w:right w:val="single" w:sz="4" w:space="0" w:color="000000"/>
            </w:tcBorders>
            <w:shd w:val="clear" w:color="auto" w:fill="DCDCDC"/>
          </w:tcPr>
          <w:p>
            <w:pPr/>
          </w:p>
        </w:tc>
        <w:tc>
          <w:tcPr>
            <w:tcW w:w="1312" w:type="dxa"/>
            <w:tcBorders>
              <w:top w:val="single" w:sz="4" w:space="0" w:color="000000"/>
              <w:left w:val="single" w:sz="4" w:space="0" w:color="000000"/>
              <w:bottom w:val="nil" w:sz="6" w:space="0" w:color="auto"/>
              <w:right w:val="single" w:sz="4" w:space="0" w:color="000000"/>
            </w:tcBorders>
            <w:shd w:val="clear" w:color="auto" w:fill="DCDCDC"/>
          </w:tcPr>
          <w:p>
            <w:pPr/>
          </w:p>
        </w:tc>
        <w:tc>
          <w:tcPr>
            <w:tcW w:w="2600"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1300" w:type="dxa"/>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10"/>
              <w:ind w:left="283" w:right="101" w:hanging="180"/>
              <w:jc w:val="left"/>
              <w:rPr>
                <w:rFonts w:ascii="宋体" w:hAnsi="宋体" w:cs="宋体" w:eastAsia="宋体" w:hint="default"/>
                <w:sz w:val="18"/>
                <w:szCs w:val="18"/>
              </w:rPr>
            </w:pPr>
            <w:r>
              <w:rPr>
                <w:rFonts w:ascii="宋体" w:hAnsi="宋体" w:cs="宋体" w:eastAsia="宋体" w:hint="default"/>
                <w:b/>
                <w:bCs/>
                <w:sz w:val="18"/>
                <w:szCs w:val="18"/>
              </w:rPr>
              <w:t>本年比上年增</w:t>
            </w:r>
            <w:r>
              <w:rPr>
                <w:rFonts w:ascii="宋体" w:hAnsi="宋体" w:cs="宋体" w:eastAsia="宋体" w:hint="default"/>
                <w:b/>
                <w:bCs/>
                <w:w w:val="99"/>
                <w:sz w:val="18"/>
                <w:szCs w:val="18"/>
              </w:rPr>
              <w:t> </w:t>
            </w:r>
            <w:r>
              <w:rPr>
                <w:rFonts w:ascii="宋体" w:hAnsi="宋体" w:cs="宋体" w:eastAsia="宋体" w:hint="default"/>
                <w:b/>
                <w:bCs/>
                <w:sz w:val="18"/>
                <w:szCs w:val="18"/>
              </w:rPr>
              <w:t>减（％）</w:t>
            </w:r>
            <w:r>
              <w:rPr>
                <w:rFonts w:ascii="宋体" w:hAnsi="宋体" w:cs="宋体" w:eastAsia="宋体" w:hint="default"/>
                <w:sz w:val="18"/>
                <w:szCs w:val="18"/>
              </w:rPr>
            </w:r>
          </w:p>
        </w:tc>
        <w:tc>
          <w:tcPr>
            <w:tcW w:w="2600" w:type="dxa"/>
            <w:gridSpan w:val="2"/>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12" w:hRule="exact"/>
        </w:trPr>
        <w:tc>
          <w:tcPr>
            <w:tcW w:w="2005" w:type="dxa"/>
            <w:tcBorders>
              <w:top w:val="nil" w:sz="6" w:space="0" w:color="auto"/>
              <w:left w:val="single" w:sz="4" w:space="0" w:color="000000"/>
              <w:bottom w:val="nil" w:sz="6" w:space="0" w:color="auto"/>
              <w:right w:val="single" w:sz="4" w:space="0" w:color="000000"/>
            </w:tcBorders>
            <w:shd w:val="clear" w:color="auto" w:fill="DCDCDC"/>
          </w:tcPr>
          <w:p>
            <w:pPr/>
          </w:p>
        </w:tc>
        <w:tc>
          <w:tcPr>
            <w:tcW w:w="131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0"/>
              <w:ind w:left="361" w:right="0"/>
              <w:jc w:val="left"/>
              <w:rPr>
                <w:rFonts w:ascii="宋体" w:hAnsi="宋体" w:cs="宋体" w:eastAsia="宋体" w:hint="default"/>
                <w:sz w:val="18"/>
                <w:szCs w:val="18"/>
              </w:rPr>
            </w:pPr>
            <w:r>
              <w:rPr>
                <w:rFonts w:ascii="宋体" w:hAnsi="宋体" w:cs="宋体" w:eastAsia="宋体" w:hint="default"/>
                <w:b/>
                <w:bCs/>
                <w:sz w:val="18"/>
                <w:szCs w:val="18"/>
              </w:rPr>
              <w:t>2010</w:t>
            </w:r>
            <w:r>
              <w:rPr>
                <w:rFonts w:ascii="宋体" w:hAnsi="宋体" w:cs="宋体" w:eastAsia="宋体" w:hint="default"/>
                <w:b/>
                <w:bCs/>
                <w:spacing w:val="-47"/>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c>
          <w:tcPr>
            <w:tcW w:w="2600"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2009</w:t>
            </w:r>
            <w:r>
              <w:rPr>
                <w:rFonts w:ascii="宋体" w:hAnsi="宋体" w:cs="宋体" w:eastAsia="宋体" w:hint="default"/>
                <w:b/>
                <w:bCs/>
                <w:spacing w:val="-47"/>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c>
          <w:tcPr>
            <w:tcW w:w="1300" w:type="dxa"/>
            <w:vMerge/>
            <w:tcBorders>
              <w:left w:val="single" w:sz="4" w:space="0" w:color="000000"/>
              <w:right w:val="single" w:sz="4" w:space="0" w:color="000000"/>
            </w:tcBorders>
            <w:shd w:val="clear" w:color="auto" w:fill="DCDCDC"/>
          </w:tcPr>
          <w:p>
            <w:pPr/>
          </w:p>
        </w:tc>
        <w:tc>
          <w:tcPr>
            <w:tcW w:w="2600"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2008</w:t>
            </w:r>
            <w:r>
              <w:rPr>
                <w:rFonts w:ascii="宋体" w:hAnsi="宋体" w:cs="宋体" w:eastAsia="宋体" w:hint="default"/>
                <w:b/>
                <w:bCs/>
                <w:spacing w:val="-47"/>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r>
      <w:tr>
        <w:trPr>
          <w:trHeight w:val="161" w:hRule="exact"/>
        </w:trPr>
        <w:tc>
          <w:tcPr>
            <w:tcW w:w="2005" w:type="dxa"/>
            <w:tcBorders>
              <w:top w:val="nil" w:sz="6" w:space="0" w:color="auto"/>
              <w:left w:val="single" w:sz="4" w:space="0" w:color="000000"/>
              <w:bottom w:val="single" w:sz="4" w:space="0" w:color="000000"/>
              <w:right w:val="single" w:sz="4" w:space="0" w:color="000000"/>
            </w:tcBorders>
            <w:shd w:val="clear" w:color="auto" w:fill="DCDCDC"/>
          </w:tcPr>
          <w:p>
            <w:pPr/>
          </w:p>
        </w:tc>
        <w:tc>
          <w:tcPr>
            <w:tcW w:w="1312" w:type="dxa"/>
            <w:tcBorders>
              <w:top w:val="nil" w:sz="6" w:space="0" w:color="auto"/>
              <w:left w:val="single" w:sz="4" w:space="0" w:color="000000"/>
              <w:bottom w:val="single" w:sz="4" w:space="0" w:color="000000"/>
              <w:right w:val="single" w:sz="4" w:space="0" w:color="000000"/>
            </w:tcBorders>
            <w:shd w:val="clear" w:color="auto" w:fill="DCDCDC"/>
          </w:tcPr>
          <w:p>
            <w:pPr/>
          </w:p>
        </w:tc>
        <w:tc>
          <w:tcPr>
            <w:tcW w:w="2600"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1300" w:type="dxa"/>
            <w:vMerge/>
            <w:tcBorders>
              <w:left w:val="single" w:sz="4" w:space="0" w:color="000000"/>
              <w:bottom w:val="single" w:sz="4" w:space="0" w:color="000000"/>
              <w:right w:val="single" w:sz="4" w:space="0" w:color="000000"/>
            </w:tcBorders>
            <w:shd w:val="clear" w:color="auto" w:fill="DCDCDC"/>
          </w:tcPr>
          <w:p>
            <w:pPr/>
          </w:p>
        </w:tc>
        <w:tc>
          <w:tcPr>
            <w:tcW w:w="2600" w:type="dxa"/>
            <w:gridSpan w:val="2"/>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22" w:hRule="exact"/>
        </w:trPr>
        <w:tc>
          <w:tcPr>
            <w:tcW w:w="2005"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31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4" w:right="0"/>
              <w:jc w:val="left"/>
              <w:rPr>
                <w:rFonts w:ascii="宋体" w:hAnsi="宋体" w:cs="宋体" w:eastAsia="宋体" w:hint="default"/>
                <w:sz w:val="18"/>
                <w:szCs w:val="18"/>
              </w:rPr>
            </w:pPr>
            <w:r>
              <w:rPr>
                <w:rFonts w:ascii="宋体" w:hAnsi="宋体" w:cs="宋体" w:eastAsia="宋体" w:hint="default"/>
                <w:b/>
                <w:bCs/>
                <w:sz w:val="18"/>
                <w:szCs w:val="18"/>
              </w:rPr>
              <w:t>调整前</w:t>
            </w:r>
            <w:r>
              <w:rPr>
                <w:rFonts w:ascii="宋体" w:hAnsi="宋体" w:cs="宋体" w:eastAsia="宋体" w:hint="default"/>
                <w:sz w:val="18"/>
                <w:szCs w:val="18"/>
              </w:rPr>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b/>
                <w:bCs/>
                <w:sz w:val="18"/>
                <w:szCs w:val="18"/>
              </w:rPr>
              <w:t>调整后</w:t>
            </w:r>
            <w:r>
              <w:rPr>
                <w:rFonts w:ascii="宋体" w:hAnsi="宋体" w:cs="宋体" w:eastAsia="宋体" w:hint="default"/>
                <w:sz w:val="18"/>
                <w:szCs w:val="18"/>
              </w:rPr>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b/>
                <w:bCs/>
                <w:sz w:val="18"/>
                <w:szCs w:val="18"/>
              </w:rPr>
              <w:t>调整后</w:t>
            </w:r>
            <w:r>
              <w:rPr>
                <w:rFonts w:ascii="宋体" w:hAnsi="宋体" w:cs="宋体" w:eastAsia="宋体" w:hint="default"/>
                <w:sz w:val="18"/>
                <w:szCs w:val="18"/>
              </w:rPr>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4" w:right="0"/>
              <w:jc w:val="left"/>
              <w:rPr>
                <w:rFonts w:ascii="宋体" w:hAnsi="宋体" w:cs="宋体" w:eastAsia="宋体" w:hint="default"/>
                <w:sz w:val="18"/>
                <w:szCs w:val="18"/>
              </w:rPr>
            </w:pPr>
            <w:r>
              <w:rPr>
                <w:rFonts w:ascii="宋体" w:hAnsi="宋体" w:cs="宋体" w:eastAsia="宋体" w:hint="default"/>
                <w:b/>
                <w:bCs/>
                <w:sz w:val="18"/>
                <w:szCs w:val="18"/>
              </w:rPr>
              <w:t>调整前</w:t>
            </w:r>
            <w:r>
              <w:rPr>
                <w:rFonts w:ascii="宋体" w:hAnsi="宋体" w:cs="宋体" w:eastAsia="宋体" w:hint="default"/>
                <w:sz w:val="18"/>
                <w:szCs w:val="18"/>
              </w:rPr>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b/>
                <w:bCs/>
                <w:sz w:val="18"/>
                <w:szCs w:val="18"/>
              </w:rPr>
              <w:t>调整后</w:t>
            </w:r>
            <w:r>
              <w:rPr>
                <w:rFonts w:ascii="宋体" w:hAnsi="宋体" w:cs="宋体" w:eastAsia="宋体" w:hint="default"/>
                <w:sz w:val="18"/>
                <w:szCs w:val="18"/>
              </w:rPr>
            </w:r>
          </w:p>
        </w:tc>
      </w:tr>
      <w:tr>
        <w:trPr>
          <w:trHeight w:val="323" w:hRule="exact"/>
        </w:trPr>
        <w:tc>
          <w:tcPr>
            <w:tcW w:w="20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基本每股收益（元/股）</w:t>
            </w:r>
          </w:p>
        </w:tc>
        <w:tc>
          <w:tcPr>
            <w:tcW w:w="131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1.04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2.72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1.09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-4.59%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1.40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0.55</w:t>
            </w:r>
          </w:p>
        </w:tc>
      </w:tr>
      <w:tr>
        <w:trPr>
          <w:trHeight w:val="322" w:hRule="exact"/>
        </w:trPr>
        <w:tc>
          <w:tcPr>
            <w:tcW w:w="20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稀释每股收益（元/股）</w:t>
            </w:r>
          </w:p>
        </w:tc>
        <w:tc>
          <w:tcPr>
            <w:tcW w:w="131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1.04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2.72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1.09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-4.59%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1.40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0.55</w:t>
            </w:r>
          </w:p>
        </w:tc>
      </w:tr>
      <w:tr>
        <w:trPr>
          <w:trHeight w:val="635" w:hRule="exact"/>
        </w:trPr>
        <w:tc>
          <w:tcPr>
            <w:tcW w:w="20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11" w:right="91"/>
              <w:jc w:val="left"/>
              <w:rPr>
                <w:rFonts w:ascii="宋体" w:hAnsi="宋体" w:cs="宋体" w:eastAsia="宋体" w:hint="default"/>
                <w:sz w:val="18"/>
                <w:szCs w:val="18"/>
              </w:rPr>
            </w:pPr>
            <w:r>
              <w:rPr>
                <w:rFonts w:ascii="宋体" w:hAnsi="宋体" w:cs="宋体" w:eastAsia="宋体" w:hint="default"/>
                <w:sz w:val="18"/>
                <w:szCs w:val="18"/>
              </w:rPr>
              <w:t>扣除非经常性损益后的 基本每股收益（元/股）</w:t>
            </w:r>
          </w:p>
        </w:tc>
        <w:tc>
          <w:tcPr>
            <w:tcW w:w="131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1.03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2.67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1.07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-3.74%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1.23</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0.49</w:t>
            </w:r>
          </w:p>
        </w:tc>
      </w:tr>
    </w:tbl>
    <w:p>
      <w:pPr>
        <w:spacing w:after="0" w:line="240" w:lineRule="auto"/>
        <w:jc w:val="right"/>
        <w:rPr>
          <w:rFonts w:ascii="宋体" w:hAnsi="宋体" w:cs="宋体" w:eastAsia="宋体" w:hint="default"/>
          <w:sz w:val="18"/>
          <w:szCs w:val="18"/>
        </w:rPr>
        <w:sectPr>
          <w:pgSz w:w="11910" w:h="16840"/>
          <w:pgMar w:header="851" w:footer="982" w:top="1360" w:bottom="1180" w:left="380" w:right="360"/>
        </w:sectPr>
      </w:pPr>
    </w:p>
    <w:p>
      <w:pPr>
        <w:spacing w:line="240" w:lineRule="auto" w:before="1"/>
        <w:rPr>
          <w:rFonts w:ascii="宋体" w:hAnsi="宋体" w:cs="宋体" w:eastAsia="宋体" w:hint="default"/>
          <w:sz w:val="6"/>
          <w:szCs w:val="6"/>
        </w:rPr>
      </w:pPr>
    </w:p>
    <w:tbl>
      <w:tblPr>
        <w:tblW w:w="0" w:type="auto"/>
        <w:jc w:val="left"/>
        <w:tblInd w:w="114" w:type="dxa"/>
        <w:tblLayout w:type="fixed"/>
        <w:tblCellMar>
          <w:top w:w="0" w:type="dxa"/>
          <w:left w:w="0" w:type="dxa"/>
          <w:bottom w:w="0" w:type="dxa"/>
          <w:right w:w="0" w:type="dxa"/>
        </w:tblCellMar>
        <w:tblLook w:val="01E0"/>
      </w:tblPr>
      <w:tblGrid>
        <w:gridCol w:w="2016"/>
        <w:gridCol w:w="1312"/>
        <w:gridCol w:w="1301"/>
        <w:gridCol w:w="1300"/>
        <w:gridCol w:w="1300"/>
        <w:gridCol w:w="1301"/>
        <w:gridCol w:w="1300"/>
      </w:tblGrid>
      <w:tr>
        <w:trPr>
          <w:trHeight w:val="634" w:hRule="exact"/>
        </w:trPr>
        <w:tc>
          <w:tcPr>
            <w:tcW w:w="20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w:t>
            </w:r>
          </w:p>
        </w:tc>
        <w:tc>
          <w:tcPr>
            <w:tcW w:w="131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13.64%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33.20%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32.85%</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-19.21%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62.99%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59.01%</w:t>
            </w:r>
          </w:p>
        </w:tc>
      </w:tr>
      <w:tr>
        <w:trPr>
          <w:trHeight w:val="947" w:hRule="exact"/>
        </w:trPr>
        <w:tc>
          <w:tcPr>
            <w:tcW w:w="20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22" w:right="181"/>
              <w:jc w:val="left"/>
              <w:rPr>
                <w:rFonts w:ascii="宋体" w:hAnsi="宋体" w:cs="宋体" w:eastAsia="宋体" w:hint="default"/>
                <w:sz w:val="18"/>
                <w:szCs w:val="18"/>
              </w:rPr>
            </w:pPr>
            <w:r>
              <w:rPr>
                <w:rFonts w:ascii="宋体" w:hAnsi="宋体" w:cs="宋体" w:eastAsia="宋体" w:hint="default"/>
                <w:sz w:val="18"/>
                <w:szCs w:val="18"/>
              </w:rPr>
              <w:t>扣除非经常性损益后的 加权平均净资产收益率</w:t>
            </w:r>
          </w:p>
          <w:p>
            <w:pPr>
              <w:pStyle w:val="TableParagraph"/>
              <w:spacing w:line="240" w:lineRule="auto" w:before="19"/>
              <w:ind w:left="22" w:right="0"/>
              <w:jc w:val="left"/>
              <w:rPr>
                <w:rFonts w:ascii="宋体" w:hAnsi="宋体" w:cs="宋体" w:eastAsia="宋体" w:hint="default"/>
                <w:sz w:val="18"/>
                <w:szCs w:val="18"/>
              </w:rPr>
            </w:pPr>
            <w:r>
              <w:rPr>
                <w:rFonts w:ascii="宋体" w:hAnsi="宋体" w:cs="宋体" w:eastAsia="宋体" w:hint="default"/>
                <w:sz w:val="18"/>
                <w:szCs w:val="18"/>
              </w:rPr>
              <w:t>（%）</w:t>
            </w:r>
          </w:p>
        </w:tc>
        <w:tc>
          <w:tcPr>
            <w:tcW w:w="131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20"/>
              <w:jc w:val="right"/>
              <w:rPr>
                <w:rFonts w:ascii="宋体" w:hAnsi="宋体" w:cs="宋体" w:eastAsia="宋体" w:hint="default"/>
                <w:sz w:val="18"/>
                <w:szCs w:val="18"/>
              </w:rPr>
            </w:pPr>
            <w:r>
              <w:rPr>
                <w:rFonts w:ascii="宋体"/>
                <w:sz w:val="18"/>
              </w:rPr>
              <w:t>13.52%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20"/>
              <w:jc w:val="right"/>
              <w:rPr>
                <w:rFonts w:ascii="宋体" w:hAnsi="宋体" w:cs="宋体" w:eastAsia="宋体" w:hint="default"/>
                <w:sz w:val="18"/>
                <w:szCs w:val="18"/>
              </w:rPr>
            </w:pPr>
            <w:r>
              <w:rPr>
                <w:rFonts w:ascii="宋体"/>
                <w:sz w:val="18"/>
              </w:rPr>
              <w:t>32.51%</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20"/>
              <w:jc w:val="right"/>
              <w:rPr>
                <w:rFonts w:ascii="宋体" w:hAnsi="宋体" w:cs="宋体" w:eastAsia="宋体" w:hint="default"/>
                <w:sz w:val="18"/>
                <w:szCs w:val="18"/>
              </w:rPr>
            </w:pPr>
            <w:r>
              <w:rPr>
                <w:rFonts w:ascii="宋体"/>
                <w:sz w:val="18"/>
              </w:rPr>
              <w:t>32.51%</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20"/>
              <w:jc w:val="right"/>
              <w:rPr>
                <w:rFonts w:ascii="宋体" w:hAnsi="宋体" w:cs="宋体" w:eastAsia="宋体" w:hint="default"/>
                <w:sz w:val="18"/>
                <w:szCs w:val="18"/>
              </w:rPr>
            </w:pPr>
            <w:r>
              <w:rPr>
                <w:rFonts w:ascii="宋体"/>
                <w:sz w:val="18"/>
              </w:rPr>
              <w:t>-18.99%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20"/>
              <w:jc w:val="right"/>
              <w:rPr>
                <w:rFonts w:ascii="宋体" w:hAnsi="宋体" w:cs="宋体" w:eastAsia="宋体" w:hint="default"/>
                <w:sz w:val="18"/>
                <w:szCs w:val="18"/>
              </w:rPr>
            </w:pPr>
            <w:r>
              <w:rPr>
                <w:rFonts w:ascii="宋体"/>
                <w:sz w:val="18"/>
              </w:rPr>
              <w:t>55.68%</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20"/>
              <w:jc w:val="right"/>
              <w:rPr>
                <w:rFonts w:ascii="宋体" w:hAnsi="宋体" w:cs="宋体" w:eastAsia="宋体" w:hint="default"/>
                <w:sz w:val="18"/>
                <w:szCs w:val="18"/>
              </w:rPr>
            </w:pPr>
            <w:r>
              <w:rPr>
                <w:rFonts w:ascii="宋体"/>
                <w:sz w:val="18"/>
              </w:rPr>
              <w:t>55.68%</w:t>
            </w:r>
          </w:p>
        </w:tc>
      </w:tr>
      <w:tr>
        <w:trPr>
          <w:trHeight w:val="634" w:hRule="exact"/>
        </w:trPr>
        <w:tc>
          <w:tcPr>
            <w:tcW w:w="20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22" w:right="181"/>
              <w:jc w:val="left"/>
              <w:rPr>
                <w:rFonts w:ascii="宋体" w:hAnsi="宋体" w:cs="宋体" w:eastAsia="宋体" w:hint="default"/>
                <w:sz w:val="18"/>
                <w:szCs w:val="18"/>
              </w:rPr>
            </w:pPr>
            <w:r>
              <w:rPr>
                <w:rFonts w:ascii="宋体" w:hAnsi="宋体" w:cs="宋体" w:eastAsia="宋体" w:hint="default"/>
                <w:sz w:val="18"/>
                <w:szCs w:val="18"/>
              </w:rPr>
              <w:t>每股经营活动产生的现 金流量净额（元/股）</w:t>
            </w:r>
          </w:p>
        </w:tc>
        <w:tc>
          <w:tcPr>
            <w:tcW w:w="131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0.62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1.68</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1.68</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-63.10%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3.33</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3.35</w:t>
            </w:r>
          </w:p>
        </w:tc>
      </w:tr>
      <w:tr>
        <w:trPr>
          <w:trHeight w:val="161" w:hRule="exact"/>
        </w:trPr>
        <w:tc>
          <w:tcPr>
            <w:tcW w:w="2016" w:type="dxa"/>
            <w:tcBorders>
              <w:top w:val="single" w:sz="4" w:space="0" w:color="000000"/>
              <w:left w:val="single" w:sz="4" w:space="0" w:color="000000"/>
              <w:bottom w:val="nil" w:sz="6" w:space="0" w:color="auto"/>
              <w:right w:val="single" w:sz="4" w:space="0" w:color="000000"/>
            </w:tcBorders>
            <w:shd w:val="clear" w:color="auto" w:fill="DCDCDC"/>
          </w:tcPr>
          <w:p>
            <w:pPr/>
          </w:p>
        </w:tc>
        <w:tc>
          <w:tcPr>
            <w:tcW w:w="1312" w:type="dxa"/>
            <w:tcBorders>
              <w:top w:val="single" w:sz="4" w:space="0" w:color="000000"/>
              <w:left w:val="single" w:sz="4" w:space="0" w:color="000000"/>
              <w:bottom w:val="nil" w:sz="6" w:space="0" w:color="auto"/>
              <w:right w:val="single" w:sz="4" w:space="0" w:color="000000"/>
            </w:tcBorders>
            <w:shd w:val="clear" w:color="auto" w:fill="DCDCDC"/>
          </w:tcPr>
          <w:p>
            <w:pPr/>
          </w:p>
        </w:tc>
        <w:tc>
          <w:tcPr>
            <w:tcW w:w="2600"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1300" w:type="dxa"/>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b/>
                <w:bCs/>
                <w:sz w:val="18"/>
                <w:szCs w:val="18"/>
              </w:rPr>
              <w:t>本年末比上年</w:t>
            </w:r>
            <w:r>
              <w:rPr>
                <w:rFonts w:ascii="宋体" w:hAnsi="宋体" w:cs="宋体" w:eastAsia="宋体" w:hint="default"/>
                <w:b/>
                <w:bCs/>
                <w:w w:val="99"/>
                <w:sz w:val="18"/>
                <w:szCs w:val="18"/>
              </w:rPr>
              <w:t> </w:t>
            </w:r>
            <w:r>
              <w:rPr>
                <w:rFonts w:ascii="宋体" w:hAnsi="宋体" w:cs="宋体" w:eastAsia="宋体" w:hint="default"/>
                <w:b/>
                <w:bCs/>
                <w:sz w:val="18"/>
                <w:szCs w:val="18"/>
              </w:rPr>
              <w:t>末增减（％）</w:t>
            </w:r>
            <w:r>
              <w:rPr>
                <w:rFonts w:ascii="宋体" w:hAnsi="宋体" w:cs="宋体" w:eastAsia="宋体" w:hint="default"/>
                <w:sz w:val="18"/>
                <w:szCs w:val="18"/>
              </w:rPr>
            </w:r>
          </w:p>
        </w:tc>
        <w:tc>
          <w:tcPr>
            <w:tcW w:w="2600" w:type="dxa"/>
            <w:gridSpan w:val="2"/>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12" w:hRule="exact"/>
        </w:trPr>
        <w:tc>
          <w:tcPr>
            <w:tcW w:w="2016" w:type="dxa"/>
            <w:tcBorders>
              <w:top w:val="nil" w:sz="6" w:space="0" w:color="auto"/>
              <w:left w:val="single" w:sz="4" w:space="0" w:color="000000"/>
              <w:bottom w:val="nil" w:sz="6" w:space="0" w:color="auto"/>
              <w:right w:val="single" w:sz="4" w:space="0" w:color="000000"/>
            </w:tcBorders>
            <w:shd w:val="clear" w:color="auto" w:fill="DCDCDC"/>
          </w:tcPr>
          <w:p>
            <w:pPr/>
          </w:p>
        </w:tc>
        <w:tc>
          <w:tcPr>
            <w:tcW w:w="131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0"/>
              <w:ind w:left="271" w:right="0"/>
              <w:jc w:val="left"/>
              <w:rPr>
                <w:rFonts w:ascii="宋体" w:hAnsi="宋体" w:cs="宋体" w:eastAsia="宋体" w:hint="default"/>
                <w:sz w:val="18"/>
                <w:szCs w:val="18"/>
              </w:rPr>
            </w:pPr>
            <w:r>
              <w:rPr>
                <w:rFonts w:ascii="宋体" w:hAnsi="宋体" w:cs="宋体" w:eastAsia="宋体" w:hint="default"/>
                <w:b/>
                <w:bCs/>
                <w:sz w:val="18"/>
                <w:szCs w:val="18"/>
              </w:rPr>
              <w:t>2010</w:t>
            </w:r>
            <w:r>
              <w:rPr>
                <w:rFonts w:ascii="宋体" w:hAnsi="宋体" w:cs="宋体" w:eastAsia="宋体" w:hint="default"/>
                <w:b/>
                <w:bCs/>
                <w:spacing w:val="-49"/>
                <w:sz w:val="18"/>
                <w:szCs w:val="18"/>
              </w:rPr>
              <w:t> </w:t>
            </w:r>
            <w:r>
              <w:rPr>
                <w:rFonts w:ascii="宋体" w:hAnsi="宋体" w:cs="宋体" w:eastAsia="宋体" w:hint="default"/>
                <w:b/>
                <w:bCs/>
                <w:sz w:val="18"/>
                <w:szCs w:val="18"/>
              </w:rPr>
              <w:t>年末</w:t>
            </w:r>
            <w:r>
              <w:rPr>
                <w:rFonts w:ascii="宋体" w:hAnsi="宋体" w:cs="宋体" w:eastAsia="宋体" w:hint="default"/>
                <w:sz w:val="18"/>
                <w:szCs w:val="18"/>
              </w:rPr>
            </w:r>
          </w:p>
        </w:tc>
        <w:tc>
          <w:tcPr>
            <w:tcW w:w="2600"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2009</w:t>
            </w:r>
            <w:r>
              <w:rPr>
                <w:rFonts w:ascii="宋体" w:hAnsi="宋体" w:cs="宋体" w:eastAsia="宋体" w:hint="default"/>
                <w:b/>
                <w:bCs/>
                <w:spacing w:val="-49"/>
                <w:sz w:val="18"/>
                <w:szCs w:val="18"/>
              </w:rPr>
              <w:t> </w:t>
            </w:r>
            <w:r>
              <w:rPr>
                <w:rFonts w:ascii="宋体" w:hAnsi="宋体" w:cs="宋体" w:eastAsia="宋体" w:hint="default"/>
                <w:b/>
                <w:bCs/>
                <w:sz w:val="18"/>
                <w:szCs w:val="18"/>
              </w:rPr>
              <w:t>年末</w:t>
            </w:r>
            <w:r>
              <w:rPr>
                <w:rFonts w:ascii="宋体" w:hAnsi="宋体" w:cs="宋体" w:eastAsia="宋体" w:hint="default"/>
                <w:sz w:val="18"/>
                <w:szCs w:val="18"/>
              </w:rPr>
            </w:r>
          </w:p>
        </w:tc>
        <w:tc>
          <w:tcPr>
            <w:tcW w:w="1300" w:type="dxa"/>
            <w:vMerge/>
            <w:tcBorders>
              <w:left w:val="single" w:sz="4" w:space="0" w:color="000000"/>
              <w:right w:val="single" w:sz="4" w:space="0" w:color="000000"/>
            </w:tcBorders>
            <w:shd w:val="clear" w:color="auto" w:fill="DCDCDC"/>
          </w:tcPr>
          <w:p>
            <w:pPr/>
          </w:p>
        </w:tc>
        <w:tc>
          <w:tcPr>
            <w:tcW w:w="2600"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2008</w:t>
            </w:r>
            <w:r>
              <w:rPr>
                <w:rFonts w:ascii="宋体" w:hAnsi="宋体" w:cs="宋体" w:eastAsia="宋体" w:hint="default"/>
                <w:b/>
                <w:bCs/>
                <w:spacing w:val="-49"/>
                <w:sz w:val="18"/>
                <w:szCs w:val="18"/>
              </w:rPr>
              <w:t> </w:t>
            </w:r>
            <w:r>
              <w:rPr>
                <w:rFonts w:ascii="宋体" w:hAnsi="宋体" w:cs="宋体" w:eastAsia="宋体" w:hint="default"/>
                <w:b/>
                <w:bCs/>
                <w:sz w:val="18"/>
                <w:szCs w:val="18"/>
              </w:rPr>
              <w:t>年末</w:t>
            </w:r>
            <w:r>
              <w:rPr>
                <w:rFonts w:ascii="宋体" w:hAnsi="宋体" w:cs="宋体" w:eastAsia="宋体" w:hint="default"/>
                <w:sz w:val="18"/>
                <w:szCs w:val="18"/>
              </w:rPr>
            </w:r>
          </w:p>
        </w:tc>
      </w:tr>
      <w:tr>
        <w:trPr>
          <w:trHeight w:val="161" w:hRule="exact"/>
        </w:trPr>
        <w:tc>
          <w:tcPr>
            <w:tcW w:w="2016" w:type="dxa"/>
            <w:tcBorders>
              <w:top w:val="nil" w:sz="6" w:space="0" w:color="auto"/>
              <w:left w:val="single" w:sz="4" w:space="0" w:color="000000"/>
              <w:bottom w:val="single" w:sz="4" w:space="0" w:color="000000"/>
              <w:right w:val="single" w:sz="4" w:space="0" w:color="000000"/>
            </w:tcBorders>
            <w:shd w:val="clear" w:color="auto" w:fill="DCDCDC"/>
          </w:tcPr>
          <w:p>
            <w:pPr/>
          </w:p>
        </w:tc>
        <w:tc>
          <w:tcPr>
            <w:tcW w:w="1312" w:type="dxa"/>
            <w:tcBorders>
              <w:top w:val="nil" w:sz="6" w:space="0" w:color="auto"/>
              <w:left w:val="single" w:sz="4" w:space="0" w:color="000000"/>
              <w:bottom w:val="single" w:sz="4" w:space="0" w:color="000000"/>
              <w:right w:val="single" w:sz="4" w:space="0" w:color="000000"/>
            </w:tcBorders>
            <w:shd w:val="clear" w:color="auto" w:fill="DCDCDC"/>
          </w:tcPr>
          <w:p>
            <w:pPr/>
          </w:p>
        </w:tc>
        <w:tc>
          <w:tcPr>
            <w:tcW w:w="2600"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1300" w:type="dxa"/>
            <w:vMerge/>
            <w:tcBorders>
              <w:left w:val="single" w:sz="4" w:space="0" w:color="000000"/>
              <w:bottom w:val="single" w:sz="4" w:space="0" w:color="000000"/>
              <w:right w:val="single" w:sz="4" w:space="0" w:color="000000"/>
            </w:tcBorders>
            <w:shd w:val="clear" w:color="auto" w:fill="DCDCDC"/>
          </w:tcPr>
          <w:p>
            <w:pPr/>
          </w:p>
        </w:tc>
        <w:tc>
          <w:tcPr>
            <w:tcW w:w="2600" w:type="dxa"/>
            <w:gridSpan w:val="2"/>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23" w:hRule="exact"/>
        </w:trPr>
        <w:tc>
          <w:tcPr>
            <w:tcW w:w="2016"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31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4" w:right="0"/>
              <w:jc w:val="left"/>
              <w:rPr>
                <w:rFonts w:ascii="宋体" w:hAnsi="宋体" w:cs="宋体" w:eastAsia="宋体" w:hint="default"/>
                <w:sz w:val="18"/>
                <w:szCs w:val="18"/>
              </w:rPr>
            </w:pPr>
            <w:r>
              <w:rPr>
                <w:rFonts w:ascii="宋体" w:hAnsi="宋体" w:cs="宋体" w:eastAsia="宋体" w:hint="default"/>
                <w:b/>
                <w:bCs/>
                <w:sz w:val="18"/>
                <w:szCs w:val="18"/>
              </w:rPr>
              <w:t>调整前</w:t>
            </w:r>
            <w:r>
              <w:rPr>
                <w:rFonts w:ascii="宋体" w:hAnsi="宋体" w:cs="宋体" w:eastAsia="宋体" w:hint="default"/>
                <w:sz w:val="18"/>
                <w:szCs w:val="18"/>
              </w:rPr>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b/>
                <w:bCs/>
                <w:sz w:val="18"/>
                <w:szCs w:val="18"/>
              </w:rPr>
              <w:t>调整后</w:t>
            </w:r>
            <w:r>
              <w:rPr>
                <w:rFonts w:ascii="宋体" w:hAnsi="宋体" w:cs="宋体" w:eastAsia="宋体" w:hint="default"/>
                <w:sz w:val="18"/>
                <w:szCs w:val="18"/>
              </w:rPr>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b/>
                <w:bCs/>
                <w:sz w:val="18"/>
                <w:szCs w:val="18"/>
              </w:rPr>
              <w:t>调整后</w:t>
            </w:r>
            <w:r>
              <w:rPr>
                <w:rFonts w:ascii="宋体" w:hAnsi="宋体" w:cs="宋体" w:eastAsia="宋体" w:hint="default"/>
                <w:sz w:val="18"/>
                <w:szCs w:val="18"/>
              </w:rPr>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4" w:right="0"/>
              <w:jc w:val="left"/>
              <w:rPr>
                <w:rFonts w:ascii="宋体" w:hAnsi="宋体" w:cs="宋体" w:eastAsia="宋体" w:hint="default"/>
                <w:sz w:val="18"/>
                <w:szCs w:val="18"/>
              </w:rPr>
            </w:pPr>
            <w:r>
              <w:rPr>
                <w:rFonts w:ascii="宋体" w:hAnsi="宋体" w:cs="宋体" w:eastAsia="宋体" w:hint="default"/>
                <w:b/>
                <w:bCs/>
                <w:sz w:val="18"/>
                <w:szCs w:val="18"/>
              </w:rPr>
              <w:t>调整前</w:t>
            </w:r>
            <w:r>
              <w:rPr>
                <w:rFonts w:ascii="宋体" w:hAnsi="宋体" w:cs="宋体" w:eastAsia="宋体" w:hint="default"/>
                <w:sz w:val="18"/>
                <w:szCs w:val="18"/>
              </w:rPr>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b/>
                <w:bCs/>
                <w:sz w:val="18"/>
                <w:szCs w:val="18"/>
              </w:rPr>
              <w:t>调整后</w:t>
            </w:r>
            <w:r>
              <w:rPr>
                <w:rFonts w:ascii="宋体" w:hAnsi="宋体" w:cs="宋体" w:eastAsia="宋体" w:hint="default"/>
                <w:sz w:val="18"/>
                <w:szCs w:val="18"/>
              </w:rPr>
            </w:r>
          </w:p>
        </w:tc>
      </w:tr>
      <w:tr>
        <w:trPr>
          <w:trHeight w:val="634" w:hRule="exact"/>
        </w:trPr>
        <w:tc>
          <w:tcPr>
            <w:tcW w:w="20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22" w:right="181"/>
              <w:jc w:val="left"/>
              <w:rPr>
                <w:rFonts w:ascii="宋体" w:hAnsi="宋体" w:cs="宋体" w:eastAsia="宋体" w:hint="default"/>
                <w:sz w:val="18"/>
                <w:szCs w:val="18"/>
              </w:rPr>
            </w:pPr>
            <w:r>
              <w:rPr>
                <w:rFonts w:ascii="宋体" w:hAnsi="宋体" w:cs="宋体" w:eastAsia="宋体" w:hint="default"/>
                <w:sz w:val="18"/>
                <w:szCs w:val="18"/>
              </w:rPr>
              <w:t>归属于上市公司股东的 每股净资产（元/股）</w:t>
            </w:r>
          </w:p>
        </w:tc>
        <w:tc>
          <w:tcPr>
            <w:tcW w:w="131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8.07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17.88</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17.94</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-55.02%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5.41</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5.59</w:t>
            </w:r>
          </w:p>
        </w:tc>
      </w:tr>
    </w:tbl>
    <w:p>
      <w:pPr>
        <w:spacing w:line="240" w:lineRule="auto" w:before="4"/>
        <w:rPr>
          <w:rFonts w:ascii="宋体" w:hAnsi="宋体" w:cs="宋体" w:eastAsia="宋体" w:hint="default"/>
          <w:sz w:val="15"/>
          <w:szCs w:val="15"/>
        </w:rPr>
      </w:pPr>
    </w:p>
    <w:p>
      <w:pPr>
        <w:spacing w:line="477" w:lineRule="auto" w:before="44"/>
        <w:ind w:left="880" w:right="884" w:firstLine="360"/>
        <w:jc w:val="left"/>
        <w:rPr>
          <w:rFonts w:ascii="宋体" w:hAnsi="宋体" w:cs="宋体" w:eastAsia="宋体" w:hint="default"/>
          <w:sz w:val="18"/>
          <w:szCs w:val="18"/>
        </w:rPr>
      </w:pPr>
      <w:r>
        <w:rPr>
          <w:rFonts w:ascii="宋体" w:hAnsi="宋体" w:cs="宋体" w:eastAsia="宋体" w:hint="default"/>
          <w:sz w:val="18"/>
          <w:szCs w:val="18"/>
        </w:rPr>
        <w:t>注：报告期内，公司发生了同一控制下的企业合并，根据会计准则的规定，对2009年的营业收入、利 润总额、净利润等数据进行了追溯调整；表中所列财务指标均按中国证监会规定的计算公式计算。</w:t>
      </w:r>
    </w:p>
    <w:p>
      <w:pPr>
        <w:spacing w:line="240" w:lineRule="auto" w:before="2"/>
        <w:rPr>
          <w:rFonts w:ascii="宋体" w:hAnsi="宋体" w:cs="宋体" w:eastAsia="宋体" w:hint="default"/>
          <w:sz w:val="14"/>
          <w:szCs w:val="14"/>
        </w:rPr>
      </w:pPr>
    </w:p>
    <w:p>
      <w:pPr>
        <w:pStyle w:val="Heading2"/>
        <w:spacing w:line="240" w:lineRule="auto"/>
        <w:ind w:left="880" w:right="884"/>
        <w:jc w:val="left"/>
        <w:rPr>
          <w:b w:val="0"/>
          <w:bCs w:val="0"/>
        </w:rPr>
      </w:pPr>
      <w:r>
        <w:rPr/>
        <w:t>三、扣除非经常性损益项目和金额</w:t>
      </w:r>
      <w:r>
        <w:rPr>
          <w:b w:val="0"/>
          <w:bCs w:val="0"/>
        </w:rPr>
      </w:r>
    </w:p>
    <w:p>
      <w:pPr>
        <w:spacing w:line="240" w:lineRule="auto" w:before="9"/>
        <w:rPr>
          <w:rFonts w:ascii="宋体" w:hAnsi="宋体" w:cs="宋体" w:eastAsia="宋体" w:hint="default"/>
          <w:b/>
          <w:bCs/>
          <w:sz w:val="20"/>
          <w:szCs w:val="20"/>
        </w:rPr>
      </w:pPr>
    </w:p>
    <w:p>
      <w:pPr>
        <w:pStyle w:val="BodyText"/>
        <w:spacing w:line="240" w:lineRule="auto"/>
        <w:ind w:left="0" w:right="876"/>
        <w:jc w:val="right"/>
      </w:pPr>
      <w:r>
        <w:rPr/>
        <w:t>单位：元</w:t>
      </w:r>
    </w:p>
    <w:p>
      <w:pPr>
        <w:spacing w:line="240" w:lineRule="auto" w:before="1"/>
        <w:rPr>
          <w:rFonts w:ascii="宋体" w:hAnsi="宋体" w:cs="宋体" w:eastAsia="宋体" w:hint="default"/>
          <w:sz w:val="4"/>
          <w:szCs w:val="4"/>
        </w:rPr>
      </w:pPr>
    </w:p>
    <w:tbl>
      <w:tblPr>
        <w:tblW w:w="0" w:type="auto"/>
        <w:jc w:val="left"/>
        <w:tblInd w:w="647" w:type="dxa"/>
        <w:tblLayout w:type="fixed"/>
        <w:tblCellMar>
          <w:top w:w="0" w:type="dxa"/>
          <w:left w:w="0" w:type="dxa"/>
          <w:bottom w:w="0" w:type="dxa"/>
          <w:right w:w="0" w:type="dxa"/>
        </w:tblCellMar>
        <w:tblLook w:val="01E0"/>
      </w:tblPr>
      <w:tblGrid>
        <w:gridCol w:w="6528"/>
        <w:gridCol w:w="2234"/>
      </w:tblGrid>
      <w:tr>
        <w:trPr>
          <w:trHeight w:val="325" w:hRule="exact"/>
        </w:trPr>
        <w:tc>
          <w:tcPr>
            <w:tcW w:w="65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b/>
                <w:bCs/>
                <w:sz w:val="18"/>
                <w:szCs w:val="18"/>
              </w:rPr>
              <w:t>非经常性损益项目</w:t>
            </w:r>
            <w:r>
              <w:rPr>
                <w:rFonts w:ascii="宋体" w:hAnsi="宋体" w:cs="宋体" w:eastAsia="宋体" w:hint="default"/>
                <w:sz w:val="18"/>
                <w:szCs w:val="18"/>
              </w:rPr>
            </w:r>
          </w:p>
        </w:tc>
        <w:tc>
          <w:tcPr>
            <w:tcW w:w="22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r>
      <w:tr>
        <w:trPr>
          <w:trHeight w:val="324" w:hRule="exact"/>
        </w:trPr>
        <w:tc>
          <w:tcPr>
            <w:tcW w:w="652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223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z w:val="18"/>
              </w:rPr>
              <w:t>-927,659.01</w:t>
            </w:r>
          </w:p>
        </w:tc>
      </w:tr>
      <w:tr>
        <w:trPr>
          <w:trHeight w:val="948" w:hRule="exact"/>
        </w:trPr>
        <w:tc>
          <w:tcPr>
            <w:tcW w:w="6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316" w:lineRule="auto"/>
              <w:ind w:left="22" w:right="13"/>
              <w:jc w:val="left"/>
              <w:rPr>
                <w:rFonts w:ascii="宋体" w:hAnsi="宋体" w:cs="宋体" w:eastAsia="宋体" w:hint="default"/>
                <w:sz w:val="18"/>
                <w:szCs w:val="18"/>
              </w:rPr>
            </w:pPr>
            <w:r>
              <w:rPr>
                <w:rFonts w:ascii="宋体" w:hAnsi="宋体" w:cs="宋体" w:eastAsia="宋体" w:hint="default"/>
                <w:sz w:val="18"/>
                <w:szCs w:val="18"/>
              </w:rPr>
              <w:t>计入当期损益的政府补助，但与公司正常经营业务密切相关，符合国家政策规定、 按照一定标准定额或定量持续享受的政府补助除外</w:t>
            </w:r>
          </w:p>
        </w:tc>
        <w:tc>
          <w:tcPr>
            <w:tcW w:w="2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宋体" w:hAnsi="宋体" w:cs="宋体" w:eastAsia="宋体" w:hint="default"/>
                <w:sz w:val="18"/>
                <w:szCs w:val="18"/>
              </w:rPr>
            </w:pPr>
            <w:r>
              <w:rPr>
                <w:rFonts w:ascii="宋体"/>
                <w:sz w:val="18"/>
              </w:rPr>
              <w:t>6,563,117.20</w:t>
            </w:r>
          </w:p>
        </w:tc>
      </w:tr>
      <w:tr>
        <w:trPr>
          <w:trHeight w:val="630" w:hRule="exact"/>
        </w:trPr>
        <w:tc>
          <w:tcPr>
            <w:tcW w:w="6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同一控制下企业合并产生的子公司期初至合并日的当期净损益</w:t>
            </w:r>
          </w:p>
        </w:tc>
        <w:tc>
          <w:tcPr>
            <w:tcW w:w="2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1"/>
              <w:jc w:val="right"/>
              <w:rPr>
                <w:rFonts w:ascii="宋体" w:hAnsi="宋体" w:cs="宋体" w:eastAsia="宋体" w:hint="default"/>
                <w:sz w:val="18"/>
                <w:szCs w:val="18"/>
              </w:rPr>
            </w:pPr>
            <w:r>
              <w:rPr>
                <w:rFonts w:ascii="宋体"/>
                <w:sz w:val="18"/>
              </w:rPr>
              <w:t>-382,993.73</w:t>
            </w:r>
          </w:p>
        </w:tc>
      </w:tr>
      <w:tr>
        <w:trPr>
          <w:trHeight w:val="328" w:hRule="exact"/>
        </w:trPr>
        <w:tc>
          <w:tcPr>
            <w:tcW w:w="6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2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1"/>
              <w:jc w:val="right"/>
              <w:rPr>
                <w:rFonts w:ascii="宋体" w:hAnsi="宋体" w:cs="宋体" w:eastAsia="宋体" w:hint="default"/>
                <w:sz w:val="18"/>
                <w:szCs w:val="18"/>
              </w:rPr>
            </w:pPr>
            <w:r>
              <w:rPr>
                <w:rFonts w:ascii="宋体"/>
                <w:sz w:val="18"/>
              </w:rPr>
              <w:t>-746,981.33</w:t>
            </w:r>
          </w:p>
        </w:tc>
      </w:tr>
      <w:tr>
        <w:trPr>
          <w:trHeight w:val="324" w:hRule="exact"/>
        </w:trPr>
        <w:tc>
          <w:tcPr>
            <w:tcW w:w="6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2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z w:val="18"/>
              </w:rPr>
              <w:t>-722,727.43</w:t>
            </w:r>
          </w:p>
        </w:tc>
      </w:tr>
      <w:tr>
        <w:trPr>
          <w:trHeight w:val="325" w:hRule="exact"/>
        </w:trPr>
        <w:tc>
          <w:tcPr>
            <w:tcW w:w="65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2"/>
              <w:jc w:val="right"/>
              <w:rPr>
                <w:rFonts w:ascii="宋体" w:hAnsi="宋体" w:cs="宋体" w:eastAsia="宋体" w:hint="default"/>
                <w:sz w:val="18"/>
                <w:szCs w:val="18"/>
              </w:rPr>
            </w:pPr>
            <w:r>
              <w:rPr>
                <w:rFonts w:ascii="宋体"/>
                <w:sz w:val="18"/>
              </w:rPr>
              <w:t>3,782,755.70</w:t>
            </w:r>
          </w:p>
        </w:tc>
      </w:tr>
    </w:tbl>
    <w:p>
      <w:pPr>
        <w:spacing w:after="0" w:line="240" w:lineRule="auto"/>
        <w:jc w:val="right"/>
        <w:rPr>
          <w:rFonts w:ascii="宋体" w:hAnsi="宋体" w:cs="宋体" w:eastAsia="宋体" w:hint="default"/>
          <w:sz w:val="18"/>
          <w:szCs w:val="18"/>
        </w:rPr>
        <w:sectPr>
          <w:pgSz w:w="11910" w:h="16840"/>
          <w:pgMar w:header="851" w:footer="982" w:top="1360" w:bottom="1180" w:left="920" w:right="920"/>
        </w:sectPr>
      </w:pPr>
    </w:p>
    <w:p>
      <w:pPr>
        <w:pStyle w:val="Heading1"/>
        <w:tabs>
          <w:tab w:pos="964" w:val="left" w:leader="none"/>
        </w:tabs>
        <w:spacing w:line="240" w:lineRule="auto" w:before="119"/>
        <w:ind w:right="75"/>
        <w:jc w:val="center"/>
        <w:rPr>
          <w:b w:val="0"/>
          <w:bCs w:val="0"/>
        </w:rPr>
      </w:pPr>
      <w:bookmarkStart w:name="_bookmark3" w:id="4"/>
      <w:bookmarkEnd w:id="4"/>
      <w:r>
        <w:rPr>
          <w:b w:val="0"/>
          <w:bCs w:val="0"/>
        </w:rPr>
      </w:r>
      <w:r>
        <w:rPr>
          <w:w w:val="95"/>
        </w:rPr>
        <w:t>第三节</w:t>
        <w:tab/>
      </w:r>
      <w:r>
        <w:rPr/>
        <w:t>董事会报告</w:t>
      </w:r>
      <w:r>
        <w:rPr>
          <w:b w:val="0"/>
          <w:bCs w:val="0"/>
        </w:rPr>
      </w:r>
    </w:p>
    <w:p>
      <w:pPr>
        <w:spacing w:line="240" w:lineRule="auto" w:before="0"/>
        <w:rPr>
          <w:rFonts w:ascii="宋体" w:hAnsi="宋体" w:cs="宋体" w:eastAsia="宋体" w:hint="default"/>
          <w:b/>
          <w:bCs/>
          <w:sz w:val="24"/>
          <w:szCs w:val="24"/>
        </w:rPr>
      </w:pPr>
    </w:p>
    <w:p>
      <w:pPr>
        <w:pStyle w:val="Heading2"/>
        <w:spacing w:line="240" w:lineRule="auto" w:before="175"/>
        <w:ind w:left="140" w:right="100"/>
        <w:jc w:val="left"/>
        <w:rPr>
          <w:b w:val="0"/>
          <w:bCs w:val="0"/>
        </w:rPr>
      </w:pPr>
      <w:r>
        <w:rPr/>
        <w:t>一、报告期内公司经营情况的回顾</w:t>
      </w:r>
      <w:r>
        <w:rPr>
          <w:b w:val="0"/>
          <w:bCs w:val="0"/>
        </w:rPr>
      </w:r>
    </w:p>
    <w:p>
      <w:pPr>
        <w:spacing w:line="626" w:lineRule="exact" w:before="93"/>
        <w:ind w:left="559" w:right="100" w:hanging="105"/>
        <w:jc w:val="left"/>
        <w:rPr>
          <w:rFonts w:ascii="宋体" w:hAnsi="宋体" w:cs="宋体" w:eastAsia="宋体" w:hint="default"/>
          <w:sz w:val="21"/>
          <w:szCs w:val="21"/>
        </w:rPr>
      </w:pPr>
      <w:r>
        <w:rPr>
          <w:rFonts w:ascii="宋体" w:hAnsi="宋体" w:cs="宋体" w:eastAsia="宋体" w:hint="default"/>
          <w:b/>
          <w:bCs/>
          <w:sz w:val="21"/>
          <w:szCs w:val="21"/>
        </w:rPr>
        <w:t>（一）报告期内总体经营情况</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2010年，是公司成功登陆创业板后的第一个完整年度，公司基本完成了从非上市公司向</w:t>
      </w:r>
    </w:p>
    <w:p>
      <w:pPr>
        <w:pStyle w:val="BodyText"/>
        <w:spacing w:line="408" w:lineRule="auto" w:before="96"/>
        <w:ind w:left="139" w:right="100"/>
        <w:jc w:val="left"/>
      </w:pPr>
      <w:r>
        <w:rPr>
          <w:spacing w:val="-3"/>
        </w:rPr>
        <w:t>公众公司的转变。公司继续坚持既定发展战略，按照年度经营计划，立足于运维管理、移动</w:t>
      </w:r>
      <w:r>
        <w:rPr>
          <w:spacing w:val="-80"/>
        </w:rPr>
        <w:t> </w:t>
      </w:r>
      <w:r>
        <w:rPr>
          <w:spacing w:val="-80"/>
        </w:rPr>
      </w:r>
      <w:r>
        <w:rPr>
          <w:spacing w:val="-3"/>
        </w:rPr>
        <w:t>互联网两大业务领域，不断优化业务结构，紧密围绕市场需求进行深度挖掘和创新，加大软</w:t>
      </w:r>
      <w:r>
        <w:rPr>
          <w:spacing w:val="-81"/>
        </w:rPr>
        <w:t> </w:t>
      </w:r>
      <w:r>
        <w:rPr>
          <w:spacing w:val="-81"/>
        </w:rPr>
      </w:r>
      <w:r>
        <w:rPr>
          <w:spacing w:val="-5"/>
        </w:rPr>
        <w:t>件开发力度，强化产品的性能与功能，持续加强技术储备，同时，进一步加强销售管理体系、</w:t>
      </w:r>
      <w:r>
        <w:rPr>
          <w:spacing w:val="-100"/>
        </w:rPr>
        <w:t> </w:t>
      </w:r>
      <w:r>
        <w:rPr>
          <w:spacing w:val="-100"/>
        </w:rPr>
      </w:r>
      <w:r>
        <w:rPr/>
        <w:t>技术与项目管理体系、绩效管理等方面的建设，提升公司的整体运营效率，公司竞争优势、 品牌影响力得到进一步提升。</w:t>
      </w:r>
    </w:p>
    <w:p>
      <w:pPr>
        <w:spacing w:line="240" w:lineRule="auto" w:before="6"/>
        <w:rPr>
          <w:rFonts w:ascii="宋体" w:hAnsi="宋体" w:cs="宋体" w:eastAsia="宋体" w:hint="default"/>
          <w:sz w:val="15"/>
          <w:szCs w:val="15"/>
        </w:rPr>
      </w:pPr>
    </w:p>
    <w:p>
      <w:pPr>
        <w:pStyle w:val="BodyText"/>
        <w:spacing w:line="408" w:lineRule="auto"/>
        <w:ind w:left="139" w:right="206" w:firstLine="420"/>
        <w:jc w:val="both"/>
      </w:pPr>
      <w:r>
        <w:rPr>
          <w:spacing w:val="-3"/>
        </w:rPr>
        <w:t>总体而言，公司的经营业绩在业务结构得到优化的基础上保持了稳定发展，基本形成了</w:t>
      </w:r>
      <w:r>
        <w:rPr/>
        <w:t> 以运维管理、互联网领域为核心的业务格局。2010年，公司实现营业收入84,162.90万元， 比去年同期增长了16.42%；实现营业利润35,390.26万元，比去年同期增长了24.93%；实现 利润总额36,540.77万元，比去年同期增长了21.79%；实现归属于上市公司股东的净利润为 </w:t>
      </w:r>
      <w:r>
        <w:rPr>
          <w:spacing w:val="-2"/>
        </w:rPr>
        <w:t>32,791.56万元，比去年同期增长了21.28%。其中，运维管理业务实现营业收入为31,712.32</w:t>
      </w:r>
      <w:r>
        <w:rPr>
          <w:spacing w:val="-102"/>
        </w:rPr>
        <w:t> </w:t>
      </w:r>
      <w:r>
        <w:rPr>
          <w:spacing w:val="-102"/>
        </w:rPr>
      </w:r>
      <w:r>
        <w:rPr>
          <w:spacing w:val="7"/>
        </w:rPr>
        <w:t>万元，比去年同期增长20.72%，占营业总收入的比重有所上升；飞信业务实现营业收入</w:t>
      </w:r>
      <w:r>
        <w:rPr>
          <w:spacing w:val="-78"/>
        </w:rPr>
        <w:t> </w:t>
      </w:r>
      <w:r>
        <w:rPr>
          <w:spacing w:val="-78"/>
        </w:rPr>
      </w:r>
      <w:r>
        <w:rPr/>
        <w:t>49,120.76万元，比去年同期增长11.38%，占营业总收入的比重有所下降；农信通业务实现</w:t>
      </w:r>
      <w:r>
        <w:rPr/>
        <w:t> 营业收入3,329.82元。</w:t>
      </w:r>
    </w:p>
    <w:p>
      <w:pPr>
        <w:spacing w:line="240" w:lineRule="auto" w:before="6"/>
        <w:rPr>
          <w:rFonts w:ascii="宋体" w:hAnsi="宋体" w:cs="宋体" w:eastAsia="宋体" w:hint="default"/>
          <w:sz w:val="15"/>
          <w:szCs w:val="15"/>
        </w:rPr>
      </w:pPr>
    </w:p>
    <w:p>
      <w:pPr>
        <w:pStyle w:val="BodyText"/>
        <w:spacing w:line="408" w:lineRule="auto"/>
        <w:ind w:left="139" w:right="105" w:firstLine="420"/>
        <w:jc w:val="left"/>
      </w:pPr>
      <w:r>
        <w:rPr/>
        <w:t>（1）在运维管理业务领域，继续深化和巩固在电信行业的市场地位。2010年，公司全 </w:t>
      </w:r>
      <w:r>
        <w:rPr>
          <w:spacing w:val="-3"/>
        </w:rPr>
        <w:t>力推进募集资金项目的实施进度，进一步增强现有软件产品的功能和质量，着力进行自动路</w:t>
      </w:r>
      <w:r>
        <w:rPr>
          <w:spacing w:val="-79"/>
        </w:rPr>
        <w:t> </w:t>
      </w:r>
      <w:r>
        <w:rPr>
          <w:spacing w:val="-79"/>
        </w:rPr>
      </w:r>
      <w:r>
        <w:rPr>
          <w:spacing w:val="-3"/>
        </w:rPr>
        <w:t>测、信令监测等围绕建立基于用户感知的网络监控指标体系和网络优化系统的开发及网络优</w:t>
      </w:r>
      <w:r>
        <w:rPr>
          <w:spacing w:val="-79"/>
        </w:rPr>
        <w:t> </w:t>
      </w:r>
      <w:r>
        <w:rPr>
          <w:spacing w:val="-79"/>
        </w:rPr>
      </w:r>
      <w:r>
        <w:rPr>
          <w:spacing w:val="-3"/>
        </w:rPr>
        <w:t>化服务的技术储备，进一步完善了公司产品技术体系。年内设立了系统集成部门，开始着手</w:t>
      </w:r>
      <w:r>
        <w:rPr>
          <w:spacing w:val="-81"/>
        </w:rPr>
        <w:t> </w:t>
      </w:r>
      <w:r>
        <w:rPr>
          <w:spacing w:val="-81"/>
        </w:rPr>
      </w:r>
      <w:r>
        <w:rPr>
          <w:spacing w:val="-3"/>
        </w:rPr>
        <w:t>系统集成业务，以扩大公司营业规模。报告期内，公司成功收购了友联创新100%股权，将其</w:t>
      </w:r>
      <w:r>
        <w:rPr>
          <w:spacing w:val="-74"/>
        </w:rPr>
        <w:t> </w:t>
      </w:r>
      <w:r>
        <w:rPr>
          <w:spacing w:val="-74"/>
        </w:rPr>
      </w:r>
      <w:r>
        <w:rPr/>
        <w:t>业务线进行了全面整合，进一步丰富、完善了公司运维管理产品线，对于提高公司在联通、 网通领域的市场份额将起到积极促进作用。</w:t>
      </w:r>
    </w:p>
    <w:p>
      <w:pPr>
        <w:spacing w:line="240" w:lineRule="auto" w:before="6"/>
        <w:rPr>
          <w:rFonts w:ascii="宋体" w:hAnsi="宋体" w:cs="宋体" w:eastAsia="宋体" w:hint="default"/>
          <w:sz w:val="15"/>
          <w:szCs w:val="15"/>
        </w:rPr>
      </w:pPr>
    </w:p>
    <w:p>
      <w:pPr>
        <w:pStyle w:val="BodyText"/>
        <w:spacing w:line="408" w:lineRule="auto"/>
        <w:ind w:left="139" w:right="215" w:firstLine="420"/>
        <w:jc w:val="both"/>
      </w:pPr>
      <w:r>
        <w:rPr>
          <w:spacing w:val="-3"/>
        </w:rPr>
        <w:t>同时，公司进一步优化运维业务的销售管理体系、技术管理体系、项目管理体系，提升</w:t>
      </w:r>
      <w:r>
        <w:rPr/>
        <w:t> </w:t>
      </w:r>
      <w:r>
        <w:rPr>
          <w:spacing w:val="-3"/>
        </w:rPr>
        <w:t>整体运营效率和水平。完成了以西大区、南大区（含东部地区）、北大区为横向覆盖，以电</w:t>
      </w:r>
      <w:r>
        <w:rPr>
          <w:spacing w:val="-81"/>
        </w:rPr>
        <w:t> </w:t>
      </w:r>
      <w:r>
        <w:rPr>
          <w:spacing w:val="-81"/>
        </w:rPr>
      </w:r>
      <w:r>
        <w:rPr>
          <w:spacing w:val="-3"/>
        </w:rPr>
        <w:t>信行业、金融行业、新兴市场为纵向贯穿的销售架构的建设，各大区配备了相应的技术总监</w:t>
      </w:r>
    </w:p>
    <w:p>
      <w:pPr>
        <w:spacing w:after="0" w:line="408" w:lineRule="auto"/>
        <w:jc w:val="both"/>
        <w:sectPr>
          <w:pgSz w:w="11910" w:h="16840"/>
          <w:pgMar w:header="851" w:footer="982" w:top="1360" w:bottom="1180" w:left="1660" w:right="1580"/>
        </w:sectPr>
      </w:pPr>
    </w:p>
    <w:p>
      <w:pPr>
        <w:spacing w:line="240" w:lineRule="auto" w:before="2"/>
        <w:rPr>
          <w:rFonts w:ascii="宋体" w:hAnsi="宋体" w:cs="宋体" w:eastAsia="宋体" w:hint="default"/>
          <w:sz w:val="8"/>
          <w:szCs w:val="8"/>
        </w:rPr>
      </w:pPr>
    </w:p>
    <w:p>
      <w:pPr>
        <w:pStyle w:val="BodyText"/>
        <w:spacing w:line="408" w:lineRule="auto" w:before="35"/>
        <w:ind w:left="140" w:right="136"/>
        <w:jc w:val="both"/>
      </w:pPr>
      <w:r>
        <w:rPr>
          <w:spacing w:val="-3"/>
        </w:rPr>
        <w:t>和属地技术团队，初步形成技术和销售密切配合、整体行业推动下的一体化销售体系，巩固</w:t>
      </w:r>
      <w:r>
        <w:rPr>
          <w:spacing w:val="-81"/>
        </w:rPr>
        <w:t> </w:t>
      </w:r>
      <w:r>
        <w:rPr>
          <w:spacing w:val="-81"/>
        </w:rPr>
      </w:r>
      <w:r>
        <w:rPr>
          <w:spacing w:val="-3"/>
        </w:rPr>
        <w:t>并进一步扩展了移动、联通、电信、金融和新兴市场等重点行业和客户，签约项目数量和市</w:t>
      </w:r>
      <w:r>
        <w:rPr>
          <w:spacing w:val="-80"/>
        </w:rPr>
        <w:t> </w:t>
      </w:r>
      <w:r>
        <w:rPr>
          <w:spacing w:val="-80"/>
        </w:rPr>
      </w:r>
      <w:r>
        <w:rPr/>
        <w:t>场覆盖面均有提升。</w:t>
      </w:r>
    </w:p>
    <w:p>
      <w:pPr>
        <w:spacing w:line="240" w:lineRule="auto" w:before="6"/>
        <w:rPr>
          <w:rFonts w:ascii="宋体" w:hAnsi="宋体" w:cs="宋体" w:eastAsia="宋体" w:hint="default"/>
          <w:sz w:val="15"/>
          <w:szCs w:val="15"/>
        </w:rPr>
      </w:pPr>
    </w:p>
    <w:p>
      <w:pPr>
        <w:pStyle w:val="BodyText"/>
        <w:spacing w:line="408" w:lineRule="auto"/>
        <w:ind w:left="140" w:right="136" w:firstLine="420"/>
        <w:jc w:val="both"/>
      </w:pPr>
      <w:r>
        <w:rPr>
          <w:spacing w:val="-3"/>
        </w:rPr>
        <w:t>进一步围绕项目实施标准化管理、公共产品研发与质量管理、运维服务管理方面进行调</w:t>
      </w:r>
      <w:r>
        <w:rPr/>
        <w:t> </w:t>
      </w:r>
      <w:r>
        <w:rPr>
          <w:spacing w:val="-3"/>
        </w:rPr>
        <w:t>整与优化，提高产品模块的复用和共享程度、减少重复开发并促进产品有机整合，构建产品</w:t>
      </w:r>
      <w:r>
        <w:rPr>
          <w:spacing w:val="-81"/>
        </w:rPr>
        <w:t> </w:t>
      </w:r>
      <w:r>
        <w:rPr>
          <w:spacing w:val="-81"/>
        </w:rPr>
      </w:r>
      <w:r>
        <w:rPr>
          <w:spacing w:val="-3"/>
        </w:rPr>
        <w:t>研发、项目实施、运维服务之间的高效沟通机制，提高产品与服务质量，进一步提升整体客</w:t>
      </w:r>
      <w:r>
        <w:rPr>
          <w:spacing w:val="-80"/>
        </w:rPr>
        <w:t> </w:t>
      </w:r>
      <w:r>
        <w:rPr>
          <w:spacing w:val="-80"/>
        </w:rPr>
      </w:r>
      <w:r>
        <w:rPr>
          <w:spacing w:val="-3"/>
        </w:rPr>
        <w:t>户满意度。同时，积极推进包括《项目管理制度》、《项目经理考核与培养制度》、《项目</w:t>
      </w:r>
      <w:r>
        <w:rPr>
          <w:spacing w:val="-83"/>
        </w:rPr>
        <w:t> </w:t>
      </w:r>
      <w:r>
        <w:rPr>
          <w:spacing w:val="-83"/>
        </w:rPr>
      </w:r>
      <w:r>
        <w:rPr/>
        <w:t>经理任职资格管理办法》、项目管理信息化系统在内的项目管理体系的建设及执行。</w:t>
      </w:r>
    </w:p>
    <w:p>
      <w:pPr>
        <w:spacing w:line="240" w:lineRule="auto" w:before="6"/>
        <w:rPr>
          <w:rFonts w:ascii="宋体" w:hAnsi="宋体" w:cs="宋体" w:eastAsia="宋体" w:hint="default"/>
          <w:sz w:val="15"/>
          <w:szCs w:val="15"/>
        </w:rPr>
      </w:pPr>
    </w:p>
    <w:p>
      <w:pPr>
        <w:pStyle w:val="BodyText"/>
        <w:spacing w:line="408" w:lineRule="auto"/>
        <w:ind w:left="140" w:right="136" w:firstLine="420"/>
        <w:jc w:val="both"/>
      </w:pPr>
      <w:r>
        <w:rPr/>
        <w:t>（2）在移动互联网业务领域，继续全面推进飞信业务、农信通业务的开发建设及运营 </w:t>
      </w:r>
      <w:r>
        <w:rPr>
          <w:spacing w:val="-3"/>
        </w:rPr>
        <w:t>工作，努力做好互联网业务布局，同时积极推进运作模式向互联网转型的工作，初步实现了</w:t>
      </w:r>
      <w:r>
        <w:rPr>
          <w:spacing w:val="-81"/>
        </w:rPr>
        <w:t> </w:t>
      </w:r>
      <w:r>
        <w:rPr>
          <w:spacing w:val="-81"/>
        </w:rPr>
      </w:r>
      <w:r>
        <w:rPr>
          <w:spacing w:val="-3"/>
        </w:rPr>
        <w:t>从组织架构、思维模式、开发模式等的互联网运作模式转型，以适应互联网业务快速、多变</w:t>
      </w:r>
      <w:r>
        <w:rPr>
          <w:spacing w:val="-80"/>
        </w:rPr>
        <w:t> </w:t>
      </w:r>
      <w:r>
        <w:rPr>
          <w:spacing w:val="-80"/>
        </w:rPr>
      </w:r>
      <w:r>
        <w:rPr/>
        <w:t>的特点。</w:t>
      </w:r>
    </w:p>
    <w:p>
      <w:pPr>
        <w:spacing w:line="240" w:lineRule="auto" w:before="6"/>
        <w:rPr>
          <w:rFonts w:ascii="宋体" w:hAnsi="宋体" w:cs="宋体" w:eastAsia="宋体" w:hint="default"/>
          <w:sz w:val="15"/>
          <w:szCs w:val="15"/>
        </w:rPr>
      </w:pPr>
    </w:p>
    <w:p>
      <w:pPr>
        <w:pStyle w:val="BodyText"/>
        <w:spacing w:line="408" w:lineRule="auto"/>
        <w:ind w:left="140" w:right="135" w:firstLine="420"/>
        <w:jc w:val="both"/>
      </w:pPr>
      <w:r>
        <w:rPr>
          <w:spacing w:val="-3"/>
        </w:rPr>
        <w:t>飞信业务方面，2010年，在中国移动的领导下，公司持续推进飞信平台及产品的开发建</w:t>
      </w:r>
      <w:r>
        <w:rPr/>
        <w:t> </w:t>
      </w:r>
      <w:r>
        <w:rPr>
          <w:spacing w:val="-3"/>
        </w:rPr>
        <w:t>设，优化了技术开发模式，从瀑布式转型为快速迭代的敏捷开发模式，大大提高了开发的响</w:t>
      </w:r>
      <w:r>
        <w:rPr>
          <w:spacing w:val="-81"/>
        </w:rPr>
        <w:t> </w:t>
      </w:r>
      <w:r>
        <w:rPr>
          <w:spacing w:val="-81"/>
        </w:rPr>
      </w:r>
      <w:r>
        <w:rPr>
          <w:spacing w:val="-3"/>
        </w:rPr>
        <w:t>应时间、版本升级及产品上线速度，平台性能显著提高，内容、增值应用进一步丰富；着力</w:t>
      </w:r>
      <w:r>
        <w:rPr>
          <w:spacing w:val="-84"/>
        </w:rPr>
        <w:t> </w:t>
      </w:r>
      <w:r>
        <w:rPr>
          <w:spacing w:val="-84"/>
        </w:rPr>
      </w:r>
      <w:r>
        <w:rPr>
          <w:spacing w:val="-3"/>
        </w:rPr>
        <w:t>做好飞信平台的运营支撑工作，网络建设、运维服务、信息安全、客户服务、数据服务等运</w:t>
      </w:r>
      <w:r>
        <w:rPr>
          <w:spacing w:val="-84"/>
        </w:rPr>
        <w:t> </w:t>
      </w:r>
      <w:r>
        <w:rPr>
          <w:spacing w:val="-84"/>
        </w:rPr>
      </w:r>
      <w:r>
        <w:rPr>
          <w:spacing w:val="-3"/>
        </w:rPr>
        <w:t>维支撑水平全面提升；着力做好市场营销推广活动，配合中国移动策划与开展了“双节全网</w:t>
      </w:r>
      <w:r>
        <w:rPr>
          <w:spacing w:val="-81"/>
        </w:rPr>
        <w:t> </w:t>
      </w:r>
      <w:r>
        <w:rPr>
          <w:spacing w:val="-81"/>
        </w:rPr>
      </w:r>
      <w:r>
        <w:rPr>
          <w:spacing w:val="-3"/>
        </w:rPr>
        <w:t>大型营销活动”、“秒杀全网互动营销活动”等大型营销活动，取得了良好的效果；着力做</w:t>
      </w:r>
      <w:r>
        <w:rPr>
          <w:spacing w:val="-81"/>
        </w:rPr>
        <w:t> </w:t>
      </w:r>
      <w:r>
        <w:rPr>
          <w:spacing w:val="-81"/>
        </w:rPr>
      </w:r>
      <w:r>
        <w:rPr/>
        <w:t>好对外合作渠道的建设，校园渠道覆盖了300多所高校，完成部分校园群联盟建设，同时与 新浪、搜狐、人人网等大型互联网公司积极探索基于内容与技术等方面的合作。</w:t>
      </w:r>
    </w:p>
    <w:p>
      <w:pPr>
        <w:spacing w:line="240" w:lineRule="auto" w:before="6"/>
        <w:rPr>
          <w:rFonts w:ascii="宋体" w:hAnsi="宋体" w:cs="宋体" w:eastAsia="宋体" w:hint="default"/>
          <w:sz w:val="15"/>
          <w:szCs w:val="15"/>
        </w:rPr>
      </w:pPr>
    </w:p>
    <w:p>
      <w:pPr>
        <w:pStyle w:val="BodyText"/>
        <w:spacing w:line="408" w:lineRule="auto"/>
        <w:ind w:left="140" w:right="135" w:firstLine="420"/>
        <w:jc w:val="both"/>
      </w:pPr>
      <w:r>
        <w:rPr>
          <w:spacing w:val="-3"/>
        </w:rPr>
        <w:t>农信通业务方面，公司投资10,330万元在重庆设立了全资子公司，进一步提升农村信息</w:t>
      </w:r>
      <w:r>
        <w:rPr/>
        <w:t> </w:t>
      </w:r>
      <w:r>
        <w:rPr>
          <w:spacing w:val="-3"/>
        </w:rPr>
        <w:t>网的开发及运营支撑水平，实现面向业务的本地化服务与快速响应，加大对农信通核心平台</w:t>
      </w:r>
      <w:r>
        <w:rPr>
          <w:spacing w:val="-79"/>
        </w:rPr>
        <w:t> </w:t>
      </w:r>
      <w:r>
        <w:rPr>
          <w:spacing w:val="-79"/>
        </w:rPr>
      </w:r>
      <w:r>
        <w:rPr>
          <w:spacing w:val="-3"/>
        </w:rPr>
        <w:t>系统、运营支撑管理系统、业务支撑系统的升级改造，进一步增强平台功能、业务能力、平</w:t>
      </w:r>
      <w:r>
        <w:rPr>
          <w:spacing w:val="-84"/>
        </w:rPr>
        <w:t> </w:t>
      </w:r>
      <w:r>
        <w:rPr>
          <w:spacing w:val="-84"/>
        </w:rPr>
      </w:r>
      <w:r>
        <w:rPr>
          <w:spacing w:val="-3"/>
        </w:rPr>
        <w:t>台质量，提升支撑全网的能力。2010年，农信通业务正式被中国移动纳入到基地化管理，对</w:t>
      </w:r>
      <w:r>
        <w:rPr>
          <w:spacing w:val="-75"/>
        </w:rPr>
        <w:t> </w:t>
      </w:r>
      <w:r>
        <w:rPr>
          <w:spacing w:val="-75"/>
        </w:rPr>
      </w:r>
      <w:r>
        <w:rPr/>
        <w:t>于未来的发展将起到积极的促进作用。</w:t>
      </w:r>
    </w:p>
    <w:p>
      <w:pPr>
        <w:spacing w:line="240" w:lineRule="auto" w:before="6"/>
        <w:rPr>
          <w:rFonts w:ascii="宋体" w:hAnsi="宋体" w:cs="宋体" w:eastAsia="宋体" w:hint="default"/>
          <w:sz w:val="15"/>
          <w:szCs w:val="15"/>
        </w:rPr>
      </w:pPr>
    </w:p>
    <w:p>
      <w:pPr>
        <w:pStyle w:val="BodyText"/>
        <w:spacing w:line="408" w:lineRule="auto"/>
        <w:ind w:left="140" w:right="136" w:firstLine="420"/>
        <w:jc w:val="both"/>
      </w:pPr>
      <w:r>
        <w:rPr>
          <w:spacing w:val="-3"/>
        </w:rPr>
        <w:t>同时，努力探索互联网领域的业务布局，积极拓展、丰富公司的互联网业务与产品。报</w:t>
      </w:r>
      <w:hyperlink r:id="rId10">
        <w:r>
          <w:rPr/>
          <w:t> 告期内，投资并运营的千腾网（http://www.specl.com/</w:t>
        </w:r>
      </w:hyperlink>
      <w:r>
        <w:rPr/>
        <w:t>）于2010年11月上线运营，定位于</w:t>
      </w:r>
      <w:r>
        <w:rPr/>
        <w:t> </w:t>
      </w:r>
      <w:r>
        <w:rPr>
          <w:spacing w:val="-3"/>
        </w:rPr>
        <w:t>构建与运营国内特色产品领域的电子商务平台，为特产商品的生产商、经销商提供了一个优</w:t>
      </w:r>
    </w:p>
    <w:p>
      <w:pPr>
        <w:spacing w:after="0" w:line="408" w:lineRule="auto"/>
        <w:jc w:val="both"/>
        <w:sectPr>
          <w:pgSz w:w="11910" w:h="16840"/>
          <w:pgMar w:header="851" w:footer="982" w:top="1360" w:bottom="1180" w:left="1660" w:right="1660"/>
        </w:sectPr>
      </w:pPr>
    </w:p>
    <w:p>
      <w:pPr>
        <w:spacing w:line="240" w:lineRule="auto" w:before="2"/>
        <w:rPr>
          <w:rFonts w:ascii="宋体" w:hAnsi="宋体" w:cs="宋体" w:eastAsia="宋体" w:hint="default"/>
          <w:sz w:val="8"/>
          <w:szCs w:val="8"/>
        </w:rPr>
      </w:pPr>
    </w:p>
    <w:p>
      <w:pPr>
        <w:pStyle w:val="BodyText"/>
        <w:spacing w:line="240" w:lineRule="auto" w:before="35"/>
        <w:ind w:left="840" w:right="724"/>
        <w:jc w:val="left"/>
      </w:pPr>
      <w:r>
        <w:rPr/>
        <w:t>质高效、安全、便利的的网上销售平台。</w:t>
      </w:r>
    </w:p>
    <w:p>
      <w:pPr>
        <w:pStyle w:val="BodyText"/>
        <w:spacing w:line="620" w:lineRule="atLeast" w:before="4"/>
        <w:ind w:left="1260" w:right="724"/>
        <w:jc w:val="left"/>
      </w:pPr>
      <w:r>
        <w:rPr/>
        <w:t>（3）企业文化建设及员工发展情况 </w:t>
      </w:r>
      <w:r>
        <w:rPr>
          <w:spacing w:val="-3"/>
        </w:rPr>
        <w:t>2010年，公司对企业品牌进行重塑，完成了企业CI设计；进一步完善并正式推出了《神</w:t>
      </w:r>
    </w:p>
    <w:p>
      <w:pPr>
        <w:spacing w:line="240" w:lineRule="auto" w:before="10"/>
        <w:rPr>
          <w:rFonts w:ascii="宋体" w:hAnsi="宋体" w:cs="宋体" w:eastAsia="宋体" w:hint="default"/>
          <w:sz w:val="14"/>
          <w:szCs w:val="14"/>
        </w:rPr>
      </w:pPr>
    </w:p>
    <w:p>
      <w:pPr>
        <w:pStyle w:val="BodyText"/>
        <w:spacing w:line="408" w:lineRule="auto"/>
        <w:ind w:left="840" w:right="724"/>
        <w:jc w:val="left"/>
      </w:pPr>
      <w:r>
        <w:rPr>
          <w:spacing w:val="-3"/>
        </w:rPr>
        <w:t>州泰岳企业文化》，开发了培训课件，大力加强企业文化宣贯工作，提高员工对企业文化的</w:t>
      </w:r>
      <w:r>
        <w:rPr>
          <w:spacing w:val="-80"/>
        </w:rPr>
        <w:t> </w:t>
      </w:r>
      <w:r>
        <w:rPr>
          <w:spacing w:val="-80"/>
        </w:rPr>
      </w:r>
      <w:r>
        <w:rPr/>
        <w:t>认同度；设立“阳光工作室”，关注员工精神健康，加强对员工职业关怀和心灵咨询辅导； 认真执行《神州泰岳企业文化弘扬与奖励制度》。</w:t>
      </w:r>
    </w:p>
    <w:p>
      <w:pPr>
        <w:spacing w:line="240" w:lineRule="auto" w:before="6"/>
        <w:rPr>
          <w:rFonts w:ascii="宋体" w:hAnsi="宋体" w:cs="宋体" w:eastAsia="宋体" w:hint="default"/>
          <w:sz w:val="15"/>
          <w:szCs w:val="15"/>
        </w:rPr>
      </w:pPr>
    </w:p>
    <w:p>
      <w:pPr>
        <w:pStyle w:val="BodyText"/>
        <w:spacing w:line="408" w:lineRule="auto"/>
        <w:ind w:left="839" w:right="836" w:firstLine="420"/>
        <w:jc w:val="both"/>
      </w:pPr>
      <w:r>
        <w:rPr>
          <w:spacing w:val="-3"/>
        </w:rPr>
        <w:t>2010年，公司坚持“高绩效、高贡献、高回报”的人才发展观，进一步加强人力资源体</w:t>
      </w:r>
      <w:r>
        <w:rPr/>
        <w:t> </w:t>
      </w:r>
      <w:r>
        <w:rPr>
          <w:spacing w:val="-3"/>
        </w:rPr>
        <w:t>系建设，充分重视员工的职业发展、人文关怀，加强与员工的沟通、交流，丰富员工的文化</w:t>
      </w:r>
      <w:r>
        <w:rPr>
          <w:spacing w:val="-84"/>
        </w:rPr>
        <w:t> </w:t>
      </w:r>
      <w:r>
        <w:rPr>
          <w:spacing w:val="-84"/>
        </w:rPr>
      </w:r>
      <w:r>
        <w:rPr/>
        <w:t>体育活动。认真研究《员工发展序列、薪资与激励方案》等激励计划，并于2010年8月推出</w:t>
      </w:r>
      <w:r>
        <w:rPr/>
        <w:t> </w:t>
      </w:r>
      <w:r>
        <w:rPr>
          <w:spacing w:val="-3"/>
        </w:rPr>
        <w:t>了《股权激励计划》报中国证监会备案审核。2010年，公司人员规模从年初的2235人发展到</w:t>
      </w:r>
      <w:r>
        <w:rPr>
          <w:spacing w:val="-69"/>
        </w:rPr>
        <w:t> </w:t>
      </w:r>
      <w:r>
        <w:rPr>
          <w:spacing w:val="-69"/>
        </w:rPr>
      </w:r>
      <w:r>
        <w:rPr/>
        <w:t>3459人，员工规模进一步壮大。</w:t>
      </w:r>
    </w:p>
    <w:p>
      <w:pPr>
        <w:spacing w:line="240" w:lineRule="auto" w:before="6"/>
        <w:rPr>
          <w:rFonts w:ascii="宋体" w:hAnsi="宋体" w:cs="宋体" w:eastAsia="宋体" w:hint="default"/>
          <w:sz w:val="15"/>
          <w:szCs w:val="15"/>
        </w:rPr>
      </w:pPr>
    </w:p>
    <w:p>
      <w:pPr>
        <w:pStyle w:val="BodyText"/>
        <w:spacing w:line="408" w:lineRule="auto"/>
        <w:ind w:left="839" w:right="834" w:firstLine="420"/>
        <w:jc w:val="both"/>
      </w:pPr>
      <w:r>
        <w:rPr>
          <w:spacing w:val="-3"/>
        </w:rPr>
        <w:t>报告期内，公司完成软件著作权登记75项、申请并获得受理的发明专利85项，荣获了工</w:t>
      </w:r>
      <w:r>
        <w:rPr/>
        <w:t> </w:t>
      </w:r>
      <w:r>
        <w:rPr>
          <w:spacing w:val="-8"/>
        </w:rPr>
        <w:t>业和信息化部评定的“2010（第九届）中国软件业务收入前百家企业”、入选中关村首批“十</w:t>
      </w:r>
      <w:r>
        <w:rPr>
          <w:spacing w:val="-67"/>
        </w:rPr>
        <w:t> </w:t>
      </w:r>
      <w:r>
        <w:rPr>
          <w:spacing w:val="-67"/>
        </w:rPr>
      </w:r>
      <w:r>
        <w:rPr>
          <w:spacing w:val="-3"/>
        </w:rPr>
        <w:t>百千工程”重点培育企业以及北京市“四个一批”工程首批企业，公司及全资子公司——新</w:t>
      </w:r>
      <w:r>
        <w:rPr>
          <w:spacing w:val="-80"/>
        </w:rPr>
        <w:t> </w:t>
      </w:r>
      <w:r>
        <w:rPr>
          <w:spacing w:val="-80"/>
        </w:rPr>
      </w:r>
      <w:r>
        <w:rPr/>
        <w:t>媒传信均被评为2010年度国家规划布局内重点软件企业。</w:t>
      </w:r>
    </w:p>
    <w:p>
      <w:pPr>
        <w:spacing w:line="240" w:lineRule="auto" w:before="6"/>
        <w:rPr>
          <w:rFonts w:ascii="宋体" w:hAnsi="宋体" w:cs="宋体" w:eastAsia="宋体" w:hint="default"/>
          <w:sz w:val="15"/>
          <w:szCs w:val="15"/>
        </w:rPr>
      </w:pPr>
    </w:p>
    <w:p>
      <w:pPr>
        <w:pStyle w:val="Heading2"/>
        <w:spacing w:line="544" w:lineRule="auto"/>
        <w:ind w:left="1262" w:right="5857" w:hanging="107"/>
        <w:jc w:val="left"/>
        <w:rPr>
          <w:b w:val="0"/>
          <w:bCs w:val="0"/>
        </w:rPr>
      </w:pPr>
      <w:r>
        <w:rPr/>
        <w:t>（二）公司主营业务及经营状况</w:t>
      </w:r>
      <w:r>
        <w:rPr>
          <w:spacing w:val="1"/>
          <w:w w:val="99"/>
        </w:rPr>
        <w:t> </w:t>
      </w:r>
      <w:r>
        <w:rPr/>
        <w:t>1、公司主营业务</w:t>
      </w:r>
      <w:r>
        <w:rPr>
          <w:b w:val="0"/>
          <w:bCs w:val="0"/>
        </w:rPr>
      </w:r>
    </w:p>
    <w:p>
      <w:pPr>
        <w:pStyle w:val="BodyText"/>
        <w:spacing w:line="240" w:lineRule="auto" w:before="82"/>
        <w:ind w:left="1260" w:right="724"/>
        <w:jc w:val="left"/>
      </w:pPr>
      <w:r>
        <w:rPr/>
        <w:t>公司主营业务集中于运维管理领域、互联网领域。</w:t>
      </w:r>
    </w:p>
    <w:p>
      <w:pPr>
        <w:spacing w:line="240" w:lineRule="auto" w:before="10"/>
        <w:rPr>
          <w:rFonts w:ascii="宋体" w:hAnsi="宋体" w:cs="宋体" w:eastAsia="宋体" w:hint="default"/>
          <w:sz w:val="26"/>
          <w:szCs w:val="26"/>
        </w:rPr>
      </w:pPr>
    </w:p>
    <w:p>
      <w:pPr>
        <w:pStyle w:val="BodyText"/>
        <w:spacing w:line="408" w:lineRule="auto"/>
        <w:ind w:left="840" w:right="835" w:firstLine="420"/>
        <w:jc w:val="both"/>
      </w:pPr>
      <w:r>
        <w:rPr>
          <w:spacing w:val="-3"/>
        </w:rPr>
        <w:t>在运维管理领域，主要向国内电信、金融、能源等行业的大中型企业和政府部门提供IT</w:t>
      </w:r>
      <w:r>
        <w:rPr/>
        <w:t> 运维管理的整体解决方案；</w:t>
      </w:r>
    </w:p>
    <w:p>
      <w:pPr>
        <w:spacing w:line="240" w:lineRule="auto" w:before="7"/>
        <w:rPr>
          <w:rFonts w:ascii="宋体" w:hAnsi="宋体" w:cs="宋体" w:eastAsia="宋体" w:hint="default"/>
          <w:sz w:val="15"/>
          <w:szCs w:val="15"/>
        </w:rPr>
      </w:pPr>
    </w:p>
    <w:p>
      <w:pPr>
        <w:pStyle w:val="BodyText"/>
        <w:spacing w:line="408" w:lineRule="auto"/>
        <w:ind w:left="840" w:right="835" w:firstLine="420"/>
        <w:jc w:val="both"/>
      </w:pPr>
      <w:r>
        <w:rPr>
          <w:spacing w:val="-3"/>
        </w:rPr>
        <w:t>在互联网领域，目前主要从事以中国移动“飞信”、“农信通”为代表的互联网业务的</w:t>
      </w:r>
      <w:r>
        <w:rPr/>
        <w:t> 开发及运营。</w:t>
      </w:r>
    </w:p>
    <w:p>
      <w:pPr>
        <w:spacing w:line="240" w:lineRule="auto" w:before="7"/>
        <w:rPr>
          <w:rFonts w:ascii="宋体" w:hAnsi="宋体" w:cs="宋体" w:eastAsia="宋体" w:hint="default"/>
          <w:sz w:val="15"/>
          <w:szCs w:val="15"/>
        </w:rPr>
      </w:pPr>
    </w:p>
    <w:p>
      <w:pPr>
        <w:pStyle w:val="Heading2"/>
        <w:spacing w:line="240" w:lineRule="auto"/>
        <w:ind w:left="1262" w:right="724"/>
        <w:jc w:val="left"/>
        <w:rPr>
          <w:b w:val="0"/>
          <w:bCs w:val="0"/>
        </w:rPr>
      </w:pPr>
      <w:r>
        <w:rPr/>
        <w:t>2、主营业务分行业、产品构成情况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1260" w:right="724"/>
        <w:jc w:val="left"/>
      </w:pPr>
      <w:r>
        <w:rPr/>
        <w:t>（1）主营业务分行业情况表</w:t>
      </w:r>
    </w:p>
    <w:p>
      <w:pPr>
        <w:pStyle w:val="BodyText"/>
        <w:spacing w:line="240" w:lineRule="auto" w:before="165"/>
        <w:ind w:left="0" w:right="835"/>
        <w:jc w:val="right"/>
      </w:pPr>
      <w:r>
        <w:rPr/>
        <w:t>单位：万元</w:t>
      </w:r>
    </w:p>
    <w:p>
      <w:pPr>
        <w:spacing w:line="240" w:lineRule="auto" w:before="13"/>
        <w:rPr>
          <w:rFonts w:ascii="宋体" w:hAnsi="宋体" w:cs="宋体" w:eastAsia="宋体" w:hint="default"/>
          <w:sz w:val="3"/>
          <w:szCs w:val="3"/>
        </w:rPr>
      </w:pPr>
    </w:p>
    <w:tbl>
      <w:tblPr>
        <w:tblW w:w="0" w:type="auto"/>
        <w:jc w:val="left"/>
        <w:tblInd w:w="118" w:type="dxa"/>
        <w:tblLayout w:type="fixed"/>
        <w:tblCellMar>
          <w:top w:w="0" w:type="dxa"/>
          <w:left w:w="0" w:type="dxa"/>
          <w:bottom w:w="0" w:type="dxa"/>
          <w:right w:w="0" w:type="dxa"/>
        </w:tblCellMar>
        <w:tblLook w:val="01E0"/>
      </w:tblPr>
      <w:tblGrid>
        <w:gridCol w:w="1081"/>
        <w:gridCol w:w="1800"/>
        <w:gridCol w:w="1482"/>
        <w:gridCol w:w="1303"/>
        <w:gridCol w:w="1384"/>
        <w:gridCol w:w="1385"/>
        <w:gridCol w:w="1303"/>
      </w:tblGrid>
      <w:tr>
        <w:trPr>
          <w:trHeight w:val="634" w:hRule="exact"/>
        </w:trPr>
        <w:tc>
          <w:tcPr>
            <w:tcW w:w="1081"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41"/>
              <w:ind w:left="324" w:right="0"/>
              <w:jc w:val="left"/>
              <w:rPr>
                <w:rFonts w:ascii="宋体" w:hAnsi="宋体" w:cs="宋体" w:eastAsia="宋体" w:hint="default"/>
                <w:sz w:val="21"/>
                <w:szCs w:val="21"/>
              </w:rPr>
            </w:pPr>
            <w:r>
              <w:rPr>
                <w:rFonts w:ascii="宋体" w:hAnsi="宋体" w:cs="宋体" w:eastAsia="宋体" w:hint="default"/>
                <w:b/>
                <w:bCs/>
                <w:sz w:val="21"/>
                <w:szCs w:val="21"/>
              </w:rPr>
              <w:t>行业</w:t>
            </w:r>
            <w:r>
              <w:rPr>
                <w:rFonts w:ascii="宋体" w:hAnsi="宋体" w:cs="宋体" w:eastAsia="宋体" w:hint="default"/>
                <w:sz w:val="21"/>
                <w:szCs w:val="21"/>
              </w:rPr>
            </w:r>
          </w:p>
        </w:tc>
        <w:tc>
          <w:tcPr>
            <w:tcW w:w="180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41"/>
              <w:ind w:left="472"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482"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41"/>
              <w:ind w:left="313"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c>
          <w:tcPr>
            <w:tcW w:w="1303"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41"/>
              <w:ind w:left="329" w:right="0"/>
              <w:jc w:val="left"/>
              <w:rPr>
                <w:rFonts w:ascii="宋体" w:hAnsi="宋体" w:cs="宋体" w:eastAsia="宋体" w:hint="default"/>
                <w:sz w:val="21"/>
                <w:szCs w:val="21"/>
              </w:rPr>
            </w:pPr>
            <w:r>
              <w:rPr>
                <w:rFonts w:ascii="宋体" w:hAnsi="宋体" w:cs="宋体" w:eastAsia="宋体" w:hint="default"/>
                <w:b/>
                <w:bCs/>
                <w:sz w:val="21"/>
                <w:szCs w:val="21"/>
              </w:rPr>
              <w:t>毛利率</w:t>
            </w:r>
            <w:r>
              <w:rPr>
                <w:rFonts w:ascii="宋体" w:hAnsi="宋体" w:cs="宋体" w:eastAsia="宋体" w:hint="default"/>
                <w:sz w:val="21"/>
                <w:szCs w:val="21"/>
              </w:rPr>
            </w:r>
          </w:p>
        </w:tc>
        <w:tc>
          <w:tcPr>
            <w:tcW w:w="1384"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b/>
                <w:bCs/>
                <w:sz w:val="21"/>
                <w:szCs w:val="21"/>
              </w:rPr>
              <w:t>营业收入比</w:t>
            </w:r>
            <w:r>
              <w:rPr>
                <w:rFonts w:ascii="宋体" w:hAnsi="宋体" w:cs="宋体" w:eastAsia="宋体" w:hint="default"/>
                <w:sz w:val="21"/>
                <w:szCs w:val="21"/>
              </w:rPr>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b/>
                <w:bCs/>
                <w:sz w:val="21"/>
                <w:szCs w:val="21"/>
              </w:rPr>
              <w:t>上年增减</w:t>
            </w:r>
            <w:r>
              <w:rPr>
                <w:rFonts w:ascii="宋体" w:hAnsi="宋体" w:cs="宋体" w:eastAsia="宋体" w:hint="default"/>
                <w:sz w:val="21"/>
                <w:szCs w:val="21"/>
              </w:rPr>
            </w:r>
          </w:p>
        </w:tc>
        <w:tc>
          <w:tcPr>
            <w:tcW w:w="1385"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b/>
                <w:bCs/>
                <w:sz w:val="21"/>
                <w:szCs w:val="21"/>
              </w:rPr>
              <w:t>营业成本比</w:t>
            </w:r>
            <w:r>
              <w:rPr>
                <w:rFonts w:ascii="宋体" w:hAnsi="宋体" w:cs="宋体" w:eastAsia="宋体" w:hint="default"/>
                <w:sz w:val="21"/>
                <w:szCs w:val="21"/>
              </w:rPr>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b/>
                <w:bCs/>
                <w:sz w:val="21"/>
                <w:szCs w:val="21"/>
              </w:rPr>
              <w:t>上年增减</w:t>
            </w:r>
            <w:r>
              <w:rPr>
                <w:rFonts w:ascii="宋体" w:hAnsi="宋体" w:cs="宋体" w:eastAsia="宋体" w:hint="default"/>
                <w:sz w:val="21"/>
                <w:szCs w:val="21"/>
              </w:rPr>
            </w:r>
          </w:p>
        </w:tc>
        <w:tc>
          <w:tcPr>
            <w:tcW w:w="1303"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b/>
                <w:bCs/>
                <w:sz w:val="21"/>
                <w:szCs w:val="21"/>
              </w:rPr>
              <w:t>毛利率比上</w:t>
            </w:r>
            <w:r>
              <w:rPr>
                <w:rFonts w:ascii="宋体" w:hAnsi="宋体" w:cs="宋体" w:eastAsia="宋体" w:hint="default"/>
                <w:sz w:val="21"/>
                <w:szCs w:val="21"/>
              </w:rPr>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b/>
                <w:bCs/>
                <w:sz w:val="21"/>
                <w:szCs w:val="21"/>
              </w:rPr>
              <w:t>年增减</w:t>
            </w:r>
            <w:r>
              <w:rPr>
                <w:rFonts w:ascii="宋体" w:hAnsi="宋体" w:cs="宋体" w:eastAsia="宋体" w:hint="default"/>
                <w:sz w:val="21"/>
                <w:szCs w:val="21"/>
              </w:rPr>
            </w:r>
          </w:p>
        </w:tc>
      </w:tr>
    </w:tbl>
    <w:p>
      <w:pPr>
        <w:spacing w:after="0" w:line="240" w:lineRule="auto"/>
        <w:jc w:val="center"/>
        <w:rPr>
          <w:rFonts w:ascii="宋体" w:hAnsi="宋体" w:cs="宋体" w:eastAsia="宋体" w:hint="default"/>
          <w:sz w:val="21"/>
          <w:szCs w:val="21"/>
        </w:rPr>
        <w:sectPr>
          <w:pgSz w:w="11910" w:h="16840"/>
          <w:pgMar w:header="851" w:footer="982" w:top="1360" w:bottom="1180" w:left="960" w:right="960"/>
        </w:sectPr>
      </w:pPr>
    </w:p>
    <w:p>
      <w:pPr>
        <w:spacing w:line="240" w:lineRule="auto" w:before="1"/>
        <w:rPr>
          <w:rFonts w:ascii="宋体" w:hAnsi="宋体" w:cs="宋体" w:eastAsia="宋体" w:hint="default"/>
          <w:sz w:val="6"/>
          <w:szCs w:val="6"/>
        </w:rPr>
      </w:pPr>
    </w:p>
    <w:tbl>
      <w:tblPr>
        <w:tblW w:w="0" w:type="auto"/>
        <w:jc w:val="left"/>
        <w:tblInd w:w="278" w:type="dxa"/>
        <w:tblLayout w:type="fixed"/>
        <w:tblCellMar>
          <w:top w:w="0" w:type="dxa"/>
          <w:left w:w="0" w:type="dxa"/>
          <w:bottom w:w="0" w:type="dxa"/>
          <w:right w:w="0" w:type="dxa"/>
        </w:tblCellMar>
        <w:tblLook w:val="01E0"/>
      </w:tblPr>
      <w:tblGrid>
        <w:gridCol w:w="1081"/>
        <w:gridCol w:w="1800"/>
        <w:gridCol w:w="1482"/>
        <w:gridCol w:w="1303"/>
        <w:gridCol w:w="1384"/>
        <w:gridCol w:w="1385"/>
        <w:gridCol w:w="1303"/>
      </w:tblGrid>
      <w:tr>
        <w:trPr>
          <w:trHeight w:val="405" w:hRule="exact"/>
        </w:trPr>
        <w:tc>
          <w:tcPr>
            <w:tcW w:w="1081"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电信</w:t>
            </w:r>
          </w:p>
        </w:tc>
        <w:tc>
          <w:tcPr>
            <w:tcW w:w="18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1"/>
              <w:ind w:right="420"/>
              <w:jc w:val="right"/>
              <w:rPr>
                <w:rFonts w:ascii="宋体" w:hAnsi="宋体" w:cs="宋体" w:eastAsia="宋体" w:hint="default"/>
                <w:sz w:val="21"/>
                <w:szCs w:val="21"/>
              </w:rPr>
            </w:pPr>
            <w:r>
              <w:rPr>
                <w:rFonts w:ascii="宋体"/>
                <w:spacing w:val="-1"/>
                <w:sz w:val="21"/>
              </w:rPr>
              <w:t>75,469.76</w:t>
            </w:r>
          </w:p>
        </w:tc>
        <w:tc>
          <w:tcPr>
            <w:tcW w:w="148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1"/>
              <w:ind w:right="262"/>
              <w:jc w:val="right"/>
              <w:rPr>
                <w:rFonts w:ascii="宋体" w:hAnsi="宋体" w:cs="宋体" w:eastAsia="宋体" w:hint="default"/>
                <w:sz w:val="21"/>
                <w:szCs w:val="21"/>
              </w:rPr>
            </w:pPr>
            <w:r>
              <w:rPr>
                <w:rFonts w:ascii="宋体"/>
                <w:spacing w:val="-1"/>
                <w:sz w:val="21"/>
              </w:rPr>
              <w:t>19,052.39</w:t>
            </w:r>
          </w:p>
        </w:tc>
        <w:tc>
          <w:tcPr>
            <w:tcW w:w="130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1"/>
              <w:ind w:left="1" w:right="0"/>
              <w:jc w:val="center"/>
              <w:rPr>
                <w:rFonts w:ascii="宋体" w:hAnsi="宋体" w:cs="宋体" w:eastAsia="宋体" w:hint="default"/>
                <w:sz w:val="21"/>
                <w:szCs w:val="21"/>
              </w:rPr>
            </w:pPr>
            <w:r>
              <w:rPr>
                <w:rFonts w:ascii="宋体"/>
                <w:sz w:val="21"/>
              </w:rPr>
              <w:t>74.75%</w:t>
            </w:r>
          </w:p>
        </w:tc>
        <w:tc>
          <w:tcPr>
            <w:tcW w:w="138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21"/>
                <w:szCs w:val="21"/>
              </w:rPr>
            </w:pPr>
            <w:r>
              <w:rPr>
                <w:rFonts w:ascii="宋体"/>
                <w:sz w:val="21"/>
              </w:rPr>
              <w:t>15.79%</w:t>
            </w:r>
          </w:p>
        </w:tc>
        <w:tc>
          <w:tcPr>
            <w:tcW w:w="138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21"/>
                <w:szCs w:val="21"/>
              </w:rPr>
            </w:pPr>
            <w:r>
              <w:rPr>
                <w:rFonts w:ascii="宋体"/>
                <w:sz w:val="21"/>
              </w:rPr>
              <w:t>1,726.17</w:t>
            </w:r>
          </w:p>
        </w:tc>
        <w:tc>
          <w:tcPr>
            <w:tcW w:w="130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21"/>
                <w:szCs w:val="21"/>
              </w:rPr>
            </w:pPr>
            <w:r>
              <w:rPr>
                <w:rFonts w:ascii="宋体"/>
                <w:sz w:val="21"/>
              </w:rPr>
              <w:t>1.34%</w:t>
            </w:r>
          </w:p>
        </w:tc>
      </w:tr>
      <w:tr>
        <w:trPr>
          <w:trHeight w:val="407" w:hRule="exact"/>
        </w:trPr>
        <w:tc>
          <w:tcPr>
            <w:tcW w:w="1081"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金融</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472"/>
              <w:jc w:val="right"/>
              <w:rPr>
                <w:rFonts w:ascii="宋体" w:hAnsi="宋体" w:cs="宋体" w:eastAsia="宋体" w:hint="default"/>
                <w:sz w:val="21"/>
                <w:szCs w:val="21"/>
              </w:rPr>
            </w:pPr>
            <w:r>
              <w:rPr>
                <w:rFonts w:ascii="宋体"/>
                <w:spacing w:val="-1"/>
                <w:sz w:val="21"/>
              </w:rPr>
              <w:t>4,237.31</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420" w:right="0"/>
              <w:jc w:val="left"/>
              <w:rPr>
                <w:rFonts w:ascii="宋体" w:hAnsi="宋体" w:cs="宋体" w:eastAsia="宋体" w:hint="default"/>
                <w:sz w:val="21"/>
                <w:szCs w:val="21"/>
              </w:rPr>
            </w:pPr>
            <w:r>
              <w:rPr>
                <w:rFonts w:ascii="宋体"/>
                <w:sz w:val="21"/>
              </w:rPr>
              <w:t>975.76</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 w:right="0"/>
              <w:jc w:val="center"/>
              <w:rPr>
                <w:rFonts w:ascii="宋体" w:hAnsi="宋体" w:cs="宋体" w:eastAsia="宋体" w:hint="default"/>
                <w:sz w:val="21"/>
                <w:szCs w:val="21"/>
              </w:rPr>
            </w:pPr>
            <w:r>
              <w:rPr>
                <w:rFonts w:ascii="宋体"/>
                <w:sz w:val="21"/>
              </w:rPr>
              <w:t>76.97%</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sz w:val="21"/>
              </w:rPr>
              <w:t>91.98%</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sz w:val="21"/>
              </w:rPr>
              <w:t>542.75</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sz w:val="21"/>
              </w:rPr>
              <w:t>-3.41%</w:t>
            </w:r>
          </w:p>
        </w:tc>
      </w:tr>
      <w:tr>
        <w:trPr>
          <w:trHeight w:val="406" w:hRule="exact"/>
        </w:trPr>
        <w:tc>
          <w:tcPr>
            <w:tcW w:w="1081"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能源</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580" w:right="0"/>
              <w:jc w:val="left"/>
              <w:rPr>
                <w:rFonts w:ascii="宋体" w:hAnsi="宋体" w:cs="宋体" w:eastAsia="宋体" w:hint="default"/>
                <w:sz w:val="21"/>
                <w:szCs w:val="21"/>
              </w:rPr>
            </w:pPr>
            <w:r>
              <w:rPr>
                <w:rFonts w:ascii="宋体"/>
                <w:sz w:val="21"/>
              </w:rPr>
              <w:t>861.84</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420" w:right="0"/>
              <w:jc w:val="left"/>
              <w:rPr>
                <w:rFonts w:ascii="宋体" w:hAnsi="宋体" w:cs="宋体" w:eastAsia="宋体" w:hint="default"/>
                <w:sz w:val="21"/>
                <w:szCs w:val="21"/>
              </w:rPr>
            </w:pPr>
            <w:r>
              <w:rPr>
                <w:rFonts w:ascii="宋体"/>
                <w:sz w:val="21"/>
              </w:rPr>
              <w:t>149.60</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 w:right="0"/>
              <w:jc w:val="center"/>
              <w:rPr>
                <w:rFonts w:ascii="宋体" w:hAnsi="宋体" w:cs="宋体" w:eastAsia="宋体" w:hint="default"/>
                <w:sz w:val="21"/>
                <w:szCs w:val="21"/>
              </w:rPr>
            </w:pPr>
            <w:r>
              <w:rPr>
                <w:rFonts w:ascii="宋体"/>
                <w:sz w:val="21"/>
              </w:rPr>
              <w:t>82.64%</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sz w:val="21"/>
              </w:rPr>
              <w:t>-32.92%</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sz w:val="21"/>
              </w:rPr>
              <w:t>-95.77</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sz w:val="21"/>
              </w:rPr>
              <w:t>1.74%</w:t>
            </w:r>
          </w:p>
        </w:tc>
      </w:tr>
      <w:tr>
        <w:trPr>
          <w:trHeight w:val="406" w:hRule="exact"/>
        </w:trPr>
        <w:tc>
          <w:tcPr>
            <w:tcW w:w="1081"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政府</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472"/>
              <w:jc w:val="right"/>
              <w:rPr>
                <w:rFonts w:ascii="宋体" w:hAnsi="宋体" w:cs="宋体" w:eastAsia="宋体" w:hint="default"/>
                <w:sz w:val="21"/>
                <w:szCs w:val="21"/>
              </w:rPr>
            </w:pPr>
            <w:r>
              <w:rPr>
                <w:rFonts w:ascii="宋体"/>
                <w:spacing w:val="-1"/>
                <w:sz w:val="21"/>
              </w:rPr>
              <w:t>1,291.18</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420" w:right="0"/>
              <w:jc w:val="left"/>
              <w:rPr>
                <w:rFonts w:ascii="宋体" w:hAnsi="宋体" w:cs="宋体" w:eastAsia="宋体" w:hint="default"/>
                <w:sz w:val="21"/>
                <w:szCs w:val="21"/>
              </w:rPr>
            </w:pPr>
            <w:r>
              <w:rPr>
                <w:rFonts w:ascii="宋体"/>
                <w:sz w:val="21"/>
              </w:rPr>
              <w:t>502.38</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 w:right="0"/>
              <w:jc w:val="center"/>
              <w:rPr>
                <w:rFonts w:ascii="宋体" w:hAnsi="宋体" w:cs="宋体" w:eastAsia="宋体" w:hint="default"/>
                <w:sz w:val="21"/>
                <w:szCs w:val="21"/>
              </w:rPr>
            </w:pPr>
            <w:r>
              <w:rPr>
                <w:rFonts w:ascii="宋体"/>
                <w:sz w:val="21"/>
              </w:rPr>
              <w:t>61.09%</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sz w:val="21"/>
              </w:rPr>
              <w:t>44.22%</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sz w:val="21"/>
              </w:rPr>
              <w:t>315.18</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sz w:val="21"/>
              </w:rPr>
              <w:t>-18.00%</w:t>
            </w:r>
          </w:p>
        </w:tc>
      </w:tr>
      <w:tr>
        <w:trPr>
          <w:trHeight w:val="407" w:hRule="exact"/>
        </w:trPr>
        <w:tc>
          <w:tcPr>
            <w:tcW w:w="1081"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其他</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472"/>
              <w:jc w:val="right"/>
              <w:rPr>
                <w:rFonts w:ascii="宋体" w:hAnsi="宋体" w:cs="宋体" w:eastAsia="宋体" w:hint="default"/>
                <w:sz w:val="21"/>
                <w:szCs w:val="21"/>
              </w:rPr>
            </w:pPr>
            <w:r>
              <w:rPr>
                <w:rFonts w:ascii="宋体"/>
                <w:spacing w:val="-1"/>
                <w:sz w:val="21"/>
              </w:rPr>
              <w:t>2,302.80</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313"/>
              <w:jc w:val="right"/>
              <w:rPr>
                <w:rFonts w:ascii="宋体" w:hAnsi="宋体" w:cs="宋体" w:eastAsia="宋体" w:hint="default"/>
                <w:sz w:val="21"/>
                <w:szCs w:val="21"/>
              </w:rPr>
            </w:pPr>
            <w:r>
              <w:rPr>
                <w:rFonts w:ascii="宋体"/>
                <w:spacing w:val="-1"/>
                <w:sz w:val="21"/>
              </w:rPr>
              <w:t>1,325.14</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 w:right="0"/>
              <w:jc w:val="center"/>
              <w:rPr>
                <w:rFonts w:ascii="宋体" w:hAnsi="宋体" w:cs="宋体" w:eastAsia="宋体" w:hint="default"/>
                <w:sz w:val="21"/>
                <w:szCs w:val="21"/>
              </w:rPr>
            </w:pPr>
            <w:r>
              <w:rPr>
                <w:rFonts w:ascii="宋体"/>
                <w:sz w:val="21"/>
              </w:rPr>
              <w:t>42.46%</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sz w:val="21"/>
              </w:rPr>
              <w:t>-15.43%</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sz w:val="21"/>
              </w:rPr>
              <w:t>452.40</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sz w:val="21"/>
              </w:rPr>
              <w:t>-25.49%</w:t>
            </w:r>
          </w:p>
        </w:tc>
      </w:tr>
      <w:tr>
        <w:trPr>
          <w:trHeight w:val="406" w:hRule="exact"/>
        </w:trPr>
        <w:tc>
          <w:tcPr>
            <w:tcW w:w="1081"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420"/>
              <w:jc w:val="right"/>
              <w:rPr>
                <w:rFonts w:ascii="宋体" w:hAnsi="宋体" w:cs="宋体" w:eastAsia="宋体" w:hint="default"/>
                <w:sz w:val="21"/>
                <w:szCs w:val="21"/>
              </w:rPr>
            </w:pPr>
            <w:r>
              <w:rPr>
                <w:rFonts w:ascii="宋体"/>
                <w:spacing w:val="-1"/>
                <w:sz w:val="21"/>
              </w:rPr>
              <w:t>84,162.89</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262"/>
              <w:jc w:val="right"/>
              <w:rPr>
                <w:rFonts w:ascii="宋体" w:hAnsi="宋体" w:cs="宋体" w:eastAsia="宋体" w:hint="default"/>
                <w:sz w:val="21"/>
                <w:szCs w:val="21"/>
              </w:rPr>
            </w:pPr>
            <w:r>
              <w:rPr>
                <w:rFonts w:ascii="宋体"/>
                <w:spacing w:val="-1"/>
                <w:sz w:val="21"/>
              </w:rPr>
              <w:t>22,005.27</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 w:right="0"/>
              <w:jc w:val="center"/>
              <w:rPr>
                <w:rFonts w:ascii="宋体" w:hAnsi="宋体" w:cs="宋体" w:eastAsia="宋体" w:hint="default"/>
                <w:sz w:val="21"/>
                <w:szCs w:val="21"/>
              </w:rPr>
            </w:pPr>
            <w:r>
              <w:rPr>
                <w:rFonts w:ascii="宋体"/>
                <w:sz w:val="21"/>
              </w:rPr>
              <w:t>73.85%</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sz w:val="21"/>
              </w:rPr>
              <w:t>16.42%</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sz w:val="21"/>
              </w:rPr>
              <w:t>2,940.73</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sz w:val="21"/>
              </w:rPr>
              <w:t>0.23%</w:t>
            </w:r>
          </w:p>
        </w:tc>
      </w:tr>
    </w:tbl>
    <w:p>
      <w:pPr>
        <w:spacing w:line="240" w:lineRule="auto" w:before="4"/>
        <w:rPr>
          <w:rFonts w:ascii="宋体" w:hAnsi="宋体" w:cs="宋体" w:eastAsia="宋体" w:hint="default"/>
          <w:sz w:val="15"/>
          <w:szCs w:val="15"/>
        </w:rPr>
      </w:pPr>
    </w:p>
    <w:p>
      <w:pPr>
        <w:spacing w:before="44"/>
        <w:ind w:left="1360" w:right="0" w:firstLine="0"/>
        <w:jc w:val="left"/>
        <w:rPr>
          <w:rFonts w:ascii="宋体" w:hAnsi="宋体" w:cs="宋体" w:eastAsia="宋体" w:hint="default"/>
          <w:sz w:val="18"/>
          <w:szCs w:val="18"/>
        </w:rPr>
      </w:pPr>
      <w:r>
        <w:rPr>
          <w:rFonts w:ascii="宋体" w:hAnsi="宋体" w:cs="宋体" w:eastAsia="宋体" w:hint="default"/>
          <w:sz w:val="18"/>
          <w:szCs w:val="18"/>
        </w:rPr>
        <w:t>注：飞信、农信通业务分类至电信行业。</w:t>
      </w:r>
    </w:p>
    <w:p>
      <w:pPr>
        <w:spacing w:line="240" w:lineRule="auto" w:before="0"/>
        <w:rPr>
          <w:rFonts w:ascii="宋体" w:hAnsi="宋体" w:cs="宋体" w:eastAsia="宋体" w:hint="default"/>
          <w:sz w:val="18"/>
          <w:szCs w:val="18"/>
        </w:rPr>
      </w:pPr>
    </w:p>
    <w:p>
      <w:pPr>
        <w:pStyle w:val="BodyText"/>
        <w:spacing w:line="408" w:lineRule="auto" w:before="127"/>
        <w:ind w:left="1000" w:right="996" w:firstLine="420"/>
        <w:jc w:val="both"/>
      </w:pPr>
      <w:r>
        <w:rPr>
          <w:spacing w:val="-3"/>
        </w:rPr>
        <w:t>报告期内，公司运维管理业务在电信行业保持稳步增长的同时，在金融、政府领域内积</w:t>
      </w:r>
      <w:r>
        <w:rPr/>
        <w:t> </w:t>
      </w:r>
      <w:r>
        <w:rPr>
          <w:spacing w:val="-3"/>
        </w:rPr>
        <w:t>极拓展，业务增速较快，分别实现营业收入4,237.31万元、1,291.18万元，分别较去年同期</w:t>
      </w:r>
      <w:r>
        <w:rPr>
          <w:spacing w:val="-62"/>
        </w:rPr>
        <w:t> </w:t>
      </w:r>
      <w:r>
        <w:rPr>
          <w:spacing w:val="-62"/>
        </w:rPr>
      </w:r>
      <w:r>
        <w:rPr/>
        <w:t>增长91.98%、44.22%。</w:t>
      </w:r>
    </w:p>
    <w:p>
      <w:pPr>
        <w:spacing w:line="240" w:lineRule="auto" w:before="6"/>
        <w:rPr>
          <w:rFonts w:ascii="宋体" w:hAnsi="宋体" w:cs="宋体" w:eastAsia="宋体" w:hint="default"/>
          <w:sz w:val="15"/>
          <w:szCs w:val="15"/>
        </w:rPr>
      </w:pPr>
    </w:p>
    <w:p>
      <w:pPr>
        <w:pStyle w:val="BodyText"/>
        <w:spacing w:line="240" w:lineRule="auto"/>
        <w:ind w:left="1420" w:right="0"/>
        <w:jc w:val="left"/>
      </w:pPr>
      <w:r>
        <w:rPr/>
        <w:t>（2）主营业务分产品领域情况表</w:t>
      </w:r>
    </w:p>
    <w:p>
      <w:pPr>
        <w:spacing w:line="240" w:lineRule="auto" w:before="9"/>
        <w:rPr>
          <w:rFonts w:ascii="宋体" w:hAnsi="宋体" w:cs="宋体" w:eastAsia="宋体" w:hint="default"/>
          <w:sz w:val="26"/>
          <w:szCs w:val="26"/>
        </w:rPr>
      </w:pPr>
    </w:p>
    <w:p>
      <w:pPr>
        <w:pStyle w:val="BodyText"/>
        <w:spacing w:line="240" w:lineRule="auto"/>
        <w:ind w:left="0" w:right="995"/>
        <w:jc w:val="right"/>
      </w:pPr>
      <w:r>
        <w:rPr>
          <w:spacing w:val="-1"/>
        </w:rPr>
        <w:t>单位</w:t>
      </w:r>
      <w:r>
        <w:rPr>
          <w:spacing w:val="-94"/>
        </w:rPr>
        <w:t>：</w:t>
      </w:r>
      <w:r>
        <w:rPr>
          <w:spacing w:val="1"/>
        </w:rPr>
        <w:t>万元</w:t>
      </w:r>
      <w:r>
        <w:rPr/>
      </w:r>
    </w:p>
    <w:p>
      <w:pPr>
        <w:spacing w:line="240" w:lineRule="auto" w:before="12"/>
        <w:rPr>
          <w:rFonts w:ascii="宋体" w:hAnsi="宋体" w:cs="宋体" w:eastAsia="宋体" w:hint="default"/>
          <w:sz w:val="9"/>
          <w:szCs w:val="9"/>
        </w:rPr>
      </w:pPr>
    </w:p>
    <w:tbl>
      <w:tblPr>
        <w:tblW w:w="0" w:type="auto"/>
        <w:jc w:val="left"/>
        <w:tblInd w:w="108" w:type="dxa"/>
        <w:tblLayout w:type="fixed"/>
        <w:tblCellMar>
          <w:top w:w="0" w:type="dxa"/>
          <w:left w:w="0" w:type="dxa"/>
          <w:bottom w:w="0" w:type="dxa"/>
          <w:right w:w="0" w:type="dxa"/>
        </w:tblCellMar>
        <w:tblLook w:val="01E0"/>
      </w:tblPr>
      <w:tblGrid>
        <w:gridCol w:w="1963"/>
        <w:gridCol w:w="1160"/>
        <w:gridCol w:w="1505"/>
        <w:gridCol w:w="1321"/>
        <w:gridCol w:w="1404"/>
        <w:gridCol w:w="1404"/>
        <w:gridCol w:w="1322"/>
      </w:tblGrid>
      <w:tr>
        <w:trPr>
          <w:trHeight w:val="635" w:hRule="exact"/>
        </w:trPr>
        <w:tc>
          <w:tcPr>
            <w:tcW w:w="196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41"/>
              <w:ind w:left="554" w:right="0"/>
              <w:jc w:val="left"/>
              <w:rPr>
                <w:rFonts w:ascii="宋体" w:hAnsi="宋体" w:cs="宋体" w:eastAsia="宋体" w:hint="default"/>
                <w:sz w:val="21"/>
                <w:szCs w:val="21"/>
              </w:rPr>
            </w:pPr>
            <w:r>
              <w:rPr>
                <w:rFonts w:ascii="宋体" w:hAnsi="宋体" w:cs="宋体" w:eastAsia="宋体" w:hint="default"/>
                <w:b/>
                <w:bCs/>
                <w:sz w:val="21"/>
                <w:szCs w:val="21"/>
              </w:rPr>
              <w:t>产品领域</w:t>
            </w:r>
            <w:r>
              <w:rPr>
                <w:rFonts w:ascii="宋体" w:hAnsi="宋体" w:cs="宋体" w:eastAsia="宋体" w:hint="default"/>
                <w:sz w:val="21"/>
                <w:szCs w:val="21"/>
              </w:rPr>
            </w:r>
          </w:p>
        </w:tc>
        <w:tc>
          <w:tcPr>
            <w:tcW w:w="116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41"/>
              <w:ind w:left="1" w:right="0"/>
              <w:jc w:val="center"/>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505"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41"/>
              <w:ind w:left="324"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c>
          <w:tcPr>
            <w:tcW w:w="1321"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41"/>
              <w:ind w:left="1" w:right="0"/>
              <w:jc w:val="center"/>
              <w:rPr>
                <w:rFonts w:ascii="宋体" w:hAnsi="宋体" w:cs="宋体" w:eastAsia="宋体" w:hint="default"/>
                <w:sz w:val="21"/>
                <w:szCs w:val="21"/>
              </w:rPr>
            </w:pPr>
            <w:r>
              <w:rPr>
                <w:rFonts w:ascii="宋体" w:hAnsi="宋体" w:cs="宋体" w:eastAsia="宋体" w:hint="default"/>
                <w:b/>
                <w:bCs/>
                <w:sz w:val="21"/>
                <w:szCs w:val="21"/>
              </w:rPr>
              <w:t>毛利率</w:t>
            </w:r>
            <w:r>
              <w:rPr>
                <w:rFonts w:ascii="宋体" w:hAnsi="宋体" w:cs="宋体" w:eastAsia="宋体" w:hint="default"/>
                <w:sz w:val="21"/>
                <w:szCs w:val="21"/>
              </w:rPr>
            </w:r>
          </w:p>
        </w:tc>
        <w:tc>
          <w:tcPr>
            <w:tcW w:w="1404"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b/>
                <w:bCs/>
                <w:sz w:val="21"/>
                <w:szCs w:val="21"/>
              </w:rPr>
              <w:t>营业收入比</w:t>
            </w:r>
            <w:r>
              <w:rPr>
                <w:rFonts w:ascii="宋体" w:hAnsi="宋体" w:cs="宋体" w:eastAsia="宋体" w:hint="default"/>
                <w:sz w:val="21"/>
                <w:szCs w:val="21"/>
              </w:rPr>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b/>
                <w:bCs/>
                <w:sz w:val="21"/>
                <w:szCs w:val="21"/>
              </w:rPr>
              <w:t>上年增减</w:t>
            </w:r>
            <w:r>
              <w:rPr>
                <w:rFonts w:ascii="宋体" w:hAnsi="宋体" w:cs="宋体" w:eastAsia="宋体" w:hint="default"/>
                <w:sz w:val="21"/>
                <w:szCs w:val="21"/>
              </w:rPr>
            </w:r>
          </w:p>
        </w:tc>
        <w:tc>
          <w:tcPr>
            <w:tcW w:w="1404"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b/>
                <w:bCs/>
                <w:sz w:val="21"/>
                <w:szCs w:val="21"/>
              </w:rPr>
              <w:t>营业成本比</w:t>
            </w:r>
            <w:r>
              <w:rPr>
                <w:rFonts w:ascii="宋体" w:hAnsi="宋体" w:cs="宋体" w:eastAsia="宋体" w:hint="default"/>
                <w:sz w:val="21"/>
                <w:szCs w:val="21"/>
              </w:rPr>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b/>
                <w:bCs/>
                <w:sz w:val="21"/>
                <w:szCs w:val="21"/>
              </w:rPr>
              <w:t>上年增减</w:t>
            </w:r>
            <w:r>
              <w:rPr>
                <w:rFonts w:ascii="宋体" w:hAnsi="宋体" w:cs="宋体" w:eastAsia="宋体" w:hint="default"/>
                <w:sz w:val="21"/>
                <w:szCs w:val="21"/>
              </w:rPr>
            </w:r>
          </w:p>
        </w:tc>
        <w:tc>
          <w:tcPr>
            <w:tcW w:w="1322"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b/>
                <w:bCs/>
                <w:sz w:val="21"/>
                <w:szCs w:val="21"/>
              </w:rPr>
              <w:t>毛利率比上</w:t>
            </w:r>
            <w:r>
              <w:rPr>
                <w:rFonts w:ascii="宋体" w:hAnsi="宋体" w:cs="宋体" w:eastAsia="宋体" w:hint="default"/>
                <w:sz w:val="21"/>
                <w:szCs w:val="21"/>
              </w:rPr>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b/>
                <w:bCs/>
                <w:sz w:val="21"/>
                <w:szCs w:val="21"/>
              </w:rPr>
              <w:t>年增减</w:t>
            </w:r>
            <w:r>
              <w:rPr>
                <w:rFonts w:ascii="宋体" w:hAnsi="宋体" w:cs="宋体" w:eastAsia="宋体" w:hint="default"/>
                <w:sz w:val="21"/>
                <w:szCs w:val="21"/>
              </w:rPr>
            </w:r>
          </w:p>
        </w:tc>
      </w:tr>
      <w:tr>
        <w:trPr>
          <w:trHeight w:val="531" w:hRule="exact"/>
        </w:trPr>
        <w:tc>
          <w:tcPr>
            <w:tcW w:w="196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9"/>
              <w:ind w:right="344"/>
              <w:jc w:val="right"/>
              <w:rPr>
                <w:rFonts w:ascii="宋体" w:hAnsi="宋体" w:cs="宋体" w:eastAsia="宋体" w:hint="default"/>
                <w:sz w:val="21"/>
                <w:szCs w:val="21"/>
              </w:rPr>
            </w:pPr>
            <w:r>
              <w:rPr>
                <w:rFonts w:ascii="宋体" w:hAnsi="宋体" w:cs="宋体" w:eastAsia="宋体" w:hint="default"/>
                <w:sz w:val="21"/>
                <w:szCs w:val="21"/>
              </w:rPr>
              <w:t>运维管理业务</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3" w:right="0"/>
              <w:jc w:val="center"/>
              <w:rPr>
                <w:rFonts w:ascii="宋体" w:hAnsi="宋体" w:cs="宋体" w:eastAsia="宋体" w:hint="default"/>
                <w:sz w:val="21"/>
                <w:szCs w:val="21"/>
              </w:rPr>
            </w:pPr>
            <w:r>
              <w:rPr>
                <w:rFonts w:ascii="宋体"/>
                <w:sz w:val="21"/>
              </w:rPr>
              <w:t>31,712.32</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21"/>
                <w:szCs w:val="21"/>
              </w:rPr>
            </w:pPr>
            <w:r>
              <w:rPr>
                <w:rFonts w:ascii="宋体"/>
                <w:spacing w:val="-1"/>
                <w:sz w:val="21"/>
              </w:rPr>
              <w:t>7,585.29</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2" w:right="0"/>
              <w:jc w:val="center"/>
              <w:rPr>
                <w:rFonts w:ascii="宋体" w:hAnsi="宋体" w:cs="宋体" w:eastAsia="宋体" w:hint="default"/>
                <w:sz w:val="21"/>
                <w:szCs w:val="21"/>
              </w:rPr>
            </w:pPr>
            <w:r>
              <w:rPr>
                <w:rFonts w:ascii="宋体"/>
                <w:sz w:val="21"/>
              </w:rPr>
              <w:t>76.08%</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21"/>
                <w:szCs w:val="21"/>
              </w:rPr>
            </w:pPr>
            <w:r>
              <w:rPr>
                <w:rFonts w:ascii="宋体"/>
                <w:spacing w:val="-1"/>
                <w:sz w:val="21"/>
              </w:rPr>
              <w:t>20.72%</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0"/>
              <w:jc w:val="right"/>
              <w:rPr>
                <w:rFonts w:ascii="宋体" w:hAnsi="宋体" w:cs="宋体" w:eastAsia="宋体" w:hint="default"/>
                <w:sz w:val="21"/>
                <w:szCs w:val="21"/>
              </w:rPr>
            </w:pPr>
            <w:r>
              <w:rPr>
                <w:rFonts w:ascii="宋体"/>
                <w:sz w:val="21"/>
              </w:rPr>
              <w:t>5.33%</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2" w:right="0"/>
              <w:jc w:val="center"/>
              <w:rPr>
                <w:rFonts w:ascii="宋体" w:hAnsi="宋体" w:cs="宋体" w:eastAsia="宋体" w:hint="default"/>
                <w:sz w:val="21"/>
                <w:szCs w:val="21"/>
              </w:rPr>
            </w:pPr>
            <w:r>
              <w:rPr>
                <w:rFonts w:ascii="宋体"/>
                <w:sz w:val="21"/>
              </w:rPr>
              <w:t>-3.49%</w:t>
            </w:r>
          </w:p>
        </w:tc>
      </w:tr>
      <w:tr>
        <w:trPr>
          <w:trHeight w:val="532" w:hRule="exact"/>
        </w:trPr>
        <w:tc>
          <w:tcPr>
            <w:tcW w:w="196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9"/>
              <w:ind w:left="451" w:right="0"/>
              <w:jc w:val="left"/>
              <w:rPr>
                <w:rFonts w:ascii="宋体" w:hAnsi="宋体" w:cs="宋体" w:eastAsia="宋体" w:hint="default"/>
                <w:sz w:val="21"/>
                <w:szCs w:val="21"/>
              </w:rPr>
            </w:pPr>
            <w:r>
              <w:rPr>
                <w:rFonts w:ascii="宋体" w:hAnsi="宋体" w:cs="宋体" w:eastAsia="宋体" w:hint="default"/>
                <w:sz w:val="21"/>
                <w:szCs w:val="21"/>
              </w:rPr>
              <w:t>互联网业务</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2" w:right="0"/>
              <w:jc w:val="center"/>
              <w:rPr>
                <w:rFonts w:ascii="宋体" w:hAnsi="宋体" w:cs="宋体" w:eastAsia="宋体" w:hint="default"/>
                <w:sz w:val="21"/>
                <w:szCs w:val="21"/>
              </w:rPr>
            </w:pPr>
            <w:r>
              <w:rPr>
                <w:rFonts w:ascii="宋体"/>
                <w:sz w:val="21"/>
              </w:rPr>
              <w:t>52,450.58</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21"/>
                <w:szCs w:val="21"/>
              </w:rPr>
            </w:pPr>
            <w:r>
              <w:rPr>
                <w:rFonts w:ascii="宋体"/>
                <w:spacing w:val="-1"/>
                <w:sz w:val="21"/>
              </w:rPr>
              <w:t>14,419.98</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 w:right="0"/>
              <w:jc w:val="center"/>
              <w:rPr>
                <w:rFonts w:ascii="宋体" w:hAnsi="宋体" w:cs="宋体" w:eastAsia="宋体" w:hint="default"/>
                <w:sz w:val="21"/>
                <w:szCs w:val="21"/>
              </w:rPr>
            </w:pPr>
            <w:r>
              <w:rPr>
                <w:rFonts w:ascii="宋体"/>
                <w:sz w:val="21"/>
              </w:rPr>
              <w:t>72.51%</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0"/>
              <w:jc w:val="right"/>
              <w:rPr>
                <w:rFonts w:ascii="宋体" w:hAnsi="宋体" w:cs="宋体" w:eastAsia="宋体" w:hint="default"/>
                <w:sz w:val="21"/>
                <w:szCs w:val="21"/>
              </w:rPr>
            </w:pPr>
            <w:r>
              <w:rPr>
                <w:rFonts w:ascii="宋体"/>
                <w:sz w:val="21"/>
              </w:rPr>
              <w:t>13.97%</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21"/>
                <w:szCs w:val="21"/>
              </w:rPr>
            </w:pPr>
            <w:r>
              <w:rPr>
                <w:rFonts w:ascii="宋体"/>
                <w:spacing w:val="-1"/>
                <w:sz w:val="21"/>
              </w:rPr>
              <w:t>21.55%</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0"/>
              <w:jc w:val="center"/>
              <w:rPr>
                <w:rFonts w:ascii="宋体" w:hAnsi="宋体" w:cs="宋体" w:eastAsia="宋体" w:hint="default"/>
                <w:sz w:val="21"/>
                <w:szCs w:val="21"/>
              </w:rPr>
            </w:pPr>
            <w:r>
              <w:rPr>
                <w:rFonts w:ascii="宋体"/>
                <w:sz w:val="21"/>
              </w:rPr>
              <w:t>1.71%</w:t>
            </w:r>
          </w:p>
        </w:tc>
      </w:tr>
      <w:tr>
        <w:trPr>
          <w:trHeight w:val="530" w:hRule="exact"/>
        </w:trPr>
        <w:tc>
          <w:tcPr>
            <w:tcW w:w="196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9"/>
              <w:ind w:left="451" w:right="0"/>
              <w:jc w:val="left"/>
              <w:rPr>
                <w:rFonts w:ascii="宋体" w:hAnsi="宋体" w:cs="宋体" w:eastAsia="宋体" w:hint="default"/>
                <w:sz w:val="21"/>
                <w:szCs w:val="21"/>
              </w:rPr>
            </w:pPr>
            <w:r>
              <w:rPr>
                <w:rFonts w:ascii="宋体" w:hAnsi="宋体" w:cs="宋体" w:eastAsia="宋体" w:hint="default"/>
                <w:sz w:val="21"/>
                <w:szCs w:val="21"/>
              </w:rPr>
              <w:t>其中：飞信</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2" w:right="0"/>
              <w:jc w:val="center"/>
              <w:rPr>
                <w:rFonts w:ascii="宋体" w:hAnsi="宋体" w:cs="宋体" w:eastAsia="宋体" w:hint="default"/>
                <w:sz w:val="21"/>
                <w:szCs w:val="21"/>
              </w:rPr>
            </w:pPr>
            <w:r>
              <w:rPr>
                <w:rFonts w:ascii="宋体"/>
                <w:sz w:val="21"/>
              </w:rPr>
              <w:t>49,120.76</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21"/>
                <w:szCs w:val="21"/>
              </w:rPr>
            </w:pPr>
            <w:r>
              <w:rPr>
                <w:rFonts w:ascii="宋体"/>
                <w:spacing w:val="-1"/>
                <w:sz w:val="21"/>
              </w:rPr>
              <w:t>12,708.49</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 w:right="0"/>
              <w:jc w:val="center"/>
              <w:rPr>
                <w:rFonts w:ascii="宋体" w:hAnsi="宋体" w:cs="宋体" w:eastAsia="宋体" w:hint="default"/>
                <w:sz w:val="21"/>
                <w:szCs w:val="21"/>
              </w:rPr>
            </w:pPr>
            <w:r>
              <w:rPr>
                <w:rFonts w:ascii="宋体"/>
                <w:sz w:val="21"/>
              </w:rPr>
              <w:t>74.13%</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0"/>
              <w:jc w:val="right"/>
              <w:rPr>
                <w:rFonts w:ascii="宋体" w:hAnsi="宋体" w:cs="宋体" w:eastAsia="宋体" w:hint="default"/>
                <w:sz w:val="21"/>
                <w:szCs w:val="21"/>
              </w:rPr>
            </w:pPr>
            <w:r>
              <w:rPr>
                <w:rFonts w:ascii="宋体"/>
                <w:sz w:val="21"/>
              </w:rPr>
              <w:t>11.38%</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0"/>
              <w:jc w:val="right"/>
              <w:rPr>
                <w:rFonts w:ascii="宋体" w:hAnsi="宋体" w:cs="宋体" w:eastAsia="宋体" w:hint="default"/>
                <w:sz w:val="21"/>
                <w:szCs w:val="21"/>
              </w:rPr>
            </w:pPr>
            <w:r>
              <w:rPr>
                <w:rFonts w:ascii="宋体"/>
                <w:spacing w:val="-1"/>
                <w:sz w:val="21"/>
              </w:rPr>
              <w:t>7.83%</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 w:right="0"/>
              <w:jc w:val="center"/>
              <w:rPr>
                <w:rFonts w:ascii="宋体" w:hAnsi="宋体" w:cs="宋体" w:eastAsia="宋体" w:hint="default"/>
                <w:sz w:val="21"/>
                <w:szCs w:val="21"/>
              </w:rPr>
            </w:pPr>
            <w:r>
              <w:rPr>
                <w:rFonts w:ascii="宋体"/>
                <w:sz w:val="21"/>
              </w:rPr>
              <w:t>0.85%</w:t>
            </w:r>
          </w:p>
        </w:tc>
      </w:tr>
      <w:tr>
        <w:trPr>
          <w:trHeight w:val="532" w:hRule="exact"/>
        </w:trPr>
        <w:tc>
          <w:tcPr>
            <w:tcW w:w="196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9"/>
              <w:ind w:right="344"/>
              <w:jc w:val="right"/>
              <w:rPr>
                <w:rFonts w:ascii="宋体" w:hAnsi="宋体" w:cs="宋体" w:eastAsia="宋体" w:hint="default"/>
                <w:sz w:val="21"/>
                <w:szCs w:val="21"/>
              </w:rPr>
            </w:pPr>
            <w:r>
              <w:rPr>
                <w:rFonts w:ascii="宋体" w:hAnsi="宋体" w:cs="宋体" w:eastAsia="宋体" w:hint="default"/>
                <w:spacing w:val="-1"/>
                <w:sz w:val="21"/>
                <w:szCs w:val="21"/>
              </w:rPr>
              <w:t>农信通</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8" w:right="0"/>
              <w:jc w:val="center"/>
              <w:rPr>
                <w:rFonts w:ascii="宋体" w:hAnsi="宋体" w:cs="宋体" w:eastAsia="宋体" w:hint="default"/>
                <w:sz w:val="21"/>
                <w:szCs w:val="21"/>
              </w:rPr>
            </w:pPr>
            <w:r>
              <w:rPr>
                <w:rFonts w:ascii="宋体"/>
                <w:sz w:val="21"/>
              </w:rPr>
              <w:t>3,329.82</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2"/>
              <w:jc w:val="right"/>
              <w:rPr>
                <w:rFonts w:ascii="宋体" w:hAnsi="宋体" w:cs="宋体" w:eastAsia="宋体" w:hint="default"/>
                <w:sz w:val="21"/>
                <w:szCs w:val="21"/>
              </w:rPr>
            </w:pPr>
            <w:r>
              <w:rPr>
                <w:rFonts w:ascii="宋体"/>
                <w:spacing w:val="-1"/>
                <w:sz w:val="21"/>
              </w:rPr>
              <w:t>1,711.49</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 w:right="0"/>
              <w:jc w:val="center"/>
              <w:rPr>
                <w:rFonts w:ascii="宋体" w:hAnsi="宋体" w:cs="宋体" w:eastAsia="宋体" w:hint="default"/>
                <w:sz w:val="21"/>
                <w:szCs w:val="21"/>
              </w:rPr>
            </w:pPr>
            <w:r>
              <w:rPr>
                <w:rFonts w:ascii="宋体"/>
                <w:sz w:val="21"/>
              </w:rPr>
              <w:t>48.60%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21"/>
                <w:szCs w:val="21"/>
              </w:rPr>
            </w:pPr>
            <w:r>
              <w:rPr>
                <w:rFonts w:ascii="宋体"/>
                <w:spacing w:val="-1"/>
                <w:sz w:val="21"/>
              </w:rPr>
              <w:t>73.63%</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21"/>
                <w:szCs w:val="21"/>
              </w:rPr>
            </w:pPr>
            <w:r>
              <w:rPr>
                <w:rFonts w:ascii="宋体"/>
                <w:spacing w:val="-1"/>
                <w:sz w:val="21"/>
              </w:rPr>
              <w:t>2091.24%</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
              <w:jc w:val="center"/>
              <w:rPr>
                <w:rFonts w:ascii="宋体" w:hAnsi="宋体" w:cs="宋体" w:eastAsia="宋体" w:hint="default"/>
                <w:sz w:val="21"/>
                <w:szCs w:val="21"/>
              </w:rPr>
            </w:pPr>
            <w:r>
              <w:rPr>
                <w:rFonts w:ascii="宋体"/>
                <w:sz w:val="21"/>
              </w:rPr>
              <w:t>-47.33%</w:t>
            </w:r>
          </w:p>
        </w:tc>
      </w:tr>
    </w:tbl>
    <w:p>
      <w:pPr>
        <w:spacing w:line="240" w:lineRule="auto" w:before="1"/>
        <w:rPr>
          <w:rFonts w:ascii="宋体" w:hAnsi="宋体" w:cs="宋体" w:eastAsia="宋体" w:hint="default"/>
          <w:sz w:val="14"/>
          <w:szCs w:val="14"/>
        </w:rPr>
      </w:pPr>
    </w:p>
    <w:p>
      <w:pPr>
        <w:pStyle w:val="Heading2"/>
        <w:spacing w:line="240" w:lineRule="auto" w:before="35"/>
        <w:ind w:left="1422" w:right="0"/>
        <w:jc w:val="left"/>
        <w:rPr>
          <w:b w:val="0"/>
          <w:bCs w:val="0"/>
        </w:rPr>
      </w:pPr>
      <w:r>
        <w:rPr/>
        <w:t>3、订单的签署和执行情况</w:t>
      </w:r>
      <w:r>
        <w:rPr>
          <w:b w:val="0"/>
          <w:bCs w:val="0"/>
        </w:rPr>
      </w:r>
    </w:p>
    <w:p>
      <w:pPr>
        <w:spacing w:line="240" w:lineRule="auto" w:before="9"/>
        <w:rPr>
          <w:rFonts w:ascii="宋体" w:hAnsi="宋体" w:cs="宋体" w:eastAsia="宋体" w:hint="default"/>
          <w:b/>
          <w:bCs/>
          <w:sz w:val="26"/>
          <w:szCs w:val="26"/>
        </w:rPr>
      </w:pPr>
    </w:p>
    <w:p>
      <w:pPr>
        <w:pStyle w:val="BodyText"/>
        <w:spacing w:line="408" w:lineRule="auto"/>
        <w:ind w:left="1000" w:right="996" w:firstLine="420"/>
        <w:jc w:val="both"/>
      </w:pPr>
      <w:r>
        <w:rPr>
          <w:spacing w:val="-3"/>
        </w:rPr>
        <w:t>报告期内，随着品牌度、综合技术实力的进一步提高，签署的订单比上年相应增加并执</w:t>
      </w:r>
      <w:r>
        <w:rPr/>
        <w:t> </w:t>
      </w:r>
      <w:r>
        <w:rPr>
          <w:spacing w:val="-3"/>
        </w:rPr>
        <w:t>行良好，截至报告期末，除正在执行的飞信、农信通的开发及运维服务业务合同外，公司已</w:t>
      </w:r>
      <w:r>
        <w:rPr>
          <w:spacing w:val="-80"/>
        </w:rPr>
        <w:t> </w:t>
      </w:r>
      <w:r>
        <w:rPr>
          <w:spacing w:val="-80"/>
        </w:rPr>
      </w:r>
      <w:r>
        <w:rPr/>
        <w:t>签约未完成施工的合同约为3.23亿元左右。</w:t>
      </w:r>
    </w:p>
    <w:p>
      <w:pPr>
        <w:spacing w:line="240" w:lineRule="auto" w:before="6"/>
        <w:rPr>
          <w:rFonts w:ascii="宋体" w:hAnsi="宋体" w:cs="宋体" w:eastAsia="宋体" w:hint="default"/>
          <w:sz w:val="15"/>
          <w:szCs w:val="15"/>
        </w:rPr>
      </w:pPr>
    </w:p>
    <w:p>
      <w:pPr>
        <w:pStyle w:val="Heading2"/>
        <w:spacing w:line="240" w:lineRule="auto"/>
        <w:ind w:left="1422" w:right="0"/>
        <w:jc w:val="left"/>
        <w:rPr>
          <w:b w:val="0"/>
          <w:bCs w:val="0"/>
        </w:rPr>
      </w:pPr>
      <w:r>
        <w:rPr/>
        <w:t>4、公司主要客户、供应商情况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1420" w:right="0"/>
        <w:jc w:val="left"/>
      </w:pPr>
      <w:r>
        <w:rPr/>
        <w:t>（1）公司主要客户情况</w:t>
      </w:r>
    </w:p>
    <w:p>
      <w:pPr>
        <w:spacing w:line="240" w:lineRule="auto" w:before="9"/>
        <w:rPr>
          <w:rFonts w:ascii="宋体" w:hAnsi="宋体" w:cs="宋体" w:eastAsia="宋体" w:hint="default"/>
          <w:sz w:val="20"/>
          <w:szCs w:val="20"/>
        </w:rPr>
      </w:pPr>
    </w:p>
    <w:p>
      <w:pPr>
        <w:pStyle w:val="BodyText"/>
        <w:spacing w:line="240" w:lineRule="auto"/>
        <w:ind w:left="0" w:right="995"/>
        <w:jc w:val="right"/>
      </w:pPr>
      <w:r>
        <w:rPr/>
        <w:t>单位：万元</w:t>
      </w:r>
    </w:p>
    <w:p>
      <w:pPr>
        <w:spacing w:line="240" w:lineRule="auto" w:before="13"/>
        <w:rPr>
          <w:rFonts w:ascii="宋体" w:hAnsi="宋体" w:cs="宋体" w:eastAsia="宋体" w:hint="default"/>
          <w:sz w:val="3"/>
          <w:szCs w:val="3"/>
        </w:rPr>
      </w:pPr>
    </w:p>
    <w:tbl>
      <w:tblPr>
        <w:tblW w:w="0" w:type="auto"/>
        <w:jc w:val="left"/>
        <w:tblInd w:w="632" w:type="dxa"/>
        <w:tblLayout w:type="fixed"/>
        <w:tblCellMar>
          <w:top w:w="0" w:type="dxa"/>
          <w:left w:w="0" w:type="dxa"/>
          <w:bottom w:w="0" w:type="dxa"/>
          <w:right w:w="0" w:type="dxa"/>
        </w:tblCellMar>
        <w:tblLook w:val="01E0"/>
      </w:tblPr>
      <w:tblGrid>
        <w:gridCol w:w="1986"/>
        <w:gridCol w:w="1974"/>
        <w:gridCol w:w="1336"/>
        <w:gridCol w:w="1865"/>
        <w:gridCol w:w="1870"/>
      </w:tblGrid>
      <w:tr>
        <w:trPr>
          <w:trHeight w:val="629" w:hRule="exact"/>
        </w:trPr>
        <w:tc>
          <w:tcPr>
            <w:tcW w:w="198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前五名客户</w:t>
            </w:r>
          </w:p>
        </w:tc>
        <w:tc>
          <w:tcPr>
            <w:tcW w:w="197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销售金额</w:t>
            </w:r>
          </w:p>
        </w:tc>
        <w:tc>
          <w:tcPr>
            <w:tcW w:w="133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0" w:lineRule="exact"/>
              <w:ind w:left="137" w:right="0"/>
              <w:jc w:val="left"/>
              <w:rPr>
                <w:rFonts w:ascii="宋体" w:hAnsi="宋体" w:cs="宋体" w:eastAsia="宋体" w:hint="default"/>
                <w:sz w:val="21"/>
                <w:szCs w:val="21"/>
              </w:rPr>
            </w:pPr>
            <w:r>
              <w:rPr>
                <w:rFonts w:ascii="宋体" w:hAnsi="宋体" w:cs="宋体" w:eastAsia="宋体" w:hint="default"/>
                <w:sz w:val="21"/>
                <w:szCs w:val="21"/>
              </w:rPr>
              <w:t>占年度销售</w:t>
            </w:r>
          </w:p>
          <w:p>
            <w:pPr>
              <w:pStyle w:val="TableParagraph"/>
              <w:spacing w:line="240" w:lineRule="auto" w:before="37"/>
              <w:ind w:left="137" w:right="0"/>
              <w:jc w:val="left"/>
              <w:rPr>
                <w:rFonts w:ascii="宋体" w:hAnsi="宋体" w:cs="宋体" w:eastAsia="宋体" w:hint="default"/>
                <w:sz w:val="21"/>
                <w:szCs w:val="21"/>
              </w:rPr>
            </w:pPr>
            <w:r>
              <w:rPr>
                <w:rFonts w:ascii="宋体" w:hAnsi="宋体" w:cs="宋体" w:eastAsia="宋体" w:hint="default"/>
                <w:sz w:val="21"/>
                <w:szCs w:val="21"/>
              </w:rPr>
              <w:t>金额的比例</w:t>
            </w:r>
          </w:p>
        </w:tc>
        <w:tc>
          <w:tcPr>
            <w:tcW w:w="186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应收账款的余额</w:t>
            </w:r>
          </w:p>
        </w:tc>
        <w:tc>
          <w:tcPr>
            <w:tcW w:w="187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占应收账款余额</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的比例</w:t>
            </w:r>
          </w:p>
        </w:tc>
      </w:tr>
      <w:tr>
        <w:trPr>
          <w:trHeight w:val="570" w:hRule="exact"/>
        </w:trPr>
        <w:tc>
          <w:tcPr>
            <w:tcW w:w="198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10"/>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0"/>
              <w:jc w:val="center"/>
              <w:rPr>
                <w:rFonts w:ascii="宋体" w:hAnsi="宋体" w:cs="宋体" w:eastAsia="宋体" w:hint="default"/>
                <w:sz w:val="21"/>
                <w:szCs w:val="21"/>
              </w:rPr>
            </w:pPr>
            <w:r>
              <w:rPr>
                <w:rFonts w:ascii="宋体"/>
                <w:sz w:val="21"/>
              </w:rPr>
              <w:t>60,539.68</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347" w:right="0"/>
              <w:jc w:val="left"/>
              <w:rPr>
                <w:rFonts w:ascii="宋体" w:hAnsi="宋体" w:cs="宋体" w:eastAsia="宋体" w:hint="default"/>
                <w:sz w:val="21"/>
                <w:szCs w:val="21"/>
              </w:rPr>
            </w:pPr>
            <w:r>
              <w:rPr>
                <w:rFonts w:ascii="宋体"/>
                <w:sz w:val="21"/>
              </w:rPr>
              <w:t>71.93%</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0"/>
              <w:jc w:val="center"/>
              <w:rPr>
                <w:rFonts w:ascii="宋体" w:hAnsi="宋体" w:cs="宋体" w:eastAsia="宋体" w:hint="default"/>
                <w:sz w:val="21"/>
                <w:szCs w:val="21"/>
              </w:rPr>
            </w:pPr>
            <w:r>
              <w:rPr>
                <w:rFonts w:ascii="宋体"/>
                <w:sz w:val="21"/>
              </w:rPr>
              <w:t>23,820.98</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615" w:right="0"/>
              <w:jc w:val="left"/>
              <w:rPr>
                <w:rFonts w:ascii="宋体" w:hAnsi="宋体" w:cs="宋体" w:eastAsia="宋体" w:hint="default"/>
                <w:sz w:val="21"/>
                <w:szCs w:val="21"/>
              </w:rPr>
            </w:pPr>
            <w:r>
              <w:rPr>
                <w:rFonts w:ascii="宋体"/>
                <w:sz w:val="21"/>
              </w:rPr>
              <w:t>65.22%</w:t>
            </w:r>
          </w:p>
        </w:tc>
      </w:tr>
    </w:tbl>
    <w:p>
      <w:pPr>
        <w:spacing w:after="0" w:line="240" w:lineRule="auto"/>
        <w:jc w:val="left"/>
        <w:rPr>
          <w:rFonts w:ascii="宋体" w:hAnsi="宋体" w:cs="宋体" w:eastAsia="宋体" w:hint="default"/>
          <w:sz w:val="21"/>
          <w:szCs w:val="21"/>
        </w:rPr>
        <w:sectPr>
          <w:pgSz w:w="11910" w:h="16840"/>
          <w:pgMar w:header="851" w:footer="982" w:top="1360" w:bottom="1180" w:left="800" w:right="800"/>
        </w:sectPr>
      </w:pPr>
    </w:p>
    <w:p>
      <w:pPr>
        <w:spacing w:line="240" w:lineRule="auto" w:before="6"/>
        <w:rPr>
          <w:rFonts w:ascii="宋体" w:hAnsi="宋体" w:cs="宋体" w:eastAsia="宋体" w:hint="default"/>
          <w:sz w:val="9"/>
          <w:szCs w:val="9"/>
        </w:rPr>
      </w:pPr>
    </w:p>
    <w:p>
      <w:pPr>
        <w:spacing w:line="477" w:lineRule="auto" w:before="44"/>
        <w:ind w:left="380" w:right="0" w:firstLine="360"/>
        <w:jc w:val="left"/>
        <w:rPr>
          <w:rFonts w:ascii="宋体" w:hAnsi="宋体" w:cs="宋体" w:eastAsia="宋体" w:hint="default"/>
          <w:sz w:val="18"/>
          <w:szCs w:val="18"/>
        </w:rPr>
      </w:pPr>
      <w:r>
        <w:rPr>
          <w:rFonts w:ascii="宋体" w:hAnsi="宋体" w:cs="宋体" w:eastAsia="宋体" w:hint="default"/>
          <w:spacing w:val="-2"/>
          <w:sz w:val="18"/>
          <w:szCs w:val="18"/>
        </w:rPr>
        <w:t>注：报告期之前，对于源自于电信运营商的相关销售数据是将集团总部与其下属公司进行合并统计的。</w:t>
      </w:r>
      <w:r>
        <w:rPr>
          <w:rFonts w:ascii="宋体" w:hAnsi="宋体" w:cs="宋体" w:eastAsia="宋体" w:hint="default"/>
          <w:sz w:val="18"/>
          <w:szCs w:val="18"/>
        </w:rPr>
        <w:t> 为更好的反映销售合同签约的法律主体情况以及业务管辖归属，报告期内对于主要客户的统计以销售合同</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的签约主体为计算口径。</w:t>
      </w:r>
    </w:p>
    <w:p>
      <w:pPr>
        <w:pStyle w:val="BodyText"/>
        <w:spacing w:line="240" w:lineRule="auto" w:before="79"/>
        <w:ind w:left="799" w:right="0"/>
        <w:jc w:val="left"/>
      </w:pPr>
      <w:r>
        <w:rPr/>
        <w:t>2）单一客户销售比例超过30%的情况</w:t>
      </w:r>
    </w:p>
    <w:p>
      <w:pPr>
        <w:spacing w:line="240" w:lineRule="auto" w:before="9"/>
        <w:rPr>
          <w:rFonts w:ascii="宋体" w:hAnsi="宋体" w:cs="宋体" w:eastAsia="宋体" w:hint="default"/>
          <w:sz w:val="26"/>
          <w:szCs w:val="26"/>
        </w:rPr>
      </w:pPr>
    </w:p>
    <w:p>
      <w:pPr>
        <w:pStyle w:val="BodyText"/>
        <w:spacing w:line="408" w:lineRule="auto"/>
        <w:ind w:left="379" w:right="375" w:firstLine="420"/>
        <w:jc w:val="both"/>
      </w:pPr>
      <w:r>
        <w:rPr/>
        <w:t>报告期内，公司来自于卓望信息销售额为49,120.76万元（即公司飞信开发及运营支撑 的相关收入），占年度销售总金额的58.36%。公司飞信业务去年同期销售额为44,102.83万 元，占同期销售总金额的61.01%。</w:t>
      </w:r>
    </w:p>
    <w:p>
      <w:pPr>
        <w:spacing w:line="240" w:lineRule="auto" w:before="6"/>
        <w:rPr>
          <w:rFonts w:ascii="宋体" w:hAnsi="宋体" w:cs="宋体" w:eastAsia="宋体" w:hint="default"/>
          <w:sz w:val="15"/>
          <w:szCs w:val="15"/>
        </w:rPr>
      </w:pPr>
    </w:p>
    <w:p>
      <w:pPr>
        <w:pStyle w:val="BodyText"/>
        <w:spacing w:line="408" w:lineRule="auto"/>
        <w:ind w:left="379" w:right="0" w:firstLine="420"/>
        <w:jc w:val="left"/>
      </w:pPr>
      <w:r>
        <w:rPr>
          <w:spacing w:val="-3"/>
        </w:rPr>
        <w:t>公司董事、监事、高级管理人员、核心技术人员及主要关联方或持有公司5%以上股份的</w:t>
      </w:r>
      <w:r>
        <w:rPr/>
        <w:t> 股东在公司前五名销售客户中未占有任何权益。</w:t>
      </w:r>
    </w:p>
    <w:p>
      <w:pPr>
        <w:spacing w:line="240" w:lineRule="auto" w:before="6"/>
        <w:rPr>
          <w:rFonts w:ascii="宋体" w:hAnsi="宋体" w:cs="宋体" w:eastAsia="宋体" w:hint="default"/>
          <w:sz w:val="15"/>
          <w:szCs w:val="15"/>
        </w:rPr>
      </w:pPr>
    </w:p>
    <w:p>
      <w:pPr>
        <w:pStyle w:val="BodyText"/>
        <w:spacing w:line="240" w:lineRule="auto"/>
        <w:ind w:left="799" w:right="0"/>
        <w:jc w:val="left"/>
      </w:pPr>
      <w:r>
        <w:rPr/>
        <w:t>（2）公司主要供应商情况</w:t>
      </w:r>
    </w:p>
    <w:p>
      <w:pPr>
        <w:spacing w:line="240" w:lineRule="auto" w:before="9"/>
        <w:rPr>
          <w:rFonts w:ascii="宋体" w:hAnsi="宋体" w:cs="宋体" w:eastAsia="宋体" w:hint="default"/>
          <w:sz w:val="20"/>
          <w:szCs w:val="20"/>
        </w:rPr>
      </w:pPr>
    </w:p>
    <w:p>
      <w:pPr>
        <w:pStyle w:val="BodyText"/>
        <w:spacing w:line="240" w:lineRule="auto"/>
        <w:ind w:left="0" w:right="376"/>
        <w:jc w:val="right"/>
      </w:pPr>
      <w:r>
        <w:rPr/>
        <w:t>单位：万元</w:t>
      </w:r>
    </w:p>
    <w:p>
      <w:pPr>
        <w:spacing w:line="240" w:lineRule="auto" w:before="13"/>
        <w:rPr>
          <w:rFonts w:ascii="宋体" w:hAnsi="宋体" w:cs="宋体" w:eastAsia="宋体" w:hint="default"/>
          <w:sz w:val="3"/>
          <w:szCs w:val="3"/>
        </w:rPr>
      </w:pPr>
    </w:p>
    <w:tbl>
      <w:tblPr>
        <w:tblW w:w="0" w:type="auto"/>
        <w:jc w:val="left"/>
        <w:tblInd w:w="267" w:type="dxa"/>
        <w:tblLayout w:type="fixed"/>
        <w:tblCellMar>
          <w:top w:w="0" w:type="dxa"/>
          <w:left w:w="0" w:type="dxa"/>
          <w:bottom w:w="0" w:type="dxa"/>
          <w:right w:w="0" w:type="dxa"/>
        </w:tblCellMar>
        <w:tblLook w:val="01E0"/>
      </w:tblPr>
      <w:tblGrid>
        <w:gridCol w:w="1661"/>
        <w:gridCol w:w="1477"/>
        <w:gridCol w:w="1882"/>
        <w:gridCol w:w="1872"/>
        <w:gridCol w:w="1748"/>
      </w:tblGrid>
      <w:tr>
        <w:trPr>
          <w:trHeight w:val="1015" w:hRule="exact"/>
        </w:trPr>
        <w:tc>
          <w:tcPr>
            <w:tcW w:w="1661"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前五名供应商</w:t>
            </w:r>
            <w:r>
              <w:rPr>
                <w:rFonts w:ascii="宋体" w:hAnsi="宋体" w:cs="宋体" w:eastAsia="宋体" w:hint="default"/>
                <w:sz w:val="21"/>
                <w:szCs w:val="21"/>
              </w:rPr>
            </w:r>
          </w:p>
        </w:tc>
        <w:tc>
          <w:tcPr>
            <w:tcW w:w="147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采购金额</w:t>
            </w:r>
            <w:r>
              <w:rPr>
                <w:rFonts w:ascii="宋体" w:hAnsi="宋体" w:cs="宋体" w:eastAsia="宋体" w:hint="default"/>
                <w:sz w:val="21"/>
                <w:szCs w:val="21"/>
              </w:rPr>
            </w:r>
          </w:p>
        </w:tc>
        <w:tc>
          <w:tcPr>
            <w:tcW w:w="188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73" w:lineRule="auto" w:before="176"/>
              <w:ind w:left="513" w:right="196" w:hanging="316"/>
              <w:jc w:val="left"/>
              <w:rPr>
                <w:rFonts w:ascii="宋体" w:hAnsi="宋体" w:cs="宋体" w:eastAsia="宋体" w:hint="default"/>
                <w:sz w:val="21"/>
                <w:szCs w:val="21"/>
              </w:rPr>
            </w:pPr>
            <w:r>
              <w:rPr>
                <w:rFonts w:ascii="宋体" w:hAnsi="宋体" w:cs="宋体" w:eastAsia="宋体" w:hint="default"/>
                <w:b/>
                <w:bCs/>
                <w:sz w:val="21"/>
                <w:szCs w:val="21"/>
              </w:rPr>
              <w:t>占年度采购总金</w:t>
            </w:r>
            <w:r>
              <w:rPr>
                <w:rFonts w:ascii="宋体" w:hAnsi="宋体" w:cs="宋体" w:eastAsia="宋体" w:hint="default"/>
                <w:b/>
                <w:bCs/>
                <w:w w:val="99"/>
                <w:sz w:val="21"/>
                <w:szCs w:val="21"/>
              </w:rPr>
              <w:t> </w:t>
            </w:r>
            <w:r>
              <w:rPr>
                <w:rFonts w:ascii="宋体" w:hAnsi="宋体" w:cs="宋体" w:eastAsia="宋体" w:hint="default"/>
                <w:b/>
                <w:bCs/>
                <w:sz w:val="21"/>
                <w:szCs w:val="21"/>
              </w:rPr>
              <w:t>额的比例</w:t>
            </w:r>
            <w:r>
              <w:rPr>
                <w:rFonts w:ascii="宋体" w:hAnsi="宋体" w:cs="宋体" w:eastAsia="宋体" w:hint="default"/>
                <w:sz w:val="21"/>
                <w:szCs w:val="21"/>
              </w:rPr>
            </w:r>
          </w:p>
        </w:tc>
        <w:tc>
          <w:tcPr>
            <w:tcW w:w="187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应付账款的余额</w:t>
            </w:r>
            <w:r>
              <w:rPr>
                <w:rFonts w:ascii="宋体" w:hAnsi="宋体" w:cs="宋体" w:eastAsia="宋体" w:hint="default"/>
                <w:sz w:val="21"/>
                <w:szCs w:val="21"/>
              </w:rPr>
            </w:r>
          </w:p>
        </w:tc>
        <w:tc>
          <w:tcPr>
            <w:tcW w:w="174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73" w:lineRule="auto" w:before="176"/>
              <w:ind w:left="236" w:right="129" w:hanging="105"/>
              <w:jc w:val="left"/>
              <w:rPr>
                <w:rFonts w:ascii="宋体" w:hAnsi="宋体" w:cs="宋体" w:eastAsia="宋体" w:hint="default"/>
                <w:sz w:val="21"/>
                <w:szCs w:val="21"/>
              </w:rPr>
            </w:pPr>
            <w:r>
              <w:rPr>
                <w:rFonts w:ascii="宋体" w:hAnsi="宋体" w:cs="宋体" w:eastAsia="宋体" w:hint="default"/>
                <w:b/>
                <w:bCs/>
                <w:sz w:val="21"/>
                <w:szCs w:val="21"/>
              </w:rPr>
              <w:t>占公司应付账款</w:t>
            </w:r>
            <w:r>
              <w:rPr>
                <w:rFonts w:ascii="宋体" w:hAnsi="宋体" w:cs="宋体" w:eastAsia="宋体" w:hint="default"/>
                <w:b/>
                <w:bCs/>
                <w:w w:val="99"/>
                <w:sz w:val="21"/>
                <w:szCs w:val="21"/>
              </w:rPr>
              <w:t> </w:t>
            </w:r>
            <w:r>
              <w:rPr>
                <w:rFonts w:ascii="宋体" w:hAnsi="宋体" w:cs="宋体" w:eastAsia="宋体" w:hint="default"/>
                <w:b/>
                <w:bCs/>
                <w:sz w:val="21"/>
                <w:szCs w:val="21"/>
              </w:rPr>
              <w:t>总余额的比例</w:t>
            </w:r>
            <w:r>
              <w:rPr>
                <w:rFonts w:ascii="宋体" w:hAnsi="宋体" w:cs="宋体" w:eastAsia="宋体" w:hint="default"/>
                <w:sz w:val="21"/>
                <w:szCs w:val="21"/>
              </w:rPr>
            </w:r>
          </w:p>
        </w:tc>
      </w:tr>
      <w:tr>
        <w:trPr>
          <w:trHeight w:val="1016" w:hRule="exact"/>
        </w:trPr>
        <w:tc>
          <w:tcPr>
            <w:tcW w:w="1661"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21"/>
                <w:szCs w:val="21"/>
              </w:rPr>
            </w:pPr>
            <w:r>
              <w:rPr>
                <w:rFonts w:ascii="宋体"/>
                <w:sz w:val="21"/>
              </w:rPr>
              <w:t>8,282.38</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left="620" w:right="0"/>
              <w:jc w:val="left"/>
              <w:rPr>
                <w:rFonts w:ascii="宋体" w:hAnsi="宋体" w:cs="宋体" w:eastAsia="宋体" w:hint="default"/>
                <w:sz w:val="21"/>
                <w:szCs w:val="21"/>
              </w:rPr>
            </w:pPr>
            <w:r>
              <w:rPr>
                <w:rFonts w:ascii="宋体"/>
                <w:sz w:val="21"/>
              </w:rPr>
              <w:t>33.39%</w:t>
            </w:r>
          </w:p>
        </w:tc>
        <w:tc>
          <w:tcPr>
            <w:tcW w:w="1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1"/>
              <w:jc w:val="center"/>
              <w:rPr>
                <w:rFonts w:ascii="宋体" w:hAnsi="宋体" w:cs="宋体" w:eastAsia="宋体" w:hint="default"/>
                <w:sz w:val="21"/>
                <w:szCs w:val="21"/>
              </w:rPr>
            </w:pPr>
            <w:r>
              <w:rPr>
                <w:rFonts w:ascii="宋体"/>
                <w:sz w:val="21"/>
              </w:rPr>
              <w:t>1,661.47</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left="553" w:right="0"/>
              <w:jc w:val="left"/>
              <w:rPr>
                <w:rFonts w:ascii="宋体" w:hAnsi="宋体" w:cs="宋体" w:eastAsia="宋体" w:hint="default"/>
                <w:sz w:val="21"/>
                <w:szCs w:val="21"/>
              </w:rPr>
            </w:pPr>
            <w:r>
              <w:rPr>
                <w:rFonts w:ascii="宋体"/>
                <w:sz w:val="21"/>
              </w:rPr>
              <w:t>37.78%</w:t>
            </w:r>
          </w:p>
        </w:tc>
      </w:tr>
    </w:tbl>
    <w:p>
      <w:pPr>
        <w:spacing w:line="240" w:lineRule="auto" w:before="1"/>
        <w:rPr>
          <w:rFonts w:ascii="宋体" w:hAnsi="宋体" w:cs="宋体" w:eastAsia="宋体" w:hint="default"/>
          <w:sz w:val="14"/>
          <w:szCs w:val="14"/>
        </w:rPr>
      </w:pPr>
    </w:p>
    <w:p>
      <w:pPr>
        <w:pStyle w:val="BodyText"/>
        <w:spacing w:line="240" w:lineRule="auto" w:before="35"/>
        <w:ind w:left="800" w:right="0"/>
        <w:jc w:val="left"/>
      </w:pPr>
      <w:r>
        <w:rPr/>
        <w:t>报告期内，公司的前五名供应商中，不存在单个供应商采购比例超过总额30%的情况。</w:t>
      </w:r>
    </w:p>
    <w:p>
      <w:pPr>
        <w:spacing w:line="240" w:lineRule="auto" w:before="9"/>
        <w:rPr>
          <w:rFonts w:ascii="宋体" w:hAnsi="宋体" w:cs="宋体" w:eastAsia="宋体" w:hint="default"/>
          <w:sz w:val="26"/>
          <w:szCs w:val="26"/>
        </w:rPr>
      </w:pPr>
    </w:p>
    <w:p>
      <w:pPr>
        <w:pStyle w:val="BodyText"/>
        <w:spacing w:line="408" w:lineRule="auto"/>
        <w:ind w:left="380" w:right="0" w:firstLine="420"/>
        <w:jc w:val="left"/>
      </w:pPr>
      <w:r>
        <w:rPr>
          <w:spacing w:val="-3"/>
        </w:rPr>
        <w:t>公司董事、监事、高级管理人员、核心技术人员及主要关联方或持有公司5%以上股份的</w:t>
      </w:r>
      <w:r>
        <w:rPr/>
        <w:t> 股东在公司前五名供应商中未占有任何权益。</w:t>
      </w:r>
    </w:p>
    <w:p>
      <w:pPr>
        <w:spacing w:line="240" w:lineRule="auto" w:before="6"/>
        <w:rPr>
          <w:rFonts w:ascii="宋体" w:hAnsi="宋体" w:cs="宋体" w:eastAsia="宋体" w:hint="default"/>
          <w:sz w:val="15"/>
          <w:szCs w:val="15"/>
        </w:rPr>
      </w:pPr>
    </w:p>
    <w:p>
      <w:pPr>
        <w:pStyle w:val="Heading2"/>
        <w:spacing w:line="240" w:lineRule="auto"/>
        <w:ind w:left="695" w:right="0"/>
        <w:jc w:val="left"/>
        <w:rPr>
          <w:b w:val="0"/>
          <w:bCs w:val="0"/>
        </w:rPr>
      </w:pPr>
      <w:r>
        <w:rPr/>
        <w:t>（三）主要财务数据分析</w:t>
      </w:r>
      <w:r>
        <w:rPr>
          <w:b w:val="0"/>
          <w:bCs w:val="0"/>
        </w:rPr>
      </w:r>
    </w:p>
    <w:p>
      <w:pPr>
        <w:spacing w:line="240" w:lineRule="auto" w:before="9"/>
        <w:rPr>
          <w:rFonts w:ascii="宋体" w:hAnsi="宋体" w:cs="宋体" w:eastAsia="宋体" w:hint="default"/>
          <w:b/>
          <w:bCs/>
          <w:sz w:val="26"/>
          <w:szCs w:val="26"/>
        </w:rPr>
      </w:pPr>
    </w:p>
    <w:p>
      <w:pPr>
        <w:spacing w:before="0"/>
        <w:ind w:left="802" w:right="0" w:firstLine="0"/>
        <w:jc w:val="left"/>
        <w:rPr>
          <w:rFonts w:ascii="宋体" w:hAnsi="宋体" w:cs="宋体" w:eastAsia="宋体" w:hint="default"/>
          <w:sz w:val="21"/>
          <w:szCs w:val="21"/>
        </w:rPr>
      </w:pPr>
      <w:r>
        <w:rPr>
          <w:rFonts w:ascii="宋体" w:hAnsi="宋体" w:cs="宋体" w:eastAsia="宋体" w:hint="default"/>
          <w:b/>
          <w:bCs/>
          <w:sz w:val="21"/>
          <w:szCs w:val="21"/>
        </w:rPr>
        <w:t>1、报告期资产构成变动情况</w:t>
      </w:r>
      <w:r>
        <w:rPr>
          <w:rFonts w:ascii="宋体" w:hAnsi="宋体" w:cs="宋体" w:eastAsia="宋体" w:hint="default"/>
          <w:sz w:val="21"/>
          <w:szCs w:val="21"/>
        </w:rPr>
      </w:r>
    </w:p>
    <w:p>
      <w:pPr>
        <w:pStyle w:val="BodyText"/>
        <w:spacing w:line="240" w:lineRule="auto" w:before="165"/>
        <w:ind w:left="0" w:right="375"/>
        <w:jc w:val="right"/>
      </w:pPr>
      <w:r>
        <w:rPr/>
        <w:t>单位：万元</w:t>
      </w:r>
    </w:p>
    <w:p>
      <w:pPr>
        <w:spacing w:line="240" w:lineRule="auto" w:before="0"/>
        <w:rPr>
          <w:rFonts w:ascii="宋体" w:hAnsi="宋体" w:cs="宋体" w:eastAsia="宋体" w:hint="default"/>
          <w:sz w:val="4"/>
          <w:szCs w:val="4"/>
        </w:rPr>
      </w:pPr>
    </w:p>
    <w:tbl>
      <w:tblPr>
        <w:tblW w:w="0" w:type="auto"/>
        <w:jc w:val="left"/>
        <w:tblInd w:w="108" w:type="dxa"/>
        <w:tblLayout w:type="fixed"/>
        <w:tblCellMar>
          <w:top w:w="0" w:type="dxa"/>
          <w:left w:w="0" w:type="dxa"/>
          <w:bottom w:w="0" w:type="dxa"/>
          <w:right w:w="0" w:type="dxa"/>
        </w:tblCellMar>
        <w:tblLook w:val="01E0"/>
      </w:tblPr>
      <w:tblGrid>
        <w:gridCol w:w="1954"/>
        <w:gridCol w:w="1321"/>
        <w:gridCol w:w="1577"/>
        <w:gridCol w:w="1334"/>
        <w:gridCol w:w="1596"/>
        <w:gridCol w:w="1056"/>
      </w:tblGrid>
      <w:tr>
        <w:trPr>
          <w:trHeight w:val="408" w:hRule="exact"/>
        </w:trPr>
        <w:tc>
          <w:tcPr>
            <w:tcW w:w="1954" w:type="dxa"/>
            <w:vMerge w:val="restart"/>
            <w:tcBorders>
              <w:top w:val="single" w:sz="4" w:space="0" w:color="000000"/>
              <w:left w:val="single" w:sz="4" w:space="0" w:color="000000"/>
              <w:right w:val="single" w:sz="4" w:space="0" w:color="000000"/>
            </w:tcBorders>
            <w:shd w:val="clear" w:color="auto" w:fill="E0E0E0"/>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549" w:right="0"/>
              <w:jc w:val="left"/>
              <w:rPr>
                <w:rFonts w:ascii="宋体" w:hAnsi="宋体" w:cs="宋体" w:eastAsia="宋体" w:hint="default"/>
                <w:sz w:val="21"/>
                <w:szCs w:val="21"/>
              </w:rPr>
            </w:pPr>
            <w:r>
              <w:rPr>
                <w:rFonts w:ascii="宋体" w:hAnsi="宋体" w:cs="宋体" w:eastAsia="宋体" w:hint="default"/>
                <w:b/>
                <w:bCs/>
                <w:sz w:val="21"/>
                <w:szCs w:val="21"/>
              </w:rPr>
              <w:t>资产项目</w:t>
            </w:r>
            <w:r>
              <w:rPr>
                <w:rFonts w:ascii="宋体" w:hAnsi="宋体" w:cs="宋体" w:eastAsia="宋体" w:hint="default"/>
                <w:sz w:val="21"/>
                <w:szCs w:val="21"/>
              </w:rPr>
            </w:r>
          </w:p>
        </w:tc>
        <w:tc>
          <w:tcPr>
            <w:tcW w:w="2898" w:type="dxa"/>
            <w:gridSpan w:val="2"/>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28"/>
              <w:ind w:left="572" w:right="0"/>
              <w:jc w:val="left"/>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c>
          <w:tcPr>
            <w:tcW w:w="2930" w:type="dxa"/>
            <w:gridSpan w:val="2"/>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28"/>
              <w:ind w:left="587" w:right="0"/>
              <w:jc w:val="left"/>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c>
          <w:tcPr>
            <w:tcW w:w="1056" w:type="dxa"/>
            <w:vMerge w:val="restart"/>
            <w:tcBorders>
              <w:top w:val="single" w:sz="4" w:space="0" w:color="000000"/>
              <w:left w:val="single" w:sz="4" w:space="0" w:color="000000"/>
              <w:right w:val="single" w:sz="4" w:space="0" w:color="000000"/>
            </w:tcBorders>
            <w:shd w:val="clear" w:color="auto" w:fill="E0E0E0"/>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206" w:right="0"/>
              <w:jc w:val="left"/>
              <w:rPr>
                <w:rFonts w:ascii="宋体" w:hAnsi="宋体" w:cs="宋体" w:eastAsia="宋体" w:hint="default"/>
                <w:sz w:val="21"/>
                <w:szCs w:val="21"/>
              </w:rPr>
            </w:pPr>
            <w:r>
              <w:rPr>
                <w:rFonts w:ascii="宋体" w:hAnsi="宋体" w:cs="宋体" w:eastAsia="宋体" w:hint="default"/>
                <w:b/>
                <w:bCs/>
                <w:sz w:val="21"/>
                <w:szCs w:val="21"/>
              </w:rPr>
              <w:t>变动比</w:t>
            </w:r>
            <w:r>
              <w:rPr>
                <w:rFonts w:ascii="宋体" w:hAnsi="宋体" w:cs="宋体" w:eastAsia="宋体" w:hint="default"/>
                <w:sz w:val="21"/>
                <w:szCs w:val="21"/>
              </w:rPr>
            </w:r>
          </w:p>
        </w:tc>
      </w:tr>
      <w:tr>
        <w:trPr>
          <w:trHeight w:val="408" w:hRule="exact"/>
        </w:trPr>
        <w:tc>
          <w:tcPr>
            <w:tcW w:w="1954" w:type="dxa"/>
            <w:vMerge/>
            <w:tcBorders>
              <w:left w:val="single" w:sz="4" w:space="0" w:color="000000"/>
              <w:bottom w:val="single" w:sz="4" w:space="0" w:color="000000"/>
              <w:right w:val="single" w:sz="4" w:space="0" w:color="000000"/>
            </w:tcBorders>
            <w:shd w:val="clear" w:color="auto" w:fill="E0E0E0"/>
          </w:tcPr>
          <w:p>
            <w:pPr/>
          </w:p>
        </w:tc>
        <w:tc>
          <w:tcPr>
            <w:tcW w:w="1321"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28"/>
              <w:ind w:right="1"/>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577"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28"/>
              <w:ind w:right="150"/>
              <w:jc w:val="right"/>
              <w:rPr>
                <w:rFonts w:ascii="宋体" w:hAnsi="宋体" w:cs="宋体" w:eastAsia="宋体" w:hint="default"/>
                <w:sz w:val="21"/>
                <w:szCs w:val="21"/>
              </w:rPr>
            </w:pPr>
            <w:r>
              <w:rPr>
                <w:rFonts w:ascii="宋体" w:hAnsi="宋体" w:cs="宋体" w:eastAsia="宋体" w:hint="default"/>
                <w:b/>
                <w:bCs/>
                <w:w w:val="95"/>
                <w:sz w:val="21"/>
                <w:szCs w:val="21"/>
              </w:rPr>
              <w:t>占总资产比重</w:t>
            </w:r>
            <w:r>
              <w:rPr>
                <w:rFonts w:ascii="宋体" w:hAnsi="宋体" w:cs="宋体" w:eastAsia="宋体" w:hint="default"/>
                <w:sz w:val="21"/>
                <w:szCs w:val="21"/>
              </w:rPr>
            </w:r>
          </w:p>
        </w:tc>
        <w:tc>
          <w:tcPr>
            <w:tcW w:w="1334"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596"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28"/>
              <w:ind w:left="159" w:right="0"/>
              <w:jc w:val="left"/>
              <w:rPr>
                <w:rFonts w:ascii="宋体" w:hAnsi="宋体" w:cs="宋体" w:eastAsia="宋体" w:hint="default"/>
                <w:sz w:val="21"/>
                <w:szCs w:val="21"/>
              </w:rPr>
            </w:pPr>
            <w:r>
              <w:rPr>
                <w:rFonts w:ascii="宋体" w:hAnsi="宋体" w:cs="宋体" w:eastAsia="宋体" w:hint="default"/>
                <w:b/>
                <w:bCs/>
                <w:sz w:val="21"/>
                <w:szCs w:val="21"/>
              </w:rPr>
              <w:t>占总资产比重</w:t>
            </w:r>
            <w:r>
              <w:rPr>
                <w:rFonts w:ascii="宋体" w:hAnsi="宋体" w:cs="宋体" w:eastAsia="宋体" w:hint="default"/>
                <w:sz w:val="21"/>
                <w:szCs w:val="21"/>
              </w:rPr>
            </w:r>
          </w:p>
        </w:tc>
        <w:tc>
          <w:tcPr>
            <w:tcW w:w="1056" w:type="dxa"/>
            <w:vMerge/>
            <w:tcBorders>
              <w:left w:val="single" w:sz="4" w:space="0" w:color="000000"/>
              <w:bottom w:val="single" w:sz="4" w:space="0" w:color="000000"/>
              <w:right w:val="single" w:sz="4" w:space="0" w:color="000000"/>
            </w:tcBorders>
            <w:shd w:val="clear" w:color="auto" w:fill="E0E0E0"/>
          </w:tcPr>
          <w:p>
            <w:pPr/>
          </w:p>
        </w:tc>
      </w:tr>
      <w:tr>
        <w:trPr>
          <w:trHeight w:val="408" w:hRule="exact"/>
        </w:trPr>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3"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z w:val="21"/>
              </w:rPr>
              <w:t>167,764.70</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z w:val="21"/>
              </w:rPr>
              <w:t>61.16%</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9"/>
              <w:jc w:val="right"/>
              <w:rPr>
                <w:rFonts w:ascii="宋体" w:hAnsi="宋体" w:cs="宋体" w:eastAsia="宋体" w:hint="default"/>
                <w:sz w:val="21"/>
                <w:szCs w:val="21"/>
              </w:rPr>
            </w:pPr>
            <w:r>
              <w:rPr>
                <w:rFonts w:ascii="宋体"/>
                <w:spacing w:val="-1"/>
                <w:sz w:val="21"/>
              </w:rPr>
              <w:t>207,761.30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4"/>
              <w:jc w:val="right"/>
              <w:rPr>
                <w:rFonts w:ascii="宋体" w:hAnsi="宋体" w:cs="宋体" w:eastAsia="宋体" w:hint="default"/>
                <w:sz w:val="21"/>
                <w:szCs w:val="21"/>
              </w:rPr>
            </w:pPr>
            <w:r>
              <w:rPr>
                <w:rFonts w:ascii="宋体"/>
                <w:spacing w:val="-1"/>
                <w:sz w:val="21"/>
              </w:rPr>
              <w:t>86.88%</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z w:val="21"/>
              </w:rPr>
              <w:t>-19.25%</w:t>
            </w:r>
          </w:p>
        </w:tc>
      </w:tr>
      <w:tr>
        <w:trPr>
          <w:trHeight w:val="408" w:hRule="exact"/>
        </w:trPr>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3"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z w:val="21"/>
              </w:rPr>
              <w:t>393.28</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宋体" w:hAnsi="宋体" w:cs="宋体" w:eastAsia="宋体" w:hint="default"/>
                <w:sz w:val="21"/>
                <w:szCs w:val="21"/>
              </w:rPr>
            </w:pPr>
            <w:r>
              <w:rPr>
                <w:rFonts w:ascii="宋体"/>
                <w:sz w:val="21"/>
              </w:rPr>
              <w:t>0.14%</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宋体" w:hAnsi="宋体" w:cs="宋体" w:eastAsia="宋体" w:hint="default"/>
                <w:sz w:val="21"/>
                <w:szCs w:val="21"/>
              </w:rPr>
            </w:pPr>
            <w:r>
              <w:rPr>
                <w:rFonts w:ascii="宋体"/>
                <w:sz w:val="21"/>
              </w:rPr>
              <w:t>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4"/>
              <w:jc w:val="right"/>
              <w:rPr>
                <w:rFonts w:ascii="宋体" w:hAnsi="宋体" w:cs="宋体" w:eastAsia="宋体" w:hint="default"/>
                <w:sz w:val="21"/>
                <w:szCs w:val="21"/>
              </w:rPr>
            </w:pPr>
            <w:r>
              <w:rPr>
                <w:rFonts w:ascii="宋体"/>
                <w:sz w:val="21"/>
              </w:rPr>
              <w:t>0.00%</w:t>
            </w:r>
          </w:p>
        </w:tc>
        <w:tc>
          <w:tcPr>
            <w:tcW w:w="1056" w:type="dxa"/>
            <w:tcBorders>
              <w:top w:val="single" w:sz="4" w:space="0" w:color="000000"/>
              <w:left w:val="single" w:sz="4" w:space="0" w:color="000000"/>
              <w:bottom w:val="single" w:sz="4" w:space="0" w:color="000000"/>
              <w:right w:val="single" w:sz="4" w:space="0" w:color="000000"/>
            </w:tcBorders>
          </w:tcPr>
          <w:p>
            <w:pPr/>
          </w:p>
        </w:tc>
      </w:tr>
      <w:tr>
        <w:trPr>
          <w:trHeight w:val="408" w:hRule="exact"/>
        </w:trPr>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3"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z w:val="21"/>
              </w:rPr>
              <w:t>34,355.48</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z w:val="21"/>
              </w:rPr>
              <w:t>12.52%</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z w:val="21"/>
              </w:rPr>
              <w:t>15,411.00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宋体" w:hAnsi="宋体" w:cs="宋体" w:eastAsia="宋体" w:hint="default"/>
                <w:sz w:val="21"/>
                <w:szCs w:val="21"/>
              </w:rPr>
            </w:pPr>
            <w:r>
              <w:rPr>
                <w:rFonts w:ascii="宋体"/>
                <w:sz w:val="21"/>
              </w:rPr>
              <w:t>6.44%</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宋体" w:hAnsi="宋体" w:cs="宋体" w:eastAsia="宋体" w:hint="default"/>
                <w:sz w:val="21"/>
                <w:szCs w:val="21"/>
              </w:rPr>
            </w:pPr>
            <w:r>
              <w:rPr>
                <w:rFonts w:ascii="宋体"/>
                <w:sz w:val="21"/>
              </w:rPr>
              <w:t>122.93%</w:t>
            </w:r>
          </w:p>
        </w:tc>
      </w:tr>
      <w:tr>
        <w:trPr>
          <w:trHeight w:val="408" w:hRule="exact"/>
        </w:trPr>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3"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z w:val="21"/>
              </w:rPr>
              <w:t>1,582.26</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宋体" w:hAnsi="宋体" w:cs="宋体" w:eastAsia="宋体" w:hint="default"/>
                <w:sz w:val="21"/>
                <w:szCs w:val="21"/>
              </w:rPr>
            </w:pPr>
            <w:r>
              <w:rPr>
                <w:rFonts w:ascii="宋体"/>
                <w:sz w:val="21"/>
              </w:rPr>
              <w:t>0.58%</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宋体" w:hAnsi="宋体" w:cs="宋体" w:eastAsia="宋体" w:hint="default"/>
                <w:sz w:val="21"/>
                <w:szCs w:val="21"/>
              </w:rPr>
            </w:pPr>
            <w:r>
              <w:rPr>
                <w:rFonts w:ascii="宋体"/>
                <w:spacing w:val="-1"/>
                <w:sz w:val="21"/>
              </w:rPr>
              <w:t>463.50</w:t>
            </w:r>
            <w:r>
              <w:rPr>
                <w:rFonts w:ascii="宋体"/>
                <w:sz w:val="21"/>
              </w:rPr>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4"/>
              <w:jc w:val="right"/>
              <w:rPr>
                <w:rFonts w:ascii="宋体" w:hAnsi="宋体" w:cs="宋体" w:eastAsia="宋体" w:hint="default"/>
                <w:sz w:val="21"/>
                <w:szCs w:val="21"/>
              </w:rPr>
            </w:pPr>
            <w:r>
              <w:rPr>
                <w:rFonts w:ascii="宋体"/>
                <w:spacing w:val="-1"/>
                <w:sz w:val="21"/>
              </w:rPr>
              <w:t>0.19%</w:t>
            </w:r>
            <w:r>
              <w:rPr>
                <w:rFonts w:ascii="宋体"/>
                <w:sz w:val="21"/>
              </w:rPr>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宋体" w:hAnsi="宋体" w:cs="宋体" w:eastAsia="宋体" w:hint="default"/>
                <w:sz w:val="21"/>
                <w:szCs w:val="21"/>
              </w:rPr>
            </w:pPr>
            <w:r>
              <w:rPr>
                <w:rFonts w:ascii="宋体"/>
                <w:spacing w:val="-1"/>
                <w:sz w:val="21"/>
              </w:rPr>
              <w:t>241.37%</w:t>
            </w:r>
            <w:r>
              <w:rPr>
                <w:rFonts w:ascii="宋体"/>
                <w:sz w:val="21"/>
              </w:rPr>
            </w:r>
          </w:p>
        </w:tc>
      </w:tr>
      <w:tr>
        <w:trPr>
          <w:trHeight w:val="408" w:hRule="exact"/>
        </w:trPr>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3"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z w:val="21"/>
              </w:rPr>
              <w:t>699.55</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z w:val="21"/>
              </w:rPr>
              <w:t>0.26%</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pacing w:val="-1"/>
                <w:sz w:val="21"/>
              </w:rPr>
              <w:t>1,881.96</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4"/>
              <w:jc w:val="right"/>
              <w:rPr>
                <w:rFonts w:ascii="宋体" w:hAnsi="宋体" w:cs="宋体" w:eastAsia="宋体" w:hint="default"/>
                <w:sz w:val="21"/>
                <w:szCs w:val="21"/>
              </w:rPr>
            </w:pPr>
            <w:r>
              <w:rPr>
                <w:rFonts w:ascii="宋体"/>
                <w:spacing w:val="-1"/>
                <w:sz w:val="21"/>
              </w:rPr>
              <w:t>0.79%</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z w:val="21"/>
              </w:rPr>
              <w:t>-62.83%</w:t>
            </w:r>
          </w:p>
        </w:tc>
      </w:tr>
    </w:tbl>
    <w:p>
      <w:pPr>
        <w:spacing w:after="0" w:line="240" w:lineRule="auto"/>
        <w:jc w:val="right"/>
        <w:rPr>
          <w:rFonts w:ascii="宋体" w:hAnsi="宋体" w:cs="宋体" w:eastAsia="宋体" w:hint="default"/>
          <w:sz w:val="21"/>
          <w:szCs w:val="21"/>
        </w:rPr>
        <w:sectPr>
          <w:pgSz w:w="11910" w:h="16840"/>
          <w:pgMar w:header="851" w:footer="982" w:top="1360" w:bottom="1180" w:left="1420" w:right="1420"/>
        </w:sectPr>
      </w:pPr>
    </w:p>
    <w:p>
      <w:pPr>
        <w:spacing w:line="240" w:lineRule="auto" w:before="9"/>
        <w:rPr>
          <w:rFonts w:ascii="宋体" w:hAnsi="宋体" w:cs="宋体" w:eastAsia="宋体" w:hint="default"/>
          <w:sz w:val="5"/>
          <w:szCs w:val="5"/>
        </w:rPr>
      </w:pPr>
    </w:p>
    <w:tbl>
      <w:tblPr>
        <w:tblW w:w="0" w:type="auto"/>
        <w:jc w:val="left"/>
        <w:tblInd w:w="288" w:type="dxa"/>
        <w:tblLayout w:type="fixed"/>
        <w:tblCellMar>
          <w:top w:w="0" w:type="dxa"/>
          <w:left w:w="0" w:type="dxa"/>
          <w:bottom w:w="0" w:type="dxa"/>
          <w:right w:w="0" w:type="dxa"/>
        </w:tblCellMar>
        <w:tblLook w:val="01E0"/>
      </w:tblPr>
      <w:tblGrid>
        <w:gridCol w:w="1954"/>
        <w:gridCol w:w="1321"/>
        <w:gridCol w:w="1577"/>
        <w:gridCol w:w="1334"/>
        <w:gridCol w:w="1596"/>
        <w:gridCol w:w="1056"/>
      </w:tblGrid>
      <w:tr>
        <w:trPr>
          <w:trHeight w:val="403" w:hRule="exact"/>
        </w:trPr>
        <w:tc>
          <w:tcPr>
            <w:tcW w:w="195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32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8"/>
              <w:ind w:right="99"/>
              <w:jc w:val="right"/>
              <w:rPr>
                <w:rFonts w:ascii="宋体" w:hAnsi="宋体" w:cs="宋体" w:eastAsia="宋体" w:hint="default"/>
                <w:sz w:val="21"/>
                <w:szCs w:val="21"/>
              </w:rPr>
            </w:pPr>
            <w:r>
              <w:rPr>
                <w:rFonts w:ascii="宋体"/>
                <w:spacing w:val="-1"/>
                <w:sz w:val="21"/>
              </w:rPr>
              <w:t>7,052.48</w:t>
            </w:r>
          </w:p>
        </w:tc>
        <w:tc>
          <w:tcPr>
            <w:tcW w:w="157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pacing w:val="-1"/>
                <w:sz w:val="21"/>
              </w:rPr>
              <w:t>2.57%</w:t>
            </w:r>
          </w:p>
        </w:tc>
        <w:tc>
          <w:tcPr>
            <w:tcW w:w="133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pacing w:val="-1"/>
                <w:sz w:val="21"/>
              </w:rPr>
              <w:t>4,255.55</w:t>
            </w:r>
          </w:p>
        </w:tc>
        <w:tc>
          <w:tcPr>
            <w:tcW w:w="15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8"/>
              <w:ind w:right="103"/>
              <w:jc w:val="right"/>
              <w:rPr>
                <w:rFonts w:ascii="宋体" w:hAnsi="宋体" w:cs="宋体" w:eastAsia="宋体" w:hint="default"/>
                <w:sz w:val="21"/>
                <w:szCs w:val="21"/>
              </w:rPr>
            </w:pPr>
            <w:r>
              <w:rPr>
                <w:rFonts w:ascii="宋体"/>
                <w:spacing w:val="-1"/>
                <w:sz w:val="21"/>
              </w:rPr>
              <w:t>1.78%</w:t>
            </w:r>
          </w:p>
        </w:tc>
        <w:tc>
          <w:tcPr>
            <w:tcW w:w="105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pacing w:val="-1"/>
                <w:sz w:val="21"/>
              </w:rPr>
              <w:t>65.72%</w:t>
            </w:r>
          </w:p>
        </w:tc>
      </w:tr>
      <w:tr>
        <w:trPr>
          <w:trHeight w:val="408" w:hRule="exact"/>
        </w:trPr>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b/>
                <w:bCs/>
                <w:sz w:val="21"/>
                <w:szCs w:val="21"/>
              </w:rPr>
              <w:t>流动资产合计</w:t>
            </w:r>
            <w:r>
              <w:rPr>
                <w:rFonts w:ascii="宋体" w:hAnsi="宋体" w:cs="宋体" w:eastAsia="宋体" w:hint="default"/>
                <w:sz w:val="21"/>
                <w:szCs w:val="21"/>
              </w:rPr>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b/>
                <w:w w:val="95"/>
                <w:sz w:val="21"/>
              </w:rPr>
              <w:t>211,847.76</w:t>
            </w:r>
            <w:r>
              <w:rPr>
                <w:rFonts w:ascii="宋体"/>
                <w:sz w:val="21"/>
              </w:rPr>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宋体" w:hAnsi="宋体" w:cs="宋体" w:eastAsia="宋体" w:hint="default"/>
                <w:sz w:val="21"/>
                <w:szCs w:val="21"/>
              </w:rPr>
            </w:pPr>
            <w:r>
              <w:rPr>
                <w:rFonts w:ascii="宋体"/>
                <w:b/>
                <w:w w:val="95"/>
                <w:sz w:val="21"/>
              </w:rPr>
              <w:t>77.23%</w:t>
            </w:r>
            <w:r>
              <w:rPr>
                <w:rFonts w:ascii="宋体"/>
                <w:sz w:val="21"/>
              </w:rPr>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b/>
                <w:w w:val="95"/>
                <w:sz w:val="21"/>
              </w:rPr>
              <w:t>229,773.30</w:t>
            </w:r>
            <w:r>
              <w:rPr>
                <w:rFonts w:ascii="宋体"/>
                <w:sz w:val="21"/>
              </w:rPr>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3"/>
              <w:jc w:val="right"/>
              <w:rPr>
                <w:rFonts w:ascii="宋体" w:hAnsi="宋体" w:cs="宋体" w:eastAsia="宋体" w:hint="default"/>
                <w:sz w:val="21"/>
                <w:szCs w:val="21"/>
              </w:rPr>
            </w:pPr>
            <w:r>
              <w:rPr>
                <w:rFonts w:ascii="宋体"/>
                <w:b/>
                <w:w w:val="95"/>
                <w:sz w:val="21"/>
              </w:rPr>
              <w:t>96.09%</w:t>
            </w:r>
            <w:r>
              <w:rPr>
                <w:rFonts w:ascii="宋体"/>
                <w:sz w:val="21"/>
              </w:rPr>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宋体" w:hAnsi="宋体" w:cs="宋体" w:eastAsia="宋体" w:hint="default"/>
                <w:sz w:val="21"/>
                <w:szCs w:val="21"/>
              </w:rPr>
            </w:pPr>
            <w:r>
              <w:rPr>
                <w:rFonts w:ascii="宋体"/>
                <w:b/>
                <w:w w:val="95"/>
                <w:sz w:val="21"/>
              </w:rPr>
              <w:t>-7.80%</w:t>
            </w:r>
            <w:r>
              <w:rPr>
                <w:rFonts w:ascii="宋体"/>
                <w:sz w:val="21"/>
              </w:rPr>
            </w:r>
          </w:p>
        </w:tc>
      </w:tr>
      <w:tr>
        <w:trPr>
          <w:trHeight w:val="408" w:hRule="exact"/>
        </w:trPr>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3"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z w:val="21"/>
              </w:rPr>
              <w:t>7,587.49</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z w:val="21"/>
              </w:rPr>
              <w:t>2.77%</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z w:val="21"/>
              </w:rPr>
              <w:t>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宋体" w:hAnsi="宋体" w:cs="宋体" w:eastAsia="宋体" w:hint="default"/>
                <w:sz w:val="21"/>
                <w:szCs w:val="21"/>
              </w:rPr>
            </w:pPr>
            <w:r>
              <w:rPr>
                <w:rFonts w:ascii="宋体"/>
                <w:sz w:val="21"/>
              </w:rPr>
              <w:t>0.00%</w:t>
            </w:r>
          </w:p>
        </w:tc>
        <w:tc>
          <w:tcPr>
            <w:tcW w:w="1056" w:type="dxa"/>
            <w:tcBorders>
              <w:top w:val="single" w:sz="4" w:space="0" w:color="000000"/>
              <w:left w:val="single" w:sz="4" w:space="0" w:color="000000"/>
              <w:bottom w:val="single" w:sz="4" w:space="0" w:color="000000"/>
              <w:right w:val="single" w:sz="4" w:space="0" w:color="000000"/>
            </w:tcBorders>
          </w:tcPr>
          <w:p>
            <w:pPr/>
          </w:p>
        </w:tc>
      </w:tr>
      <w:tr>
        <w:trPr>
          <w:trHeight w:val="408" w:hRule="exact"/>
        </w:trPr>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3"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z w:val="21"/>
              </w:rPr>
              <w:t>38,076.37</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z w:val="21"/>
              </w:rPr>
              <w:t>13.88%</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宋体" w:hAnsi="宋体" w:cs="宋体" w:eastAsia="宋体" w:hint="default"/>
                <w:sz w:val="21"/>
                <w:szCs w:val="21"/>
              </w:rPr>
            </w:pPr>
            <w:r>
              <w:rPr>
                <w:rFonts w:ascii="宋体"/>
                <w:spacing w:val="-1"/>
                <w:sz w:val="21"/>
              </w:rPr>
              <w:t>2,142.35</w:t>
            </w:r>
            <w:r>
              <w:rPr>
                <w:rFonts w:ascii="宋体"/>
                <w:sz w:val="21"/>
              </w:rPr>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3"/>
              <w:jc w:val="right"/>
              <w:rPr>
                <w:rFonts w:ascii="宋体" w:hAnsi="宋体" w:cs="宋体" w:eastAsia="宋体" w:hint="default"/>
                <w:sz w:val="21"/>
                <w:szCs w:val="21"/>
              </w:rPr>
            </w:pPr>
            <w:r>
              <w:rPr>
                <w:rFonts w:ascii="宋体"/>
                <w:spacing w:val="-1"/>
                <w:sz w:val="21"/>
              </w:rPr>
              <w:t>0.90%</w:t>
            </w:r>
            <w:r>
              <w:rPr>
                <w:rFonts w:ascii="宋体"/>
                <w:sz w:val="21"/>
              </w:rPr>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z w:val="21"/>
              </w:rPr>
              <w:t>1677.32%</w:t>
            </w:r>
          </w:p>
        </w:tc>
      </w:tr>
      <w:tr>
        <w:trPr>
          <w:trHeight w:val="408" w:hRule="exact"/>
        </w:trPr>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3"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宋体" w:hAnsi="宋体" w:cs="宋体" w:eastAsia="宋体" w:hint="default"/>
                <w:sz w:val="21"/>
                <w:szCs w:val="21"/>
              </w:rPr>
            </w:pPr>
            <w:r>
              <w:rPr>
                <w:rFonts w:ascii="宋体"/>
                <w:sz w:val="21"/>
              </w:rPr>
              <w:t>10,694.75</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宋体" w:hAnsi="宋体" w:cs="宋体" w:eastAsia="宋体" w:hint="default"/>
                <w:sz w:val="21"/>
                <w:szCs w:val="21"/>
              </w:rPr>
            </w:pPr>
            <w:r>
              <w:rPr>
                <w:rFonts w:ascii="宋体"/>
                <w:sz w:val="21"/>
              </w:rPr>
              <w:t>3.90%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z w:val="21"/>
              </w:rPr>
              <w:t>6,549.11</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宋体" w:hAnsi="宋体" w:cs="宋体" w:eastAsia="宋体" w:hint="default"/>
                <w:sz w:val="21"/>
                <w:szCs w:val="21"/>
              </w:rPr>
            </w:pPr>
            <w:r>
              <w:rPr>
                <w:rFonts w:ascii="宋体"/>
                <w:spacing w:val="-1"/>
                <w:sz w:val="21"/>
              </w:rPr>
              <w:t>2.74%</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z w:val="21"/>
              </w:rPr>
              <w:t>63.30%</w:t>
            </w:r>
          </w:p>
        </w:tc>
      </w:tr>
      <w:tr>
        <w:trPr>
          <w:trHeight w:val="408" w:hRule="exact"/>
        </w:trPr>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3"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z w:val="21"/>
              </w:rPr>
              <w:t>6.65</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宋体" w:hAnsi="宋体" w:cs="宋体" w:eastAsia="宋体" w:hint="default"/>
                <w:sz w:val="21"/>
                <w:szCs w:val="21"/>
              </w:rPr>
            </w:pPr>
            <w:r>
              <w:rPr>
                <w:rFonts w:ascii="宋体"/>
                <w:sz w:val="21"/>
              </w:rPr>
              <w:t>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056" w:type="dxa"/>
            <w:tcBorders>
              <w:top w:val="single" w:sz="4" w:space="0" w:color="000000"/>
              <w:left w:val="single" w:sz="4" w:space="0" w:color="000000"/>
              <w:bottom w:val="single" w:sz="4" w:space="0" w:color="000000"/>
              <w:right w:val="single" w:sz="4" w:space="0" w:color="000000"/>
            </w:tcBorders>
          </w:tcPr>
          <w:p>
            <w:pPr/>
          </w:p>
        </w:tc>
      </w:tr>
      <w:tr>
        <w:trPr>
          <w:trHeight w:val="408" w:hRule="exact"/>
        </w:trPr>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3"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z w:val="21"/>
              </w:rPr>
              <w:t>1,943.53</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宋体" w:hAnsi="宋体" w:cs="宋体" w:eastAsia="宋体" w:hint="default"/>
                <w:sz w:val="21"/>
                <w:szCs w:val="21"/>
              </w:rPr>
            </w:pPr>
            <w:r>
              <w:rPr>
                <w:rFonts w:ascii="宋体"/>
                <w:sz w:val="21"/>
              </w:rPr>
              <w:t>0.71%</w:t>
            </w:r>
          </w:p>
        </w:tc>
        <w:tc>
          <w:tcPr>
            <w:tcW w:w="13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056" w:type="dxa"/>
            <w:tcBorders>
              <w:top w:val="single" w:sz="4" w:space="0" w:color="000000"/>
              <w:left w:val="single" w:sz="4" w:space="0" w:color="000000"/>
              <w:bottom w:val="single" w:sz="4" w:space="0" w:color="000000"/>
              <w:right w:val="single" w:sz="4" w:space="0" w:color="000000"/>
            </w:tcBorders>
          </w:tcPr>
          <w:p>
            <w:pPr/>
          </w:p>
        </w:tc>
      </w:tr>
      <w:tr>
        <w:trPr>
          <w:trHeight w:val="408" w:hRule="exact"/>
        </w:trPr>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4"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9"/>
              <w:jc w:val="right"/>
              <w:rPr>
                <w:rFonts w:ascii="宋体" w:hAnsi="宋体" w:cs="宋体" w:eastAsia="宋体" w:hint="default"/>
                <w:sz w:val="21"/>
                <w:szCs w:val="21"/>
              </w:rPr>
            </w:pPr>
            <w:r>
              <w:rPr>
                <w:rFonts w:ascii="宋体"/>
                <w:spacing w:val="-1"/>
                <w:sz w:val="21"/>
              </w:rPr>
              <w:t>3,347.08</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pacing w:val="-1"/>
                <w:sz w:val="21"/>
              </w:rPr>
              <w:t>1.22%</w:t>
            </w:r>
          </w:p>
        </w:tc>
        <w:tc>
          <w:tcPr>
            <w:tcW w:w="13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056" w:type="dxa"/>
            <w:tcBorders>
              <w:top w:val="single" w:sz="4" w:space="0" w:color="000000"/>
              <w:left w:val="single" w:sz="4" w:space="0" w:color="000000"/>
              <w:bottom w:val="single" w:sz="4" w:space="0" w:color="000000"/>
              <w:right w:val="single" w:sz="4" w:space="0" w:color="000000"/>
            </w:tcBorders>
          </w:tcPr>
          <w:p>
            <w:pPr/>
          </w:p>
        </w:tc>
      </w:tr>
      <w:tr>
        <w:trPr>
          <w:trHeight w:val="408" w:hRule="exact"/>
        </w:trPr>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3"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z w:val="21"/>
              </w:rPr>
              <w:t>34.85</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z w:val="21"/>
              </w:rPr>
              <w:t>0.01%</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z w:val="21"/>
              </w:rPr>
              <w:t>93.63</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宋体" w:hAnsi="宋体" w:cs="宋体" w:eastAsia="宋体" w:hint="default"/>
                <w:sz w:val="21"/>
                <w:szCs w:val="21"/>
              </w:rPr>
            </w:pPr>
            <w:r>
              <w:rPr>
                <w:rFonts w:ascii="宋体"/>
                <w:sz w:val="21"/>
              </w:rPr>
              <w:t>0.04%</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z w:val="21"/>
              </w:rPr>
              <w:t>-62.78%</w:t>
            </w:r>
          </w:p>
        </w:tc>
      </w:tr>
      <w:tr>
        <w:trPr>
          <w:trHeight w:val="408" w:hRule="exact"/>
        </w:trPr>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13"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宋体" w:hAnsi="宋体" w:cs="宋体" w:eastAsia="宋体" w:hint="default"/>
                <w:sz w:val="21"/>
                <w:szCs w:val="21"/>
              </w:rPr>
            </w:pPr>
            <w:r>
              <w:rPr>
                <w:rFonts w:ascii="宋体"/>
                <w:sz w:val="21"/>
              </w:rPr>
              <w:t>757.20</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宋体" w:hAnsi="宋体" w:cs="宋体" w:eastAsia="宋体" w:hint="default"/>
                <w:sz w:val="21"/>
                <w:szCs w:val="21"/>
              </w:rPr>
            </w:pPr>
            <w:r>
              <w:rPr>
                <w:rFonts w:ascii="宋体"/>
                <w:sz w:val="21"/>
              </w:rPr>
              <w:t>0.28%</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z w:val="21"/>
              </w:rPr>
              <w:t>576.78</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4"/>
              <w:jc w:val="right"/>
              <w:rPr>
                <w:rFonts w:ascii="宋体" w:hAnsi="宋体" w:cs="宋体" w:eastAsia="宋体" w:hint="default"/>
                <w:sz w:val="21"/>
                <w:szCs w:val="21"/>
              </w:rPr>
            </w:pPr>
            <w:r>
              <w:rPr>
                <w:rFonts w:ascii="宋体"/>
                <w:spacing w:val="-1"/>
                <w:sz w:val="21"/>
              </w:rPr>
              <w:t>0.24%</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z w:val="21"/>
              </w:rPr>
              <w:t>31.28%</w:t>
            </w:r>
          </w:p>
        </w:tc>
      </w:tr>
      <w:tr>
        <w:trPr>
          <w:trHeight w:val="408" w:hRule="exact"/>
        </w:trPr>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b/>
                <w:bCs/>
                <w:sz w:val="21"/>
                <w:szCs w:val="21"/>
              </w:rPr>
              <w:t>非流动资产合计</w:t>
            </w:r>
            <w:r>
              <w:rPr>
                <w:rFonts w:ascii="宋体" w:hAnsi="宋体" w:cs="宋体" w:eastAsia="宋体" w:hint="default"/>
                <w:sz w:val="21"/>
                <w:szCs w:val="21"/>
              </w:rPr>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pacing w:val="-1"/>
                <w:sz w:val="21"/>
              </w:rPr>
              <w:t>62,447.92</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pacing w:val="-1"/>
                <w:sz w:val="21"/>
              </w:rPr>
              <w:t>22.77%</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pacing w:val="-1"/>
                <w:sz w:val="21"/>
              </w:rPr>
              <w:t>9,361.87</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3"/>
              <w:jc w:val="right"/>
              <w:rPr>
                <w:rFonts w:ascii="宋体" w:hAnsi="宋体" w:cs="宋体" w:eastAsia="宋体" w:hint="default"/>
                <w:sz w:val="21"/>
                <w:szCs w:val="21"/>
              </w:rPr>
            </w:pPr>
            <w:r>
              <w:rPr>
                <w:rFonts w:ascii="宋体"/>
                <w:spacing w:val="-1"/>
                <w:sz w:val="21"/>
              </w:rPr>
              <w:t>3.91%</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3"/>
              <w:jc w:val="right"/>
              <w:rPr>
                <w:rFonts w:ascii="宋体" w:hAnsi="宋体" w:cs="宋体" w:eastAsia="宋体" w:hint="default"/>
                <w:sz w:val="21"/>
                <w:szCs w:val="21"/>
              </w:rPr>
            </w:pPr>
            <w:r>
              <w:rPr>
                <w:rFonts w:ascii="宋体"/>
                <w:spacing w:val="-1"/>
                <w:sz w:val="21"/>
              </w:rPr>
              <w:t>567.05%</w:t>
            </w:r>
          </w:p>
        </w:tc>
      </w:tr>
      <w:tr>
        <w:trPr>
          <w:trHeight w:val="408" w:hRule="exact"/>
        </w:trPr>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b/>
                <w:bCs/>
                <w:sz w:val="21"/>
                <w:szCs w:val="21"/>
              </w:rPr>
              <w:t>资产总计</w:t>
            </w:r>
            <w:r>
              <w:rPr>
                <w:rFonts w:ascii="宋体" w:hAnsi="宋体" w:cs="宋体" w:eastAsia="宋体" w:hint="default"/>
                <w:sz w:val="21"/>
                <w:szCs w:val="21"/>
              </w:rPr>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pacing w:val="-1"/>
                <w:sz w:val="21"/>
              </w:rPr>
              <w:t>274,295.68</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pacing w:val="-1"/>
                <w:sz w:val="21"/>
              </w:rPr>
              <w:t>100.00%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pacing w:val="-1"/>
                <w:sz w:val="21"/>
              </w:rPr>
              <w:t>239,135.16</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宋体" w:hAnsi="宋体" w:cs="宋体" w:eastAsia="宋体" w:hint="default"/>
                <w:sz w:val="21"/>
                <w:szCs w:val="21"/>
              </w:rPr>
            </w:pPr>
            <w:r>
              <w:rPr>
                <w:rFonts w:ascii="宋体"/>
                <w:spacing w:val="-1"/>
                <w:sz w:val="21"/>
              </w:rPr>
              <w:t>100.00%</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宋体" w:hAnsi="宋体" w:cs="宋体" w:eastAsia="宋体" w:hint="default"/>
                <w:sz w:val="21"/>
                <w:szCs w:val="21"/>
              </w:rPr>
            </w:pPr>
            <w:r>
              <w:rPr>
                <w:rFonts w:ascii="宋体"/>
                <w:spacing w:val="-1"/>
                <w:sz w:val="21"/>
              </w:rPr>
              <w:t>14.70%</w:t>
            </w:r>
          </w:p>
        </w:tc>
      </w:tr>
    </w:tbl>
    <w:p>
      <w:pPr>
        <w:spacing w:line="240" w:lineRule="auto" w:before="1"/>
        <w:rPr>
          <w:rFonts w:ascii="宋体" w:hAnsi="宋体" w:cs="宋体" w:eastAsia="宋体" w:hint="default"/>
          <w:sz w:val="14"/>
          <w:szCs w:val="14"/>
        </w:rPr>
      </w:pPr>
    </w:p>
    <w:p>
      <w:pPr>
        <w:pStyle w:val="BodyText"/>
        <w:spacing w:line="408" w:lineRule="auto" w:before="35"/>
        <w:ind w:left="560" w:right="569" w:firstLine="420"/>
        <w:jc w:val="left"/>
      </w:pPr>
      <w:r>
        <w:rPr>
          <w:spacing w:val="-3"/>
        </w:rPr>
        <w:t>报告期末应收账款余额为34,355.48万元，较去年增长122.93%，主要系部分飞信业务收</w:t>
      </w:r>
      <w:r>
        <w:rPr>
          <w:spacing w:val="-1"/>
        </w:rPr>
        <w:t> </w:t>
      </w:r>
      <w:r>
        <w:rPr/>
        <w:t>入于期末尚未完成结算收款手续所致。</w:t>
      </w:r>
    </w:p>
    <w:p>
      <w:pPr>
        <w:spacing w:line="240" w:lineRule="auto" w:before="6"/>
        <w:rPr>
          <w:rFonts w:ascii="宋体" w:hAnsi="宋体" w:cs="宋体" w:eastAsia="宋体" w:hint="default"/>
          <w:sz w:val="15"/>
          <w:szCs w:val="15"/>
        </w:rPr>
      </w:pPr>
    </w:p>
    <w:p>
      <w:pPr>
        <w:pStyle w:val="BodyText"/>
        <w:spacing w:line="408" w:lineRule="auto"/>
        <w:ind w:left="560" w:right="569" w:firstLine="420"/>
        <w:jc w:val="left"/>
      </w:pPr>
      <w:r>
        <w:rPr>
          <w:spacing w:val="-3"/>
        </w:rPr>
        <w:t>报告期末存货余额为7,052.48万元，较去年增长65.72%，主要系公司销售订单增加，部</w:t>
      </w:r>
      <w:r>
        <w:rPr/>
        <w:t> 分项目处于实施中尚未结转收入，其相应的采购尚未相应转入营业成本所致。</w:t>
      </w:r>
    </w:p>
    <w:p>
      <w:pPr>
        <w:spacing w:line="240" w:lineRule="auto" w:before="6"/>
        <w:rPr>
          <w:rFonts w:ascii="宋体" w:hAnsi="宋体" w:cs="宋体" w:eastAsia="宋体" w:hint="default"/>
          <w:sz w:val="15"/>
          <w:szCs w:val="15"/>
        </w:rPr>
      </w:pPr>
    </w:p>
    <w:p>
      <w:pPr>
        <w:pStyle w:val="BodyText"/>
        <w:spacing w:line="408" w:lineRule="auto"/>
        <w:ind w:left="560" w:right="569" w:firstLine="420"/>
        <w:jc w:val="left"/>
      </w:pPr>
      <w:r>
        <w:rPr>
          <w:spacing w:val="-3"/>
        </w:rPr>
        <w:t>报告期内，公司长期股权投资为7,587.49万元，主要系本期公司收购大连华信部分股权</w:t>
      </w:r>
      <w:r>
        <w:rPr/>
        <w:t> 所致；</w:t>
      </w:r>
    </w:p>
    <w:p>
      <w:pPr>
        <w:spacing w:line="240" w:lineRule="auto" w:before="6"/>
        <w:rPr>
          <w:rFonts w:ascii="宋体" w:hAnsi="宋体" w:cs="宋体" w:eastAsia="宋体" w:hint="default"/>
          <w:sz w:val="15"/>
          <w:szCs w:val="15"/>
        </w:rPr>
      </w:pPr>
    </w:p>
    <w:p>
      <w:pPr>
        <w:pStyle w:val="BodyText"/>
        <w:spacing w:line="408" w:lineRule="auto"/>
        <w:ind w:left="560" w:right="569" w:firstLine="420"/>
        <w:jc w:val="left"/>
      </w:pPr>
      <w:r>
        <w:rPr/>
        <w:t>报告期末固定资产余额为38,076.37万元，主要系本期交付的办公用房装修完毕投入使 用以及购置的募集资金项目研发设备所致；</w:t>
      </w:r>
    </w:p>
    <w:p>
      <w:pPr>
        <w:spacing w:line="240" w:lineRule="auto" w:before="6"/>
        <w:rPr>
          <w:rFonts w:ascii="宋体" w:hAnsi="宋体" w:cs="宋体" w:eastAsia="宋体" w:hint="default"/>
          <w:sz w:val="15"/>
          <w:szCs w:val="15"/>
        </w:rPr>
      </w:pPr>
    </w:p>
    <w:p>
      <w:pPr>
        <w:pStyle w:val="BodyText"/>
        <w:spacing w:line="408" w:lineRule="auto"/>
        <w:ind w:left="560" w:right="569" w:firstLine="420"/>
        <w:jc w:val="left"/>
      </w:pPr>
      <w:r>
        <w:rPr/>
        <w:t>报告期末公司在建工程余额为10,694.75万元，主要系本期部分办公用房尚未交付使用 所致；</w:t>
      </w:r>
    </w:p>
    <w:p>
      <w:pPr>
        <w:spacing w:line="240" w:lineRule="auto" w:before="6"/>
        <w:rPr>
          <w:rFonts w:ascii="宋体" w:hAnsi="宋体" w:cs="宋体" w:eastAsia="宋体" w:hint="default"/>
          <w:sz w:val="15"/>
          <w:szCs w:val="15"/>
        </w:rPr>
      </w:pPr>
    </w:p>
    <w:p>
      <w:pPr>
        <w:pStyle w:val="BodyText"/>
        <w:spacing w:line="408" w:lineRule="auto"/>
        <w:ind w:left="560" w:right="569" w:firstLine="420"/>
        <w:jc w:val="left"/>
      </w:pPr>
      <w:r>
        <w:rPr>
          <w:spacing w:val="-3"/>
        </w:rPr>
        <w:t>报告期内，公司商誉为3,347.08万元，系公司收购友联创新100%股权，其收购价款与合</w:t>
      </w:r>
      <w:r>
        <w:rPr/>
        <w:t> 并日友联创新账面净资产的差额所致。</w:t>
      </w:r>
    </w:p>
    <w:p>
      <w:pPr>
        <w:spacing w:line="240" w:lineRule="auto" w:before="6"/>
        <w:rPr>
          <w:rFonts w:ascii="宋体" w:hAnsi="宋体" w:cs="宋体" w:eastAsia="宋体" w:hint="default"/>
          <w:sz w:val="15"/>
          <w:szCs w:val="15"/>
        </w:rPr>
      </w:pPr>
    </w:p>
    <w:p>
      <w:pPr>
        <w:pStyle w:val="Heading2"/>
        <w:spacing w:line="240" w:lineRule="auto"/>
        <w:ind w:left="982" w:right="569"/>
        <w:jc w:val="left"/>
        <w:rPr>
          <w:b w:val="0"/>
          <w:bCs w:val="0"/>
        </w:rPr>
      </w:pPr>
      <w:r>
        <w:rPr/>
        <w:t>2、报告期负债变化情况</w:t>
      </w:r>
      <w:r>
        <w:rPr>
          <w:b w:val="0"/>
          <w:bCs w:val="0"/>
        </w:rPr>
      </w:r>
    </w:p>
    <w:p>
      <w:pPr>
        <w:spacing w:line="240" w:lineRule="auto" w:before="10"/>
        <w:rPr>
          <w:rFonts w:ascii="宋体" w:hAnsi="宋体" w:cs="宋体" w:eastAsia="宋体" w:hint="default"/>
          <w:b/>
          <w:bCs/>
          <w:sz w:val="13"/>
          <w:szCs w:val="13"/>
        </w:rPr>
      </w:pPr>
    </w:p>
    <w:tbl>
      <w:tblPr>
        <w:tblW w:w="0" w:type="auto"/>
        <w:jc w:val="left"/>
        <w:tblInd w:w="100" w:type="dxa"/>
        <w:tblLayout w:type="fixed"/>
        <w:tblCellMar>
          <w:top w:w="0" w:type="dxa"/>
          <w:left w:w="0" w:type="dxa"/>
          <w:bottom w:w="0" w:type="dxa"/>
          <w:right w:w="0" w:type="dxa"/>
        </w:tblCellMar>
        <w:tblLook w:val="01E0"/>
      </w:tblPr>
      <w:tblGrid>
        <w:gridCol w:w="2252"/>
        <w:gridCol w:w="1160"/>
        <w:gridCol w:w="1554"/>
        <w:gridCol w:w="1370"/>
        <w:gridCol w:w="1780"/>
        <w:gridCol w:w="1099"/>
      </w:tblGrid>
      <w:tr>
        <w:trPr>
          <w:trHeight w:val="402" w:hRule="exact"/>
        </w:trPr>
        <w:tc>
          <w:tcPr>
            <w:tcW w:w="2252" w:type="dxa"/>
            <w:vMerge w:val="restart"/>
            <w:tcBorders>
              <w:top w:val="single" w:sz="4" w:space="0" w:color="000000"/>
              <w:left w:val="single" w:sz="4" w:space="0" w:color="000000"/>
              <w:right w:val="single" w:sz="4" w:space="0" w:color="000000"/>
            </w:tcBorders>
            <w:shd w:val="clear" w:color="auto" w:fill="E0E0E0"/>
          </w:tcPr>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left="698" w:right="0"/>
              <w:jc w:val="left"/>
              <w:rPr>
                <w:rFonts w:ascii="宋体" w:hAnsi="宋体" w:cs="宋体" w:eastAsia="宋体" w:hint="default"/>
                <w:sz w:val="21"/>
                <w:szCs w:val="21"/>
              </w:rPr>
            </w:pPr>
            <w:r>
              <w:rPr>
                <w:rFonts w:ascii="宋体" w:hAnsi="宋体" w:cs="宋体" w:eastAsia="宋体" w:hint="default"/>
                <w:b/>
                <w:bCs/>
                <w:sz w:val="21"/>
                <w:szCs w:val="21"/>
              </w:rPr>
              <w:t>资产项目</w:t>
            </w:r>
            <w:r>
              <w:rPr>
                <w:rFonts w:ascii="宋体" w:hAnsi="宋体" w:cs="宋体" w:eastAsia="宋体" w:hint="default"/>
                <w:sz w:val="21"/>
                <w:szCs w:val="21"/>
              </w:rPr>
            </w:r>
          </w:p>
        </w:tc>
        <w:tc>
          <w:tcPr>
            <w:tcW w:w="2714" w:type="dxa"/>
            <w:gridSpan w:val="2"/>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24"/>
              <w:ind w:left="480" w:right="0"/>
              <w:jc w:val="left"/>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c>
          <w:tcPr>
            <w:tcW w:w="3150" w:type="dxa"/>
            <w:gridSpan w:val="2"/>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24"/>
              <w:ind w:left="697" w:right="0"/>
              <w:jc w:val="left"/>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c>
          <w:tcPr>
            <w:tcW w:w="1099" w:type="dxa"/>
            <w:vMerge w:val="restart"/>
            <w:tcBorders>
              <w:top w:val="single" w:sz="4" w:space="0" w:color="000000"/>
              <w:left w:val="single" w:sz="4" w:space="0" w:color="000000"/>
              <w:right w:val="single" w:sz="4" w:space="0" w:color="000000"/>
            </w:tcBorders>
            <w:shd w:val="clear" w:color="auto" w:fill="E0E0E0"/>
          </w:tcPr>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left="227" w:right="0"/>
              <w:jc w:val="left"/>
              <w:rPr>
                <w:rFonts w:ascii="宋体" w:hAnsi="宋体" w:cs="宋体" w:eastAsia="宋体" w:hint="default"/>
                <w:sz w:val="21"/>
                <w:szCs w:val="21"/>
              </w:rPr>
            </w:pPr>
            <w:r>
              <w:rPr>
                <w:rFonts w:ascii="宋体" w:hAnsi="宋体" w:cs="宋体" w:eastAsia="宋体" w:hint="default"/>
                <w:b/>
                <w:bCs/>
                <w:sz w:val="21"/>
                <w:szCs w:val="21"/>
              </w:rPr>
              <w:t>变动比</w:t>
            </w:r>
            <w:r>
              <w:rPr>
                <w:rFonts w:ascii="宋体" w:hAnsi="宋体" w:cs="宋体" w:eastAsia="宋体" w:hint="default"/>
                <w:sz w:val="21"/>
                <w:szCs w:val="21"/>
              </w:rPr>
            </w:r>
          </w:p>
        </w:tc>
      </w:tr>
      <w:tr>
        <w:trPr>
          <w:trHeight w:val="402" w:hRule="exact"/>
        </w:trPr>
        <w:tc>
          <w:tcPr>
            <w:tcW w:w="2252" w:type="dxa"/>
            <w:vMerge/>
            <w:tcBorders>
              <w:left w:val="single" w:sz="4" w:space="0" w:color="000000"/>
              <w:bottom w:val="single" w:sz="4" w:space="0" w:color="000000"/>
              <w:right w:val="single" w:sz="4" w:space="0" w:color="000000"/>
            </w:tcBorders>
            <w:shd w:val="clear" w:color="auto" w:fill="E0E0E0"/>
          </w:tcPr>
          <w:p>
            <w:pPr/>
          </w:p>
        </w:tc>
        <w:tc>
          <w:tcPr>
            <w:tcW w:w="116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24"/>
              <w:ind w:left="1"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554"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24"/>
              <w:ind w:right="140"/>
              <w:jc w:val="right"/>
              <w:rPr>
                <w:rFonts w:ascii="宋体" w:hAnsi="宋体" w:cs="宋体" w:eastAsia="宋体" w:hint="default"/>
                <w:sz w:val="21"/>
                <w:szCs w:val="21"/>
              </w:rPr>
            </w:pPr>
            <w:r>
              <w:rPr>
                <w:rFonts w:ascii="宋体" w:hAnsi="宋体" w:cs="宋体" w:eastAsia="宋体" w:hint="default"/>
                <w:sz w:val="21"/>
                <w:szCs w:val="21"/>
              </w:rPr>
              <w:t>占总资产比重</w:t>
            </w:r>
          </w:p>
        </w:tc>
        <w:tc>
          <w:tcPr>
            <w:tcW w:w="137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24"/>
              <w:ind w:left="470"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78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24"/>
              <w:ind w:left="254" w:right="0"/>
              <w:jc w:val="left"/>
              <w:rPr>
                <w:rFonts w:ascii="宋体" w:hAnsi="宋体" w:cs="宋体" w:eastAsia="宋体" w:hint="default"/>
                <w:sz w:val="21"/>
                <w:szCs w:val="21"/>
              </w:rPr>
            </w:pPr>
            <w:r>
              <w:rPr>
                <w:rFonts w:ascii="宋体" w:hAnsi="宋体" w:cs="宋体" w:eastAsia="宋体" w:hint="default"/>
                <w:sz w:val="21"/>
                <w:szCs w:val="21"/>
              </w:rPr>
              <w:t>占总资产比重</w:t>
            </w:r>
          </w:p>
        </w:tc>
        <w:tc>
          <w:tcPr>
            <w:tcW w:w="1099" w:type="dxa"/>
            <w:vMerge/>
            <w:tcBorders>
              <w:left w:val="single" w:sz="4" w:space="0" w:color="000000"/>
              <w:bottom w:val="single" w:sz="4" w:space="0" w:color="000000"/>
              <w:right w:val="single" w:sz="4" w:space="0" w:color="000000"/>
            </w:tcBorders>
            <w:shd w:val="clear" w:color="auto" w:fill="E0E0E0"/>
          </w:tcPr>
          <w:p>
            <w:pPr/>
          </w:p>
        </w:tc>
      </w:tr>
      <w:tr>
        <w:trPr>
          <w:trHeight w:val="402" w:hRule="exact"/>
        </w:trPr>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313"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6" w:right="0"/>
              <w:jc w:val="center"/>
              <w:rPr>
                <w:rFonts w:ascii="宋体" w:hAnsi="宋体" w:cs="宋体" w:eastAsia="宋体" w:hint="default"/>
                <w:sz w:val="21"/>
                <w:szCs w:val="21"/>
              </w:rPr>
            </w:pPr>
            <w:r>
              <w:rPr>
                <w:rFonts w:ascii="宋体"/>
                <w:sz w:val="21"/>
              </w:rPr>
              <w:t>4,398.02</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1"/>
              <w:jc w:val="right"/>
              <w:rPr>
                <w:rFonts w:ascii="宋体" w:hAnsi="宋体" w:cs="宋体" w:eastAsia="宋体" w:hint="default"/>
                <w:sz w:val="21"/>
                <w:szCs w:val="21"/>
              </w:rPr>
            </w:pPr>
            <w:r>
              <w:rPr>
                <w:rFonts w:ascii="宋体"/>
                <w:sz w:val="21"/>
              </w:rPr>
              <w:t>23.25%</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18" w:right="0"/>
              <w:jc w:val="left"/>
              <w:rPr>
                <w:rFonts w:ascii="宋体" w:hAnsi="宋体" w:cs="宋体" w:eastAsia="宋体" w:hint="default"/>
                <w:sz w:val="21"/>
                <w:szCs w:val="21"/>
              </w:rPr>
            </w:pPr>
            <w:r>
              <w:rPr>
                <w:rFonts w:ascii="宋体"/>
                <w:sz w:val="21"/>
              </w:rPr>
              <w:t>3,635.90</w:t>
            </w: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1"/>
              <w:jc w:val="right"/>
              <w:rPr>
                <w:rFonts w:ascii="宋体" w:hAnsi="宋体" w:cs="宋体" w:eastAsia="宋体" w:hint="default"/>
                <w:sz w:val="21"/>
                <w:szCs w:val="21"/>
              </w:rPr>
            </w:pPr>
            <w:r>
              <w:rPr>
                <w:rFonts w:ascii="宋体"/>
                <w:spacing w:val="-1"/>
                <w:sz w:val="21"/>
              </w:rPr>
              <w:t>29.64%</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0"/>
              <w:jc w:val="right"/>
              <w:rPr>
                <w:rFonts w:ascii="宋体" w:hAnsi="宋体" w:cs="宋体" w:eastAsia="宋体" w:hint="default"/>
                <w:sz w:val="21"/>
                <w:szCs w:val="21"/>
              </w:rPr>
            </w:pPr>
            <w:r>
              <w:rPr>
                <w:rFonts w:ascii="宋体"/>
                <w:sz w:val="21"/>
              </w:rPr>
              <w:t>20.96%</w:t>
            </w:r>
          </w:p>
        </w:tc>
      </w:tr>
      <w:tr>
        <w:trPr>
          <w:trHeight w:val="402" w:hRule="exact"/>
        </w:trPr>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313"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106" w:right="0"/>
              <w:jc w:val="center"/>
              <w:rPr>
                <w:rFonts w:ascii="宋体" w:hAnsi="宋体" w:cs="宋体" w:eastAsia="宋体" w:hint="default"/>
                <w:sz w:val="21"/>
                <w:szCs w:val="21"/>
              </w:rPr>
            </w:pPr>
            <w:r>
              <w:rPr>
                <w:rFonts w:ascii="宋体"/>
                <w:sz w:val="21"/>
              </w:rPr>
              <w:t>7,516.06</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宋体" w:hAnsi="宋体" w:cs="宋体" w:eastAsia="宋体" w:hint="default"/>
                <w:sz w:val="21"/>
                <w:szCs w:val="21"/>
              </w:rPr>
            </w:pPr>
            <w:r>
              <w:rPr>
                <w:rFonts w:ascii="宋体"/>
                <w:sz w:val="21"/>
              </w:rPr>
              <w:t>39.73%</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418" w:right="0"/>
              <w:jc w:val="left"/>
              <w:rPr>
                <w:rFonts w:ascii="宋体" w:hAnsi="宋体" w:cs="宋体" w:eastAsia="宋体" w:hint="default"/>
                <w:sz w:val="21"/>
                <w:szCs w:val="21"/>
              </w:rPr>
            </w:pPr>
            <w:r>
              <w:rPr>
                <w:rFonts w:ascii="宋体"/>
                <w:sz w:val="21"/>
              </w:rPr>
              <w:t>4,203.12</w:t>
            </w: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宋体" w:hAnsi="宋体" w:cs="宋体" w:eastAsia="宋体" w:hint="default"/>
                <w:sz w:val="21"/>
                <w:szCs w:val="21"/>
              </w:rPr>
            </w:pPr>
            <w:r>
              <w:rPr>
                <w:rFonts w:ascii="宋体"/>
                <w:spacing w:val="-1"/>
                <w:sz w:val="21"/>
              </w:rPr>
              <w:t>34.26%</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0"/>
              <w:jc w:val="right"/>
              <w:rPr>
                <w:rFonts w:ascii="宋体" w:hAnsi="宋体" w:cs="宋体" w:eastAsia="宋体" w:hint="default"/>
                <w:sz w:val="21"/>
                <w:szCs w:val="21"/>
              </w:rPr>
            </w:pPr>
            <w:r>
              <w:rPr>
                <w:rFonts w:ascii="宋体"/>
                <w:sz w:val="21"/>
              </w:rPr>
              <w:t>78.82%</w:t>
            </w:r>
          </w:p>
        </w:tc>
      </w:tr>
    </w:tbl>
    <w:p>
      <w:pPr>
        <w:spacing w:after="0" w:line="240" w:lineRule="auto"/>
        <w:jc w:val="right"/>
        <w:rPr>
          <w:rFonts w:ascii="宋体" w:hAnsi="宋体" w:cs="宋体" w:eastAsia="宋体" w:hint="default"/>
          <w:sz w:val="21"/>
          <w:szCs w:val="21"/>
        </w:rPr>
        <w:sectPr>
          <w:pgSz w:w="11910" w:h="16840"/>
          <w:pgMar w:header="851" w:footer="982" w:top="1360" w:bottom="1180" w:left="1240" w:right="1220"/>
        </w:sectPr>
      </w:pPr>
    </w:p>
    <w:p>
      <w:pPr>
        <w:spacing w:line="240" w:lineRule="auto" w:before="9"/>
        <w:rPr>
          <w:rFonts w:ascii="宋体" w:hAnsi="宋体" w:cs="宋体" w:eastAsia="宋体" w:hint="default"/>
          <w:b/>
          <w:bCs/>
          <w:sz w:val="5"/>
          <w:szCs w:val="5"/>
        </w:rPr>
      </w:pPr>
    </w:p>
    <w:tbl>
      <w:tblPr>
        <w:tblW w:w="0" w:type="auto"/>
        <w:jc w:val="left"/>
        <w:tblInd w:w="100" w:type="dxa"/>
        <w:tblLayout w:type="fixed"/>
        <w:tblCellMar>
          <w:top w:w="0" w:type="dxa"/>
          <w:left w:w="0" w:type="dxa"/>
          <w:bottom w:w="0" w:type="dxa"/>
          <w:right w:w="0" w:type="dxa"/>
        </w:tblCellMar>
        <w:tblLook w:val="01E0"/>
      </w:tblPr>
      <w:tblGrid>
        <w:gridCol w:w="2252"/>
        <w:gridCol w:w="1160"/>
        <w:gridCol w:w="1554"/>
        <w:gridCol w:w="1370"/>
        <w:gridCol w:w="1780"/>
        <w:gridCol w:w="1099"/>
      </w:tblGrid>
      <w:tr>
        <w:trPr>
          <w:trHeight w:val="397" w:hRule="exact"/>
        </w:trPr>
        <w:tc>
          <w:tcPr>
            <w:tcW w:w="22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4"/>
              <w:ind w:left="313"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16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4"/>
              <w:ind w:right="100"/>
              <w:jc w:val="right"/>
              <w:rPr>
                <w:rFonts w:ascii="宋体" w:hAnsi="宋体" w:cs="宋体" w:eastAsia="宋体" w:hint="default"/>
                <w:sz w:val="21"/>
                <w:szCs w:val="21"/>
              </w:rPr>
            </w:pPr>
            <w:r>
              <w:rPr>
                <w:rFonts w:ascii="宋体"/>
                <w:sz w:val="21"/>
              </w:rPr>
              <w:t>4,235.56</w:t>
            </w:r>
          </w:p>
        </w:tc>
        <w:tc>
          <w:tcPr>
            <w:tcW w:w="155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4"/>
              <w:ind w:right="101"/>
              <w:jc w:val="right"/>
              <w:rPr>
                <w:rFonts w:ascii="宋体" w:hAnsi="宋体" w:cs="宋体" w:eastAsia="宋体" w:hint="default"/>
                <w:sz w:val="21"/>
                <w:szCs w:val="21"/>
              </w:rPr>
            </w:pPr>
            <w:r>
              <w:rPr>
                <w:rFonts w:ascii="宋体"/>
                <w:sz w:val="21"/>
              </w:rPr>
              <w:t>22.39%</w:t>
            </w:r>
          </w:p>
        </w:tc>
        <w:tc>
          <w:tcPr>
            <w:tcW w:w="137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4"/>
              <w:ind w:right="100"/>
              <w:jc w:val="right"/>
              <w:rPr>
                <w:rFonts w:ascii="宋体" w:hAnsi="宋体" w:cs="宋体" w:eastAsia="宋体" w:hint="default"/>
                <w:sz w:val="21"/>
                <w:szCs w:val="21"/>
              </w:rPr>
            </w:pPr>
            <w:r>
              <w:rPr>
                <w:rFonts w:ascii="宋体"/>
                <w:sz w:val="21"/>
              </w:rPr>
              <w:t>2,518.53</w:t>
            </w:r>
          </w:p>
        </w:tc>
        <w:tc>
          <w:tcPr>
            <w:tcW w:w="17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4"/>
              <w:ind w:right="101"/>
              <w:jc w:val="right"/>
              <w:rPr>
                <w:rFonts w:ascii="宋体" w:hAnsi="宋体" w:cs="宋体" w:eastAsia="宋体" w:hint="default"/>
                <w:sz w:val="21"/>
                <w:szCs w:val="21"/>
              </w:rPr>
            </w:pPr>
            <w:r>
              <w:rPr>
                <w:rFonts w:ascii="宋体"/>
                <w:sz w:val="21"/>
              </w:rPr>
              <w:t>20.53%</w:t>
            </w:r>
          </w:p>
        </w:tc>
        <w:tc>
          <w:tcPr>
            <w:tcW w:w="109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4"/>
              <w:ind w:right="101"/>
              <w:jc w:val="right"/>
              <w:rPr>
                <w:rFonts w:ascii="宋体" w:hAnsi="宋体" w:cs="宋体" w:eastAsia="宋体" w:hint="default"/>
                <w:sz w:val="21"/>
                <w:szCs w:val="21"/>
              </w:rPr>
            </w:pPr>
            <w:r>
              <w:rPr>
                <w:rFonts w:ascii="宋体"/>
                <w:sz w:val="21"/>
              </w:rPr>
              <w:t>68.18%</w:t>
            </w:r>
          </w:p>
        </w:tc>
      </w:tr>
      <w:tr>
        <w:trPr>
          <w:trHeight w:val="402" w:hRule="exact"/>
        </w:trPr>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313"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0"/>
              <w:jc w:val="right"/>
              <w:rPr>
                <w:rFonts w:ascii="宋体" w:hAnsi="宋体" w:cs="宋体" w:eastAsia="宋体" w:hint="default"/>
                <w:sz w:val="21"/>
                <w:szCs w:val="21"/>
              </w:rPr>
            </w:pPr>
            <w:r>
              <w:rPr>
                <w:rFonts w:ascii="宋体"/>
                <w:sz w:val="21"/>
              </w:rPr>
              <w:t>535.29</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宋体" w:hAnsi="宋体" w:cs="宋体" w:eastAsia="宋体" w:hint="default"/>
                <w:sz w:val="21"/>
                <w:szCs w:val="21"/>
              </w:rPr>
            </w:pPr>
            <w:r>
              <w:rPr>
                <w:rFonts w:ascii="宋体"/>
                <w:sz w:val="21"/>
              </w:rPr>
              <w:t>2.83%</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0"/>
              <w:jc w:val="right"/>
              <w:rPr>
                <w:rFonts w:ascii="宋体" w:hAnsi="宋体" w:cs="宋体" w:eastAsia="宋体" w:hint="default"/>
                <w:sz w:val="21"/>
                <w:szCs w:val="21"/>
              </w:rPr>
            </w:pPr>
            <w:r>
              <w:rPr>
                <w:rFonts w:ascii="宋体"/>
                <w:sz w:val="21"/>
              </w:rPr>
              <w:t>360.00</w:t>
            </w: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0"/>
              <w:jc w:val="right"/>
              <w:rPr>
                <w:rFonts w:ascii="宋体" w:hAnsi="宋体" w:cs="宋体" w:eastAsia="宋体" w:hint="default"/>
                <w:sz w:val="21"/>
                <w:szCs w:val="21"/>
              </w:rPr>
            </w:pPr>
            <w:r>
              <w:rPr>
                <w:rFonts w:ascii="宋体"/>
                <w:sz w:val="21"/>
              </w:rPr>
              <w:t>2.93%</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宋体" w:hAnsi="宋体" w:cs="宋体" w:eastAsia="宋体" w:hint="default"/>
                <w:sz w:val="21"/>
                <w:szCs w:val="21"/>
              </w:rPr>
            </w:pPr>
            <w:r>
              <w:rPr>
                <w:rFonts w:ascii="宋体"/>
                <w:sz w:val="21"/>
              </w:rPr>
              <w:t>48.69%</w:t>
            </w:r>
          </w:p>
        </w:tc>
      </w:tr>
      <w:tr>
        <w:trPr>
          <w:trHeight w:val="402" w:hRule="exact"/>
        </w:trPr>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313"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宋体" w:hAnsi="宋体" w:cs="宋体" w:eastAsia="宋体" w:hint="default"/>
                <w:sz w:val="21"/>
                <w:szCs w:val="21"/>
              </w:rPr>
            </w:pPr>
            <w:r>
              <w:rPr>
                <w:rFonts w:ascii="宋体"/>
                <w:spacing w:val="-1"/>
                <w:sz w:val="21"/>
              </w:rPr>
              <w:t>400.20</w:t>
            </w:r>
            <w:r>
              <w:rPr>
                <w:rFonts w:ascii="宋体"/>
                <w:sz w:val="21"/>
              </w:rPr>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3"/>
              <w:jc w:val="right"/>
              <w:rPr>
                <w:rFonts w:ascii="宋体" w:hAnsi="宋体" w:cs="宋体" w:eastAsia="宋体" w:hint="default"/>
                <w:sz w:val="21"/>
                <w:szCs w:val="21"/>
              </w:rPr>
            </w:pPr>
            <w:r>
              <w:rPr>
                <w:rFonts w:ascii="宋体"/>
                <w:spacing w:val="-1"/>
                <w:sz w:val="21"/>
              </w:rPr>
              <w:t>2.12%</w:t>
            </w:r>
            <w:r>
              <w:rPr>
                <w:rFonts w:ascii="宋体"/>
                <w:sz w:val="21"/>
              </w:rPr>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2"/>
              <w:jc w:val="right"/>
              <w:rPr>
                <w:rFonts w:ascii="宋体" w:hAnsi="宋体" w:cs="宋体" w:eastAsia="宋体" w:hint="default"/>
                <w:sz w:val="21"/>
                <w:szCs w:val="21"/>
              </w:rPr>
            </w:pPr>
            <w:r>
              <w:rPr>
                <w:rFonts w:ascii="宋体"/>
                <w:spacing w:val="-1"/>
                <w:sz w:val="21"/>
              </w:rPr>
              <w:t>572.45</w:t>
            </w:r>
            <w:r>
              <w:rPr>
                <w:rFonts w:ascii="宋体"/>
                <w:sz w:val="21"/>
              </w:rPr>
            </w: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2"/>
              <w:jc w:val="right"/>
              <w:rPr>
                <w:rFonts w:ascii="宋体" w:hAnsi="宋体" w:cs="宋体" w:eastAsia="宋体" w:hint="default"/>
                <w:sz w:val="21"/>
                <w:szCs w:val="21"/>
              </w:rPr>
            </w:pPr>
            <w:r>
              <w:rPr>
                <w:rFonts w:ascii="宋体"/>
                <w:spacing w:val="-1"/>
                <w:sz w:val="21"/>
              </w:rPr>
              <w:t>4.67%</w:t>
            </w:r>
            <w:r>
              <w:rPr>
                <w:rFonts w:ascii="宋体"/>
                <w:sz w:val="21"/>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4"/>
              <w:jc w:val="right"/>
              <w:rPr>
                <w:rFonts w:ascii="宋体" w:hAnsi="宋体" w:cs="宋体" w:eastAsia="宋体" w:hint="default"/>
                <w:sz w:val="21"/>
                <w:szCs w:val="21"/>
              </w:rPr>
            </w:pPr>
            <w:r>
              <w:rPr>
                <w:rFonts w:ascii="宋体"/>
                <w:spacing w:val="-1"/>
                <w:sz w:val="21"/>
              </w:rPr>
              <w:t>-30.09%</w:t>
            </w:r>
            <w:r>
              <w:rPr>
                <w:rFonts w:ascii="宋体"/>
                <w:sz w:val="21"/>
              </w:rPr>
            </w:r>
          </w:p>
        </w:tc>
      </w:tr>
      <w:tr>
        <w:trPr>
          <w:trHeight w:val="402" w:hRule="exact"/>
        </w:trPr>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103" w:right="0"/>
              <w:jc w:val="left"/>
              <w:rPr>
                <w:rFonts w:ascii="宋体" w:hAnsi="宋体" w:cs="宋体" w:eastAsia="宋体" w:hint="default"/>
                <w:sz w:val="21"/>
                <w:szCs w:val="21"/>
              </w:rPr>
            </w:pPr>
            <w:r>
              <w:rPr>
                <w:rFonts w:ascii="宋体" w:hAnsi="宋体" w:cs="宋体" w:eastAsia="宋体" w:hint="default"/>
                <w:b/>
                <w:bCs/>
                <w:sz w:val="21"/>
                <w:szCs w:val="21"/>
              </w:rPr>
              <w:t>流动负债合计</w:t>
            </w:r>
            <w:r>
              <w:rPr>
                <w:rFonts w:ascii="宋体" w:hAnsi="宋体" w:cs="宋体" w:eastAsia="宋体" w:hint="default"/>
                <w:sz w:val="21"/>
                <w:szCs w:val="21"/>
              </w:rPr>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0"/>
              <w:jc w:val="right"/>
              <w:rPr>
                <w:rFonts w:ascii="宋体" w:hAnsi="宋体" w:cs="宋体" w:eastAsia="宋体" w:hint="default"/>
                <w:sz w:val="21"/>
                <w:szCs w:val="21"/>
              </w:rPr>
            </w:pPr>
            <w:r>
              <w:rPr>
                <w:rFonts w:ascii="宋体"/>
                <w:spacing w:val="-1"/>
                <w:sz w:val="21"/>
              </w:rPr>
              <w:t>17,085.13</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宋体" w:hAnsi="宋体" w:cs="宋体" w:eastAsia="宋体" w:hint="default"/>
                <w:sz w:val="21"/>
                <w:szCs w:val="21"/>
              </w:rPr>
            </w:pPr>
            <w:r>
              <w:rPr>
                <w:rFonts w:ascii="宋体"/>
                <w:spacing w:val="-1"/>
                <w:sz w:val="21"/>
              </w:rPr>
              <w:t>90.31%</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宋体" w:hAnsi="宋体" w:cs="宋体" w:eastAsia="宋体" w:hint="default"/>
                <w:sz w:val="21"/>
                <w:szCs w:val="21"/>
              </w:rPr>
            </w:pPr>
            <w:r>
              <w:rPr>
                <w:rFonts w:ascii="宋体"/>
                <w:spacing w:val="-1"/>
                <w:sz w:val="21"/>
              </w:rPr>
              <w:t>11,290.00</w:t>
            </w: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宋体" w:hAnsi="宋体" w:cs="宋体" w:eastAsia="宋体" w:hint="default"/>
                <w:sz w:val="21"/>
                <w:szCs w:val="21"/>
              </w:rPr>
            </w:pPr>
            <w:r>
              <w:rPr>
                <w:rFonts w:ascii="宋体"/>
                <w:spacing w:val="-1"/>
                <w:sz w:val="21"/>
              </w:rPr>
              <w:t>92.04%</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宋体" w:hAnsi="宋体" w:cs="宋体" w:eastAsia="宋体" w:hint="default"/>
                <w:sz w:val="21"/>
                <w:szCs w:val="21"/>
              </w:rPr>
            </w:pPr>
            <w:r>
              <w:rPr>
                <w:rFonts w:ascii="宋体"/>
                <w:spacing w:val="-1"/>
                <w:sz w:val="21"/>
              </w:rPr>
              <w:t>51.33%</w:t>
            </w:r>
          </w:p>
        </w:tc>
      </w:tr>
      <w:tr>
        <w:trPr>
          <w:trHeight w:val="402" w:hRule="exact"/>
        </w:trPr>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313"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0"/>
              <w:jc w:val="right"/>
              <w:rPr>
                <w:rFonts w:ascii="宋体" w:hAnsi="宋体" w:cs="宋体" w:eastAsia="宋体" w:hint="default"/>
                <w:sz w:val="21"/>
                <w:szCs w:val="21"/>
              </w:rPr>
            </w:pPr>
            <w:r>
              <w:rPr>
                <w:rFonts w:ascii="宋体"/>
                <w:sz w:val="21"/>
              </w:rPr>
              <w:t>410.48</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2"/>
              <w:jc w:val="right"/>
              <w:rPr>
                <w:rFonts w:ascii="宋体" w:hAnsi="宋体" w:cs="宋体" w:eastAsia="宋体" w:hint="default"/>
                <w:sz w:val="21"/>
                <w:szCs w:val="21"/>
              </w:rPr>
            </w:pPr>
            <w:r>
              <w:rPr>
                <w:rFonts w:ascii="宋体"/>
                <w:sz w:val="21"/>
              </w:rPr>
              <w:t>2.17%</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宋体" w:hAnsi="宋体" w:cs="宋体" w:eastAsia="宋体" w:hint="default"/>
                <w:sz w:val="21"/>
                <w:szCs w:val="21"/>
              </w:rPr>
            </w:pPr>
            <w:r>
              <w:rPr>
                <w:rFonts w:ascii="宋体"/>
                <w:sz w:val="21"/>
              </w:rPr>
              <w:t>394.37</w:t>
            </w: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宋体" w:hAnsi="宋体" w:cs="宋体" w:eastAsia="宋体" w:hint="default"/>
                <w:sz w:val="21"/>
                <w:szCs w:val="21"/>
              </w:rPr>
            </w:pPr>
            <w:r>
              <w:rPr>
                <w:rFonts w:ascii="宋体"/>
                <w:sz w:val="21"/>
              </w:rPr>
              <w:t>3.21%</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2"/>
              <w:jc w:val="right"/>
              <w:rPr>
                <w:rFonts w:ascii="宋体" w:hAnsi="宋体" w:cs="宋体" w:eastAsia="宋体" w:hint="default"/>
                <w:sz w:val="21"/>
                <w:szCs w:val="21"/>
              </w:rPr>
            </w:pPr>
            <w:r>
              <w:rPr>
                <w:rFonts w:ascii="宋体"/>
                <w:sz w:val="21"/>
              </w:rPr>
              <w:t>4.09%</w:t>
            </w:r>
          </w:p>
        </w:tc>
      </w:tr>
      <w:tr>
        <w:trPr>
          <w:trHeight w:val="402" w:hRule="exact"/>
        </w:trPr>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313"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宋体" w:hAnsi="宋体" w:cs="宋体" w:eastAsia="宋体" w:hint="default"/>
                <w:sz w:val="21"/>
                <w:szCs w:val="21"/>
              </w:rPr>
            </w:pPr>
            <w:r>
              <w:rPr>
                <w:rFonts w:ascii="宋体"/>
                <w:spacing w:val="-1"/>
                <w:sz w:val="21"/>
              </w:rPr>
              <w:t>1,422.45</w:t>
            </w:r>
            <w:r>
              <w:rPr>
                <w:rFonts w:ascii="宋体"/>
                <w:sz w:val="21"/>
              </w:rPr>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3"/>
              <w:jc w:val="right"/>
              <w:rPr>
                <w:rFonts w:ascii="宋体" w:hAnsi="宋体" w:cs="宋体" w:eastAsia="宋体" w:hint="default"/>
                <w:sz w:val="21"/>
                <w:szCs w:val="21"/>
              </w:rPr>
            </w:pPr>
            <w:r>
              <w:rPr>
                <w:rFonts w:ascii="宋体"/>
                <w:spacing w:val="-1"/>
                <w:sz w:val="21"/>
              </w:rPr>
              <w:t>7.52%</w:t>
            </w:r>
            <w:r>
              <w:rPr>
                <w:rFonts w:ascii="宋体"/>
                <w:sz w:val="21"/>
              </w:rPr>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2"/>
              <w:jc w:val="right"/>
              <w:rPr>
                <w:rFonts w:ascii="宋体" w:hAnsi="宋体" w:cs="宋体" w:eastAsia="宋体" w:hint="default"/>
                <w:sz w:val="21"/>
                <w:szCs w:val="21"/>
              </w:rPr>
            </w:pPr>
            <w:r>
              <w:rPr>
                <w:rFonts w:ascii="宋体"/>
                <w:spacing w:val="-1"/>
                <w:sz w:val="21"/>
              </w:rPr>
              <w:t>582.26</w:t>
            </w:r>
            <w:r>
              <w:rPr>
                <w:rFonts w:ascii="宋体"/>
                <w:sz w:val="21"/>
              </w:rPr>
            </w: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3"/>
              <w:jc w:val="right"/>
              <w:rPr>
                <w:rFonts w:ascii="宋体" w:hAnsi="宋体" w:cs="宋体" w:eastAsia="宋体" w:hint="default"/>
                <w:sz w:val="21"/>
                <w:szCs w:val="21"/>
              </w:rPr>
            </w:pPr>
            <w:r>
              <w:rPr>
                <w:rFonts w:ascii="宋体"/>
                <w:spacing w:val="-1"/>
                <w:sz w:val="21"/>
              </w:rPr>
              <w:t>4.75%</w:t>
            </w:r>
            <w:r>
              <w:rPr>
                <w:rFonts w:ascii="宋体"/>
                <w:sz w:val="21"/>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3"/>
              <w:jc w:val="right"/>
              <w:rPr>
                <w:rFonts w:ascii="宋体" w:hAnsi="宋体" w:cs="宋体" w:eastAsia="宋体" w:hint="default"/>
                <w:sz w:val="21"/>
                <w:szCs w:val="21"/>
              </w:rPr>
            </w:pPr>
            <w:r>
              <w:rPr>
                <w:rFonts w:ascii="宋体"/>
                <w:spacing w:val="-1"/>
                <w:sz w:val="21"/>
              </w:rPr>
              <w:t>144.30%</w:t>
            </w:r>
            <w:r>
              <w:rPr>
                <w:rFonts w:ascii="宋体"/>
                <w:sz w:val="21"/>
              </w:rPr>
            </w:r>
          </w:p>
        </w:tc>
      </w:tr>
      <w:tr>
        <w:trPr>
          <w:trHeight w:val="402" w:hRule="exact"/>
        </w:trPr>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103" w:right="0"/>
              <w:jc w:val="left"/>
              <w:rPr>
                <w:rFonts w:ascii="宋体" w:hAnsi="宋体" w:cs="宋体" w:eastAsia="宋体" w:hint="default"/>
                <w:sz w:val="21"/>
                <w:szCs w:val="21"/>
              </w:rPr>
            </w:pPr>
            <w:r>
              <w:rPr>
                <w:rFonts w:ascii="宋体" w:hAnsi="宋体" w:cs="宋体" w:eastAsia="宋体" w:hint="default"/>
                <w:b/>
                <w:bCs/>
                <w:sz w:val="21"/>
                <w:szCs w:val="21"/>
              </w:rPr>
              <w:t>非流动负债合计</w:t>
            </w:r>
            <w:r>
              <w:rPr>
                <w:rFonts w:ascii="宋体" w:hAnsi="宋体" w:cs="宋体" w:eastAsia="宋体" w:hint="default"/>
                <w:sz w:val="21"/>
                <w:szCs w:val="21"/>
              </w:rPr>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98"/>
              <w:jc w:val="right"/>
              <w:rPr>
                <w:rFonts w:ascii="宋体" w:hAnsi="宋体" w:cs="宋体" w:eastAsia="宋体" w:hint="default"/>
                <w:sz w:val="21"/>
                <w:szCs w:val="21"/>
              </w:rPr>
            </w:pPr>
            <w:r>
              <w:rPr>
                <w:rFonts w:ascii="宋体"/>
                <w:spacing w:val="-1"/>
                <w:sz w:val="21"/>
              </w:rPr>
              <w:t>1,832.93</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宋体" w:hAnsi="宋体" w:cs="宋体" w:eastAsia="宋体" w:hint="default"/>
                <w:sz w:val="21"/>
                <w:szCs w:val="21"/>
              </w:rPr>
            </w:pPr>
            <w:r>
              <w:rPr>
                <w:rFonts w:ascii="宋体"/>
                <w:spacing w:val="-1"/>
                <w:sz w:val="21"/>
              </w:rPr>
              <w:t>9.69%</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99"/>
              <w:jc w:val="right"/>
              <w:rPr>
                <w:rFonts w:ascii="宋体" w:hAnsi="宋体" w:cs="宋体" w:eastAsia="宋体" w:hint="default"/>
                <w:sz w:val="21"/>
                <w:szCs w:val="21"/>
              </w:rPr>
            </w:pPr>
            <w:r>
              <w:rPr>
                <w:rFonts w:ascii="宋体"/>
                <w:spacing w:val="-1"/>
                <w:sz w:val="21"/>
              </w:rPr>
              <w:t>976.63</w:t>
            </w: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宋体" w:hAnsi="宋体" w:cs="宋体" w:eastAsia="宋体" w:hint="default"/>
                <w:sz w:val="21"/>
                <w:szCs w:val="21"/>
              </w:rPr>
            </w:pPr>
            <w:r>
              <w:rPr>
                <w:rFonts w:ascii="宋体"/>
                <w:spacing w:val="-1"/>
                <w:sz w:val="21"/>
              </w:rPr>
              <w:t>7.96%</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宋体" w:hAnsi="宋体" w:cs="宋体" w:eastAsia="宋体" w:hint="default"/>
                <w:sz w:val="21"/>
                <w:szCs w:val="21"/>
              </w:rPr>
            </w:pPr>
            <w:r>
              <w:rPr>
                <w:rFonts w:ascii="宋体"/>
                <w:spacing w:val="-1"/>
                <w:sz w:val="21"/>
              </w:rPr>
              <w:t>87.68%</w:t>
            </w:r>
          </w:p>
        </w:tc>
      </w:tr>
      <w:tr>
        <w:trPr>
          <w:trHeight w:val="402" w:hRule="exact"/>
        </w:trPr>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103" w:right="0"/>
              <w:jc w:val="left"/>
              <w:rPr>
                <w:rFonts w:ascii="宋体" w:hAnsi="宋体" w:cs="宋体" w:eastAsia="宋体" w:hint="default"/>
                <w:sz w:val="21"/>
                <w:szCs w:val="21"/>
              </w:rPr>
            </w:pPr>
            <w:r>
              <w:rPr>
                <w:rFonts w:ascii="宋体" w:hAnsi="宋体" w:cs="宋体" w:eastAsia="宋体" w:hint="default"/>
                <w:b/>
                <w:bCs/>
                <w:sz w:val="21"/>
                <w:szCs w:val="21"/>
              </w:rPr>
              <w:t>负债合计</w:t>
            </w:r>
            <w:r>
              <w:rPr>
                <w:rFonts w:ascii="宋体" w:hAnsi="宋体" w:cs="宋体" w:eastAsia="宋体" w:hint="default"/>
                <w:sz w:val="21"/>
                <w:szCs w:val="21"/>
              </w:rPr>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2"/>
              <w:jc w:val="right"/>
              <w:rPr>
                <w:rFonts w:ascii="宋体" w:hAnsi="宋体" w:cs="宋体" w:eastAsia="宋体" w:hint="default"/>
                <w:sz w:val="21"/>
                <w:szCs w:val="21"/>
              </w:rPr>
            </w:pPr>
            <w:r>
              <w:rPr>
                <w:rFonts w:ascii="宋体"/>
                <w:spacing w:val="-1"/>
                <w:sz w:val="21"/>
              </w:rPr>
              <w:t>18,918.06</w:t>
            </w:r>
            <w:r>
              <w:rPr>
                <w:rFonts w:ascii="宋体"/>
                <w:sz w:val="21"/>
              </w:rPr>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2"/>
              <w:jc w:val="right"/>
              <w:rPr>
                <w:rFonts w:ascii="宋体" w:hAnsi="宋体" w:cs="宋体" w:eastAsia="宋体" w:hint="default"/>
                <w:sz w:val="21"/>
                <w:szCs w:val="21"/>
              </w:rPr>
            </w:pPr>
            <w:r>
              <w:rPr>
                <w:rFonts w:ascii="宋体"/>
                <w:spacing w:val="-1"/>
                <w:sz w:val="21"/>
              </w:rPr>
              <w:t>100.00%</w:t>
            </w:r>
            <w:r>
              <w:rPr>
                <w:rFonts w:ascii="宋体"/>
                <w:sz w:val="21"/>
              </w:rPr>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2"/>
              <w:jc w:val="right"/>
              <w:rPr>
                <w:rFonts w:ascii="宋体" w:hAnsi="宋体" w:cs="宋体" w:eastAsia="宋体" w:hint="default"/>
                <w:sz w:val="21"/>
                <w:szCs w:val="21"/>
              </w:rPr>
            </w:pPr>
            <w:r>
              <w:rPr>
                <w:rFonts w:ascii="宋体"/>
                <w:spacing w:val="-1"/>
                <w:sz w:val="21"/>
              </w:rPr>
              <w:t>12,266.63</w:t>
            </w:r>
            <w:r>
              <w:rPr>
                <w:rFonts w:ascii="宋体"/>
                <w:sz w:val="21"/>
              </w:rPr>
            </w: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2"/>
              <w:jc w:val="right"/>
              <w:rPr>
                <w:rFonts w:ascii="宋体" w:hAnsi="宋体" w:cs="宋体" w:eastAsia="宋体" w:hint="default"/>
                <w:sz w:val="21"/>
                <w:szCs w:val="21"/>
              </w:rPr>
            </w:pPr>
            <w:r>
              <w:rPr>
                <w:rFonts w:ascii="宋体"/>
                <w:spacing w:val="-1"/>
                <w:sz w:val="21"/>
              </w:rPr>
              <w:t>100.00%</w:t>
            </w:r>
            <w:r>
              <w:rPr>
                <w:rFonts w:ascii="宋体"/>
                <w:sz w:val="21"/>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宋体" w:hAnsi="宋体" w:cs="宋体" w:eastAsia="宋体" w:hint="default"/>
                <w:sz w:val="21"/>
                <w:szCs w:val="21"/>
              </w:rPr>
            </w:pPr>
            <w:r>
              <w:rPr>
                <w:rFonts w:ascii="宋体"/>
                <w:spacing w:val="-1"/>
                <w:sz w:val="21"/>
              </w:rPr>
              <w:t>54.22%</w:t>
            </w:r>
          </w:p>
        </w:tc>
      </w:tr>
    </w:tbl>
    <w:p>
      <w:pPr>
        <w:spacing w:line="240" w:lineRule="auto" w:before="1"/>
        <w:rPr>
          <w:rFonts w:ascii="宋体" w:hAnsi="宋体" w:cs="宋体" w:eastAsia="宋体" w:hint="default"/>
          <w:b/>
          <w:bCs/>
          <w:sz w:val="14"/>
          <w:szCs w:val="14"/>
        </w:rPr>
      </w:pPr>
    </w:p>
    <w:p>
      <w:pPr>
        <w:pStyle w:val="BodyText"/>
        <w:spacing w:line="408" w:lineRule="auto" w:before="35"/>
        <w:ind w:left="560" w:right="483" w:firstLine="420"/>
        <w:jc w:val="both"/>
      </w:pPr>
      <w:r>
        <w:rPr/>
        <w:t>报告期末，预收账款为7,516.06万元，较去年增长34.26%，主要系公司销售订单增加， 部分项目处于实施中、尚未达到收入确认条件所致。</w:t>
      </w:r>
    </w:p>
    <w:p>
      <w:pPr>
        <w:spacing w:line="240" w:lineRule="auto" w:before="7"/>
        <w:rPr>
          <w:rFonts w:ascii="宋体" w:hAnsi="宋体" w:cs="宋体" w:eastAsia="宋体" w:hint="default"/>
          <w:sz w:val="15"/>
          <w:szCs w:val="15"/>
        </w:rPr>
      </w:pPr>
    </w:p>
    <w:p>
      <w:pPr>
        <w:pStyle w:val="BodyText"/>
        <w:spacing w:line="408" w:lineRule="auto"/>
        <w:ind w:left="560" w:right="576" w:firstLine="420"/>
        <w:jc w:val="both"/>
      </w:pPr>
      <w:r>
        <w:rPr>
          <w:spacing w:val="-3"/>
        </w:rPr>
        <w:t>报告期末，公司应付职工薪酬为4,235.56万元，较去年增长68.18%，主要系员工规模增</w:t>
      </w:r>
      <w:r>
        <w:rPr/>
        <w:t> 加，期末计提相应的职工薪酬所致。</w:t>
      </w:r>
    </w:p>
    <w:p>
      <w:pPr>
        <w:spacing w:line="240" w:lineRule="auto" w:before="7"/>
        <w:rPr>
          <w:rFonts w:ascii="宋体" w:hAnsi="宋体" w:cs="宋体" w:eastAsia="宋体" w:hint="default"/>
          <w:sz w:val="15"/>
          <w:szCs w:val="15"/>
        </w:rPr>
      </w:pPr>
    </w:p>
    <w:p>
      <w:pPr>
        <w:pStyle w:val="BodyText"/>
        <w:spacing w:line="408" w:lineRule="auto"/>
        <w:ind w:left="560" w:right="576" w:firstLine="420"/>
        <w:jc w:val="both"/>
      </w:pPr>
      <w:r>
        <w:rPr/>
        <w:t>报告期末，其他非流动负债为1,422.45万元，较去年增长144.30%，系公司收到的与收 </w:t>
      </w:r>
      <w:r>
        <w:rPr>
          <w:spacing w:val="-3"/>
        </w:rPr>
        <w:t>益相关的政府补助所致。该等款项在取得时确认为递延收益，在确认相关费用的期间计入当</w:t>
      </w:r>
      <w:r>
        <w:rPr>
          <w:spacing w:val="-79"/>
        </w:rPr>
        <w:t> </w:t>
      </w:r>
      <w:r>
        <w:rPr>
          <w:spacing w:val="-79"/>
        </w:rPr>
      </w:r>
      <w:r>
        <w:rPr/>
        <w:t>期营业外收入。期末余额均为相关项目的费用尚未发生的政府补助余额。</w:t>
      </w:r>
    </w:p>
    <w:p>
      <w:pPr>
        <w:spacing w:line="240" w:lineRule="auto" w:before="6"/>
        <w:rPr>
          <w:rFonts w:ascii="宋体" w:hAnsi="宋体" w:cs="宋体" w:eastAsia="宋体" w:hint="default"/>
          <w:sz w:val="15"/>
          <w:szCs w:val="15"/>
        </w:rPr>
      </w:pPr>
    </w:p>
    <w:p>
      <w:pPr>
        <w:pStyle w:val="Heading2"/>
        <w:spacing w:line="240" w:lineRule="auto"/>
        <w:ind w:left="982" w:right="569"/>
        <w:jc w:val="left"/>
        <w:rPr>
          <w:b w:val="0"/>
          <w:bCs w:val="0"/>
        </w:rPr>
      </w:pPr>
      <w:r>
        <w:rPr/>
        <w:t>3、报告期内费用构成情况分析</w:t>
      </w:r>
      <w:r>
        <w:rPr>
          <w:b w:val="0"/>
          <w:bCs w:val="0"/>
        </w:rPr>
      </w:r>
    </w:p>
    <w:p>
      <w:pPr>
        <w:pStyle w:val="BodyText"/>
        <w:spacing w:line="240" w:lineRule="auto" w:before="165"/>
        <w:ind w:left="0" w:right="576"/>
        <w:jc w:val="right"/>
      </w:pPr>
      <w:r>
        <w:rPr/>
        <w:t>单位：万元</w:t>
      </w:r>
    </w:p>
    <w:p>
      <w:pPr>
        <w:spacing w:line="240" w:lineRule="auto" w:before="13"/>
        <w:rPr>
          <w:rFonts w:ascii="宋体" w:hAnsi="宋体" w:cs="宋体" w:eastAsia="宋体" w:hint="default"/>
          <w:sz w:val="3"/>
          <w:szCs w:val="3"/>
        </w:rPr>
      </w:pPr>
    </w:p>
    <w:tbl>
      <w:tblPr>
        <w:tblW w:w="0" w:type="auto"/>
        <w:jc w:val="left"/>
        <w:tblInd w:w="213" w:type="dxa"/>
        <w:tblLayout w:type="fixed"/>
        <w:tblCellMar>
          <w:top w:w="0" w:type="dxa"/>
          <w:left w:w="0" w:type="dxa"/>
          <w:bottom w:w="0" w:type="dxa"/>
          <w:right w:w="0" w:type="dxa"/>
        </w:tblCellMar>
        <w:tblLook w:val="01E0"/>
      </w:tblPr>
      <w:tblGrid>
        <w:gridCol w:w="1903"/>
        <w:gridCol w:w="1777"/>
        <w:gridCol w:w="1296"/>
        <w:gridCol w:w="2195"/>
        <w:gridCol w:w="1819"/>
      </w:tblGrid>
      <w:tr>
        <w:trPr>
          <w:trHeight w:val="634" w:hRule="exact"/>
        </w:trPr>
        <w:tc>
          <w:tcPr>
            <w:tcW w:w="1903"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b/>
                <w:bCs/>
                <w:sz w:val="21"/>
                <w:szCs w:val="21"/>
              </w:rPr>
              <w:t>费用项目</w:t>
            </w:r>
            <w:r>
              <w:rPr>
                <w:rFonts w:ascii="宋体" w:hAnsi="宋体" w:cs="宋体" w:eastAsia="宋体" w:hint="default"/>
                <w:sz w:val="21"/>
                <w:szCs w:val="21"/>
              </w:rPr>
            </w:r>
          </w:p>
        </w:tc>
        <w:tc>
          <w:tcPr>
            <w:tcW w:w="1777"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41"/>
              <w:ind w:left="540" w:right="0"/>
              <w:jc w:val="left"/>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7"/>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296"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41"/>
              <w:ind w:left="298" w:right="0"/>
              <w:jc w:val="left"/>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7"/>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2195"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b/>
                <w:bCs/>
                <w:sz w:val="21"/>
                <w:szCs w:val="21"/>
              </w:rPr>
              <w:t>本年比上年增减幅度</w:t>
            </w:r>
            <w:r>
              <w:rPr>
                <w:rFonts w:ascii="宋体" w:hAnsi="宋体" w:cs="宋体" w:eastAsia="宋体" w:hint="default"/>
                <w:sz w:val="21"/>
                <w:szCs w:val="21"/>
              </w:rPr>
            </w:r>
          </w:p>
        </w:tc>
        <w:tc>
          <w:tcPr>
            <w:tcW w:w="1819"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b/>
                <w:bCs/>
                <w:sz w:val="21"/>
                <w:szCs w:val="21"/>
              </w:rPr>
              <w:t>占</w:t>
            </w:r>
            <w:r>
              <w:rPr>
                <w:rFonts w:ascii="宋体" w:hAnsi="宋体" w:cs="宋体" w:eastAsia="宋体" w:hint="default"/>
                <w:b/>
                <w:bCs/>
                <w:spacing w:val="-56"/>
                <w:sz w:val="21"/>
                <w:szCs w:val="21"/>
              </w:rPr>
              <w:t> </w:t>
            </w:r>
            <w:r>
              <w:rPr>
                <w:rFonts w:ascii="宋体" w:hAnsi="宋体" w:cs="宋体" w:eastAsia="宋体" w:hint="default"/>
                <w:b/>
                <w:bCs/>
                <w:sz w:val="21"/>
                <w:szCs w:val="21"/>
              </w:rPr>
              <w:t>2010</w:t>
            </w:r>
            <w:r>
              <w:rPr>
                <w:rFonts w:ascii="宋体" w:hAnsi="宋体" w:cs="宋体" w:eastAsia="宋体" w:hint="default"/>
                <w:b/>
                <w:bCs/>
                <w:spacing w:val="-56"/>
                <w:sz w:val="21"/>
                <w:szCs w:val="21"/>
              </w:rPr>
              <w:t> </w:t>
            </w:r>
            <w:r>
              <w:rPr>
                <w:rFonts w:ascii="宋体" w:hAnsi="宋体" w:cs="宋体" w:eastAsia="宋体" w:hint="default"/>
                <w:b/>
                <w:bCs/>
                <w:sz w:val="21"/>
                <w:szCs w:val="21"/>
              </w:rPr>
              <w:t>年营业收</w:t>
            </w:r>
            <w:r>
              <w:rPr>
                <w:rFonts w:ascii="宋体" w:hAnsi="宋体" w:cs="宋体" w:eastAsia="宋体" w:hint="default"/>
                <w:sz w:val="21"/>
                <w:szCs w:val="21"/>
              </w:rPr>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b/>
                <w:bCs/>
                <w:sz w:val="21"/>
                <w:szCs w:val="21"/>
              </w:rPr>
              <w:t>入比例%</w:t>
            </w:r>
            <w:r>
              <w:rPr>
                <w:rFonts w:ascii="宋体" w:hAnsi="宋体" w:cs="宋体" w:eastAsia="宋体" w:hint="default"/>
                <w:sz w:val="21"/>
                <w:szCs w:val="21"/>
              </w:rPr>
            </w:r>
          </w:p>
        </w:tc>
      </w:tr>
      <w:tr>
        <w:trPr>
          <w:trHeight w:val="362" w:hRule="exact"/>
        </w:trPr>
        <w:tc>
          <w:tcPr>
            <w:tcW w:w="1903"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销售费用</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21"/>
                <w:szCs w:val="21"/>
              </w:rPr>
            </w:pPr>
            <w:r>
              <w:rPr>
                <w:rFonts w:ascii="宋体"/>
                <w:spacing w:val="-1"/>
                <w:sz w:val="21"/>
              </w:rPr>
              <w:t>2,899.37</w:t>
            </w:r>
            <w:r>
              <w:rPr>
                <w:rFonts w:ascii="宋体"/>
                <w:sz w:val="21"/>
              </w:rPr>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0"/>
              <w:jc w:val="right"/>
              <w:rPr>
                <w:rFonts w:ascii="宋体" w:hAnsi="宋体" w:cs="宋体" w:eastAsia="宋体" w:hint="default"/>
                <w:sz w:val="21"/>
                <w:szCs w:val="21"/>
              </w:rPr>
            </w:pPr>
            <w:r>
              <w:rPr>
                <w:rFonts w:ascii="宋体"/>
                <w:spacing w:val="-1"/>
                <w:sz w:val="21"/>
              </w:rPr>
              <w:t>1,908.63</w:t>
            </w: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51.91%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642" w:right="0"/>
              <w:jc w:val="left"/>
              <w:rPr>
                <w:rFonts w:ascii="宋体" w:hAnsi="宋体" w:cs="宋体" w:eastAsia="宋体" w:hint="default"/>
                <w:sz w:val="21"/>
                <w:szCs w:val="21"/>
              </w:rPr>
            </w:pPr>
            <w:r>
              <w:rPr>
                <w:rFonts w:ascii="宋体"/>
                <w:sz w:val="21"/>
              </w:rPr>
              <w:t>3.44%</w:t>
            </w:r>
          </w:p>
        </w:tc>
      </w:tr>
      <w:tr>
        <w:trPr>
          <w:trHeight w:val="364" w:hRule="exact"/>
        </w:trPr>
        <w:tc>
          <w:tcPr>
            <w:tcW w:w="1903"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管理费用</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0"/>
              <w:jc w:val="right"/>
              <w:rPr>
                <w:rFonts w:ascii="宋体" w:hAnsi="宋体" w:cs="宋体" w:eastAsia="宋体" w:hint="default"/>
                <w:sz w:val="21"/>
                <w:szCs w:val="21"/>
              </w:rPr>
            </w:pPr>
            <w:r>
              <w:rPr>
                <w:rFonts w:ascii="宋体"/>
                <w:sz w:val="21"/>
              </w:rPr>
              <w:t>25,274.09</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99"/>
              <w:jc w:val="right"/>
              <w:rPr>
                <w:rFonts w:ascii="宋体" w:hAnsi="宋体" w:cs="宋体" w:eastAsia="宋体" w:hint="default"/>
                <w:sz w:val="21"/>
                <w:szCs w:val="21"/>
              </w:rPr>
            </w:pPr>
            <w:r>
              <w:rPr>
                <w:rFonts w:ascii="宋体"/>
                <w:sz w:val="21"/>
              </w:rPr>
              <w:t>22,361.74</w:t>
            </w: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13.02%</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589" w:right="0"/>
              <w:jc w:val="left"/>
              <w:rPr>
                <w:rFonts w:ascii="宋体" w:hAnsi="宋体" w:cs="宋体" w:eastAsia="宋体" w:hint="default"/>
                <w:sz w:val="21"/>
                <w:szCs w:val="21"/>
              </w:rPr>
            </w:pPr>
            <w:r>
              <w:rPr>
                <w:rFonts w:ascii="宋体"/>
                <w:sz w:val="21"/>
              </w:rPr>
              <w:t>30.03%</w:t>
            </w:r>
          </w:p>
        </w:tc>
      </w:tr>
      <w:tr>
        <w:trPr>
          <w:trHeight w:val="362" w:hRule="exact"/>
        </w:trPr>
        <w:tc>
          <w:tcPr>
            <w:tcW w:w="1903"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财务费用</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0"/>
              <w:jc w:val="right"/>
              <w:rPr>
                <w:rFonts w:ascii="宋体" w:hAnsi="宋体" w:cs="宋体" w:eastAsia="宋体" w:hint="default"/>
                <w:sz w:val="21"/>
                <w:szCs w:val="21"/>
              </w:rPr>
            </w:pPr>
            <w:r>
              <w:rPr>
                <w:rFonts w:ascii="宋体"/>
                <w:sz w:val="21"/>
              </w:rPr>
              <w:t>-3,271.11</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0"/>
              <w:jc w:val="right"/>
              <w:rPr>
                <w:rFonts w:ascii="宋体" w:hAnsi="宋体" w:cs="宋体" w:eastAsia="宋体" w:hint="default"/>
                <w:sz w:val="21"/>
                <w:szCs w:val="21"/>
              </w:rPr>
            </w:pPr>
            <w:r>
              <w:rPr>
                <w:rFonts w:ascii="宋体"/>
                <w:sz w:val="21"/>
              </w:rPr>
              <w:t>-449.77</w:t>
            </w: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 w:right="0"/>
              <w:jc w:val="center"/>
              <w:rPr>
                <w:rFonts w:ascii="宋体" w:hAnsi="宋体" w:cs="宋体" w:eastAsia="宋体" w:hint="default"/>
                <w:sz w:val="21"/>
                <w:szCs w:val="21"/>
              </w:rPr>
            </w:pPr>
            <w:r>
              <w:rPr>
                <w:rFonts w:ascii="宋体"/>
                <w:sz w:val="21"/>
              </w:rPr>
              <w:t>627.28%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589" w:right="0"/>
              <w:jc w:val="left"/>
              <w:rPr>
                <w:rFonts w:ascii="宋体" w:hAnsi="宋体" w:cs="宋体" w:eastAsia="宋体" w:hint="default"/>
                <w:sz w:val="21"/>
                <w:szCs w:val="21"/>
              </w:rPr>
            </w:pPr>
            <w:r>
              <w:rPr>
                <w:rFonts w:ascii="宋体"/>
                <w:sz w:val="21"/>
              </w:rPr>
              <w:t>-3.89%</w:t>
            </w:r>
          </w:p>
        </w:tc>
      </w:tr>
      <w:tr>
        <w:trPr>
          <w:trHeight w:val="364" w:hRule="exact"/>
        </w:trPr>
        <w:tc>
          <w:tcPr>
            <w:tcW w:w="1903"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所得税费用</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2"/>
              <w:jc w:val="right"/>
              <w:rPr>
                <w:rFonts w:ascii="宋体" w:hAnsi="宋体" w:cs="宋体" w:eastAsia="宋体" w:hint="default"/>
                <w:sz w:val="21"/>
                <w:szCs w:val="21"/>
              </w:rPr>
            </w:pPr>
            <w:r>
              <w:rPr>
                <w:rFonts w:ascii="宋体"/>
                <w:spacing w:val="-1"/>
                <w:sz w:val="21"/>
              </w:rPr>
              <w:t>3,823.01</w:t>
            </w:r>
            <w:r>
              <w:rPr>
                <w:rFonts w:ascii="宋体"/>
                <w:sz w:val="21"/>
              </w:rPr>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0"/>
              <w:jc w:val="right"/>
              <w:rPr>
                <w:rFonts w:ascii="宋体" w:hAnsi="宋体" w:cs="宋体" w:eastAsia="宋体" w:hint="default"/>
                <w:sz w:val="21"/>
                <w:szCs w:val="21"/>
              </w:rPr>
            </w:pPr>
            <w:r>
              <w:rPr>
                <w:rFonts w:ascii="宋体"/>
                <w:spacing w:val="-1"/>
                <w:sz w:val="21"/>
              </w:rPr>
              <w:t>2,993.40</w:t>
            </w: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27.71%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642" w:right="0"/>
              <w:jc w:val="left"/>
              <w:rPr>
                <w:rFonts w:ascii="宋体" w:hAnsi="宋体" w:cs="宋体" w:eastAsia="宋体" w:hint="default"/>
                <w:sz w:val="21"/>
                <w:szCs w:val="21"/>
              </w:rPr>
            </w:pPr>
            <w:r>
              <w:rPr>
                <w:rFonts w:ascii="宋体"/>
                <w:sz w:val="21"/>
              </w:rPr>
              <w:t>4.54%</w:t>
            </w:r>
          </w:p>
        </w:tc>
      </w:tr>
      <w:tr>
        <w:trPr>
          <w:trHeight w:val="364" w:hRule="exact"/>
        </w:trPr>
        <w:tc>
          <w:tcPr>
            <w:tcW w:w="1903"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5"/>
              <w:ind w:left="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21"/>
                <w:szCs w:val="21"/>
              </w:rPr>
            </w:pPr>
            <w:r>
              <w:rPr>
                <w:rFonts w:ascii="宋体"/>
                <w:spacing w:val="-1"/>
                <w:sz w:val="21"/>
              </w:rPr>
              <w:t>28,725.37</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21"/>
                <w:szCs w:val="21"/>
              </w:rPr>
            </w:pPr>
            <w:r>
              <w:rPr>
                <w:rFonts w:ascii="宋体"/>
                <w:spacing w:val="-1"/>
                <w:sz w:val="21"/>
              </w:rPr>
              <w:t>26,814.00</w:t>
            </w: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7.13%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590" w:right="0"/>
              <w:jc w:val="left"/>
              <w:rPr>
                <w:rFonts w:ascii="宋体" w:hAnsi="宋体" w:cs="宋体" w:eastAsia="宋体" w:hint="default"/>
                <w:sz w:val="21"/>
                <w:szCs w:val="21"/>
              </w:rPr>
            </w:pPr>
            <w:r>
              <w:rPr>
                <w:rFonts w:ascii="宋体"/>
                <w:sz w:val="21"/>
              </w:rPr>
              <w:t>34.13%</w:t>
            </w:r>
          </w:p>
        </w:tc>
      </w:tr>
    </w:tbl>
    <w:p>
      <w:pPr>
        <w:spacing w:line="240" w:lineRule="auto" w:before="1"/>
        <w:rPr>
          <w:rFonts w:ascii="宋体" w:hAnsi="宋体" w:cs="宋体" w:eastAsia="宋体" w:hint="default"/>
          <w:sz w:val="14"/>
          <w:szCs w:val="14"/>
        </w:rPr>
      </w:pPr>
    </w:p>
    <w:p>
      <w:pPr>
        <w:pStyle w:val="BodyText"/>
        <w:spacing w:line="408" w:lineRule="auto" w:before="35"/>
        <w:ind w:left="560" w:right="569" w:firstLine="420"/>
        <w:jc w:val="left"/>
      </w:pPr>
      <w:r>
        <w:rPr>
          <w:spacing w:val="-3"/>
        </w:rPr>
        <w:t>报告期管理费用同比上年增长30.03%，主要是由于为适应业务发展的需要，尤其是互联</w:t>
      </w:r>
      <w:r>
        <w:rPr/>
        <w:t> 网业务的需要，公司人员规模增长较快，从期初的2235人发展至期末的3459人；</w:t>
      </w:r>
    </w:p>
    <w:p>
      <w:pPr>
        <w:spacing w:line="240" w:lineRule="auto" w:before="6"/>
        <w:rPr>
          <w:rFonts w:ascii="宋体" w:hAnsi="宋体" w:cs="宋体" w:eastAsia="宋体" w:hint="default"/>
          <w:sz w:val="15"/>
          <w:szCs w:val="15"/>
        </w:rPr>
      </w:pPr>
    </w:p>
    <w:p>
      <w:pPr>
        <w:pStyle w:val="BodyText"/>
        <w:spacing w:line="240" w:lineRule="auto"/>
        <w:ind w:left="980" w:right="569"/>
        <w:jc w:val="left"/>
      </w:pPr>
      <w:r>
        <w:rPr/>
        <w:t>报告期内财务费用较去年同期下降627.28%，主要原因是2010年利息收入增加所致。</w:t>
      </w:r>
    </w:p>
    <w:p>
      <w:pPr>
        <w:spacing w:line="240" w:lineRule="auto" w:before="9"/>
        <w:rPr>
          <w:rFonts w:ascii="宋体" w:hAnsi="宋体" w:cs="宋体" w:eastAsia="宋体" w:hint="default"/>
          <w:sz w:val="26"/>
          <w:szCs w:val="26"/>
        </w:rPr>
      </w:pPr>
    </w:p>
    <w:p>
      <w:pPr>
        <w:pStyle w:val="Heading2"/>
        <w:spacing w:line="240" w:lineRule="auto"/>
        <w:ind w:left="982" w:right="569"/>
        <w:jc w:val="left"/>
        <w:rPr>
          <w:b w:val="0"/>
          <w:bCs w:val="0"/>
        </w:rPr>
      </w:pPr>
      <w:r>
        <w:rPr>
          <w:rFonts w:ascii="Arial" w:hAnsi="Arial" w:cs="Arial" w:eastAsia="Arial" w:hint="default"/>
        </w:rPr>
        <w:t>4</w:t>
      </w:r>
      <w:r>
        <w:rPr/>
        <w:t>、报告期公司现金流量变动情况</w:t>
      </w:r>
      <w:r>
        <w:rPr>
          <w:b w:val="0"/>
          <w:bCs w:val="0"/>
        </w:rPr>
      </w:r>
    </w:p>
    <w:p>
      <w:pPr>
        <w:spacing w:line="240" w:lineRule="auto" w:before="7"/>
        <w:rPr>
          <w:rFonts w:ascii="宋体" w:hAnsi="宋体" w:cs="宋体" w:eastAsia="宋体" w:hint="default"/>
          <w:b/>
          <w:bCs/>
          <w:sz w:val="25"/>
          <w:szCs w:val="25"/>
        </w:rPr>
      </w:pPr>
    </w:p>
    <w:p>
      <w:pPr>
        <w:pStyle w:val="BodyText"/>
        <w:spacing w:line="240" w:lineRule="auto"/>
        <w:ind w:left="0" w:right="471"/>
        <w:jc w:val="right"/>
      </w:pPr>
      <w:r>
        <w:rPr/>
        <w:t>单位</w:t>
      </w:r>
      <w:r>
        <w:rPr>
          <w:spacing w:val="-100"/>
        </w:rPr>
        <w:t>：</w:t>
      </w:r>
      <w:r>
        <w:rPr/>
        <w:t>人民</w:t>
      </w:r>
      <w:r>
        <w:rPr>
          <w:spacing w:val="-100"/>
        </w:rPr>
        <w:t>币</w:t>
      </w:r>
      <w:r>
        <w:rPr/>
        <w:t>（万元）</w:t>
      </w:r>
    </w:p>
    <w:p>
      <w:pPr>
        <w:spacing w:line="240" w:lineRule="auto" w:before="9"/>
        <w:rPr>
          <w:rFonts w:ascii="宋体" w:hAnsi="宋体" w:cs="宋体" w:eastAsia="宋体" w:hint="default"/>
          <w:sz w:val="13"/>
          <w:szCs w:val="13"/>
        </w:rPr>
      </w:pPr>
    </w:p>
    <w:tbl>
      <w:tblPr>
        <w:tblW w:w="0" w:type="auto"/>
        <w:jc w:val="left"/>
        <w:tblInd w:w="279" w:type="dxa"/>
        <w:tblLayout w:type="fixed"/>
        <w:tblCellMar>
          <w:top w:w="0" w:type="dxa"/>
          <w:left w:w="0" w:type="dxa"/>
          <w:bottom w:w="0" w:type="dxa"/>
          <w:right w:w="0" w:type="dxa"/>
        </w:tblCellMar>
        <w:tblLook w:val="01E0"/>
      </w:tblPr>
      <w:tblGrid>
        <w:gridCol w:w="3659"/>
        <w:gridCol w:w="1662"/>
        <w:gridCol w:w="1789"/>
        <w:gridCol w:w="1747"/>
      </w:tblGrid>
      <w:tr>
        <w:trPr>
          <w:trHeight w:val="372" w:hRule="exact"/>
        </w:trPr>
        <w:tc>
          <w:tcPr>
            <w:tcW w:w="3659" w:type="dxa"/>
            <w:tcBorders>
              <w:top w:val="single" w:sz="4" w:space="0" w:color="000000"/>
              <w:left w:val="single" w:sz="4" w:space="0" w:color="000000"/>
              <w:bottom w:val="single" w:sz="4" w:space="0" w:color="000000"/>
              <w:right w:val="single" w:sz="4" w:space="0" w:color="000000"/>
            </w:tcBorders>
          </w:tcPr>
          <w:p>
            <w:pPr>
              <w:pStyle w:val="TableParagraph"/>
              <w:tabs>
                <w:tab w:pos="421" w:val="left" w:leader="none"/>
              </w:tabs>
              <w:spacing w:line="240" w:lineRule="auto" w:before="9"/>
              <w:ind w:right="1"/>
              <w:jc w:val="center"/>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28" w:right="0"/>
              <w:jc w:val="left"/>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91" w:right="0"/>
              <w:jc w:val="left"/>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7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36" w:right="0"/>
              <w:jc w:val="left"/>
              <w:rPr>
                <w:rFonts w:ascii="宋体" w:hAnsi="宋体" w:cs="宋体" w:eastAsia="宋体" w:hint="default"/>
                <w:sz w:val="21"/>
                <w:szCs w:val="21"/>
              </w:rPr>
            </w:pPr>
            <w:r>
              <w:rPr>
                <w:rFonts w:ascii="宋体" w:hAnsi="宋体" w:cs="宋体" w:eastAsia="宋体" w:hint="default"/>
                <w:b/>
                <w:bCs/>
                <w:sz w:val="21"/>
                <w:szCs w:val="21"/>
              </w:rPr>
              <w:t>同比增减（%）</w:t>
            </w:r>
            <w:r>
              <w:rPr>
                <w:rFonts w:ascii="宋体" w:hAnsi="宋体" w:cs="宋体" w:eastAsia="宋体" w:hint="default"/>
                <w:sz w:val="21"/>
                <w:szCs w:val="21"/>
              </w:rPr>
            </w:r>
          </w:p>
        </w:tc>
      </w:tr>
    </w:tbl>
    <w:p>
      <w:pPr>
        <w:spacing w:after="0" w:line="240" w:lineRule="auto"/>
        <w:jc w:val="left"/>
        <w:rPr>
          <w:rFonts w:ascii="宋体" w:hAnsi="宋体" w:cs="宋体" w:eastAsia="宋体" w:hint="default"/>
          <w:sz w:val="21"/>
          <w:szCs w:val="21"/>
        </w:rPr>
        <w:sectPr>
          <w:pgSz w:w="11910" w:h="16840"/>
          <w:pgMar w:header="851" w:footer="982" w:top="1360" w:bottom="1180" w:left="1240" w:right="1220"/>
        </w:sectPr>
      </w:pPr>
    </w:p>
    <w:p>
      <w:pPr>
        <w:spacing w:line="240" w:lineRule="auto" w:before="9"/>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659"/>
        <w:gridCol w:w="1662"/>
        <w:gridCol w:w="1789"/>
        <w:gridCol w:w="1747"/>
      </w:tblGrid>
      <w:tr>
        <w:trPr>
          <w:trHeight w:val="366" w:hRule="exact"/>
        </w:trPr>
        <w:tc>
          <w:tcPr>
            <w:tcW w:w="365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一、经营活动产生的现金流量净额</w:t>
            </w:r>
            <w:r>
              <w:rPr>
                <w:rFonts w:ascii="宋体" w:hAnsi="宋体" w:cs="宋体" w:eastAsia="宋体" w:hint="default"/>
                <w:sz w:val="21"/>
                <w:szCs w:val="21"/>
              </w:rPr>
            </w:r>
          </w:p>
        </w:tc>
        <w:tc>
          <w:tcPr>
            <w:tcW w:w="166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21"/>
                <w:szCs w:val="21"/>
              </w:rPr>
            </w:pPr>
            <w:r>
              <w:rPr>
                <w:rFonts w:ascii="宋体"/>
                <w:b/>
                <w:w w:val="95"/>
                <w:sz w:val="21"/>
              </w:rPr>
              <w:t>19,565.66</w:t>
            </w:r>
            <w:r>
              <w:rPr>
                <w:rFonts w:ascii="宋体"/>
                <w:sz w:val="21"/>
              </w:rPr>
            </w:r>
          </w:p>
        </w:tc>
        <w:tc>
          <w:tcPr>
            <w:tcW w:w="178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21"/>
                <w:szCs w:val="21"/>
              </w:rPr>
            </w:pPr>
            <w:r>
              <w:rPr>
                <w:rFonts w:ascii="宋体"/>
                <w:b/>
                <w:w w:val="95"/>
                <w:sz w:val="21"/>
              </w:rPr>
              <w:t>21,214.30</w:t>
            </w:r>
            <w:r>
              <w:rPr>
                <w:rFonts w:ascii="宋体"/>
                <w:sz w:val="21"/>
              </w:rPr>
            </w:r>
          </w:p>
        </w:tc>
        <w:tc>
          <w:tcPr>
            <w:tcW w:w="174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104"/>
              <w:jc w:val="right"/>
              <w:rPr>
                <w:rFonts w:ascii="宋体" w:hAnsi="宋体" w:cs="宋体" w:eastAsia="宋体" w:hint="default"/>
                <w:sz w:val="21"/>
                <w:szCs w:val="21"/>
              </w:rPr>
            </w:pPr>
            <w:r>
              <w:rPr>
                <w:rFonts w:ascii="宋体"/>
                <w:b/>
                <w:w w:val="95"/>
                <w:sz w:val="21"/>
              </w:rPr>
              <w:t>-7.77%</w:t>
            </w:r>
            <w:r>
              <w:rPr>
                <w:rFonts w:ascii="宋体"/>
                <w:sz w:val="21"/>
              </w:rPr>
            </w:r>
          </w:p>
        </w:tc>
      </w:tr>
      <w:tr>
        <w:trPr>
          <w:trHeight w:val="371" w:hRule="exact"/>
        </w:trPr>
        <w:tc>
          <w:tcPr>
            <w:tcW w:w="3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523" w:right="0"/>
              <w:jc w:val="left"/>
              <w:rPr>
                <w:rFonts w:ascii="宋体" w:hAnsi="宋体" w:cs="宋体" w:eastAsia="宋体" w:hint="default"/>
                <w:sz w:val="21"/>
                <w:szCs w:val="21"/>
              </w:rPr>
            </w:pPr>
            <w:r>
              <w:rPr>
                <w:rFonts w:ascii="宋体" w:hAnsi="宋体" w:cs="宋体" w:eastAsia="宋体" w:hint="default"/>
                <w:sz w:val="21"/>
                <w:szCs w:val="21"/>
              </w:rPr>
              <w:t>经营活动现金流入小计</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4"/>
              <w:jc w:val="right"/>
              <w:rPr>
                <w:rFonts w:ascii="宋体" w:hAnsi="宋体" w:cs="宋体" w:eastAsia="宋体" w:hint="default"/>
                <w:sz w:val="21"/>
                <w:szCs w:val="21"/>
              </w:rPr>
            </w:pPr>
            <w:r>
              <w:rPr>
                <w:rFonts w:ascii="宋体"/>
                <w:sz w:val="21"/>
              </w:rPr>
              <w:t>79,623.49</w:t>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21"/>
                <w:szCs w:val="21"/>
              </w:rPr>
            </w:pPr>
            <w:r>
              <w:rPr>
                <w:rFonts w:ascii="宋体"/>
                <w:sz w:val="21"/>
              </w:rPr>
              <w:t>78,025.43</w:t>
            </w:r>
          </w:p>
        </w:tc>
        <w:tc>
          <w:tcPr>
            <w:tcW w:w="17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21"/>
                <w:szCs w:val="21"/>
              </w:rPr>
            </w:pPr>
            <w:r>
              <w:rPr>
                <w:rFonts w:ascii="宋体"/>
                <w:sz w:val="21"/>
              </w:rPr>
              <w:t>2.05%</w:t>
            </w:r>
          </w:p>
        </w:tc>
      </w:tr>
      <w:tr>
        <w:trPr>
          <w:trHeight w:val="371" w:hRule="exact"/>
        </w:trPr>
        <w:tc>
          <w:tcPr>
            <w:tcW w:w="3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523" w:right="0"/>
              <w:jc w:val="left"/>
              <w:rPr>
                <w:rFonts w:ascii="宋体" w:hAnsi="宋体" w:cs="宋体" w:eastAsia="宋体" w:hint="default"/>
                <w:sz w:val="21"/>
                <w:szCs w:val="21"/>
              </w:rPr>
            </w:pPr>
            <w:r>
              <w:rPr>
                <w:rFonts w:ascii="宋体" w:hAnsi="宋体" w:cs="宋体" w:eastAsia="宋体" w:hint="default"/>
                <w:sz w:val="21"/>
                <w:szCs w:val="21"/>
              </w:rPr>
              <w:t>经营活动现金流出小计</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4"/>
              <w:jc w:val="right"/>
              <w:rPr>
                <w:rFonts w:ascii="宋体" w:hAnsi="宋体" w:cs="宋体" w:eastAsia="宋体" w:hint="default"/>
                <w:sz w:val="21"/>
                <w:szCs w:val="21"/>
              </w:rPr>
            </w:pPr>
            <w:r>
              <w:rPr>
                <w:rFonts w:ascii="宋体"/>
                <w:sz w:val="21"/>
              </w:rPr>
              <w:t>60,057.83</w:t>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21"/>
                <w:szCs w:val="21"/>
              </w:rPr>
            </w:pPr>
            <w:r>
              <w:rPr>
                <w:rFonts w:ascii="宋体"/>
                <w:sz w:val="21"/>
              </w:rPr>
              <w:t>56,811.14</w:t>
            </w:r>
          </w:p>
        </w:tc>
        <w:tc>
          <w:tcPr>
            <w:tcW w:w="17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21"/>
                <w:szCs w:val="21"/>
              </w:rPr>
            </w:pPr>
            <w:r>
              <w:rPr>
                <w:rFonts w:ascii="宋体"/>
                <w:sz w:val="21"/>
              </w:rPr>
              <w:t>5.71%</w:t>
            </w:r>
          </w:p>
        </w:tc>
      </w:tr>
      <w:tr>
        <w:trPr>
          <w:trHeight w:val="371" w:hRule="exact"/>
        </w:trPr>
        <w:tc>
          <w:tcPr>
            <w:tcW w:w="3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二、投资活动产生的现金流量净额</w:t>
            </w:r>
            <w:r>
              <w:rPr>
                <w:rFonts w:ascii="宋体" w:hAnsi="宋体" w:cs="宋体" w:eastAsia="宋体" w:hint="default"/>
                <w:sz w:val="21"/>
                <w:szCs w:val="21"/>
              </w:rPr>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21"/>
                <w:szCs w:val="21"/>
              </w:rPr>
            </w:pPr>
            <w:r>
              <w:rPr>
                <w:rFonts w:ascii="宋体"/>
                <w:b/>
                <w:w w:val="95"/>
                <w:sz w:val="21"/>
              </w:rPr>
              <w:t>-56,077.10</w:t>
            </w:r>
            <w:r>
              <w:rPr>
                <w:rFonts w:ascii="宋体"/>
                <w:sz w:val="21"/>
              </w:rPr>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21"/>
                <w:szCs w:val="21"/>
              </w:rPr>
            </w:pPr>
            <w:r>
              <w:rPr>
                <w:rFonts w:ascii="宋体"/>
                <w:b/>
                <w:w w:val="95"/>
                <w:sz w:val="21"/>
              </w:rPr>
              <w:t>-7,736.26</w:t>
            </w:r>
            <w:r>
              <w:rPr>
                <w:rFonts w:ascii="宋体"/>
                <w:sz w:val="21"/>
              </w:rPr>
            </w:r>
          </w:p>
        </w:tc>
        <w:tc>
          <w:tcPr>
            <w:tcW w:w="17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4"/>
              <w:jc w:val="right"/>
              <w:rPr>
                <w:rFonts w:ascii="宋体" w:hAnsi="宋体" w:cs="宋体" w:eastAsia="宋体" w:hint="default"/>
                <w:sz w:val="21"/>
                <w:szCs w:val="21"/>
              </w:rPr>
            </w:pPr>
            <w:r>
              <w:rPr>
                <w:rFonts w:ascii="宋体"/>
                <w:b/>
                <w:w w:val="95"/>
                <w:sz w:val="21"/>
              </w:rPr>
              <w:t>624.86%</w:t>
            </w:r>
            <w:r>
              <w:rPr>
                <w:rFonts w:ascii="宋体"/>
                <w:sz w:val="21"/>
              </w:rPr>
            </w:r>
          </w:p>
        </w:tc>
      </w:tr>
      <w:tr>
        <w:trPr>
          <w:trHeight w:val="372" w:hRule="exact"/>
        </w:trPr>
        <w:tc>
          <w:tcPr>
            <w:tcW w:w="3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523" w:right="0"/>
              <w:jc w:val="left"/>
              <w:rPr>
                <w:rFonts w:ascii="宋体" w:hAnsi="宋体" w:cs="宋体" w:eastAsia="宋体" w:hint="default"/>
                <w:sz w:val="21"/>
                <w:szCs w:val="21"/>
              </w:rPr>
            </w:pPr>
            <w:r>
              <w:rPr>
                <w:rFonts w:ascii="宋体" w:hAnsi="宋体" w:cs="宋体" w:eastAsia="宋体" w:hint="default"/>
                <w:sz w:val="21"/>
                <w:szCs w:val="21"/>
              </w:rPr>
              <w:t>投资活动现金流入小计</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21"/>
                <w:szCs w:val="21"/>
              </w:rPr>
            </w:pPr>
            <w:r>
              <w:rPr>
                <w:rFonts w:ascii="宋体"/>
                <w:sz w:val="21"/>
              </w:rPr>
              <w:t>77.14</w:t>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21"/>
                <w:szCs w:val="21"/>
              </w:rPr>
            </w:pPr>
            <w:r>
              <w:rPr>
                <w:rFonts w:ascii="宋体"/>
                <w:sz w:val="21"/>
              </w:rPr>
              <w:t>1.01</w:t>
            </w:r>
          </w:p>
        </w:tc>
        <w:tc>
          <w:tcPr>
            <w:tcW w:w="17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0"/>
              <w:jc w:val="right"/>
              <w:rPr>
                <w:rFonts w:ascii="宋体" w:hAnsi="宋体" w:cs="宋体" w:eastAsia="宋体" w:hint="default"/>
                <w:sz w:val="21"/>
                <w:szCs w:val="21"/>
              </w:rPr>
            </w:pPr>
            <w:r>
              <w:rPr>
                <w:rFonts w:ascii="宋体"/>
                <w:sz w:val="21"/>
              </w:rPr>
              <w:t>7537.32%</w:t>
            </w:r>
          </w:p>
        </w:tc>
      </w:tr>
      <w:tr>
        <w:trPr>
          <w:trHeight w:val="371" w:hRule="exact"/>
        </w:trPr>
        <w:tc>
          <w:tcPr>
            <w:tcW w:w="3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523" w:right="0"/>
              <w:jc w:val="left"/>
              <w:rPr>
                <w:rFonts w:ascii="宋体" w:hAnsi="宋体" w:cs="宋体" w:eastAsia="宋体" w:hint="default"/>
                <w:sz w:val="21"/>
                <w:szCs w:val="21"/>
              </w:rPr>
            </w:pPr>
            <w:r>
              <w:rPr>
                <w:rFonts w:ascii="宋体" w:hAnsi="宋体" w:cs="宋体" w:eastAsia="宋体" w:hint="default"/>
                <w:sz w:val="21"/>
                <w:szCs w:val="21"/>
              </w:rPr>
              <w:t>投资活动现金流出小计</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21"/>
                <w:szCs w:val="21"/>
              </w:rPr>
            </w:pPr>
            <w:r>
              <w:rPr>
                <w:rFonts w:ascii="宋体"/>
                <w:sz w:val="21"/>
              </w:rPr>
              <w:t>56,154.24</w:t>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21"/>
                <w:szCs w:val="21"/>
              </w:rPr>
            </w:pPr>
            <w:r>
              <w:rPr>
                <w:rFonts w:ascii="宋体"/>
                <w:sz w:val="21"/>
              </w:rPr>
              <w:t>7,737.27</w:t>
            </w:r>
          </w:p>
        </w:tc>
        <w:tc>
          <w:tcPr>
            <w:tcW w:w="17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21"/>
                <w:szCs w:val="21"/>
              </w:rPr>
            </w:pPr>
            <w:r>
              <w:rPr>
                <w:rFonts w:ascii="宋体"/>
                <w:sz w:val="21"/>
              </w:rPr>
              <w:t>625.76%</w:t>
            </w:r>
          </w:p>
        </w:tc>
      </w:tr>
      <w:tr>
        <w:trPr>
          <w:trHeight w:val="371" w:hRule="exact"/>
        </w:trPr>
        <w:tc>
          <w:tcPr>
            <w:tcW w:w="3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三、筹资活动产生的现金流量净额</w:t>
            </w:r>
            <w:r>
              <w:rPr>
                <w:rFonts w:ascii="宋体" w:hAnsi="宋体" w:cs="宋体" w:eastAsia="宋体" w:hint="default"/>
                <w:sz w:val="21"/>
                <w:szCs w:val="21"/>
              </w:rPr>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21"/>
                <w:szCs w:val="21"/>
              </w:rPr>
            </w:pPr>
            <w:r>
              <w:rPr>
                <w:rFonts w:ascii="宋体"/>
                <w:b/>
                <w:w w:val="95"/>
                <w:sz w:val="21"/>
              </w:rPr>
              <w:t>-3,649.69</w:t>
            </w:r>
            <w:r>
              <w:rPr>
                <w:rFonts w:ascii="宋体"/>
                <w:sz w:val="21"/>
              </w:rPr>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21"/>
                <w:szCs w:val="21"/>
              </w:rPr>
            </w:pPr>
            <w:r>
              <w:rPr>
                <w:rFonts w:ascii="宋体"/>
                <w:b/>
                <w:w w:val="95"/>
                <w:sz w:val="21"/>
              </w:rPr>
              <w:t>175,127.70</w:t>
            </w:r>
            <w:r>
              <w:rPr>
                <w:rFonts w:ascii="宋体"/>
                <w:sz w:val="21"/>
              </w:rPr>
            </w:r>
          </w:p>
        </w:tc>
        <w:tc>
          <w:tcPr>
            <w:tcW w:w="17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4"/>
              <w:jc w:val="right"/>
              <w:rPr>
                <w:rFonts w:ascii="宋体" w:hAnsi="宋体" w:cs="宋体" w:eastAsia="宋体" w:hint="default"/>
                <w:sz w:val="21"/>
                <w:szCs w:val="21"/>
              </w:rPr>
            </w:pPr>
            <w:r>
              <w:rPr>
                <w:rFonts w:ascii="宋体"/>
                <w:b/>
                <w:w w:val="95"/>
                <w:sz w:val="21"/>
              </w:rPr>
              <w:t>-102.08%</w:t>
            </w:r>
            <w:r>
              <w:rPr>
                <w:rFonts w:ascii="宋体"/>
                <w:sz w:val="21"/>
              </w:rPr>
            </w:r>
          </w:p>
        </w:tc>
      </w:tr>
      <w:tr>
        <w:trPr>
          <w:trHeight w:val="371" w:hRule="exact"/>
        </w:trPr>
        <w:tc>
          <w:tcPr>
            <w:tcW w:w="3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523" w:right="0"/>
              <w:jc w:val="left"/>
              <w:rPr>
                <w:rFonts w:ascii="宋体" w:hAnsi="宋体" w:cs="宋体" w:eastAsia="宋体" w:hint="default"/>
                <w:sz w:val="21"/>
                <w:szCs w:val="21"/>
              </w:rPr>
            </w:pPr>
            <w:r>
              <w:rPr>
                <w:rFonts w:ascii="宋体" w:hAnsi="宋体" w:cs="宋体" w:eastAsia="宋体" w:hint="default"/>
                <w:sz w:val="21"/>
                <w:szCs w:val="21"/>
              </w:rPr>
              <w:t>筹资活动现金流入小计</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0"/>
              <w:jc w:val="right"/>
              <w:rPr>
                <w:rFonts w:ascii="宋体" w:hAnsi="宋体" w:cs="宋体" w:eastAsia="宋体" w:hint="default"/>
                <w:sz w:val="21"/>
                <w:szCs w:val="21"/>
              </w:rPr>
            </w:pPr>
            <w:r>
              <w:rPr>
                <w:rFonts w:ascii="宋体"/>
                <w:sz w:val="21"/>
              </w:rPr>
              <w:t>369.94</w:t>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3"/>
              <w:jc w:val="right"/>
              <w:rPr>
                <w:rFonts w:ascii="宋体" w:hAnsi="宋体" w:cs="宋体" w:eastAsia="宋体" w:hint="default"/>
                <w:sz w:val="21"/>
                <w:szCs w:val="21"/>
              </w:rPr>
            </w:pPr>
            <w:r>
              <w:rPr>
                <w:rFonts w:ascii="宋体"/>
                <w:spacing w:val="-1"/>
                <w:sz w:val="21"/>
              </w:rPr>
              <w:t>178,949.46</w:t>
            </w:r>
            <w:r>
              <w:rPr>
                <w:rFonts w:ascii="宋体"/>
                <w:sz w:val="21"/>
              </w:rPr>
            </w:r>
          </w:p>
        </w:tc>
        <w:tc>
          <w:tcPr>
            <w:tcW w:w="17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21"/>
                <w:szCs w:val="21"/>
              </w:rPr>
            </w:pPr>
            <w:r>
              <w:rPr>
                <w:rFonts w:ascii="宋体"/>
                <w:spacing w:val="-1"/>
                <w:sz w:val="21"/>
              </w:rPr>
              <w:t>-99.79%</w:t>
            </w:r>
            <w:r>
              <w:rPr>
                <w:rFonts w:ascii="宋体"/>
                <w:sz w:val="21"/>
              </w:rPr>
            </w:r>
          </w:p>
        </w:tc>
      </w:tr>
      <w:tr>
        <w:trPr>
          <w:trHeight w:val="371" w:hRule="exact"/>
        </w:trPr>
        <w:tc>
          <w:tcPr>
            <w:tcW w:w="3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523" w:right="0"/>
              <w:jc w:val="left"/>
              <w:rPr>
                <w:rFonts w:ascii="宋体" w:hAnsi="宋体" w:cs="宋体" w:eastAsia="宋体" w:hint="default"/>
                <w:sz w:val="21"/>
                <w:szCs w:val="21"/>
              </w:rPr>
            </w:pPr>
            <w:r>
              <w:rPr>
                <w:rFonts w:ascii="宋体" w:hAnsi="宋体" w:cs="宋体" w:eastAsia="宋体" w:hint="default"/>
                <w:sz w:val="21"/>
                <w:szCs w:val="21"/>
              </w:rPr>
              <w:t>筹资活动现金流出小计</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21"/>
                <w:szCs w:val="21"/>
              </w:rPr>
            </w:pPr>
            <w:r>
              <w:rPr>
                <w:rFonts w:ascii="宋体"/>
                <w:sz w:val="21"/>
              </w:rPr>
              <w:t>4,019.63</w:t>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21"/>
                <w:szCs w:val="21"/>
              </w:rPr>
            </w:pPr>
            <w:r>
              <w:rPr>
                <w:rFonts w:ascii="宋体"/>
                <w:sz w:val="21"/>
              </w:rPr>
              <w:t>3,821.76</w:t>
            </w:r>
          </w:p>
        </w:tc>
        <w:tc>
          <w:tcPr>
            <w:tcW w:w="17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21"/>
                <w:szCs w:val="21"/>
              </w:rPr>
            </w:pPr>
            <w:r>
              <w:rPr>
                <w:rFonts w:ascii="宋体"/>
                <w:sz w:val="21"/>
              </w:rPr>
              <w:t>5.18%</w:t>
            </w:r>
          </w:p>
        </w:tc>
      </w:tr>
      <w:tr>
        <w:trPr>
          <w:trHeight w:val="372" w:hRule="exact"/>
        </w:trPr>
        <w:tc>
          <w:tcPr>
            <w:tcW w:w="3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21"/>
                <w:szCs w:val="21"/>
              </w:rPr>
            </w:pPr>
            <w:r>
              <w:rPr>
                <w:rFonts w:ascii="宋体" w:hAnsi="宋体" w:cs="宋体" w:eastAsia="宋体" w:hint="default"/>
                <w:b/>
                <w:bCs/>
                <w:sz w:val="21"/>
                <w:szCs w:val="21"/>
              </w:rPr>
              <w:t>四、现金及现金等价物净增加额</w:t>
            </w:r>
            <w:r>
              <w:rPr>
                <w:rFonts w:ascii="宋体" w:hAnsi="宋体" w:cs="宋体" w:eastAsia="宋体" w:hint="default"/>
                <w:sz w:val="21"/>
                <w:szCs w:val="21"/>
              </w:rPr>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0"/>
              <w:jc w:val="right"/>
              <w:rPr>
                <w:rFonts w:ascii="宋体" w:hAnsi="宋体" w:cs="宋体" w:eastAsia="宋体" w:hint="default"/>
                <w:sz w:val="21"/>
                <w:szCs w:val="21"/>
              </w:rPr>
            </w:pPr>
            <w:r>
              <w:rPr>
                <w:rFonts w:ascii="宋体"/>
                <w:b/>
                <w:w w:val="95"/>
                <w:sz w:val="21"/>
              </w:rPr>
              <w:t>-40,161.13</w:t>
            </w:r>
            <w:r>
              <w:rPr>
                <w:rFonts w:ascii="宋体"/>
                <w:sz w:val="21"/>
              </w:rPr>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21"/>
                <w:szCs w:val="21"/>
              </w:rPr>
            </w:pPr>
            <w:r>
              <w:rPr>
                <w:rFonts w:ascii="宋体"/>
                <w:b/>
                <w:w w:val="95"/>
                <w:sz w:val="21"/>
              </w:rPr>
              <w:t>188,605.74</w:t>
            </w:r>
            <w:r>
              <w:rPr>
                <w:rFonts w:ascii="宋体"/>
                <w:sz w:val="21"/>
              </w:rPr>
            </w:r>
          </w:p>
        </w:tc>
        <w:tc>
          <w:tcPr>
            <w:tcW w:w="17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21"/>
                <w:szCs w:val="21"/>
              </w:rPr>
            </w:pPr>
            <w:r>
              <w:rPr>
                <w:rFonts w:ascii="宋体"/>
                <w:b/>
                <w:w w:val="95"/>
                <w:sz w:val="21"/>
              </w:rPr>
              <w:t>-121.29%</w:t>
            </w:r>
            <w:r>
              <w:rPr>
                <w:rFonts w:ascii="宋体"/>
                <w:sz w:val="21"/>
              </w:rPr>
            </w:r>
          </w:p>
        </w:tc>
      </w:tr>
    </w:tbl>
    <w:p>
      <w:pPr>
        <w:spacing w:line="240" w:lineRule="auto" w:before="1"/>
        <w:rPr>
          <w:rFonts w:ascii="宋体" w:hAnsi="宋体" w:cs="宋体" w:eastAsia="宋体" w:hint="default"/>
          <w:sz w:val="14"/>
          <w:szCs w:val="14"/>
        </w:rPr>
      </w:pPr>
    </w:p>
    <w:p>
      <w:pPr>
        <w:pStyle w:val="BodyText"/>
        <w:spacing w:line="408" w:lineRule="auto" w:before="35"/>
        <w:ind w:left="399" w:right="396" w:firstLine="420"/>
        <w:jc w:val="both"/>
      </w:pPr>
      <w:r>
        <w:rPr/>
        <w:t>报告期内公司投资活动产生的现金流量净额为负、投资活动现金流出增长625.76%，主 </w:t>
      </w:r>
      <w:r>
        <w:rPr>
          <w:spacing w:val="-3"/>
        </w:rPr>
        <w:t>要系报告期内公司支付研发及办公用房价款，以及开展收购大连华信、友联创新、互联时代</w:t>
      </w:r>
      <w:r>
        <w:rPr>
          <w:spacing w:val="-81"/>
        </w:rPr>
        <w:t> </w:t>
      </w:r>
      <w:r>
        <w:rPr>
          <w:spacing w:val="-81"/>
        </w:rPr>
      </w:r>
      <w:r>
        <w:rPr/>
        <w:t>等对外投资活动所致。</w:t>
      </w:r>
    </w:p>
    <w:p>
      <w:pPr>
        <w:spacing w:line="240" w:lineRule="auto" w:before="6"/>
        <w:rPr>
          <w:rFonts w:ascii="宋体" w:hAnsi="宋体" w:cs="宋体" w:eastAsia="宋体" w:hint="default"/>
          <w:sz w:val="15"/>
          <w:szCs w:val="15"/>
        </w:rPr>
      </w:pPr>
    </w:p>
    <w:p>
      <w:pPr>
        <w:pStyle w:val="BodyText"/>
        <w:spacing w:line="408" w:lineRule="auto"/>
        <w:ind w:left="399" w:right="390" w:firstLine="420"/>
        <w:jc w:val="left"/>
      </w:pPr>
      <w:r>
        <w:rPr>
          <w:spacing w:val="-3"/>
        </w:rPr>
        <w:t>报告期内公司筹资活动产生的现金流量净额和筹资活动现金流入量大幅减少，主要原因</w:t>
      </w:r>
      <w:r>
        <w:rPr/>
        <w:t> 是2009年公司公开发行A股募集资金，2010年未有重大融资活动。</w:t>
      </w:r>
    </w:p>
    <w:p>
      <w:pPr>
        <w:spacing w:line="240" w:lineRule="auto" w:before="6"/>
        <w:rPr>
          <w:rFonts w:ascii="宋体" w:hAnsi="宋体" w:cs="宋体" w:eastAsia="宋体" w:hint="default"/>
          <w:sz w:val="15"/>
          <w:szCs w:val="15"/>
        </w:rPr>
      </w:pPr>
    </w:p>
    <w:p>
      <w:pPr>
        <w:pStyle w:val="Heading2"/>
        <w:spacing w:line="240" w:lineRule="auto"/>
        <w:ind w:left="715" w:right="390"/>
        <w:jc w:val="left"/>
        <w:rPr>
          <w:b w:val="0"/>
          <w:bCs w:val="0"/>
        </w:rPr>
      </w:pPr>
      <w:r>
        <w:rPr/>
        <w:t>（四）主要无形资产情况</w:t>
      </w:r>
      <w:r>
        <w:rPr>
          <w:b w:val="0"/>
          <w:bCs w:val="0"/>
        </w:rPr>
      </w:r>
    </w:p>
    <w:p>
      <w:pPr>
        <w:spacing w:line="240" w:lineRule="auto" w:before="9"/>
        <w:rPr>
          <w:rFonts w:ascii="宋体" w:hAnsi="宋体" w:cs="宋体" w:eastAsia="宋体" w:hint="default"/>
          <w:b/>
          <w:bCs/>
          <w:sz w:val="26"/>
          <w:szCs w:val="26"/>
        </w:rPr>
      </w:pPr>
    </w:p>
    <w:p>
      <w:pPr>
        <w:pStyle w:val="BodyText"/>
        <w:spacing w:line="408" w:lineRule="auto"/>
        <w:ind w:left="399" w:right="390" w:firstLine="420"/>
        <w:jc w:val="left"/>
      </w:pPr>
      <w:r>
        <w:rPr/>
        <w:t>报告期内，公司账面无形资产未发生重大变化，账面余额为66,499.99元，目前拥有的 商标、专利、非专利技术均未作为无形资产入账。</w:t>
      </w:r>
    </w:p>
    <w:p>
      <w:pPr>
        <w:spacing w:line="240" w:lineRule="auto" w:before="6"/>
        <w:rPr>
          <w:rFonts w:ascii="宋体" w:hAnsi="宋体" w:cs="宋体" w:eastAsia="宋体" w:hint="default"/>
          <w:sz w:val="15"/>
          <w:szCs w:val="15"/>
        </w:rPr>
      </w:pPr>
    </w:p>
    <w:p>
      <w:pPr>
        <w:pStyle w:val="Heading2"/>
        <w:spacing w:line="240" w:lineRule="auto"/>
        <w:ind w:left="822" w:right="390"/>
        <w:jc w:val="left"/>
        <w:rPr>
          <w:b w:val="0"/>
          <w:bCs w:val="0"/>
        </w:rPr>
      </w:pPr>
      <w:r>
        <w:rPr/>
        <w:t>1、计算机著作权</w:t>
      </w:r>
      <w:r>
        <w:rPr>
          <w:b w:val="0"/>
          <w:bCs w:val="0"/>
        </w:rPr>
      </w:r>
    </w:p>
    <w:p>
      <w:pPr>
        <w:spacing w:line="240" w:lineRule="auto" w:before="9"/>
        <w:rPr>
          <w:rFonts w:ascii="宋体" w:hAnsi="宋体" w:cs="宋体" w:eastAsia="宋体" w:hint="default"/>
          <w:b/>
          <w:bCs/>
          <w:sz w:val="26"/>
          <w:szCs w:val="26"/>
        </w:rPr>
      </w:pPr>
    </w:p>
    <w:p>
      <w:pPr>
        <w:pStyle w:val="BodyText"/>
        <w:spacing w:line="408" w:lineRule="auto"/>
        <w:ind w:left="399" w:right="302" w:firstLine="420"/>
        <w:jc w:val="left"/>
      </w:pPr>
      <w:r>
        <w:rPr>
          <w:spacing w:val="-3"/>
        </w:rPr>
        <w:t>报告期内，公司新取得75项软件著作权。截至报告期末，公司及其控股子公司合计拥有</w:t>
      </w:r>
      <w:r>
        <w:rPr/>
        <w:t> </w:t>
      </w:r>
      <w:r>
        <w:rPr>
          <w:rFonts w:ascii="宋体" w:hAnsi="宋体" w:cs="宋体" w:eastAsia="宋体" w:hint="default"/>
          <w:b/>
          <w:bCs/>
        </w:rPr>
        <w:t>160项</w:t>
      </w:r>
      <w:r>
        <w:rPr/>
        <w:t>计算机软件著作权。其中，Ultra-NMS</w:t>
      </w:r>
      <w:r>
        <w:rPr>
          <w:spacing w:val="-55"/>
        </w:rPr>
        <w:t> </w:t>
      </w:r>
      <w:r>
        <w:rPr/>
        <w:t>V3.0、Ultra-ITSM</w:t>
      </w:r>
      <w:r>
        <w:rPr>
          <w:spacing w:val="-54"/>
        </w:rPr>
        <w:t> </w:t>
      </w:r>
      <w:r>
        <w:rPr/>
        <w:t>V1.0、Ultra-CMDBV1.1获得</w:t>
      </w:r>
      <w:r>
        <w:rPr/>
        <w:t> </w:t>
      </w:r>
      <w:r>
        <w:rPr>
          <w:spacing w:val="-7"/>
        </w:rPr>
        <w:t>了国家科技部、商务部等联合颁发的“国家重点新产品证书”；Ultra-NMS</w:t>
      </w:r>
      <w:r>
        <w:rPr>
          <w:spacing w:val="-42"/>
        </w:rPr>
        <w:t> </w:t>
      </w:r>
      <w:r>
        <w:rPr>
          <w:spacing w:val="-4"/>
        </w:rPr>
        <w:t>V3.0、Ultra-SOMC</w:t>
      </w:r>
      <w:r>
        <w:rPr>
          <w:spacing w:val="-82"/>
        </w:rPr>
        <w:t> </w:t>
      </w:r>
      <w:r>
        <w:rPr>
          <w:spacing w:val="-82"/>
        </w:rPr>
      </w:r>
      <w:r>
        <w:rPr>
          <w:spacing w:val="-2"/>
        </w:rPr>
        <w:t>和Ultra-SCM分别获得了《软件世界》杂志评选的2006-2008年度“金软件奖”；Ultra-SOMC</w:t>
      </w:r>
      <w:r>
        <w:rPr>
          <w:spacing w:val="-100"/>
        </w:rPr>
        <w:t> </w:t>
      </w:r>
      <w:r>
        <w:rPr>
          <w:spacing w:val="-100"/>
        </w:rPr>
      </w:r>
      <w:r>
        <w:rPr/>
        <w:t>V2.0获得了中国人民解放军信息安全测评认证中心颁发的“军用信息安全产品认证证书”；</w:t>
      </w:r>
      <w:r>
        <w:rPr/>
        <w:t> Ultra-NMS V3.0、Ultra-EOMS</w:t>
      </w:r>
      <w:r>
        <w:rPr>
          <w:spacing w:val="-1"/>
        </w:rPr>
        <w:t> </w:t>
      </w:r>
      <w:r>
        <w:rPr/>
        <w:t>V3.0等12项软件产品入选2009年北京市第二批自主创新产品</w:t>
      </w:r>
      <w:r>
        <w:rPr/>
        <w:t> 目录。此外，电信企业电子运行维护管理软件-EOMS项目和网络安全综合监控管理系统-SMC 项目先后被国家科技部列入了“国家火炬计划项目”。</w:t>
      </w:r>
    </w:p>
    <w:p>
      <w:pPr>
        <w:spacing w:line="240" w:lineRule="auto" w:before="6"/>
        <w:rPr>
          <w:rFonts w:ascii="宋体" w:hAnsi="宋体" w:cs="宋体" w:eastAsia="宋体" w:hint="default"/>
          <w:sz w:val="15"/>
          <w:szCs w:val="15"/>
        </w:rPr>
      </w:pPr>
    </w:p>
    <w:p>
      <w:pPr>
        <w:pStyle w:val="BodyText"/>
        <w:spacing w:line="516" w:lineRule="auto"/>
        <w:ind w:left="819" w:right="390" w:firstLine="2"/>
        <w:jc w:val="left"/>
      </w:pPr>
      <w:r>
        <w:rPr>
          <w:rFonts w:ascii="Arial" w:hAnsi="Arial" w:cs="Arial" w:eastAsia="Arial" w:hint="default"/>
          <w:b/>
          <w:bCs/>
        </w:rPr>
        <w:t>2</w:t>
      </w:r>
      <w:r>
        <w:rPr>
          <w:rFonts w:ascii="宋体" w:hAnsi="宋体" w:cs="宋体" w:eastAsia="宋体" w:hint="default"/>
          <w:b/>
          <w:bCs/>
        </w:rPr>
        <w:t>、专利</w:t>
      </w:r>
      <w:r>
        <w:rPr>
          <w:rFonts w:ascii="宋体" w:hAnsi="宋体" w:cs="宋体" w:eastAsia="宋体" w:hint="default"/>
          <w:b/>
          <w:bCs/>
          <w:spacing w:val="1"/>
          <w:w w:val="99"/>
        </w:rPr>
        <w:t> </w:t>
      </w:r>
      <w:r>
        <w:rPr/>
        <w:t>截至报告期末，公司拥有1项专利——漏话服务装置（专利号：ZL200620137180.9，实</w:t>
      </w:r>
    </w:p>
    <w:p>
      <w:pPr>
        <w:spacing w:after="0" w:line="516" w:lineRule="auto"/>
        <w:jc w:val="left"/>
        <w:sectPr>
          <w:pgSz w:w="11910" w:h="16840"/>
          <w:pgMar w:header="851" w:footer="982" w:top="1360" w:bottom="1180" w:left="1400" w:right="1400"/>
        </w:sectPr>
      </w:pPr>
    </w:p>
    <w:p>
      <w:pPr>
        <w:spacing w:line="240" w:lineRule="auto" w:before="2"/>
        <w:rPr>
          <w:rFonts w:ascii="宋体" w:hAnsi="宋体" w:cs="宋体" w:eastAsia="宋体" w:hint="default"/>
          <w:sz w:val="8"/>
          <w:szCs w:val="8"/>
        </w:rPr>
      </w:pPr>
    </w:p>
    <w:p>
      <w:pPr>
        <w:pStyle w:val="BodyText"/>
        <w:spacing w:line="408" w:lineRule="auto" w:before="35"/>
        <w:ind w:left="640" w:right="0"/>
        <w:jc w:val="left"/>
      </w:pPr>
      <w:r>
        <w:rPr>
          <w:spacing w:val="-3"/>
        </w:rPr>
        <w:t>用新型）。公司上市以来十分重视专利的申请与保护，目前正在申请及获得受理的专利共计</w:t>
      </w:r>
      <w:r>
        <w:rPr>
          <w:spacing w:val="-81"/>
        </w:rPr>
        <w:t> </w:t>
      </w:r>
      <w:r>
        <w:rPr>
          <w:spacing w:val="-81"/>
        </w:rPr>
      </w:r>
      <w:r>
        <w:rPr>
          <w:rFonts w:ascii="宋体" w:hAnsi="宋体" w:cs="宋体" w:eastAsia="宋体" w:hint="default"/>
          <w:b/>
          <w:bCs/>
        </w:rPr>
        <w:t>100项</w:t>
      </w:r>
      <w:r>
        <w:rPr/>
        <w:t>，均为发明专利。</w:t>
      </w:r>
    </w:p>
    <w:p>
      <w:pPr>
        <w:spacing w:line="240" w:lineRule="auto" w:before="6"/>
        <w:rPr>
          <w:rFonts w:ascii="宋体" w:hAnsi="宋体" w:cs="宋体" w:eastAsia="宋体" w:hint="default"/>
          <w:sz w:val="15"/>
          <w:szCs w:val="15"/>
        </w:rPr>
      </w:pPr>
    </w:p>
    <w:p>
      <w:pPr>
        <w:spacing w:line="436" w:lineRule="auto" w:before="0"/>
        <w:ind w:left="1059" w:right="4535" w:firstLine="2"/>
        <w:jc w:val="left"/>
        <w:rPr>
          <w:rFonts w:ascii="宋体" w:hAnsi="宋体" w:cs="宋体" w:eastAsia="宋体" w:hint="default"/>
          <w:sz w:val="21"/>
          <w:szCs w:val="21"/>
        </w:rPr>
      </w:pPr>
      <w:r>
        <w:rPr>
          <w:rFonts w:ascii="Arial" w:hAnsi="Arial" w:cs="Arial" w:eastAsia="Arial" w:hint="default"/>
          <w:b/>
          <w:bCs/>
          <w:sz w:val="21"/>
          <w:szCs w:val="21"/>
        </w:rPr>
        <w:t>3</w:t>
      </w:r>
      <w:r>
        <w:rPr>
          <w:rFonts w:ascii="宋体" w:hAnsi="宋体" w:cs="宋体" w:eastAsia="宋体" w:hint="default"/>
          <w:b/>
          <w:bCs/>
          <w:sz w:val="21"/>
          <w:szCs w:val="21"/>
        </w:rPr>
        <w:t>、商标</w:t>
      </w:r>
      <w:r>
        <w:rPr>
          <w:rFonts w:ascii="宋体" w:hAnsi="宋体" w:cs="宋体" w:eastAsia="宋体" w:hint="default"/>
          <w:b/>
          <w:bCs/>
          <w:spacing w:val="1"/>
          <w:w w:val="99"/>
          <w:sz w:val="21"/>
          <w:szCs w:val="21"/>
        </w:rPr>
        <w:t> </w:t>
      </w:r>
      <w:r>
        <w:rPr>
          <w:rFonts w:ascii="宋体" w:hAnsi="宋体" w:cs="宋体" w:eastAsia="宋体" w:hint="default"/>
          <w:sz w:val="21"/>
          <w:szCs w:val="21"/>
        </w:rPr>
        <w:t>截至报告期末，公司拥有的商标情况如下：</w:t>
      </w:r>
    </w:p>
    <w:p>
      <w:pPr>
        <w:spacing w:line="240" w:lineRule="auto" w:before="11"/>
        <w:rPr>
          <w:rFonts w:ascii="宋体" w:hAnsi="宋体" w:cs="宋体" w:eastAsia="宋体" w:hint="default"/>
          <w:sz w:val="11"/>
          <w:szCs w:val="11"/>
        </w:rPr>
      </w:pPr>
    </w:p>
    <w:tbl>
      <w:tblPr>
        <w:tblW w:w="0" w:type="auto"/>
        <w:jc w:val="left"/>
        <w:tblInd w:w="113" w:type="dxa"/>
        <w:tblLayout w:type="fixed"/>
        <w:tblCellMar>
          <w:top w:w="0" w:type="dxa"/>
          <w:left w:w="0" w:type="dxa"/>
          <w:bottom w:w="0" w:type="dxa"/>
          <w:right w:w="0" w:type="dxa"/>
        </w:tblCellMar>
        <w:tblLook w:val="01E0"/>
      </w:tblPr>
      <w:tblGrid>
        <w:gridCol w:w="3089"/>
        <w:gridCol w:w="1535"/>
        <w:gridCol w:w="1595"/>
        <w:gridCol w:w="1895"/>
        <w:gridCol w:w="1215"/>
      </w:tblGrid>
      <w:tr>
        <w:trPr>
          <w:trHeight w:val="340" w:hRule="exact"/>
        </w:trPr>
        <w:tc>
          <w:tcPr>
            <w:tcW w:w="3089" w:type="dxa"/>
            <w:tcBorders>
              <w:top w:val="single" w:sz="12" w:space="0" w:color="000000"/>
              <w:left w:val="single" w:sz="12" w:space="0" w:color="000000"/>
              <w:bottom w:val="single" w:sz="4" w:space="0" w:color="000000"/>
              <w:right w:val="single" w:sz="4" w:space="0" w:color="000000"/>
            </w:tcBorders>
            <w:shd w:val="clear" w:color="auto" w:fill="D9D9D9"/>
          </w:tcPr>
          <w:p>
            <w:pPr>
              <w:pStyle w:val="TableParagraph"/>
              <w:spacing w:line="264" w:lineRule="exact"/>
              <w:ind w:right="7"/>
              <w:jc w:val="center"/>
              <w:rPr>
                <w:rFonts w:ascii="宋体" w:hAnsi="宋体" w:cs="宋体" w:eastAsia="宋体" w:hint="default"/>
                <w:sz w:val="21"/>
                <w:szCs w:val="21"/>
              </w:rPr>
            </w:pPr>
            <w:r>
              <w:rPr>
                <w:rFonts w:ascii="宋体" w:hAnsi="宋体" w:cs="宋体" w:eastAsia="宋体" w:hint="default"/>
                <w:b/>
                <w:bCs/>
                <w:sz w:val="21"/>
                <w:szCs w:val="21"/>
              </w:rPr>
              <w:t>商标式样</w:t>
            </w:r>
            <w:r>
              <w:rPr>
                <w:rFonts w:ascii="宋体" w:hAnsi="宋体" w:cs="宋体" w:eastAsia="宋体" w:hint="default"/>
                <w:sz w:val="21"/>
                <w:szCs w:val="21"/>
              </w:rPr>
            </w:r>
          </w:p>
        </w:tc>
        <w:tc>
          <w:tcPr>
            <w:tcW w:w="1535" w:type="dxa"/>
            <w:tcBorders>
              <w:top w:val="single" w:sz="12"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right="0"/>
              <w:jc w:val="center"/>
              <w:rPr>
                <w:rFonts w:ascii="宋体" w:hAnsi="宋体" w:cs="宋体" w:eastAsia="宋体" w:hint="default"/>
                <w:sz w:val="21"/>
                <w:szCs w:val="21"/>
              </w:rPr>
            </w:pPr>
            <w:r>
              <w:rPr>
                <w:rFonts w:ascii="宋体" w:hAnsi="宋体" w:cs="宋体" w:eastAsia="宋体" w:hint="default"/>
                <w:b/>
                <w:bCs/>
                <w:sz w:val="21"/>
                <w:szCs w:val="21"/>
              </w:rPr>
              <w:t>核定服务项目</w:t>
            </w:r>
            <w:r>
              <w:rPr>
                <w:rFonts w:ascii="宋体" w:hAnsi="宋体" w:cs="宋体" w:eastAsia="宋体" w:hint="default"/>
                <w:sz w:val="21"/>
                <w:szCs w:val="21"/>
              </w:rPr>
            </w:r>
          </w:p>
        </w:tc>
        <w:tc>
          <w:tcPr>
            <w:tcW w:w="1595" w:type="dxa"/>
            <w:tcBorders>
              <w:top w:val="single" w:sz="12"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b/>
                <w:bCs/>
                <w:sz w:val="21"/>
                <w:szCs w:val="21"/>
              </w:rPr>
              <w:t>商标注册号</w:t>
            </w:r>
            <w:r>
              <w:rPr>
                <w:rFonts w:ascii="宋体" w:hAnsi="宋体" w:cs="宋体" w:eastAsia="宋体" w:hint="default"/>
                <w:sz w:val="21"/>
                <w:szCs w:val="21"/>
              </w:rPr>
            </w:r>
          </w:p>
        </w:tc>
        <w:tc>
          <w:tcPr>
            <w:tcW w:w="1895" w:type="dxa"/>
            <w:tcBorders>
              <w:top w:val="single" w:sz="12"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left="519" w:right="0"/>
              <w:jc w:val="left"/>
              <w:rPr>
                <w:rFonts w:ascii="宋体" w:hAnsi="宋体" w:cs="宋体" w:eastAsia="宋体" w:hint="default"/>
                <w:sz w:val="21"/>
                <w:szCs w:val="21"/>
              </w:rPr>
            </w:pPr>
            <w:r>
              <w:rPr>
                <w:rFonts w:ascii="宋体" w:hAnsi="宋体" w:cs="宋体" w:eastAsia="宋体" w:hint="default"/>
                <w:b/>
                <w:bCs/>
                <w:sz w:val="21"/>
                <w:szCs w:val="21"/>
              </w:rPr>
              <w:t>有效期限</w:t>
            </w:r>
            <w:r>
              <w:rPr>
                <w:rFonts w:ascii="宋体" w:hAnsi="宋体" w:cs="宋体" w:eastAsia="宋体" w:hint="default"/>
                <w:sz w:val="21"/>
                <w:szCs w:val="21"/>
              </w:rPr>
            </w:r>
          </w:p>
        </w:tc>
        <w:tc>
          <w:tcPr>
            <w:tcW w:w="1215" w:type="dxa"/>
            <w:tcBorders>
              <w:top w:val="single" w:sz="12" w:space="0" w:color="000000"/>
              <w:left w:val="single" w:sz="4" w:space="0" w:color="000000"/>
              <w:bottom w:val="single" w:sz="4" w:space="0" w:color="000000"/>
              <w:right w:val="single" w:sz="12" w:space="0" w:color="000000"/>
            </w:tcBorders>
            <w:shd w:val="clear" w:color="auto" w:fill="D9D9D9"/>
          </w:tcPr>
          <w:p>
            <w:pPr>
              <w:pStyle w:val="TableParagraph"/>
              <w:spacing w:line="264" w:lineRule="exact"/>
              <w:ind w:left="179" w:right="0"/>
              <w:jc w:val="left"/>
              <w:rPr>
                <w:rFonts w:ascii="宋体" w:hAnsi="宋体" w:cs="宋体" w:eastAsia="宋体" w:hint="default"/>
                <w:sz w:val="21"/>
                <w:szCs w:val="21"/>
              </w:rPr>
            </w:pPr>
            <w:r>
              <w:rPr>
                <w:rFonts w:ascii="宋体" w:hAnsi="宋体" w:cs="宋体" w:eastAsia="宋体" w:hint="default"/>
                <w:b/>
                <w:bCs/>
                <w:sz w:val="21"/>
                <w:szCs w:val="21"/>
              </w:rPr>
              <w:t>取得方式</w:t>
            </w:r>
            <w:r>
              <w:rPr>
                <w:rFonts w:ascii="宋体" w:hAnsi="宋体" w:cs="宋体" w:eastAsia="宋体" w:hint="default"/>
                <w:sz w:val="21"/>
                <w:szCs w:val="21"/>
              </w:rPr>
            </w:r>
          </w:p>
        </w:tc>
      </w:tr>
      <w:tr>
        <w:trPr>
          <w:trHeight w:val="1037" w:hRule="exact"/>
        </w:trPr>
        <w:tc>
          <w:tcPr>
            <w:tcW w:w="308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6"/>
                <w:szCs w:val="6"/>
              </w:rPr>
            </w:pPr>
          </w:p>
          <w:p>
            <w:pPr>
              <w:pStyle w:val="TableParagraph"/>
              <w:spacing w:line="867" w:lineRule="exact"/>
              <w:ind w:left="690" w:right="0"/>
              <w:jc w:val="left"/>
              <w:rPr>
                <w:rFonts w:ascii="宋体" w:hAnsi="宋体" w:cs="宋体" w:eastAsia="宋体" w:hint="default"/>
                <w:sz w:val="20"/>
                <w:szCs w:val="20"/>
              </w:rPr>
            </w:pPr>
            <w:r>
              <w:rPr>
                <w:rFonts w:ascii="宋体" w:hAnsi="宋体" w:cs="宋体" w:eastAsia="宋体" w:hint="default"/>
                <w:position w:val="-16"/>
                <w:sz w:val="20"/>
                <w:szCs w:val="20"/>
              </w:rPr>
              <w:drawing>
                <wp:inline distT="0" distB="0" distL="0" distR="0">
                  <wp:extent cx="1060356" cy="551021"/>
                  <wp:effectExtent l="0" t="0" r="0" b="0"/>
                  <wp:docPr id="1" name="image2.png" descr=""/>
                  <wp:cNvGraphicFramePr>
                    <a:graphicFrameLocks noChangeAspect="1"/>
                  </wp:cNvGraphicFramePr>
                  <a:graphic>
                    <a:graphicData uri="http://schemas.openxmlformats.org/drawingml/2006/picture">
                      <pic:pic>
                        <pic:nvPicPr>
                          <pic:cNvPr id="2" name="image2.png"/>
                          <pic:cNvPicPr/>
                        </pic:nvPicPr>
                        <pic:blipFill>
                          <a:blip r:embed="rId11" cstate="print"/>
                          <a:stretch>
                            <a:fillRect/>
                          </a:stretch>
                        </pic:blipFill>
                        <pic:spPr>
                          <a:xfrm>
                            <a:off x="0" y="0"/>
                            <a:ext cx="1060356" cy="551021"/>
                          </a:xfrm>
                          <a:prstGeom prst="rect">
                            <a:avLst/>
                          </a:prstGeom>
                        </pic:spPr>
                      </pic:pic>
                    </a:graphicData>
                  </a:graphic>
                </wp:inline>
              </w:drawing>
            </w:r>
            <w:r>
              <w:rPr>
                <w:rFonts w:ascii="宋体" w:hAnsi="宋体" w:cs="宋体" w:eastAsia="宋体" w:hint="default"/>
                <w:position w:val="-16"/>
                <w:sz w:val="20"/>
                <w:szCs w:val="20"/>
              </w:rPr>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4"/>
                <w:sz w:val="21"/>
                <w:szCs w:val="21"/>
              </w:rPr>
              <w:t> </w:t>
            </w:r>
            <w:r>
              <w:rPr>
                <w:rFonts w:ascii="宋体" w:hAnsi="宋体" w:cs="宋体" w:eastAsia="宋体" w:hint="default"/>
                <w:sz w:val="21"/>
                <w:szCs w:val="21"/>
              </w:rPr>
              <w:t>42</w:t>
            </w:r>
            <w:r>
              <w:rPr>
                <w:rFonts w:ascii="宋体" w:hAnsi="宋体" w:cs="宋体" w:eastAsia="宋体" w:hint="default"/>
                <w:spacing w:val="-53"/>
                <w:sz w:val="21"/>
                <w:szCs w:val="21"/>
              </w:rPr>
              <w:t> </w:t>
            </w:r>
            <w:r>
              <w:rPr>
                <w:rFonts w:ascii="宋体" w:hAnsi="宋体" w:cs="宋体" w:eastAsia="宋体" w:hint="default"/>
                <w:sz w:val="21"/>
                <w:szCs w:val="21"/>
              </w:rPr>
              <w:t>类</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5"/>
                <w:sz w:val="21"/>
                <w:szCs w:val="21"/>
              </w:rPr>
              <w:t> </w:t>
            </w:r>
            <w:r>
              <w:rPr>
                <w:rFonts w:ascii="宋体" w:hAnsi="宋体" w:cs="宋体" w:eastAsia="宋体" w:hint="default"/>
                <w:sz w:val="21"/>
                <w:szCs w:val="21"/>
              </w:rPr>
              <w:t>4263069</w:t>
            </w:r>
            <w:r>
              <w:rPr>
                <w:rFonts w:ascii="宋体" w:hAnsi="宋体" w:cs="宋体" w:eastAsia="宋体" w:hint="default"/>
                <w:spacing w:val="-55"/>
                <w:sz w:val="21"/>
                <w:szCs w:val="21"/>
              </w:rPr>
              <w:t> </w:t>
            </w:r>
            <w:r>
              <w:rPr>
                <w:rFonts w:ascii="宋体" w:hAnsi="宋体" w:cs="宋体" w:eastAsia="宋体" w:hint="default"/>
                <w:sz w:val="21"/>
                <w:szCs w:val="21"/>
              </w:rPr>
              <w:t>号</w:t>
            </w:r>
          </w:p>
        </w:tc>
        <w:tc>
          <w:tcPr>
            <w:tcW w:w="1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81"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7</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TableParagraph"/>
              <w:spacing w:line="240" w:lineRule="auto" w:before="37"/>
              <w:ind w:left="128"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21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182" w:right="0"/>
              <w:jc w:val="left"/>
              <w:rPr>
                <w:rFonts w:ascii="宋体" w:hAnsi="宋体" w:cs="宋体" w:eastAsia="宋体" w:hint="default"/>
                <w:sz w:val="21"/>
                <w:szCs w:val="21"/>
              </w:rPr>
            </w:pPr>
            <w:r>
              <w:rPr>
                <w:rFonts w:ascii="宋体" w:hAnsi="宋体" w:cs="宋体" w:eastAsia="宋体" w:hint="default"/>
                <w:sz w:val="21"/>
                <w:szCs w:val="21"/>
              </w:rPr>
              <w:t>原始取得</w:t>
            </w:r>
          </w:p>
        </w:tc>
      </w:tr>
      <w:tr>
        <w:trPr>
          <w:trHeight w:val="634" w:hRule="exact"/>
        </w:trPr>
        <w:tc>
          <w:tcPr>
            <w:tcW w:w="308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5"/>
                <w:szCs w:val="5"/>
              </w:rPr>
            </w:pPr>
          </w:p>
          <w:p>
            <w:pPr>
              <w:pStyle w:val="TableParagraph"/>
              <w:spacing w:line="480" w:lineRule="exact"/>
              <w:ind w:left="810" w:right="0"/>
              <w:jc w:val="left"/>
              <w:rPr>
                <w:rFonts w:ascii="宋体" w:hAnsi="宋体" w:cs="宋体" w:eastAsia="宋体" w:hint="default"/>
                <w:sz w:val="20"/>
                <w:szCs w:val="20"/>
              </w:rPr>
            </w:pPr>
            <w:r>
              <w:rPr>
                <w:rFonts w:ascii="宋体" w:hAnsi="宋体" w:cs="宋体" w:eastAsia="宋体" w:hint="default"/>
                <w:position w:val="-9"/>
                <w:sz w:val="20"/>
                <w:szCs w:val="20"/>
              </w:rPr>
              <w:drawing>
                <wp:inline distT="0" distB="0" distL="0" distR="0">
                  <wp:extent cx="914400" cy="304800"/>
                  <wp:effectExtent l="0" t="0" r="0" b="0"/>
                  <wp:docPr id="3" name="image3.png" descr="logo黑白1.jpg"/>
                  <wp:cNvGraphicFramePr>
                    <a:graphicFrameLocks noChangeAspect="1"/>
                  </wp:cNvGraphicFramePr>
                  <a:graphic>
                    <a:graphicData uri="http://schemas.openxmlformats.org/drawingml/2006/picture">
                      <pic:pic>
                        <pic:nvPicPr>
                          <pic:cNvPr id="4" name="image3.png"/>
                          <pic:cNvPicPr/>
                        </pic:nvPicPr>
                        <pic:blipFill>
                          <a:blip r:embed="rId12" cstate="print"/>
                          <a:stretch>
                            <a:fillRect/>
                          </a:stretch>
                        </pic:blipFill>
                        <pic:spPr>
                          <a:xfrm>
                            <a:off x="0" y="0"/>
                            <a:ext cx="914400" cy="304800"/>
                          </a:xfrm>
                          <a:prstGeom prst="rect">
                            <a:avLst/>
                          </a:prstGeom>
                        </pic:spPr>
                      </pic:pic>
                    </a:graphicData>
                  </a:graphic>
                </wp:inline>
              </w:drawing>
            </w:r>
            <w:r>
              <w:rPr>
                <w:rFonts w:ascii="宋体" w:hAnsi="宋体" w:cs="宋体" w:eastAsia="宋体" w:hint="default"/>
                <w:position w:val="-9"/>
                <w:sz w:val="20"/>
                <w:szCs w:val="20"/>
              </w:rPr>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2"/>
                <w:sz w:val="21"/>
                <w:szCs w:val="21"/>
              </w:rPr>
              <w:t> </w:t>
            </w:r>
            <w:r>
              <w:rPr>
                <w:rFonts w:ascii="宋体" w:hAnsi="宋体" w:cs="宋体" w:eastAsia="宋体" w:hint="default"/>
                <w:sz w:val="21"/>
                <w:szCs w:val="21"/>
              </w:rPr>
              <w:t>类</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5"/>
                <w:sz w:val="21"/>
                <w:szCs w:val="21"/>
              </w:rPr>
              <w:t> </w:t>
            </w:r>
            <w:r>
              <w:rPr>
                <w:rFonts w:ascii="宋体" w:hAnsi="宋体" w:cs="宋体" w:eastAsia="宋体" w:hint="default"/>
                <w:sz w:val="21"/>
                <w:szCs w:val="21"/>
              </w:rPr>
              <w:t>6171920</w:t>
            </w:r>
            <w:r>
              <w:rPr>
                <w:rFonts w:ascii="宋体" w:hAnsi="宋体" w:cs="宋体" w:eastAsia="宋体" w:hint="default"/>
                <w:spacing w:val="-55"/>
                <w:sz w:val="21"/>
                <w:szCs w:val="21"/>
              </w:rPr>
              <w:t> </w:t>
            </w:r>
            <w:r>
              <w:rPr>
                <w:rFonts w:ascii="宋体" w:hAnsi="宋体" w:cs="宋体" w:eastAsia="宋体" w:hint="default"/>
                <w:sz w:val="21"/>
                <w:szCs w:val="21"/>
              </w:rPr>
              <w:t>号</w:t>
            </w:r>
          </w:p>
        </w:tc>
        <w:tc>
          <w:tcPr>
            <w:tcW w:w="189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28"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14</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-2020</w:t>
            </w:r>
            <w:r>
              <w:rPr>
                <w:rFonts w:ascii="宋体" w:hAnsi="宋体" w:cs="宋体" w:eastAsia="宋体" w:hint="default"/>
                <w:spacing w:val="-64"/>
                <w:sz w:val="21"/>
                <w:szCs w:val="21"/>
              </w:rPr>
              <w:t> </w:t>
            </w:r>
            <w:r>
              <w:rPr>
                <w:rFonts w:ascii="宋体" w:hAnsi="宋体" w:cs="宋体" w:eastAsia="宋体" w:hint="default"/>
                <w:sz w:val="21"/>
                <w:szCs w:val="21"/>
              </w:rPr>
              <w:t>年</w:t>
            </w:r>
            <w:r>
              <w:rPr>
                <w:rFonts w:ascii="宋体" w:hAnsi="宋体" w:cs="宋体" w:eastAsia="宋体" w:hint="default"/>
                <w:spacing w:val="-66"/>
                <w:sz w:val="21"/>
                <w:szCs w:val="21"/>
              </w:rPr>
              <w:t> </w:t>
            </w:r>
            <w:r>
              <w:rPr>
                <w:rFonts w:ascii="宋体" w:hAnsi="宋体" w:cs="宋体" w:eastAsia="宋体" w:hint="default"/>
                <w:sz w:val="21"/>
                <w:szCs w:val="21"/>
              </w:rPr>
              <w:t>9</w:t>
            </w:r>
            <w:r>
              <w:rPr>
                <w:rFonts w:ascii="宋体" w:hAnsi="宋体" w:cs="宋体" w:eastAsia="宋体" w:hint="default"/>
                <w:spacing w:val="-64"/>
                <w:sz w:val="21"/>
                <w:szCs w:val="21"/>
              </w:rPr>
              <w:t> </w:t>
            </w:r>
            <w:r>
              <w:rPr>
                <w:rFonts w:ascii="宋体" w:hAnsi="宋体" w:cs="宋体" w:eastAsia="宋体" w:hint="default"/>
                <w:sz w:val="21"/>
                <w:szCs w:val="21"/>
              </w:rPr>
              <w:t>月</w:t>
            </w:r>
            <w:r>
              <w:rPr>
                <w:rFonts w:ascii="宋体" w:hAnsi="宋体" w:cs="宋体" w:eastAsia="宋体" w:hint="default"/>
                <w:spacing w:val="-66"/>
                <w:sz w:val="21"/>
                <w:szCs w:val="21"/>
              </w:rPr>
              <w:t> </w:t>
            </w:r>
            <w:r>
              <w:rPr>
                <w:rFonts w:ascii="宋体" w:hAnsi="宋体" w:cs="宋体" w:eastAsia="宋体" w:hint="default"/>
                <w:sz w:val="21"/>
                <w:szCs w:val="21"/>
              </w:rPr>
              <w:t>13</w:t>
            </w:r>
            <w:r>
              <w:rPr>
                <w:rFonts w:ascii="宋体" w:hAnsi="宋体" w:cs="宋体" w:eastAsia="宋体" w:hint="default"/>
                <w:spacing w:val="-64"/>
                <w:sz w:val="21"/>
                <w:szCs w:val="21"/>
              </w:rPr>
              <w:t> </w:t>
            </w:r>
            <w:r>
              <w:rPr>
                <w:rFonts w:ascii="宋体" w:hAnsi="宋体" w:cs="宋体" w:eastAsia="宋体" w:hint="default"/>
                <w:sz w:val="21"/>
                <w:szCs w:val="21"/>
              </w:rPr>
              <w:t>日</w:t>
            </w:r>
          </w:p>
        </w:tc>
        <w:tc>
          <w:tcPr>
            <w:tcW w:w="121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41"/>
              <w:ind w:left="182" w:right="0"/>
              <w:jc w:val="left"/>
              <w:rPr>
                <w:rFonts w:ascii="宋体" w:hAnsi="宋体" w:cs="宋体" w:eastAsia="宋体" w:hint="default"/>
                <w:sz w:val="21"/>
                <w:szCs w:val="21"/>
              </w:rPr>
            </w:pPr>
            <w:r>
              <w:rPr>
                <w:rFonts w:ascii="宋体" w:hAnsi="宋体" w:cs="宋体" w:eastAsia="宋体" w:hint="default"/>
                <w:sz w:val="21"/>
                <w:szCs w:val="21"/>
              </w:rPr>
              <w:t>原始取得</w:t>
            </w:r>
          </w:p>
        </w:tc>
      </w:tr>
      <w:tr>
        <w:trPr>
          <w:trHeight w:val="694" w:hRule="exact"/>
        </w:trPr>
        <w:tc>
          <w:tcPr>
            <w:tcW w:w="308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1"/>
                <w:szCs w:val="11"/>
              </w:rPr>
            </w:pPr>
          </w:p>
          <w:p>
            <w:pPr>
              <w:pStyle w:val="TableParagraph"/>
              <w:spacing w:line="270" w:lineRule="exact"/>
              <w:ind w:left="726" w:right="0"/>
              <w:jc w:val="left"/>
              <w:rPr>
                <w:rFonts w:ascii="宋体" w:hAnsi="宋体" w:cs="宋体" w:eastAsia="宋体" w:hint="default"/>
                <w:sz w:val="20"/>
                <w:szCs w:val="20"/>
              </w:rPr>
            </w:pPr>
            <w:r>
              <w:rPr>
                <w:rFonts w:ascii="宋体" w:hAnsi="宋体" w:cs="宋体" w:eastAsia="宋体" w:hint="default"/>
                <w:position w:val="-4"/>
                <w:sz w:val="20"/>
                <w:szCs w:val="20"/>
              </w:rPr>
              <w:drawing>
                <wp:inline distT="0" distB="0" distL="0" distR="0">
                  <wp:extent cx="1026403" cy="171450"/>
                  <wp:effectExtent l="0" t="0" r="0" b="0"/>
                  <wp:docPr id="5" name="image4.png" descr=""/>
                  <wp:cNvGraphicFramePr>
                    <a:graphicFrameLocks noChangeAspect="1"/>
                  </wp:cNvGraphicFramePr>
                  <a:graphic>
                    <a:graphicData uri="http://schemas.openxmlformats.org/drawingml/2006/picture">
                      <pic:pic>
                        <pic:nvPicPr>
                          <pic:cNvPr id="6" name="image4.png"/>
                          <pic:cNvPicPr/>
                        </pic:nvPicPr>
                        <pic:blipFill>
                          <a:blip r:embed="rId13" cstate="print"/>
                          <a:stretch>
                            <a:fillRect/>
                          </a:stretch>
                        </pic:blipFill>
                        <pic:spPr>
                          <a:xfrm>
                            <a:off x="0" y="0"/>
                            <a:ext cx="1026403" cy="171450"/>
                          </a:xfrm>
                          <a:prstGeom prst="rect">
                            <a:avLst/>
                          </a:prstGeom>
                        </pic:spPr>
                      </pic:pic>
                    </a:graphicData>
                  </a:graphic>
                </wp:inline>
              </w:drawing>
            </w:r>
            <w:r>
              <w:rPr>
                <w:rFonts w:ascii="宋体" w:hAnsi="宋体" w:cs="宋体" w:eastAsia="宋体" w:hint="default"/>
                <w:position w:val="-4"/>
                <w:sz w:val="20"/>
                <w:szCs w:val="20"/>
              </w:rPr>
            </w:r>
          </w:p>
          <w:p>
            <w:pPr>
              <w:pStyle w:val="TableParagraph"/>
              <w:spacing w:line="240" w:lineRule="auto" w:before="5"/>
              <w:ind w:right="0"/>
              <w:jc w:val="left"/>
              <w:rPr>
                <w:rFonts w:ascii="宋体" w:hAnsi="宋体" w:cs="宋体" w:eastAsia="宋体" w:hint="default"/>
                <w:sz w:val="20"/>
                <w:szCs w:val="20"/>
              </w:rPr>
            </w:pP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第</w:t>
            </w:r>
            <w:r>
              <w:rPr>
                <w:rFonts w:ascii="宋体" w:hAnsi="宋体" w:cs="宋体" w:eastAsia="宋体" w:hint="default"/>
                <w:spacing w:val="-51"/>
                <w:sz w:val="20"/>
                <w:szCs w:val="20"/>
              </w:rPr>
              <w:t> </w:t>
            </w:r>
            <w:r>
              <w:rPr>
                <w:rFonts w:ascii="Times New Roman" w:hAnsi="Times New Roman" w:cs="Times New Roman" w:eastAsia="Times New Roman" w:hint="default"/>
                <w:sz w:val="20"/>
                <w:szCs w:val="20"/>
              </w:rPr>
              <w:t>9 </w:t>
            </w:r>
            <w:r>
              <w:rPr>
                <w:rFonts w:ascii="宋体" w:hAnsi="宋体" w:cs="宋体" w:eastAsia="宋体" w:hint="default"/>
                <w:sz w:val="20"/>
                <w:szCs w:val="20"/>
              </w:rPr>
              <w:t>类</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1"/>
              <w:ind w:right="1"/>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5"/>
                <w:sz w:val="21"/>
                <w:szCs w:val="21"/>
              </w:rPr>
              <w:t> </w:t>
            </w:r>
            <w:r>
              <w:rPr>
                <w:rFonts w:ascii="宋体" w:hAnsi="宋体" w:cs="宋体" w:eastAsia="宋体" w:hint="default"/>
                <w:sz w:val="21"/>
                <w:szCs w:val="21"/>
              </w:rPr>
              <w:t>6171919</w:t>
            </w:r>
            <w:r>
              <w:rPr>
                <w:rFonts w:ascii="宋体" w:hAnsi="宋体" w:cs="宋体" w:eastAsia="宋体" w:hint="default"/>
                <w:spacing w:val="-55"/>
                <w:sz w:val="21"/>
                <w:szCs w:val="21"/>
              </w:rPr>
              <w:t> </w:t>
            </w:r>
            <w:r>
              <w:rPr>
                <w:rFonts w:ascii="宋体" w:hAnsi="宋体" w:cs="宋体" w:eastAsia="宋体" w:hint="default"/>
                <w:sz w:val="21"/>
                <w:szCs w:val="21"/>
              </w:rPr>
              <w:t>号</w:t>
            </w:r>
          </w:p>
        </w:tc>
        <w:tc>
          <w:tcPr>
            <w:tcW w:w="1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64"/>
                <w:sz w:val="21"/>
                <w:szCs w:val="21"/>
              </w:rPr>
              <w:t> </w:t>
            </w:r>
            <w:r>
              <w:rPr>
                <w:rFonts w:ascii="宋体" w:hAnsi="宋体" w:cs="宋体" w:eastAsia="宋体" w:hint="default"/>
                <w:sz w:val="21"/>
                <w:szCs w:val="21"/>
              </w:rPr>
              <w:t>年</w:t>
            </w:r>
            <w:r>
              <w:rPr>
                <w:rFonts w:ascii="宋体" w:hAnsi="宋体" w:cs="宋体" w:eastAsia="宋体" w:hint="default"/>
                <w:spacing w:val="-66"/>
                <w:sz w:val="21"/>
                <w:szCs w:val="21"/>
              </w:rPr>
              <w:t> </w:t>
            </w:r>
            <w:r>
              <w:rPr>
                <w:rFonts w:ascii="宋体" w:hAnsi="宋体" w:cs="宋体" w:eastAsia="宋体" w:hint="default"/>
                <w:sz w:val="21"/>
                <w:szCs w:val="21"/>
              </w:rPr>
              <w:t>2</w:t>
            </w:r>
            <w:r>
              <w:rPr>
                <w:rFonts w:ascii="宋体" w:hAnsi="宋体" w:cs="宋体" w:eastAsia="宋体" w:hint="default"/>
                <w:spacing w:val="-64"/>
                <w:sz w:val="21"/>
                <w:szCs w:val="21"/>
              </w:rPr>
              <w:t> </w:t>
            </w:r>
            <w:r>
              <w:rPr>
                <w:rFonts w:ascii="宋体" w:hAnsi="宋体" w:cs="宋体" w:eastAsia="宋体" w:hint="default"/>
                <w:sz w:val="21"/>
                <w:szCs w:val="21"/>
              </w:rPr>
              <w:t>月</w:t>
            </w:r>
            <w:r>
              <w:rPr>
                <w:rFonts w:ascii="宋体" w:hAnsi="宋体" w:cs="宋体" w:eastAsia="宋体" w:hint="default"/>
                <w:spacing w:val="-66"/>
                <w:sz w:val="21"/>
                <w:szCs w:val="21"/>
              </w:rPr>
              <w:t> </w:t>
            </w:r>
            <w:r>
              <w:rPr>
                <w:rFonts w:ascii="宋体" w:hAnsi="宋体" w:cs="宋体" w:eastAsia="宋体" w:hint="default"/>
                <w:sz w:val="21"/>
                <w:szCs w:val="21"/>
              </w:rPr>
              <w:t>28</w:t>
            </w:r>
            <w:r>
              <w:rPr>
                <w:rFonts w:ascii="宋体" w:hAnsi="宋体" w:cs="宋体" w:eastAsia="宋体" w:hint="default"/>
                <w:spacing w:val="-64"/>
                <w:sz w:val="21"/>
                <w:szCs w:val="21"/>
              </w:rPr>
              <w:t> </w:t>
            </w:r>
            <w:r>
              <w:rPr>
                <w:rFonts w:ascii="宋体" w:hAnsi="宋体" w:cs="宋体" w:eastAsia="宋体" w:hint="default"/>
                <w:sz w:val="21"/>
                <w:szCs w:val="21"/>
              </w:rPr>
              <w:t>日-</w:t>
            </w:r>
          </w:p>
          <w:p>
            <w:pPr>
              <w:pStyle w:val="TableParagraph"/>
              <w:spacing w:line="240" w:lineRule="auto" w:before="37"/>
              <w:ind w:left="128" w:right="0"/>
              <w:jc w:val="left"/>
              <w:rPr>
                <w:rFonts w:ascii="宋体" w:hAnsi="宋体" w:cs="宋体" w:eastAsia="宋体" w:hint="default"/>
                <w:sz w:val="21"/>
                <w:szCs w:val="21"/>
              </w:rPr>
            </w:pPr>
            <w:r>
              <w:rPr>
                <w:rFonts w:ascii="宋体" w:hAnsi="宋体" w:cs="宋体" w:eastAsia="宋体" w:hint="default"/>
                <w:sz w:val="21"/>
                <w:szCs w:val="21"/>
              </w:rPr>
              <w:t>2020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27</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21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1"/>
              <w:ind w:left="182" w:right="0"/>
              <w:jc w:val="left"/>
              <w:rPr>
                <w:rFonts w:ascii="宋体" w:hAnsi="宋体" w:cs="宋体" w:eastAsia="宋体" w:hint="default"/>
                <w:sz w:val="21"/>
                <w:szCs w:val="21"/>
              </w:rPr>
            </w:pPr>
            <w:r>
              <w:rPr>
                <w:rFonts w:ascii="宋体" w:hAnsi="宋体" w:cs="宋体" w:eastAsia="宋体" w:hint="default"/>
                <w:sz w:val="21"/>
                <w:szCs w:val="21"/>
              </w:rPr>
              <w:t>原始取得</w:t>
            </w:r>
          </w:p>
        </w:tc>
      </w:tr>
      <w:tr>
        <w:trPr>
          <w:trHeight w:val="695" w:hRule="exact"/>
        </w:trPr>
        <w:tc>
          <w:tcPr>
            <w:tcW w:w="3089" w:type="dxa"/>
            <w:tcBorders>
              <w:top w:val="single" w:sz="4" w:space="0" w:color="000000"/>
              <w:left w:val="single" w:sz="12" w:space="0" w:color="000000"/>
              <w:bottom w:val="single" w:sz="4" w:space="0" w:color="000000"/>
              <w:right w:val="single" w:sz="4" w:space="0" w:color="000000"/>
            </w:tcBorders>
          </w:tcPr>
          <w:p>
            <w:pPr>
              <w:pStyle w:val="TableParagraph"/>
              <w:spacing w:line="557" w:lineRule="exact"/>
              <w:ind w:left="684" w:right="0"/>
              <w:jc w:val="left"/>
              <w:rPr>
                <w:rFonts w:ascii="宋体" w:hAnsi="宋体" w:cs="宋体" w:eastAsia="宋体" w:hint="default"/>
                <w:sz w:val="20"/>
                <w:szCs w:val="20"/>
              </w:rPr>
            </w:pPr>
            <w:r>
              <w:rPr>
                <w:rFonts w:ascii="宋体" w:hAnsi="宋体" w:cs="宋体" w:eastAsia="宋体" w:hint="default"/>
                <w:position w:val="-10"/>
                <w:sz w:val="20"/>
                <w:szCs w:val="20"/>
              </w:rPr>
              <w:drawing>
                <wp:inline distT="0" distB="0" distL="0" distR="0">
                  <wp:extent cx="1072177" cy="354044"/>
                  <wp:effectExtent l="0" t="0" r="0" b="0"/>
                  <wp:docPr id="7" name="image5.jpeg" descr="C:\Documents and Settings\Administrator\桌面\ultrapower logo.jpg"/>
                  <wp:cNvGraphicFramePr>
                    <a:graphicFrameLocks noChangeAspect="1"/>
                  </wp:cNvGraphicFramePr>
                  <a:graphic>
                    <a:graphicData uri="http://schemas.openxmlformats.org/drawingml/2006/picture">
                      <pic:pic>
                        <pic:nvPicPr>
                          <pic:cNvPr id="8" name="image5.jpeg"/>
                          <pic:cNvPicPr/>
                        </pic:nvPicPr>
                        <pic:blipFill>
                          <a:blip r:embed="rId14" cstate="print"/>
                          <a:stretch>
                            <a:fillRect/>
                          </a:stretch>
                        </pic:blipFill>
                        <pic:spPr>
                          <a:xfrm>
                            <a:off x="0" y="0"/>
                            <a:ext cx="1072177" cy="354044"/>
                          </a:xfrm>
                          <a:prstGeom prst="rect">
                            <a:avLst/>
                          </a:prstGeom>
                        </pic:spPr>
                      </pic:pic>
                    </a:graphicData>
                  </a:graphic>
                </wp:inline>
              </w:drawing>
            </w:r>
            <w:r>
              <w:rPr>
                <w:rFonts w:ascii="宋体" w:hAnsi="宋体" w:cs="宋体" w:eastAsia="宋体" w:hint="default"/>
                <w:position w:val="-10"/>
                <w:sz w:val="20"/>
                <w:szCs w:val="20"/>
              </w:rPr>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第</w:t>
            </w:r>
            <w:r>
              <w:rPr>
                <w:rFonts w:ascii="宋体" w:hAnsi="宋体" w:cs="宋体" w:eastAsia="宋体" w:hint="default"/>
                <w:spacing w:val="-51"/>
                <w:sz w:val="20"/>
                <w:szCs w:val="20"/>
              </w:rPr>
              <w:t> </w:t>
            </w:r>
            <w:r>
              <w:rPr>
                <w:rFonts w:ascii="Arial" w:hAnsi="Arial" w:cs="Arial" w:eastAsia="Arial" w:hint="default"/>
                <w:sz w:val="20"/>
                <w:szCs w:val="20"/>
              </w:rPr>
              <w:t>42</w:t>
            </w:r>
            <w:r>
              <w:rPr>
                <w:rFonts w:ascii="Arial" w:hAnsi="Arial" w:cs="Arial" w:eastAsia="Arial" w:hint="default"/>
                <w:spacing w:val="-6"/>
                <w:sz w:val="20"/>
                <w:szCs w:val="20"/>
              </w:rPr>
              <w:t> </w:t>
            </w:r>
            <w:r>
              <w:rPr>
                <w:rFonts w:ascii="宋体" w:hAnsi="宋体" w:cs="宋体" w:eastAsia="宋体" w:hint="default"/>
                <w:sz w:val="20"/>
                <w:szCs w:val="20"/>
              </w:rPr>
              <w:t>类</w:t>
            </w:r>
          </w:p>
        </w:tc>
        <w:tc>
          <w:tcPr>
            <w:tcW w:w="4705" w:type="dxa"/>
            <w:gridSpan w:val="3"/>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1"/>
              <w:ind w:left="797" w:right="0"/>
              <w:jc w:val="left"/>
              <w:rPr>
                <w:rFonts w:ascii="宋体" w:hAnsi="宋体" w:cs="宋体" w:eastAsia="宋体" w:hint="default"/>
                <w:sz w:val="21"/>
                <w:szCs w:val="21"/>
              </w:rPr>
            </w:pPr>
            <w:r>
              <w:rPr>
                <w:rFonts w:ascii="宋体" w:hAnsi="宋体" w:cs="宋体" w:eastAsia="宋体" w:hint="default"/>
                <w:sz w:val="21"/>
                <w:szCs w:val="21"/>
              </w:rPr>
              <w:t>尚在办理过程中，申请号</w:t>
            </w:r>
            <w:r>
              <w:rPr>
                <w:rFonts w:ascii="宋体" w:hAnsi="宋体" w:cs="宋体" w:eastAsia="宋体" w:hint="default"/>
                <w:spacing w:val="-53"/>
                <w:sz w:val="21"/>
                <w:szCs w:val="21"/>
              </w:rPr>
              <w:t> </w:t>
            </w:r>
            <w:r>
              <w:rPr>
                <w:rFonts w:ascii="宋体" w:hAnsi="宋体" w:cs="宋体" w:eastAsia="宋体" w:hint="default"/>
                <w:sz w:val="21"/>
                <w:szCs w:val="21"/>
              </w:rPr>
              <w:t>7607536</w:t>
            </w:r>
          </w:p>
        </w:tc>
      </w:tr>
      <w:tr>
        <w:trPr>
          <w:trHeight w:val="946" w:hRule="exact"/>
        </w:trPr>
        <w:tc>
          <w:tcPr>
            <w:tcW w:w="3089" w:type="dxa"/>
            <w:tcBorders>
              <w:top w:val="single" w:sz="4" w:space="0" w:color="000000"/>
              <w:left w:val="single" w:sz="12" w:space="0" w:color="000000"/>
              <w:bottom w:val="single" w:sz="4" w:space="0" w:color="000000"/>
              <w:right w:val="single" w:sz="4" w:space="0" w:color="000000"/>
            </w:tcBorders>
          </w:tcPr>
          <w:p>
            <w:pPr>
              <w:pStyle w:val="TableParagraph"/>
              <w:spacing w:line="764" w:lineRule="exact"/>
              <w:ind w:left="630" w:right="0"/>
              <w:jc w:val="left"/>
              <w:rPr>
                <w:rFonts w:ascii="宋体" w:hAnsi="宋体" w:cs="宋体" w:eastAsia="宋体" w:hint="default"/>
                <w:sz w:val="20"/>
                <w:szCs w:val="20"/>
              </w:rPr>
            </w:pPr>
            <w:r>
              <w:rPr>
                <w:rFonts w:ascii="宋体" w:hAnsi="宋体" w:cs="宋体" w:eastAsia="宋体" w:hint="default"/>
                <w:position w:val="-14"/>
                <w:sz w:val="20"/>
                <w:szCs w:val="20"/>
              </w:rPr>
              <w:drawing>
                <wp:inline distT="0" distB="0" distL="0" distR="0">
                  <wp:extent cx="1141208" cy="485394"/>
                  <wp:effectExtent l="0" t="0" r="0" b="0"/>
                  <wp:docPr id="9" name="image6.jpeg" descr="QQ截图未命名"/>
                  <wp:cNvGraphicFramePr>
                    <a:graphicFrameLocks noChangeAspect="1"/>
                  </wp:cNvGraphicFramePr>
                  <a:graphic>
                    <a:graphicData uri="http://schemas.openxmlformats.org/drawingml/2006/picture">
                      <pic:pic>
                        <pic:nvPicPr>
                          <pic:cNvPr id="10" name="image6.jpeg"/>
                          <pic:cNvPicPr/>
                        </pic:nvPicPr>
                        <pic:blipFill>
                          <a:blip r:embed="rId15" cstate="print"/>
                          <a:stretch>
                            <a:fillRect/>
                          </a:stretch>
                        </pic:blipFill>
                        <pic:spPr>
                          <a:xfrm>
                            <a:off x="0" y="0"/>
                            <a:ext cx="1141208" cy="485394"/>
                          </a:xfrm>
                          <a:prstGeom prst="rect">
                            <a:avLst/>
                          </a:prstGeom>
                        </pic:spPr>
                      </pic:pic>
                    </a:graphicData>
                  </a:graphic>
                </wp:inline>
              </w:drawing>
            </w:r>
            <w:r>
              <w:rPr>
                <w:rFonts w:ascii="宋体" w:hAnsi="宋体" w:cs="宋体" w:eastAsia="宋体" w:hint="default"/>
                <w:position w:val="-14"/>
                <w:sz w:val="20"/>
                <w:szCs w:val="20"/>
              </w:rPr>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第</w:t>
            </w:r>
            <w:r>
              <w:rPr>
                <w:rFonts w:ascii="宋体" w:hAnsi="宋体" w:cs="宋体" w:eastAsia="宋体" w:hint="default"/>
                <w:spacing w:val="-51"/>
                <w:sz w:val="20"/>
                <w:szCs w:val="20"/>
              </w:rPr>
              <w:t> </w:t>
            </w:r>
            <w:r>
              <w:rPr>
                <w:rFonts w:ascii="Arial" w:hAnsi="Arial" w:cs="Arial" w:eastAsia="Arial" w:hint="default"/>
                <w:sz w:val="20"/>
                <w:szCs w:val="20"/>
              </w:rPr>
              <w:t>42</w:t>
            </w:r>
            <w:r>
              <w:rPr>
                <w:rFonts w:ascii="Arial" w:hAnsi="Arial" w:cs="Arial" w:eastAsia="Arial" w:hint="default"/>
                <w:spacing w:val="-6"/>
                <w:sz w:val="20"/>
                <w:szCs w:val="20"/>
              </w:rPr>
              <w:t> </w:t>
            </w:r>
            <w:r>
              <w:rPr>
                <w:rFonts w:ascii="宋体" w:hAnsi="宋体" w:cs="宋体" w:eastAsia="宋体" w:hint="default"/>
                <w:sz w:val="20"/>
                <w:szCs w:val="20"/>
              </w:rPr>
              <w:t>类</w:t>
            </w:r>
          </w:p>
        </w:tc>
        <w:tc>
          <w:tcPr>
            <w:tcW w:w="4705" w:type="dxa"/>
            <w:gridSpan w:val="3"/>
            <w:tcBorders>
              <w:top w:val="single" w:sz="4" w:space="0" w:color="000000"/>
              <w:left w:val="single" w:sz="4" w:space="0" w:color="000000"/>
              <w:bottom w:val="single" w:sz="4" w:space="0" w:color="000000"/>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797" w:right="0"/>
              <w:jc w:val="left"/>
              <w:rPr>
                <w:rFonts w:ascii="宋体" w:hAnsi="宋体" w:cs="宋体" w:eastAsia="宋体" w:hint="default"/>
                <w:sz w:val="21"/>
                <w:szCs w:val="21"/>
              </w:rPr>
            </w:pPr>
            <w:r>
              <w:rPr>
                <w:rFonts w:ascii="宋体" w:hAnsi="宋体" w:cs="宋体" w:eastAsia="宋体" w:hint="default"/>
                <w:sz w:val="21"/>
                <w:szCs w:val="21"/>
              </w:rPr>
              <w:t>尚在办理过程中，申请号</w:t>
            </w:r>
            <w:r>
              <w:rPr>
                <w:rFonts w:ascii="宋体" w:hAnsi="宋体" w:cs="宋体" w:eastAsia="宋体" w:hint="default"/>
                <w:spacing w:val="-53"/>
                <w:sz w:val="21"/>
                <w:szCs w:val="21"/>
              </w:rPr>
              <w:t> </w:t>
            </w:r>
            <w:r>
              <w:rPr>
                <w:rFonts w:ascii="宋体" w:hAnsi="宋体" w:cs="宋体" w:eastAsia="宋体" w:hint="default"/>
                <w:sz w:val="21"/>
                <w:szCs w:val="21"/>
              </w:rPr>
              <w:t>8211688</w:t>
            </w:r>
          </w:p>
        </w:tc>
      </w:tr>
      <w:tr>
        <w:trPr>
          <w:trHeight w:val="634" w:hRule="exact"/>
        </w:trPr>
        <w:tc>
          <w:tcPr>
            <w:tcW w:w="3089" w:type="dxa"/>
            <w:tcBorders>
              <w:top w:val="single" w:sz="4" w:space="0" w:color="000000"/>
              <w:left w:val="single" w:sz="12" w:space="0" w:color="000000"/>
              <w:bottom w:val="single" w:sz="4" w:space="0" w:color="000000"/>
              <w:right w:val="single" w:sz="4" w:space="0" w:color="000000"/>
            </w:tcBorders>
          </w:tcPr>
          <w:p>
            <w:pPr>
              <w:pStyle w:val="TableParagraph"/>
              <w:spacing w:line="592" w:lineRule="exact"/>
              <w:ind w:left="739" w:right="0"/>
              <w:jc w:val="left"/>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1012770" cy="376523"/>
                  <wp:effectExtent l="0" t="0" r="0" b="0"/>
                  <wp:docPr id="11" name="image7.jpeg" descr="1"/>
                  <wp:cNvGraphicFramePr>
                    <a:graphicFrameLocks noChangeAspect="1"/>
                  </wp:cNvGraphicFramePr>
                  <a:graphic>
                    <a:graphicData uri="http://schemas.openxmlformats.org/drawingml/2006/picture">
                      <pic:pic>
                        <pic:nvPicPr>
                          <pic:cNvPr id="12" name="image7.jpeg"/>
                          <pic:cNvPicPr/>
                        </pic:nvPicPr>
                        <pic:blipFill>
                          <a:blip r:embed="rId16" cstate="print"/>
                          <a:stretch>
                            <a:fillRect/>
                          </a:stretch>
                        </pic:blipFill>
                        <pic:spPr>
                          <a:xfrm>
                            <a:off x="0" y="0"/>
                            <a:ext cx="1012770" cy="376523"/>
                          </a:xfrm>
                          <a:prstGeom prst="rect">
                            <a:avLst/>
                          </a:prstGeom>
                        </pic:spPr>
                      </pic:pic>
                    </a:graphicData>
                  </a:graphic>
                </wp:inline>
              </w:drawing>
            </w:r>
            <w:r>
              <w:rPr>
                <w:rFonts w:ascii="宋体" w:hAnsi="宋体" w:cs="宋体" w:eastAsia="宋体" w:hint="default"/>
                <w:position w:val="-11"/>
                <w:sz w:val="20"/>
                <w:szCs w:val="20"/>
              </w:rPr>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4"/>
                <w:sz w:val="21"/>
                <w:szCs w:val="21"/>
              </w:rPr>
              <w:t> </w:t>
            </w:r>
            <w:r>
              <w:rPr>
                <w:rFonts w:ascii="宋体" w:hAnsi="宋体" w:cs="宋体" w:eastAsia="宋体" w:hint="default"/>
                <w:sz w:val="21"/>
                <w:szCs w:val="21"/>
              </w:rPr>
              <w:t>42</w:t>
            </w:r>
            <w:r>
              <w:rPr>
                <w:rFonts w:ascii="宋体" w:hAnsi="宋体" w:cs="宋体" w:eastAsia="宋体" w:hint="default"/>
                <w:spacing w:val="-53"/>
                <w:sz w:val="21"/>
                <w:szCs w:val="21"/>
              </w:rPr>
              <w:t> </w:t>
            </w:r>
            <w:r>
              <w:rPr>
                <w:rFonts w:ascii="宋体" w:hAnsi="宋体" w:cs="宋体" w:eastAsia="宋体" w:hint="default"/>
                <w:sz w:val="21"/>
                <w:szCs w:val="21"/>
              </w:rPr>
              <w:t>类</w:t>
            </w:r>
          </w:p>
        </w:tc>
        <w:tc>
          <w:tcPr>
            <w:tcW w:w="4705" w:type="dxa"/>
            <w:gridSpan w:val="3"/>
            <w:tcBorders>
              <w:top w:val="single" w:sz="4" w:space="0" w:color="000000"/>
              <w:left w:val="single" w:sz="4" w:space="0" w:color="000000"/>
              <w:bottom w:val="single" w:sz="4" w:space="0" w:color="000000"/>
              <w:right w:val="single" w:sz="12" w:space="0" w:color="000000"/>
            </w:tcBorders>
          </w:tcPr>
          <w:p>
            <w:pPr>
              <w:pStyle w:val="TableParagraph"/>
              <w:spacing w:line="240" w:lineRule="auto" w:before="141"/>
              <w:ind w:left="797" w:right="0"/>
              <w:jc w:val="left"/>
              <w:rPr>
                <w:rFonts w:ascii="宋体" w:hAnsi="宋体" w:cs="宋体" w:eastAsia="宋体" w:hint="default"/>
                <w:sz w:val="21"/>
                <w:szCs w:val="21"/>
              </w:rPr>
            </w:pPr>
            <w:r>
              <w:rPr>
                <w:rFonts w:ascii="宋体" w:hAnsi="宋体" w:cs="宋体" w:eastAsia="宋体" w:hint="default"/>
                <w:sz w:val="21"/>
                <w:szCs w:val="21"/>
              </w:rPr>
              <w:t>尚在办理过程中，申请号</w:t>
            </w:r>
            <w:r>
              <w:rPr>
                <w:rFonts w:ascii="宋体" w:hAnsi="宋体" w:cs="宋体" w:eastAsia="宋体" w:hint="default"/>
                <w:spacing w:val="-53"/>
                <w:sz w:val="21"/>
                <w:szCs w:val="21"/>
              </w:rPr>
              <w:t> </w:t>
            </w:r>
            <w:r>
              <w:rPr>
                <w:rFonts w:ascii="宋体" w:hAnsi="宋体" w:cs="宋体" w:eastAsia="宋体" w:hint="default"/>
                <w:sz w:val="21"/>
                <w:szCs w:val="21"/>
              </w:rPr>
              <w:t>8211659</w:t>
            </w:r>
          </w:p>
        </w:tc>
      </w:tr>
      <w:tr>
        <w:trPr>
          <w:trHeight w:val="947" w:hRule="exact"/>
        </w:trPr>
        <w:tc>
          <w:tcPr>
            <w:tcW w:w="3089" w:type="dxa"/>
            <w:tcBorders>
              <w:top w:val="single" w:sz="4" w:space="0" w:color="000000"/>
              <w:left w:val="single" w:sz="12" w:space="0" w:color="000000"/>
              <w:bottom w:val="single" w:sz="4" w:space="0" w:color="000000"/>
              <w:right w:val="single" w:sz="4" w:space="0" w:color="000000"/>
            </w:tcBorders>
          </w:tcPr>
          <w:p>
            <w:pPr>
              <w:pStyle w:val="TableParagraph"/>
              <w:spacing w:line="692" w:lineRule="exact"/>
              <w:ind w:left="729" w:right="0"/>
              <w:jc w:val="left"/>
              <w:rPr>
                <w:rFonts w:ascii="宋体" w:hAnsi="宋体" w:cs="宋体" w:eastAsia="宋体" w:hint="default"/>
                <w:sz w:val="20"/>
                <w:szCs w:val="20"/>
              </w:rPr>
            </w:pPr>
            <w:r>
              <w:rPr>
                <w:rFonts w:ascii="宋体" w:hAnsi="宋体" w:cs="宋体" w:eastAsia="宋体" w:hint="default"/>
                <w:position w:val="-13"/>
                <w:sz w:val="20"/>
                <w:szCs w:val="20"/>
              </w:rPr>
              <w:drawing>
                <wp:inline distT="0" distB="0" distL="0" distR="0">
                  <wp:extent cx="1013769" cy="439578"/>
                  <wp:effectExtent l="0" t="0" r="0" b="0"/>
                  <wp:docPr id="13" name="image8.jpeg" descr="2"/>
                  <wp:cNvGraphicFramePr>
                    <a:graphicFrameLocks noChangeAspect="1"/>
                  </wp:cNvGraphicFramePr>
                  <a:graphic>
                    <a:graphicData uri="http://schemas.openxmlformats.org/drawingml/2006/picture">
                      <pic:pic>
                        <pic:nvPicPr>
                          <pic:cNvPr id="14" name="image8.jpeg"/>
                          <pic:cNvPicPr/>
                        </pic:nvPicPr>
                        <pic:blipFill>
                          <a:blip r:embed="rId17" cstate="print"/>
                          <a:stretch>
                            <a:fillRect/>
                          </a:stretch>
                        </pic:blipFill>
                        <pic:spPr>
                          <a:xfrm>
                            <a:off x="0" y="0"/>
                            <a:ext cx="1013769" cy="439578"/>
                          </a:xfrm>
                          <a:prstGeom prst="rect">
                            <a:avLst/>
                          </a:prstGeom>
                        </pic:spPr>
                      </pic:pic>
                    </a:graphicData>
                  </a:graphic>
                </wp:inline>
              </w:drawing>
            </w:r>
            <w:r>
              <w:rPr>
                <w:rFonts w:ascii="宋体" w:hAnsi="宋体" w:cs="宋体" w:eastAsia="宋体" w:hint="default"/>
                <w:position w:val="-13"/>
                <w:sz w:val="20"/>
                <w:szCs w:val="20"/>
              </w:rPr>
            </w:r>
          </w:p>
          <w:p>
            <w:pPr>
              <w:pStyle w:val="TableParagraph"/>
              <w:spacing w:line="240" w:lineRule="auto" w:before="8"/>
              <w:ind w:right="0"/>
              <w:jc w:val="left"/>
              <w:rPr>
                <w:rFonts w:ascii="宋体" w:hAnsi="宋体" w:cs="宋体" w:eastAsia="宋体" w:hint="default"/>
                <w:sz w:val="18"/>
                <w:szCs w:val="18"/>
              </w:rPr>
            </w:pP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4"/>
                <w:sz w:val="21"/>
                <w:szCs w:val="21"/>
              </w:rPr>
              <w:t> </w:t>
            </w:r>
            <w:r>
              <w:rPr>
                <w:rFonts w:ascii="宋体" w:hAnsi="宋体" w:cs="宋体" w:eastAsia="宋体" w:hint="default"/>
                <w:sz w:val="21"/>
                <w:szCs w:val="21"/>
              </w:rPr>
              <w:t>42</w:t>
            </w:r>
            <w:r>
              <w:rPr>
                <w:rFonts w:ascii="宋体" w:hAnsi="宋体" w:cs="宋体" w:eastAsia="宋体" w:hint="default"/>
                <w:spacing w:val="-53"/>
                <w:sz w:val="21"/>
                <w:szCs w:val="21"/>
              </w:rPr>
              <w:t> </w:t>
            </w:r>
            <w:r>
              <w:rPr>
                <w:rFonts w:ascii="宋体" w:hAnsi="宋体" w:cs="宋体" w:eastAsia="宋体" w:hint="default"/>
                <w:sz w:val="21"/>
                <w:szCs w:val="21"/>
              </w:rPr>
              <w:t>类</w:t>
            </w:r>
          </w:p>
        </w:tc>
        <w:tc>
          <w:tcPr>
            <w:tcW w:w="4705" w:type="dxa"/>
            <w:gridSpan w:val="3"/>
            <w:tcBorders>
              <w:top w:val="single" w:sz="4" w:space="0" w:color="000000"/>
              <w:left w:val="single" w:sz="4" w:space="0" w:color="000000"/>
              <w:bottom w:val="single" w:sz="4" w:space="0" w:color="000000"/>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797" w:right="0"/>
              <w:jc w:val="left"/>
              <w:rPr>
                <w:rFonts w:ascii="宋体" w:hAnsi="宋体" w:cs="宋体" w:eastAsia="宋体" w:hint="default"/>
                <w:sz w:val="21"/>
                <w:szCs w:val="21"/>
              </w:rPr>
            </w:pPr>
            <w:r>
              <w:rPr>
                <w:rFonts w:ascii="宋体" w:hAnsi="宋体" w:cs="宋体" w:eastAsia="宋体" w:hint="default"/>
                <w:sz w:val="21"/>
                <w:szCs w:val="21"/>
              </w:rPr>
              <w:t>尚在办理过程中，申请号</w:t>
            </w:r>
            <w:r>
              <w:rPr>
                <w:rFonts w:ascii="宋体" w:hAnsi="宋体" w:cs="宋体" w:eastAsia="宋体" w:hint="default"/>
                <w:spacing w:val="-53"/>
                <w:sz w:val="21"/>
                <w:szCs w:val="21"/>
              </w:rPr>
              <w:t> </w:t>
            </w:r>
            <w:r>
              <w:rPr>
                <w:rFonts w:ascii="宋体" w:hAnsi="宋体" w:cs="宋体" w:eastAsia="宋体" w:hint="default"/>
                <w:sz w:val="21"/>
                <w:szCs w:val="21"/>
              </w:rPr>
              <w:t>8211674</w:t>
            </w:r>
          </w:p>
        </w:tc>
      </w:tr>
      <w:tr>
        <w:trPr>
          <w:trHeight w:val="946" w:hRule="exact"/>
        </w:trPr>
        <w:tc>
          <w:tcPr>
            <w:tcW w:w="3089" w:type="dxa"/>
            <w:tcBorders>
              <w:top w:val="single" w:sz="4" w:space="0" w:color="000000"/>
              <w:left w:val="single" w:sz="12" w:space="0" w:color="000000"/>
              <w:bottom w:val="single" w:sz="4" w:space="0" w:color="000000"/>
              <w:right w:val="single" w:sz="4" w:space="0" w:color="000000"/>
            </w:tcBorders>
          </w:tcPr>
          <w:p>
            <w:pPr>
              <w:pStyle w:val="TableParagraph"/>
              <w:spacing w:line="733" w:lineRule="exact"/>
              <w:ind w:left="650" w:right="0"/>
              <w:jc w:val="left"/>
              <w:rPr>
                <w:rFonts w:ascii="宋体" w:hAnsi="宋体" w:cs="宋体" w:eastAsia="宋体" w:hint="default"/>
                <w:sz w:val="20"/>
                <w:szCs w:val="20"/>
              </w:rPr>
            </w:pPr>
            <w:r>
              <w:rPr>
                <w:rFonts w:ascii="宋体" w:hAnsi="宋体" w:cs="宋体" w:eastAsia="宋体" w:hint="default"/>
                <w:position w:val="-14"/>
                <w:sz w:val="20"/>
                <w:szCs w:val="20"/>
              </w:rPr>
              <w:drawing>
                <wp:inline distT="0" distB="0" distL="0" distR="0">
                  <wp:extent cx="1117091" cy="465582"/>
                  <wp:effectExtent l="0" t="0" r="0" b="0"/>
                  <wp:docPr id="15" name="image9.jpeg" descr="3"/>
                  <wp:cNvGraphicFramePr>
                    <a:graphicFrameLocks noChangeAspect="1"/>
                  </wp:cNvGraphicFramePr>
                  <a:graphic>
                    <a:graphicData uri="http://schemas.openxmlformats.org/drawingml/2006/picture">
                      <pic:pic>
                        <pic:nvPicPr>
                          <pic:cNvPr id="16" name="image9.jpeg"/>
                          <pic:cNvPicPr/>
                        </pic:nvPicPr>
                        <pic:blipFill>
                          <a:blip r:embed="rId18" cstate="print"/>
                          <a:stretch>
                            <a:fillRect/>
                          </a:stretch>
                        </pic:blipFill>
                        <pic:spPr>
                          <a:xfrm>
                            <a:off x="0" y="0"/>
                            <a:ext cx="1117091" cy="465582"/>
                          </a:xfrm>
                          <a:prstGeom prst="rect">
                            <a:avLst/>
                          </a:prstGeom>
                        </pic:spPr>
                      </pic:pic>
                    </a:graphicData>
                  </a:graphic>
                </wp:inline>
              </w:drawing>
            </w:r>
            <w:r>
              <w:rPr>
                <w:rFonts w:ascii="宋体" w:hAnsi="宋体" w:cs="宋体" w:eastAsia="宋体" w:hint="default"/>
                <w:position w:val="-14"/>
                <w:sz w:val="20"/>
                <w:szCs w:val="20"/>
              </w:rPr>
            </w:r>
          </w:p>
          <w:p>
            <w:pPr>
              <w:pStyle w:val="TableParagraph"/>
              <w:spacing w:line="240" w:lineRule="auto" w:before="7"/>
              <w:ind w:right="0"/>
              <w:jc w:val="left"/>
              <w:rPr>
                <w:rFonts w:ascii="宋体" w:hAnsi="宋体" w:cs="宋体" w:eastAsia="宋体" w:hint="default"/>
                <w:sz w:val="15"/>
                <w:szCs w:val="15"/>
              </w:rPr>
            </w:pP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第</w:t>
            </w:r>
            <w:r>
              <w:rPr>
                <w:rFonts w:ascii="宋体" w:hAnsi="宋体" w:cs="宋体" w:eastAsia="宋体" w:hint="default"/>
                <w:spacing w:val="-51"/>
                <w:sz w:val="20"/>
                <w:szCs w:val="20"/>
              </w:rPr>
              <w:t> </w:t>
            </w:r>
            <w:r>
              <w:rPr>
                <w:rFonts w:ascii="Arial" w:hAnsi="Arial" w:cs="Arial" w:eastAsia="Arial" w:hint="default"/>
                <w:sz w:val="20"/>
                <w:szCs w:val="20"/>
              </w:rPr>
              <w:t>42</w:t>
            </w:r>
            <w:r>
              <w:rPr>
                <w:rFonts w:ascii="Arial" w:hAnsi="Arial" w:cs="Arial" w:eastAsia="Arial" w:hint="default"/>
                <w:spacing w:val="-6"/>
                <w:sz w:val="20"/>
                <w:szCs w:val="20"/>
              </w:rPr>
              <w:t> </w:t>
            </w:r>
            <w:r>
              <w:rPr>
                <w:rFonts w:ascii="宋体" w:hAnsi="宋体" w:cs="宋体" w:eastAsia="宋体" w:hint="default"/>
                <w:sz w:val="20"/>
                <w:szCs w:val="20"/>
              </w:rPr>
              <w:t>类</w:t>
            </w:r>
          </w:p>
        </w:tc>
        <w:tc>
          <w:tcPr>
            <w:tcW w:w="4705" w:type="dxa"/>
            <w:gridSpan w:val="3"/>
            <w:tcBorders>
              <w:top w:val="single" w:sz="4" w:space="0" w:color="000000"/>
              <w:left w:val="single" w:sz="4" w:space="0" w:color="000000"/>
              <w:bottom w:val="single" w:sz="4" w:space="0" w:color="000000"/>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797" w:right="0"/>
              <w:jc w:val="left"/>
              <w:rPr>
                <w:rFonts w:ascii="宋体" w:hAnsi="宋体" w:cs="宋体" w:eastAsia="宋体" w:hint="default"/>
                <w:sz w:val="21"/>
                <w:szCs w:val="21"/>
              </w:rPr>
            </w:pPr>
            <w:r>
              <w:rPr>
                <w:rFonts w:ascii="宋体" w:hAnsi="宋体" w:cs="宋体" w:eastAsia="宋体" w:hint="default"/>
                <w:sz w:val="21"/>
                <w:szCs w:val="21"/>
              </w:rPr>
              <w:t>尚在办理过程中，申请号</w:t>
            </w:r>
            <w:r>
              <w:rPr>
                <w:rFonts w:ascii="宋体" w:hAnsi="宋体" w:cs="宋体" w:eastAsia="宋体" w:hint="default"/>
                <w:spacing w:val="-53"/>
                <w:sz w:val="21"/>
                <w:szCs w:val="21"/>
              </w:rPr>
              <w:t> </w:t>
            </w:r>
            <w:r>
              <w:rPr>
                <w:rFonts w:ascii="宋体" w:hAnsi="宋体" w:cs="宋体" w:eastAsia="宋体" w:hint="default"/>
                <w:sz w:val="21"/>
                <w:szCs w:val="21"/>
              </w:rPr>
              <w:t>8211699</w:t>
            </w:r>
          </w:p>
        </w:tc>
      </w:tr>
      <w:tr>
        <w:trPr>
          <w:trHeight w:val="738" w:hRule="exact"/>
        </w:trPr>
        <w:tc>
          <w:tcPr>
            <w:tcW w:w="3089" w:type="dxa"/>
            <w:tcBorders>
              <w:top w:val="single" w:sz="4" w:space="0" w:color="000000"/>
              <w:left w:val="single" w:sz="12" w:space="0" w:color="000000"/>
              <w:bottom w:val="single" w:sz="4" w:space="0" w:color="000000"/>
              <w:right w:val="single" w:sz="4" w:space="0" w:color="000000"/>
            </w:tcBorders>
          </w:tcPr>
          <w:p>
            <w:pPr>
              <w:pStyle w:val="TableParagraph"/>
              <w:spacing w:line="595" w:lineRule="exact"/>
              <w:ind w:left="1120" w:right="0"/>
              <w:jc w:val="left"/>
              <w:rPr>
                <w:rFonts w:ascii="宋体" w:hAnsi="宋体" w:cs="宋体" w:eastAsia="宋体" w:hint="default"/>
                <w:sz w:val="20"/>
                <w:szCs w:val="20"/>
              </w:rPr>
            </w:pPr>
            <w:r>
              <w:rPr>
                <w:rFonts w:ascii="宋体" w:hAnsi="宋体" w:cs="宋体" w:eastAsia="宋体" w:hint="default"/>
                <w:position w:val="-11"/>
                <w:sz w:val="20"/>
                <w:szCs w:val="20"/>
              </w:rPr>
              <w:drawing>
                <wp:inline distT="0" distB="0" distL="0" distR="0">
                  <wp:extent cx="548778" cy="378047"/>
                  <wp:effectExtent l="0" t="0" r="0" b="0"/>
                  <wp:docPr id="17" name="image10.png" descr="C:\Documents and Settings\Administrator\桌面\111a.PNG"/>
                  <wp:cNvGraphicFramePr>
                    <a:graphicFrameLocks noChangeAspect="1"/>
                  </wp:cNvGraphicFramePr>
                  <a:graphic>
                    <a:graphicData uri="http://schemas.openxmlformats.org/drawingml/2006/picture">
                      <pic:pic>
                        <pic:nvPicPr>
                          <pic:cNvPr id="18" name="image10.png"/>
                          <pic:cNvPicPr/>
                        </pic:nvPicPr>
                        <pic:blipFill>
                          <a:blip r:embed="rId19" cstate="print"/>
                          <a:stretch>
                            <a:fillRect/>
                          </a:stretch>
                        </pic:blipFill>
                        <pic:spPr>
                          <a:xfrm>
                            <a:off x="0" y="0"/>
                            <a:ext cx="548778" cy="378047"/>
                          </a:xfrm>
                          <a:prstGeom prst="rect">
                            <a:avLst/>
                          </a:prstGeom>
                        </pic:spPr>
                      </pic:pic>
                    </a:graphicData>
                  </a:graphic>
                </wp:inline>
              </w:drawing>
            </w:r>
            <w:r>
              <w:rPr>
                <w:rFonts w:ascii="宋体" w:hAnsi="宋体" w:cs="宋体" w:eastAsia="宋体" w:hint="default"/>
                <w:position w:val="-11"/>
                <w:sz w:val="20"/>
                <w:szCs w:val="20"/>
              </w:rPr>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4"/>
                <w:sz w:val="21"/>
                <w:szCs w:val="21"/>
              </w:rPr>
              <w:t> </w:t>
            </w:r>
            <w:r>
              <w:rPr>
                <w:rFonts w:ascii="宋体" w:hAnsi="宋体" w:cs="宋体" w:eastAsia="宋体" w:hint="default"/>
                <w:sz w:val="21"/>
                <w:szCs w:val="21"/>
              </w:rPr>
              <w:t>38</w:t>
            </w:r>
            <w:r>
              <w:rPr>
                <w:rFonts w:ascii="宋体" w:hAnsi="宋体" w:cs="宋体" w:eastAsia="宋体" w:hint="default"/>
                <w:spacing w:val="-53"/>
                <w:sz w:val="21"/>
                <w:szCs w:val="21"/>
              </w:rPr>
              <w:t> </w:t>
            </w:r>
            <w:r>
              <w:rPr>
                <w:rFonts w:ascii="宋体" w:hAnsi="宋体" w:cs="宋体" w:eastAsia="宋体" w:hint="default"/>
                <w:sz w:val="21"/>
                <w:szCs w:val="21"/>
              </w:rPr>
              <w:t>类</w:t>
            </w:r>
          </w:p>
        </w:tc>
        <w:tc>
          <w:tcPr>
            <w:tcW w:w="4705" w:type="dxa"/>
            <w:gridSpan w:val="3"/>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797" w:right="0"/>
              <w:jc w:val="left"/>
              <w:rPr>
                <w:rFonts w:ascii="宋体" w:hAnsi="宋体" w:cs="宋体" w:eastAsia="宋体" w:hint="default"/>
                <w:sz w:val="21"/>
                <w:szCs w:val="21"/>
              </w:rPr>
            </w:pPr>
            <w:r>
              <w:rPr>
                <w:rFonts w:ascii="宋体" w:hAnsi="宋体" w:cs="宋体" w:eastAsia="宋体" w:hint="default"/>
                <w:sz w:val="21"/>
                <w:szCs w:val="21"/>
              </w:rPr>
              <w:t>尚在办理过程中，申请号</w:t>
            </w:r>
            <w:r>
              <w:rPr>
                <w:rFonts w:ascii="宋体" w:hAnsi="宋体" w:cs="宋体" w:eastAsia="宋体" w:hint="default"/>
                <w:spacing w:val="-53"/>
                <w:sz w:val="21"/>
                <w:szCs w:val="21"/>
              </w:rPr>
              <w:t> </w:t>
            </w:r>
            <w:r>
              <w:rPr>
                <w:rFonts w:ascii="宋体" w:hAnsi="宋体" w:cs="宋体" w:eastAsia="宋体" w:hint="default"/>
                <w:sz w:val="21"/>
                <w:szCs w:val="21"/>
              </w:rPr>
              <w:t>8046020</w:t>
            </w:r>
          </w:p>
        </w:tc>
      </w:tr>
      <w:tr>
        <w:trPr>
          <w:trHeight w:val="634" w:hRule="exact"/>
        </w:trPr>
        <w:tc>
          <w:tcPr>
            <w:tcW w:w="308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
                <w:szCs w:val="2"/>
              </w:rPr>
            </w:pPr>
          </w:p>
          <w:p>
            <w:pPr>
              <w:pStyle w:val="TableParagraph"/>
              <w:spacing w:line="366" w:lineRule="exact"/>
              <w:ind w:left="741" w:right="0"/>
              <w:jc w:val="left"/>
              <w:rPr>
                <w:rFonts w:ascii="宋体" w:hAnsi="宋体" w:cs="宋体" w:eastAsia="宋体" w:hint="default"/>
                <w:sz w:val="20"/>
                <w:szCs w:val="20"/>
              </w:rPr>
            </w:pPr>
            <w:r>
              <w:rPr>
                <w:rFonts w:ascii="宋体" w:hAnsi="宋体" w:cs="宋体" w:eastAsia="宋体" w:hint="default"/>
                <w:position w:val="-6"/>
                <w:sz w:val="20"/>
                <w:szCs w:val="20"/>
              </w:rPr>
              <w:drawing>
                <wp:inline distT="0" distB="0" distL="0" distR="0">
                  <wp:extent cx="975062" cy="232410"/>
                  <wp:effectExtent l="0" t="0" r="0" b="0"/>
                  <wp:docPr id="19" name="image11.png" descr="22222.png"/>
                  <wp:cNvGraphicFramePr>
                    <a:graphicFrameLocks noChangeAspect="1"/>
                  </wp:cNvGraphicFramePr>
                  <a:graphic>
                    <a:graphicData uri="http://schemas.openxmlformats.org/drawingml/2006/picture">
                      <pic:pic>
                        <pic:nvPicPr>
                          <pic:cNvPr id="20" name="image11.png"/>
                          <pic:cNvPicPr/>
                        </pic:nvPicPr>
                        <pic:blipFill>
                          <a:blip r:embed="rId20" cstate="print"/>
                          <a:stretch>
                            <a:fillRect/>
                          </a:stretch>
                        </pic:blipFill>
                        <pic:spPr>
                          <a:xfrm>
                            <a:off x="0" y="0"/>
                            <a:ext cx="975062" cy="232410"/>
                          </a:xfrm>
                          <a:prstGeom prst="rect">
                            <a:avLst/>
                          </a:prstGeom>
                        </pic:spPr>
                      </pic:pic>
                    </a:graphicData>
                  </a:graphic>
                </wp:inline>
              </w:drawing>
            </w:r>
            <w:r>
              <w:rPr>
                <w:rFonts w:ascii="宋体" w:hAnsi="宋体" w:cs="宋体" w:eastAsia="宋体" w:hint="default"/>
                <w:position w:val="-6"/>
                <w:sz w:val="20"/>
                <w:szCs w:val="20"/>
              </w:rPr>
            </w:r>
          </w:p>
          <w:p>
            <w:pPr>
              <w:pStyle w:val="TableParagraph"/>
              <w:spacing w:line="240" w:lineRule="auto" w:before="1"/>
              <w:ind w:right="0"/>
              <w:jc w:val="left"/>
              <w:rPr>
                <w:rFonts w:ascii="宋体" w:hAnsi="宋体" w:cs="宋体" w:eastAsia="宋体" w:hint="default"/>
                <w:sz w:val="17"/>
                <w:szCs w:val="17"/>
              </w:rPr>
            </w:pP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4"/>
                <w:sz w:val="21"/>
                <w:szCs w:val="21"/>
              </w:rPr>
              <w:t> </w:t>
            </w:r>
            <w:r>
              <w:rPr>
                <w:rFonts w:ascii="宋体" w:hAnsi="宋体" w:cs="宋体" w:eastAsia="宋体" w:hint="default"/>
                <w:sz w:val="21"/>
                <w:szCs w:val="21"/>
              </w:rPr>
              <w:t>38</w:t>
            </w:r>
            <w:r>
              <w:rPr>
                <w:rFonts w:ascii="宋体" w:hAnsi="宋体" w:cs="宋体" w:eastAsia="宋体" w:hint="default"/>
                <w:spacing w:val="-53"/>
                <w:sz w:val="21"/>
                <w:szCs w:val="21"/>
              </w:rPr>
              <w:t> </w:t>
            </w:r>
            <w:r>
              <w:rPr>
                <w:rFonts w:ascii="宋体" w:hAnsi="宋体" w:cs="宋体" w:eastAsia="宋体" w:hint="default"/>
                <w:sz w:val="21"/>
                <w:szCs w:val="21"/>
              </w:rPr>
              <w:t>类</w:t>
            </w:r>
          </w:p>
        </w:tc>
        <w:tc>
          <w:tcPr>
            <w:tcW w:w="4705" w:type="dxa"/>
            <w:gridSpan w:val="3"/>
            <w:tcBorders>
              <w:top w:val="single" w:sz="4" w:space="0" w:color="000000"/>
              <w:left w:val="single" w:sz="4" w:space="0" w:color="000000"/>
              <w:bottom w:val="single" w:sz="4" w:space="0" w:color="000000"/>
              <w:right w:val="single" w:sz="12" w:space="0" w:color="000000"/>
            </w:tcBorders>
          </w:tcPr>
          <w:p>
            <w:pPr>
              <w:pStyle w:val="TableParagraph"/>
              <w:spacing w:line="240" w:lineRule="auto" w:before="141"/>
              <w:ind w:left="797" w:right="0"/>
              <w:jc w:val="left"/>
              <w:rPr>
                <w:rFonts w:ascii="宋体" w:hAnsi="宋体" w:cs="宋体" w:eastAsia="宋体" w:hint="default"/>
                <w:sz w:val="21"/>
                <w:szCs w:val="21"/>
              </w:rPr>
            </w:pPr>
            <w:r>
              <w:rPr>
                <w:rFonts w:ascii="宋体" w:hAnsi="宋体" w:cs="宋体" w:eastAsia="宋体" w:hint="default"/>
                <w:sz w:val="21"/>
                <w:szCs w:val="21"/>
              </w:rPr>
              <w:t>尚在办理过程中，申请号</w:t>
            </w:r>
            <w:r>
              <w:rPr>
                <w:rFonts w:ascii="宋体" w:hAnsi="宋体" w:cs="宋体" w:eastAsia="宋体" w:hint="default"/>
                <w:spacing w:val="-53"/>
                <w:sz w:val="21"/>
                <w:szCs w:val="21"/>
              </w:rPr>
              <w:t> </w:t>
            </w:r>
            <w:r>
              <w:rPr>
                <w:rFonts w:ascii="宋体" w:hAnsi="宋体" w:cs="宋体" w:eastAsia="宋体" w:hint="default"/>
                <w:sz w:val="21"/>
                <w:szCs w:val="21"/>
              </w:rPr>
              <w:t>8045997</w:t>
            </w:r>
          </w:p>
        </w:tc>
      </w:tr>
      <w:tr>
        <w:trPr>
          <w:trHeight w:val="645" w:hRule="exact"/>
        </w:trPr>
        <w:tc>
          <w:tcPr>
            <w:tcW w:w="3089" w:type="dxa"/>
            <w:tcBorders>
              <w:top w:val="single" w:sz="4" w:space="0" w:color="000000"/>
              <w:left w:val="single" w:sz="12" w:space="0" w:color="000000"/>
              <w:bottom w:val="single" w:sz="12" w:space="0" w:color="000000"/>
              <w:right w:val="single" w:sz="4" w:space="0" w:color="000000"/>
            </w:tcBorders>
          </w:tcPr>
          <w:p>
            <w:pPr>
              <w:pStyle w:val="TableParagraph"/>
              <w:spacing w:line="276" w:lineRule="exact"/>
              <w:ind w:left="266" w:right="0"/>
              <w:jc w:val="left"/>
              <w:rPr>
                <w:rFonts w:ascii="宋体" w:hAnsi="宋体" w:cs="宋体" w:eastAsia="宋体" w:hint="default"/>
                <w:sz w:val="20"/>
                <w:szCs w:val="20"/>
              </w:rPr>
            </w:pPr>
            <w:r>
              <w:rPr>
                <w:rFonts w:ascii="宋体" w:hAnsi="宋体" w:cs="宋体" w:eastAsia="宋体" w:hint="default"/>
                <w:position w:val="-5"/>
                <w:sz w:val="20"/>
                <w:szCs w:val="20"/>
              </w:rPr>
              <w:drawing>
                <wp:inline distT="0" distB="0" distL="0" distR="0">
                  <wp:extent cx="1460244" cy="175260"/>
                  <wp:effectExtent l="0" t="0" r="0" b="0"/>
                  <wp:docPr id="21" name="image12.png" descr=""/>
                  <wp:cNvGraphicFramePr>
                    <a:graphicFrameLocks noChangeAspect="1"/>
                  </wp:cNvGraphicFramePr>
                  <a:graphic>
                    <a:graphicData uri="http://schemas.openxmlformats.org/drawingml/2006/picture">
                      <pic:pic>
                        <pic:nvPicPr>
                          <pic:cNvPr id="22" name="image12.png"/>
                          <pic:cNvPicPr/>
                        </pic:nvPicPr>
                        <pic:blipFill>
                          <a:blip r:embed="rId21" cstate="print"/>
                          <a:stretch>
                            <a:fillRect/>
                          </a:stretch>
                        </pic:blipFill>
                        <pic:spPr>
                          <a:xfrm>
                            <a:off x="0" y="0"/>
                            <a:ext cx="1460244" cy="175260"/>
                          </a:xfrm>
                          <a:prstGeom prst="rect">
                            <a:avLst/>
                          </a:prstGeom>
                        </pic:spPr>
                      </pic:pic>
                    </a:graphicData>
                  </a:graphic>
                </wp:inline>
              </w:drawing>
            </w:r>
            <w:r>
              <w:rPr>
                <w:rFonts w:ascii="宋体" w:hAnsi="宋体" w:cs="宋体" w:eastAsia="宋体" w:hint="default"/>
                <w:position w:val="-5"/>
                <w:sz w:val="20"/>
                <w:szCs w:val="20"/>
              </w:rPr>
            </w:r>
          </w:p>
          <w:p>
            <w:pPr>
              <w:pStyle w:val="TableParagraph"/>
              <w:spacing w:line="240" w:lineRule="auto" w:before="8"/>
              <w:ind w:right="0"/>
              <w:jc w:val="left"/>
              <w:rPr>
                <w:rFonts w:ascii="宋体" w:hAnsi="宋体" w:cs="宋体" w:eastAsia="宋体" w:hint="default"/>
                <w:sz w:val="26"/>
                <w:szCs w:val="26"/>
              </w:rPr>
            </w:pPr>
          </w:p>
        </w:tc>
        <w:tc>
          <w:tcPr>
            <w:tcW w:w="153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4"/>
                <w:sz w:val="21"/>
                <w:szCs w:val="21"/>
              </w:rPr>
              <w:t> </w:t>
            </w:r>
            <w:r>
              <w:rPr>
                <w:rFonts w:ascii="宋体" w:hAnsi="宋体" w:cs="宋体" w:eastAsia="宋体" w:hint="default"/>
                <w:sz w:val="21"/>
                <w:szCs w:val="21"/>
              </w:rPr>
              <w:t>38</w:t>
            </w:r>
            <w:r>
              <w:rPr>
                <w:rFonts w:ascii="宋体" w:hAnsi="宋体" w:cs="宋体" w:eastAsia="宋体" w:hint="default"/>
                <w:spacing w:val="-53"/>
                <w:sz w:val="21"/>
                <w:szCs w:val="21"/>
              </w:rPr>
              <w:t> </w:t>
            </w:r>
            <w:r>
              <w:rPr>
                <w:rFonts w:ascii="宋体" w:hAnsi="宋体" w:cs="宋体" w:eastAsia="宋体" w:hint="default"/>
                <w:sz w:val="21"/>
                <w:szCs w:val="21"/>
              </w:rPr>
              <w:t>类</w:t>
            </w:r>
          </w:p>
        </w:tc>
        <w:tc>
          <w:tcPr>
            <w:tcW w:w="4705" w:type="dxa"/>
            <w:gridSpan w:val="3"/>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41"/>
              <w:ind w:left="797" w:right="0"/>
              <w:jc w:val="left"/>
              <w:rPr>
                <w:rFonts w:ascii="宋体" w:hAnsi="宋体" w:cs="宋体" w:eastAsia="宋体" w:hint="default"/>
                <w:sz w:val="21"/>
                <w:szCs w:val="21"/>
              </w:rPr>
            </w:pPr>
            <w:r>
              <w:rPr>
                <w:rFonts w:ascii="宋体" w:hAnsi="宋体" w:cs="宋体" w:eastAsia="宋体" w:hint="default"/>
                <w:sz w:val="21"/>
                <w:szCs w:val="21"/>
              </w:rPr>
              <w:t>尚在办理过程中，申请号</w:t>
            </w:r>
            <w:r>
              <w:rPr>
                <w:rFonts w:ascii="宋体" w:hAnsi="宋体" w:cs="宋体" w:eastAsia="宋体" w:hint="default"/>
                <w:spacing w:val="-53"/>
                <w:sz w:val="21"/>
                <w:szCs w:val="21"/>
              </w:rPr>
              <w:t> </w:t>
            </w:r>
            <w:r>
              <w:rPr>
                <w:rFonts w:ascii="宋体" w:hAnsi="宋体" w:cs="宋体" w:eastAsia="宋体" w:hint="default"/>
                <w:sz w:val="21"/>
                <w:szCs w:val="21"/>
              </w:rPr>
              <w:t>8046009</w:t>
            </w:r>
          </w:p>
        </w:tc>
      </w:tr>
    </w:tbl>
    <w:p>
      <w:pPr>
        <w:spacing w:line="240" w:lineRule="auto" w:before="1"/>
        <w:rPr>
          <w:rFonts w:ascii="宋体" w:hAnsi="宋体" w:cs="宋体" w:eastAsia="宋体" w:hint="default"/>
          <w:sz w:val="14"/>
          <w:szCs w:val="14"/>
        </w:rPr>
      </w:pPr>
    </w:p>
    <w:p>
      <w:pPr>
        <w:pStyle w:val="Heading2"/>
        <w:spacing w:line="240" w:lineRule="auto" w:before="35"/>
        <w:ind w:left="955" w:right="0"/>
        <w:jc w:val="left"/>
        <w:rPr>
          <w:b w:val="0"/>
          <w:bCs w:val="0"/>
        </w:rPr>
      </w:pPr>
      <w:r>
        <w:rPr/>
        <w:t>（五）公司研发费用投入</w:t>
      </w:r>
      <w:r>
        <w:rPr>
          <w:b w:val="0"/>
          <w:bCs w:val="0"/>
        </w:rPr>
      </w:r>
    </w:p>
    <w:p>
      <w:pPr>
        <w:spacing w:line="240" w:lineRule="auto" w:before="9"/>
        <w:rPr>
          <w:rFonts w:ascii="宋体" w:hAnsi="宋体" w:cs="宋体" w:eastAsia="宋体" w:hint="default"/>
          <w:b/>
          <w:bCs/>
          <w:sz w:val="26"/>
          <w:szCs w:val="26"/>
        </w:rPr>
      </w:pPr>
    </w:p>
    <w:p>
      <w:pPr>
        <w:pStyle w:val="BodyText"/>
        <w:spacing w:line="408" w:lineRule="auto"/>
        <w:ind w:left="639" w:right="0" w:firstLine="420"/>
        <w:jc w:val="left"/>
      </w:pPr>
      <w:r>
        <w:rPr>
          <w:spacing w:val="-3"/>
        </w:rPr>
        <w:t>公司自成立来一直高度重视研发投入力度，近几年研发投入一直都保持在公司营业收入</w:t>
      </w:r>
      <w:r>
        <w:rPr/>
        <w:t> </w:t>
      </w:r>
      <w:r>
        <w:rPr>
          <w:spacing w:val="-3"/>
        </w:rPr>
        <w:t>的10%以上，持续的研发投入为公司巩固和进一步提高技术竞争优势提供了有力的物质保障。</w:t>
      </w:r>
      <w:r>
        <w:rPr>
          <w:spacing w:val="-74"/>
        </w:rPr>
        <w:t> </w:t>
      </w:r>
      <w:r>
        <w:rPr>
          <w:spacing w:val="-74"/>
        </w:rPr>
      </w:r>
      <w:r>
        <w:rPr/>
        <w:t>近几年研发投入情况如下：</w:t>
      </w:r>
    </w:p>
    <w:p>
      <w:pPr>
        <w:spacing w:line="240" w:lineRule="auto" w:before="6"/>
        <w:rPr>
          <w:rFonts w:ascii="宋体" w:hAnsi="宋体" w:cs="宋体" w:eastAsia="宋体" w:hint="default"/>
          <w:sz w:val="15"/>
          <w:szCs w:val="15"/>
        </w:rPr>
      </w:pPr>
    </w:p>
    <w:p>
      <w:pPr>
        <w:pStyle w:val="BodyText"/>
        <w:spacing w:line="240" w:lineRule="auto"/>
        <w:ind w:left="0" w:right="876"/>
        <w:jc w:val="right"/>
      </w:pPr>
      <w:r>
        <w:rPr/>
        <w:t>单位：万元</w:t>
      </w:r>
    </w:p>
    <w:p>
      <w:pPr>
        <w:spacing w:after="0" w:line="240" w:lineRule="auto"/>
        <w:jc w:val="right"/>
        <w:sectPr>
          <w:pgSz w:w="11910" w:h="16840"/>
          <w:pgMar w:header="851" w:footer="982" w:top="1360" w:bottom="1180" w:left="1160" w:right="1140"/>
        </w:sectPr>
      </w:pPr>
    </w:p>
    <w:p>
      <w:pPr>
        <w:spacing w:line="240" w:lineRule="auto" w:before="1"/>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2005"/>
        <w:gridCol w:w="1568"/>
        <w:gridCol w:w="1568"/>
        <w:gridCol w:w="1567"/>
        <w:gridCol w:w="1568"/>
      </w:tblGrid>
      <w:tr>
        <w:trPr>
          <w:trHeight w:val="417" w:hRule="exact"/>
        </w:trPr>
        <w:tc>
          <w:tcPr>
            <w:tcW w:w="2005"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33"/>
              <w:ind w:left="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56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33"/>
              <w:ind w:left="332"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156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33"/>
              <w:ind w:left="332"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1567"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33"/>
              <w:ind w:left="332"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156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33"/>
              <w:ind w:left="332"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年度</w:t>
            </w:r>
          </w:p>
        </w:tc>
      </w:tr>
      <w:tr>
        <w:trPr>
          <w:trHeight w:val="416" w:hRule="exact"/>
        </w:trPr>
        <w:tc>
          <w:tcPr>
            <w:tcW w:w="2005"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32"/>
              <w:ind w:right="0"/>
              <w:jc w:val="center"/>
              <w:rPr>
                <w:rFonts w:ascii="宋体" w:hAnsi="宋体" w:cs="宋体" w:eastAsia="宋体" w:hint="default"/>
                <w:sz w:val="21"/>
                <w:szCs w:val="21"/>
              </w:rPr>
            </w:pPr>
            <w:r>
              <w:rPr>
                <w:rFonts w:ascii="宋体" w:hAnsi="宋体" w:cs="宋体" w:eastAsia="宋体" w:hint="default"/>
                <w:sz w:val="21"/>
                <w:szCs w:val="21"/>
              </w:rPr>
              <w:t>研发投入（万元）</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2"/>
              <w:jc w:val="right"/>
              <w:rPr>
                <w:rFonts w:ascii="宋体" w:hAnsi="宋体" w:cs="宋体" w:eastAsia="宋体" w:hint="default"/>
                <w:sz w:val="21"/>
                <w:szCs w:val="21"/>
              </w:rPr>
            </w:pPr>
            <w:r>
              <w:rPr>
                <w:rFonts w:ascii="宋体"/>
                <w:spacing w:val="-1"/>
                <w:sz w:val="21"/>
              </w:rPr>
              <w:t>10,148.94</w:t>
            </w:r>
            <w:r>
              <w:rPr>
                <w:rFonts w:ascii="宋体"/>
                <w:sz w:val="21"/>
              </w:rPr>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2"/>
              <w:jc w:val="right"/>
              <w:rPr>
                <w:rFonts w:ascii="宋体" w:hAnsi="宋体" w:cs="宋体" w:eastAsia="宋体" w:hint="default"/>
                <w:sz w:val="21"/>
                <w:szCs w:val="21"/>
              </w:rPr>
            </w:pPr>
            <w:r>
              <w:rPr>
                <w:rFonts w:ascii="宋体"/>
                <w:spacing w:val="-1"/>
                <w:sz w:val="21"/>
              </w:rPr>
              <w:t>8,529.72</w:t>
            </w:r>
            <w:r>
              <w:rPr>
                <w:rFonts w:ascii="宋体"/>
                <w:sz w:val="21"/>
              </w:rPr>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宋体" w:hAnsi="宋体" w:cs="宋体" w:eastAsia="宋体" w:hint="default"/>
                <w:sz w:val="21"/>
                <w:szCs w:val="21"/>
              </w:rPr>
            </w:pPr>
            <w:r>
              <w:rPr>
                <w:rFonts w:ascii="宋体"/>
                <w:spacing w:val="-1"/>
                <w:sz w:val="21"/>
              </w:rPr>
              <w:t>5,907.96</w:t>
            </w:r>
            <w:r>
              <w:rPr>
                <w:rFonts w:ascii="宋体"/>
                <w:sz w:val="21"/>
              </w:rPr>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01"/>
              <w:jc w:val="right"/>
              <w:rPr>
                <w:rFonts w:ascii="宋体" w:hAnsi="宋体" w:cs="宋体" w:eastAsia="宋体" w:hint="default"/>
                <w:sz w:val="21"/>
                <w:szCs w:val="21"/>
              </w:rPr>
            </w:pPr>
            <w:r>
              <w:rPr>
                <w:rFonts w:ascii="宋体"/>
                <w:spacing w:val="-1"/>
                <w:sz w:val="21"/>
              </w:rPr>
              <w:t>4,991.40</w:t>
            </w:r>
            <w:r>
              <w:rPr>
                <w:rFonts w:ascii="宋体"/>
                <w:sz w:val="21"/>
              </w:rPr>
            </w:r>
          </w:p>
        </w:tc>
      </w:tr>
      <w:tr>
        <w:trPr>
          <w:trHeight w:val="418" w:hRule="exact"/>
        </w:trPr>
        <w:tc>
          <w:tcPr>
            <w:tcW w:w="2005"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2"/>
              <w:jc w:val="right"/>
              <w:rPr>
                <w:rFonts w:ascii="宋体" w:hAnsi="宋体" w:cs="宋体" w:eastAsia="宋体" w:hint="default"/>
                <w:sz w:val="21"/>
                <w:szCs w:val="21"/>
              </w:rPr>
            </w:pPr>
            <w:r>
              <w:rPr>
                <w:rFonts w:ascii="宋体"/>
                <w:spacing w:val="-1"/>
                <w:sz w:val="21"/>
              </w:rPr>
              <w:t>84,162.89</w:t>
            </w:r>
            <w:r>
              <w:rPr>
                <w:rFonts w:ascii="宋体"/>
                <w:sz w:val="21"/>
              </w:rPr>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72,290.05</w:t>
            </w:r>
            <w:r>
              <w:rPr>
                <w:rFonts w:ascii="宋体"/>
                <w:sz w:val="21"/>
              </w:rPr>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52,071.15</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44,276.65</w:t>
            </w:r>
            <w:r>
              <w:rPr>
                <w:rFonts w:ascii="宋体"/>
                <w:sz w:val="21"/>
              </w:rPr>
            </w:r>
          </w:p>
        </w:tc>
      </w:tr>
      <w:tr>
        <w:trPr>
          <w:trHeight w:val="416" w:hRule="exact"/>
        </w:trPr>
        <w:tc>
          <w:tcPr>
            <w:tcW w:w="2005"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占营业收入比例</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21"/>
                <w:szCs w:val="21"/>
              </w:rPr>
            </w:pPr>
            <w:r>
              <w:rPr>
                <w:rFonts w:ascii="宋体"/>
                <w:sz w:val="21"/>
              </w:rPr>
              <w:t>12.06%</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21"/>
                <w:szCs w:val="21"/>
              </w:rPr>
            </w:pPr>
            <w:r>
              <w:rPr>
                <w:rFonts w:ascii="宋体"/>
                <w:sz w:val="21"/>
              </w:rPr>
              <w:t>11.80%</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9"/>
              <w:jc w:val="right"/>
              <w:rPr>
                <w:rFonts w:ascii="宋体" w:hAnsi="宋体" w:cs="宋体" w:eastAsia="宋体" w:hint="default"/>
                <w:sz w:val="21"/>
                <w:szCs w:val="21"/>
              </w:rPr>
            </w:pPr>
            <w:r>
              <w:rPr>
                <w:rFonts w:ascii="宋体"/>
                <w:sz w:val="21"/>
              </w:rPr>
              <w:t>11.35%</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21"/>
                <w:szCs w:val="21"/>
              </w:rPr>
            </w:pPr>
            <w:r>
              <w:rPr>
                <w:rFonts w:ascii="宋体"/>
                <w:sz w:val="21"/>
              </w:rPr>
              <w:t>11.27%</w:t>
            </w:r>
          </w:p>
        </w:tc>
      </w:tr>
    </w:tbl>
    <w:p>
      <w:pPr>
        <w:spacing w:line="240" w:lineRule="auto" w:before="1"/>
        <w:rPr>
          <w:rFonts w:ascii="宋体" w:hAnsi="宋体" w:cs="宋体" w:eastAsia="宋体" w:hint="default"/>
          <w:sz w:val="14"/>
          <w:szCs w:val="14"/>
        </w:rPr>
      </w:pPr>
    </w:p>
    <w:p>
      <w:pPr>
        <w:pStyle w:val="BodyText"/>
        <w:spacing w:line="408" w:lineRule="auto" w:before="35"/>
        <w:ind w:left="140" w:right="136" w:firstLine="420"/>
        <w:jc w:val="both"/>
      </w:pPr>
      <w:r>
        <w:rPr>
          <w:spacing w:val="-3"/>
        </w:rPr>
        <w:t>公司对于企业自行进行的研究开发项目，区分研究阶段与开发阶段两个部分分别进行核</w:t>
      </w:r>
      <w:r>
        <w:rPr/>
        <w:t> 算，开发阶段的支出符合条件的，予以资本化。2010年资本化金额为1,993.37万元。</w:t>
      </w:r>
    </w:p>
    <w:p>
      <w:pPr>
        <w:spacing w:line="240" w:lineRule="auto" w:before="6"/>
        <w:rPr>
          <w:rFonts w:ascii="宋体" w:hAnsi="宋体" w:cs="宋体" w:eastAsia="宋体" w:hint="default"/>
          <w:sz w:val="15"/>
          <w:szCs w:val="15"/>
        </w:rPr>
      </w:pPr>
    </w:p>
    <w:p>
      <w:pPr>
        <w:pStyle w:val="Heading2"/>
        <w:spacing w:line="240" w:lineRule="auto"/>
        <w:ind w:left="455" w:right="0"/>
        <w:jc w:val="left"/>
        <w:rPr>
          <w:b w:val="0"/>
          <w:bCs w:val="0"/>
        </w:rPr>
      </w:pPr>
      <w:r>
        <w:rPr/>
        <w:t>（六）公司核心竞争力</w:t>
      </w:r>
      <w:r>
        <w:rPr>
          <w:b w:val="0"/>
          <w:bCs w:val="0"/>
        </w:rPr>
      </w:r>
    </w:p>
    <w:p>
      <w:pPr>
        <w:spacing w:line="240" w:lineRule="auto" w:before="9"/>
        <w:rPr>
          <w:rFonts w:ascii="宋体" w:hAnsi="宋体" w:cs="宋体" w:eastAsia="宋体" w:hint="default"/>
          <w:b/>
          <w:bCs/>
          <w:sz w:val="26"/>
          <w:szCs w:val="26"/>
        </w:rPr>
      </w:pPr>
    </w:p>
    <w:p>
      <w:pPr>
        <w:pStyle w:val="BodyText"/>
        <w:spacing w:line="408" w:lineRule="auto"/>
        <w:ind w:left="140" w:right="136" w:firstLine="420"/>
        <w:jc w:val="both"/>
      </w:pPr>
      <w:r>
        <w:rPr>
          <w:spacing w:val="-3"/>
        </w:rPr>
        <w:t>公司的核心竞争力主要集中体现于市场品牌、客户资源、行业经验、技术与产品、人才</w:t>
      </w:r>
      <w:r>
        <w:rPr/>
        <w:t> 团队、服务等方面。报告期内，公司的上述竞争优势都不同程度地得到了提升。</w:t>
      </w:r>
    </w:p>
    <w:p>
      <w:pPr>
        <w:spacing w:line="240" w:lineRule="auto" w:before="6"/>
        <w:rPr>
          <w:rFonts w:ascii="宋体" w:hAnsi="宋体" w:cs="宋体" w:eastAsia="宋体" w:hint="default"/>
          <w:sz w:val="15"/>
          <w:szCs w:val="15"/>
        </w:rPr>
      </w:pPr>
    </w:p>
    <w:p>
      <w:pPr>
        <w:pStyle w:val="Heading2"/>
        <w:spacing w:line="240" w:lineRule="auto"/>
        <w:ind w:left="562" w:right="0"/>
        <w:jc w:val="left"/>
        <w:rPr>
          <w:b w:val="0"/>
          <w:bCs w:val="0"/>
        </w:rPr>
      </w:pPr>
      <w:r>
        <w:rPr/>
        <w:t>1、市场品牌与客户资源优势</w:t>
      </w:r>
      <w:r>
        <w:rPr>
          <w:b w:val="0"/>
          <w:bCs w:val="0"/>
        </w:rPr>
      </w:r>
    </w:p>
    <w:p>
      <w:pPr>
        <w:spacing w:line="240" w:lineRule="auto" w:before="9"/>
        <w:rPr>
          <w:rFonts w:ascii="宋体" w:hAnsi="宋体" w:cs="宋体" w:eastAsia="宋体" w:hint="default"/>
          <w:b/>
          <w:bCs/>
          <w:sz w:val="26"/>
          <w:szCs w:val="26"/>
        </w:rPr>
      </w:pPr>
    </w:p>
    <w:p>
      <w:pPr>
        <w:pStyle w:val="BodyText"/>
        <w:spacing w:line="408" w:lineRule="auto"/>
        <w:ind w:left="140" w:right="136" w:firstLine="420"/>
        <w:jc w:val="both"/>
      </w:pPr>
      <w:r>
        <w:rPr>
          <w:spacing w:val="-3"/>
        </w:rPr>
        <w:t>公司在多年的业务发展过程中积累了一批以电信行业为主，兼顾金融、政府、能源、交</w:t>
      </w:r>
      <w:r>
        <w:rPr/>
        <w:t> </w:t>
      </w:r>
      <w:r>
        <w:rPr>
          <w:spacing w:val="-3"/>
        </w:rPr>
        <w:t>通等行业中的大中型企业以及政府机构的优质客户资源，主要包括中国移动、中国联通、中</w:t>
      </w:r>
      <w:r>
        <w:rPr>
          <w:spacing w:val="-81"/>
        </w:rPr>
        <w:t> </w:t>
      </w:r>
      <w:r>
        <w:rPr>
          <w:spacing w:val="-81"/>
        </w:rPr>
      </w:r>
      <w:r>
        <w:rPr>
          <w:spacing w:val="-3"/>
        </w:rPr>
        <w:t>国电信、华为技术有限公司、人民银行、建设银行、中国人寿保险股份有限公司、上海证券</w:t>
      </w:r>
      <w:r>
        <w:rPr>
          <w:spacing w:val="-84"/>
        </w:rPr>
        <w:t> </w:t>
      </w:r>
      <w:r>
        <w:rPr>
          <w:spacing w:val="-84"/>
        </w:rPr>
      </w:r>
      <w:r>
        <w:rPr>
          <w:spacing w:val="-3"/>
        </w:rPr>
        <w:t>交易所、中国证券登记结算公司、中国海洋石油总公司、国家电网公司、国务院办公厅、全</w:t>
      </w:r>
      <w:r>
        <w:rPr>
          <w:spacing w:val="-84"/>
        </w:rPr>
        <w:t> </w:t>
      </w:r>
      <w:r>
        <w:rPr>
          <w:spacing w:val="-84"/>
        </w:rPr>
      </w:r>
      <w:r>
        <w:rPr/>
        <w:t>国政协办公厅、国家地震局、北京市人民政府、新华通讯社、中央人民广播电台等。</w:t>
      </w:r>
    </w:p>
    <w:p>
      <w:pPr>
        <w:spacing w:line="240" w:lineRule="auto" w:before="6"/>
        <w:rPr>
          <w:rFonts w:ascii="宋体" w:hAnsi="宋体" w:cs="宋体" w:eastAsia="宋体" w:hint="default"/>
          <w:sz w:val="15"/>
          <w:szCs w:val="15"/>
        </w:rPr>
      </w:pPr>
    </w:p>
    <w:p>
      <w:pPr>
        <w:pStyle w:val="BodyText"/>
        <w:spacing w:line="408" w:lineRule="auto"/>
        <w:ind w:left="140" w:right="136" w:firstLine="420"/>
        <w:jc w:val="both"/>
      </w:pPr>
      <w:r>
        <w:rPr>
          <w:spacing w:val="-3"/>
        </w:rPr>
        <w:t>公司的产品和服务在上述客户中得到了广泛应用，并得到了广泛的高度认同，在业内留</w:t>
      </w:r>
      <w:r>
        <w:rPr/>
        <w:t> </w:t>
      </w:r>
      <w:r>
        <w:rPr>
          <w:spacing w:val="-3"/>
        </w:rPr>
        <w:t>下了良好的口碑。良好的市场品牌和优质的客户资源，为公司进一步拓展新的市场空间、保</w:t>
      </w:r>
      <w:r>
        <w:rPr>
          <w:spacing w:val="-81"/>
        </w:rPr>
        <w:t> </w:t>
      </w:r>
      <w:r>
        <w:rPr>
          <w:spacing w:val="-81"/>
        </w:rPr>
      </w:r>
      <w:r>
        <w:rPr/>
        <w:t>持稳定的增长奠定了坚实的基础。</w:t>
      </w:r>
    </w:p>
    <w:p>
      <w:pPr>
        <w:spacing w:line="240" w:lineRule="auto" w:before="6"/>
        <w:rPr>
          <w:rFonts w:ascii="宋体" w:hAnsi="宋体" w:cs="宋体" w:eastAsia="宋体" w:hint="default"/>
          <w:sz w:val="15"/>
          <w:szCs w:val="15"/>
        </w:rPr>
      </w:pPr>
    </w:p>
    <w:p>
      <w:pPr>
        <w:pStyle w:val="BodyText"/>
        <w:spacing w:line="408" w:lineRule="auto"/>
        <w:ind w:left="140" w:right="135" w:firstLine="420"/>
        <w:jc w:val="both"/>
      </w:pPr>
      <w:r>
        <w:rPr>
          <w:spacing w:val="-3"/>
        </w:rPr>
        <w:t>2007年，公司被北京市人民政府、科学技术部和中国科学院联合认定为“中关村科技园</w:t>
      </w:r>
      <w:r>
        <w:rPr/>
        <w:t> </w:t>
      </w:r>
      <w:r>
        <w:rPr>
          <w:spacing w:val="-3"/>
        </w:rPr>
        <w:t>区创新型试点企业”；2008年，被中国中小商业企业协会、中国中小企业家年会组委会评为</w:t>
      </w:r>
      <w:r>
        <w:rPr>
          <w:spacing w:val="-77"/>
        </w:rPr>
        <w:t> </w:t>
      </w:r>
      <w:r>
        <w:rPr>
          <w:spacing w:val="-77"/>
        </w:rPr>
      </w:r>
      <w:r>
        <w:rPr/>
        <w:t>“2008中国科技创新型中小企业100强”；</w:t>
      </w:r>
      <w:r>
        <w:rPr>
          <w:spacing w:val="-24"/>
        </w:rPr>
        <w:t> </w:t>
      </w:r>
      <w:r>
        <w:rPr>
          <w:spacing w:val="-3"/>
        </w:rPr>
        <w:t>2009年，被中国软件行业协会评为“2009中国软</w:t>
      </w:r>
      <w:r>
        <w:rPr/>
        <w:t> 件产业脊梁企业”。</w:t>
      </w:r>
    </w:p>
    <w:p>
      <w:pPr>
        <w:spacing w:line="240" w:lineRule="auto" w:before="6"/>
        <w:rPr>
          <w:rFonts w:ascii="宋体" w:hAnsi="宋体" w:cs="宋体" w:eastAsia="宋体" w:hint="default"/>
          <w:sz w:val="15"/>
          <w:szCs w:val="15"/>
        </w:rPr>
      </w:pPr>
    </w:p>
    <w:p>
      <w:pPr>
        <w:pStyle w:val="Heading2"/>
        <w:spacing w:line="240" w:lineRule="auto"/>
        <w:ind w:left="562" w:right="0"/>
        <w:jc w:val="left"/>
        <w:rPr>
          <w:b w:val="0"/>
          <w:bCs w:val="0"/>
        </w:rPr>
      </w:pPr>
      <w:r>
        <w:rPr/>
        <w:t>2、行业经验优势</w:t>
      </w:r>
      <w:r>
        <w:rPr>
          <w:b w:val="0"/>
          <w:bCs w:val="0"/>
        </w:rPr>
      </w:r>
    </w:p>
    <w:p>
      <w:pPr>
        <w:spacing w:line="240" w:lineRule="auto" w:before="9"/>
        <w:rPr>
          <w:rFonts w:ascii="宋体" w:hAnsi="宋体" w:cs="宋体" w:eastAsia="宋体" w:hint="default"/>
          <w:b/>
          <w:bCs/>
          <w:sz w:val="26"/>
          <w:szCs w:val="26"/>
        </w:rPr>
      </w:pPr>
    </w:p>
    <w:p>
      <w:pPr>
        <w:pStyle w:val="BodyText"/>
        <w:spacing w:line="408" w:lineRule="auto"/>
        <w:ind w:left="140" w:right="136" w:firstLine="420"/>
        <w:jc w:val="both"/>
      </w:pPr>
      <w:r>
        <w:rPr>
          <w:spacing w:val="-3"/>
        </w:rPr>
        <w:t>公司拥有丰富的电信、金融、能源等行业和政府机构的运维管理项目实施经验，尤其是</w:t>
      </w:r>
      <w:r>
        <w:rPr/>
        <w:t> </w:t>
      </w:r>
      <w:r>
        <w:rPr>
          <w:spacing w:val="-3"/>
        </w:rPr>
        <w:t>在线关键业务IT运维管理的经验和方法论。作为电信运营商的重要合作伙伴，公司积累了丰</w:t>
      </w:r>
      <w:r>
        <w:rPr>
          <w:spacing w:val="-78"/>
        </w:rPr>
        <w:t> </w:t>
      </w:r>
      <w:r>
        <w:rPr>
          <w:spacing w:val="-78"/>
        </w:rPr>
      </w:r>
      <w:r>
        <w:rPr>
          <w:spacing w:val="-3"/>
        </w:rPr>
        <w:t>富的电信行业项目经验，多次参与电信运营商技术规范的制定，通过对电信运营商的运维需</w:t>
      </w:r>
      <w:r>
        <w:rPr>
          <w:spacing w:val="-79"/>
        </w:rPr>
        <w:t> </w:t>
      </w:r>
      <w:r>
        <w:rPr>
          <w:spacing w:val="-79"/>
        </w:rPr>
      </w:r>
      <w:r>
        <w:rPr>
          <w:spacing w:val="-3"/>
        </w:rPr>
        <w:t>求进行深入分析和梳理，积淀了丰富的实践经验并将其向其他行业推广，从而为其他行业的</w:t>
      </w:r>
    </w:p>
    <w:p>
      <w:pPr>
        <w:spacing w:after="0" w:line="408" w:lineRule="auto"/>
        <w:jc w:val="both"/>
        <w:sectPr>
          <w:pgSz w:w="11910" w:h="16840"/>
          <w:pgMar w:header="851" w:footer="982" w:top="1360" w:bottom="1180" w:left="1660" w:right="1660"/>
        </w:sectPr>
      </w:pPr>
    </w:p>
    <w:p>
      <w:pPr>
        <w:spacing w:line="240" w:lineRule="auto" w:before="2"/>
        <w:rPr>
          <w:rFonts w:ascii="宋体" w:hAnsi="宋体" w:cs="宋体" w:eastAsia="宋体" w:hint="default"/>
          <w:sz w:val="8"/>
          <w:szCs w:val="8"/>
        </w:rPr>
      </w:pPr>
    </w:p>
    <w:p>
      <w:pPr>
        <w:pStyle w:val="BodyText"/>
        <w:spacing w:line="240" w:lineRule="auto" w:before="35"/>
        <w:ind w:left="140" w:right="100"/>
        <w:jc w:val="left"/>
      </w:pPr>
      <w:r>
        <w:rPr/>
        <w:t>客户提供成熟优质的产品和服务。</w:t>
      </w:r>
    </w:p>
    <w:p>
      <w:pPr>
        <w:spacing w:line="240" w:lineRule="auto" w:before="9"/>
        <w:rPr>
          <w:rFonts w:ascii="宋体" w:hAnsi="宋体" w:cs="宋体" w:eastAsia="宋体" w:hint="default"/>
          <w:sz w:val="26"/>
          <w:szCs w:val="26"/>
        </w:rPr>
      </w:pPr>
    </w:p>
    <w:p>
      <w:pPr>
        <w:pStyle w:val="BodyText"/>
        <w:spacing w:line="408" w:lineRule="auto"/>
        <w:ind w:left="140" w:right="100" w:firstLine="420"/>
        <w:jc w:val="left"/>
      </w:pPr>
      <w:r>
        <w:rPr>
          <w:spacing w:val="-6"/>
        </w:rPr>
        <w:t>公司在飞信业务、农信通业务的开发运营实践中，积累了丰富的互联网开发及运营经验，</w:t>
      </w:r>
      <w:r>
        <w:rPr/>
        <w:t> </w:t>
      </w:r>
      <w:r>
        <w:rPr>
          <w:spacing w:val="-3"/>
        </w:rPr>
        <w:t>对于互联网业务的特点及未来发展有着较为深刻的理解，这些为公司在互联网领域的进一步</w:t>
      </w:r>
      <w:r>
        <w:rPr>
          <w:spacing w:val="-79"/>
        </w:rPr>
        <w:t> </w:t>
      </w:r>
      <w:r>
        <w:rPr>
          <w:spacing w:val="-79"/>
        </w:rPr>
      </w:r>
      <w:r>
        <w:rPr/>
        <w:t>拓展打下了坚实基础。</w:t>
      </w:r>
    </w:p>
    <w:p>
      <w:pPr>
        <w:spacing w:line="240" w:lineRule="auto" w:before="7"/>
        <w:rPr>
          <w:rFonts w:ascii="宋体" w:hAnsi="宋体" w:cs="宋体" w:eastAsia="宋体" w:hint="default"/>
          <w:sz w:val="15"/>
          <w:szCs w:val="15"/>
        </w:rPr>
      </w:pPr>
    </w:p>
    <w:p>
      <w:pPr>
        <w:pStyle w:val="Heading2"/>
        <w:spacing w:line="240" w:lineRule="auto"/>
        <w:ind w:left="562" w:right="100"/>
        <w:jc w:val="left"/>
        <w:rPr>
          <w:b w:val="0"/>
          <w:bCs w:val="0"/>
        </w:rPr>
      </w:pPr>
      <w:r>
        <w:rPr/>
        <w:t>3、技术与产品优势</w:t>
      </w:r>
      <w:r>
        <w:rPr>
          <w:b w:val="0"/>
          <w:bCs w:val="0"/>
        </w:rPr>
      </w:r>
    </w:p>
    <w:p>
      <w:pPr>
        <w:spacing w:line="240" w:lineRule="auto" w:before="8"/>
        <w:rPr>
          <w:rFonts w:ascii="宋体" w:hAnsi="宋体" w:cs="宋体" w:eastAsia="宋体" w:hint="default"/>
          <w:b/>
          <w:bCs/>
          <w:sz w:val="26"/>
          <w:szCs w:val="26"/>
        </w:rPr>
      </w:pPr>
    </w:p>
    <w:p>
      <w:pPr>
        <w:pStyle w:val="BodyText"/>
        <w:spacing w:line="408" w:lineRule="auto"/>
        <w:ind w:left="139" w:right="122" w:firstLine="420"/>
        <w:jc w:val="both"/>
      </w:pPr>
      <w:r>
        <w:rPr/>
        <w:t>（1）公司既有强大的项目实施团队也有专业产品研发团队，基于从用户或市场中不断 </w:t>
      </w:r>
      <w:r>
        <w:rPr>
          <w:spacing w:val="-3"/>
        </w:rPr>
        <w:t>提炼出的需求，通过实施和研发部门的快速互动，形成了良性的技术和产品水平不断提升和</w:t>
      </w:r>
      <w:r>
        <w:rPr>
          <w:spacing w:val="-79"/>
        </w:rPr>
        <w:t> </w:t>
      </w:r>
      <w:r>
        <w:rPr>
          <w:spacing w:val="-79"/>
        </w:rPr>
      </w:r>
      <w:r>
        <w:rPr/>
        <w:t>创新的机制。截至2010年末，公司及其控股子公司合计拥有160项计算机软件著作权，多项</w:t>
      </w:r>
      <w:r>
        <w:rPr/>
        <w:t> 软件产品荣获了相关主管机构和社会知名团体的多项荣誉，充分体现了公司自主创新能力。</w:t>
      </w:r>
    </w:p>
    <w:p>
      <w:pPr>
        <w:spacing w:line="240" w:lineRule="auto" w:before="6"/>
        <w:rPr>
          <w:rFonts w:ascii="宋体" w:hAnsi="宋体" w:cs="宋体" w:eastAsia="宋体" w:hint="default"/>
          <w:sz w:val="15"/>
          <w:szCs w:val="15"/>
        </w:rPr>
      </w:pPr>
    </w:p>
    <w:p>
      <w:pPr>
        <w:pStyle w:val="BodyText"/>
        <w:spacing w:line="408" w:lineRule="auto"/>
        <w:ind w:left="139" w:right="105" w:firstLine="420"/>
        <w:jc w:val="left"/>
      </w:pPr>
      <w:r>
        <w:rPr/>
        <w:t>（2）公司长期紧密跟踪运维管理的技术发展趋势，深度挖掘客户对IT系统（尤其在线 </w:t>
      </w:r>
      <w:r>
        <w:rPr>
          <w:spacing w:val="-3"/>
        </w:rPr>
        <w:t>关键业务IT应用系统）的运维管理需求，形成了一系列独特的软件产品和方法论。技术水平</w:t>
      </w:r>
      <w:r>
        <w:rPr>
          <w:spacing w:val="-78"/>
        </w:rPr>
        <w:t> </w:t>
      </w:r>
      <w:r>
        <w:rPr>
          <w:spacing w:val="-78"/>
        </w:rPr>
      </w:r>
      <w:r>
        <w:rPr>
          <w:spacing w:val="-3"/>
        </w:rPr>
        <w:t>在国内处于领先地位，即使与IBM、HP、BMC、CA等国际厂商相比，在可靠性、丰富性、独特</w:t>
      </w:r>
      <w:r>
        <w:rPr>
          <w:spacing w:val="-70"/>
        </w:rPr>
        <w:t> </w:t>
      </w:r>
      <w:r>
        <w:rPr>
          <w:spacing w:val="-70"/>
        </w:rPr>
      </w:r>
      <w:r>
        <w:rPr>
          <w:spacing w:val="-3"/>
        </w:rPr>
        <w:t>性和创新性等方面也形成了有力竞争并局部有所超越，公司所提供的解决方案符合国内外的</w:t>
      </w:r>
      <w:r>
        <w:rPr>
          <w:spacing w:val="-79"/>
        </w:rPr>
        <w:t> </w:t>
      </w:r>
      <w:r>
        <w:rPr>
          <w:spacing w:val="-79"/>
        </w:rPr>
      </w:r>
      <w:r>
        <w:rPr/>
        <w:t>相关标准与规范，在理论基础和系统架构上均达到国际一流水平；与国内同行业厂商比较， 公司的产品在上述各方面均具有一定的领先优势。</w:t>
      </w:r>
    </w:p>
    <w:p>
      <w:pPr>
        <w:spacing w:line="240" w:lineRule="auto" w:before="6"/>
        <w:rPr>
          <w:rFonts w:ascii="宋体" w:hAnsi="宋体" w:cs="宋体" w:eastAsia="宋体" w:hint="default"/>
          <w:sz w:val="15"/>
          <w:szCs w:val="15"/>
        </w:rPr>
      </w:pPr>
    </w:p>
    <w:p>
      <w:pPr>
        <w:pStyle w:val="BodyText"/>
        <w:spacing w:line="408" w:lineRule="auto"/>
        <w:ind w:left="139" w:right="216" w:firstLine="420"/>
        <w:jc w:val="both"/>
      </w:pPr>
      <w:r>
        <w:rPr/>
        <w:t>（3）公司及新媒传信连续多年均被认定为国家规划布局内重点软件企业，同时公司具 备计算机系统集成一级资质、国家信息安全认证服务二级资质、ISO20000</w:t>
      </w:r>
      <w:r>
        <w:rPr>
          <w:spacing w:val="-1"/>
        </w:rPr>
        <w:t> </w:t>
      </w:r>
      <w:r>
        <w:rPr/>
        <w:t>IT服务管理国际</w:t>
      </w:r>
      <w:r>
        <w:rPr/>
        <w:t> 标准认证、软件能力成熟度模型集成（CMMI L3）三级认证、ISO9001:2000质量管理体系认 证等多项资质。</w:t>
      </w:r>
    </w:p>
    <w:p>
      <w:pPr>
        <w:spacing w:line="240" w:lineRule="auto" w:before="6"/>
        <w:rPr>
          <w:rFonts w:ascii="宋体" w:hAnsi="宋体" w:cs="宋体" w:eastAsia="宋体" w:hint="default"/>
          <w:sz w:val="15"/>
          <w:szCs w:val="15"/>
        </w:rPr>
      </w:pPr>
    </w:p>
    <w:p>
      <w:pPr>
        <w:pStyle w:val="Heading2"/>
        <w:spacing w:line="240" w:lineRule="auto"/>
        <w:ind w:left="562" w:right="100"/>
        <w:jc w:val="left"/>
        <w:rPr>
          <w:b w:val="0"/>
          <w:bCs w:val="0"/>
        </w:rPr>
      </w:pPr>
      <w:r>
        <w:rPr/>
        <w:t>4、人才团队优势</w:t>
      </w:r>
      <w:r>
        <w:rPr>
          <w:b w:val="0"/>
          <w:bCs w:val="0"/>
        </w:rPr>
      </w:r>
    </w:p>
    <w:p>
      <w:pPr>
        <w:spacing w:line="240" w:lineRule="auto" w:before="9"/>
        <w:rPr>
          <w:rFonts w:ascii="宋体" w:hAnsi="宋体" w:cs="宋体" w:eastAsia="宋体" w:hint="default"/>
          <w:b/>
          <w:bCs/>
          <w:sz w:val="26"/>
          <w:szCs w:val="26"/>
        </w:rPr>
      </w:pPr>
    </w:p>
    <w:p>
      <w:pPr>
        <w:pStyle w:val="BodyText"/>
        <w:spacing w:line="408" w:lineRule="auto"/>
        <w:ind w:left="139" w:right="215" w:firstLine="420"/>
        <w:jc w:val="both"/>
      </w:pPr>
      <w:r>
        <w:rPr>
          <w:spacing w:val="-3"/>
        </w:rPr>
        <w:t>公司拥有稳定的核心管理团队和优秀的技术团队。核心管理团队保持稳定且具有丰富的</w:t>
      </w:r>
      <w:r>
        <w:rPr/>
        <w:t> </w:t>
      </w:r>
      <w:r>
        <w:rPr>
          <w:spacing w:val="-3"/>
        </w:rPr>
        <w:t>运维管理市场经验、互联网运营经验和企业管理能力，对运维管理行业、互联网行业的业务</w:t>
      </w:r>
      <w:r>
        <w:rPr>
          <w:spacing w:val="-81"/>
        </w:rPr>
        <w:t> </w:t>
      </w:r>
      <w:r>
        <w:rPr>
          <w:spacing w:val="-81"/>
        </w:rPr>
      </w:r>
      <w:r>
        <w:rPr>
          <w:spacing w:val="-3"/>
        </w:rPr>
        <w:t>发展趋势具有深刻理解，截至2010年12月，公司人员规模近3500人左右，其中技术研发人员</w:t>
      </w:r>
      <w:r>
        <w:rPr>
          <w:spacing w:val="-70"/>
        </w:rPr>
        <w:t> </w:t>
      </w:r>
      <w:r>
        <w:rPr>
          <w:spacing w:val="-70"/>
        </w:rPr>
      </w:r>
      <w:r>
        <w:rPr/>
        <w:t>占到员工总数的90%左右。</w:t>
      </w:r>
    </w:p>
    <w:p>
      <w:pPr>
        <w:spacing w:line="240" w:lineRule="auto" w:before="6"/>
        <w:rPr>
          <w:rFonts w:ascii="宋体" w:hAnsi="宋体" w:cs="宋体" w:eastAsia="宋体" w:hint="default"/>
          <w:sz w:val="15"/>
          <w:szCs w:val="15"/>
        </w:rPr>
      </w:pPr>
    </w:p>
    <w:p>
      <w:pPr>
        <w:pStyle w:val="Heading2"/>
        <w:spacing w:line="240" w:lineRule="auto"/>
        <w:ind w:left="562" w:right="100"/>
        <w:jc w:val="left"/>
        <w:rPr>
          <w:b w:val="0"/>
          <w:bCs w:val="0"/>
        </w:rPr>
      </w:pPr>
      <w:r>
        <w:rPr/>
        <w:t>5、服务优势</w:t>
      </w:r>
      <w:r>
        <w:rPr>
          <w:b w:val="0"/>
          <w:bCs w:val="0"/>
        </w:rPr>
      </w:r>
    </w:p>
    <w:p>
      <w:pPr>
        <w:spacing w:line="240" w:lineRule="auto" w:before="9"/>
        <w:rPr>
          <w:rFonts w:ascii="宋体" w:hAnsi="宋体" w:cs="宋体" w:eastAsia="宋体" w:hint="default"/>
          <w:b/>
          <w:bCs/>
          <w:sz w:val="26"/>
          <w:szCs w:val="26"/>
        </w:rPr>
      </w:pPr>
    </w:p>
    <w:p>
      <w:pPr>
        <w:pStyle w:val="BodyText"/>
        <w:spacing w:line="408" w:lineRule="auto"/>
        <w:ind w:left="139" w:right="100" w:firstLine="420"/>
        <w:jc w:val="left"/>
      </w:pPr>
      <w:r>
        <w:rPr>
          <w:spacing w:val="-3"/>
        </w:rPr>
        <w:t>公司具备快速的产品提炼能力、快速的反应能力、持续的服务能力和综合性的支持服务</w:t>
      </w:r>
      <w:r>
        <w:rPr/>
        <w:t> </w:t>
      </w:r>
      <w:r>
        <w:rPr>
          <w:spacing w:val="-3"/>
        </w:rPr>
        <w:t>能力以及多样的服务形式。凭借多年来在运维管理行业、互联网行业的实践经验积累，能快</w:t>
      </w:r>
    </w:p>
    <w:p>
      <w:pPr>
        <w:spacing w:after="0" w:line="408" w:lineRule="auto"/>
        <w:jc w:val="left"/>
        <w:sectPr>
          <w:pgSz w:w="11910" w:h="16840"/>
          <w:pgMar w:header="851" w:footer="982" w:top="1360" w:bottom="1180" w:left="1660" w:right="1580"/>
        </w:sectPr>
      </w:pPr>
    </w:p>
    <w:p>
      <w:pPr>
        <w:spacing w:line="240" w:lineRule="auto" w:before="2"/>
        <w:rPr>
          <w:rFonts w:ascii="宋体" w:hAnsi="宋体" w:cs="宋体" w:eastAsia="宋体" w:hint="default"/>
          <w:sz w:val="8"/>
          <w:szCs w:val="8"/>
        </w:rPr>
      </w:pPr>
    </w:p>
    <w:p>
      <w:pPr>
        <w:pStyle w:val="BodyText"/>
        <w:spacing w:line="408" w:lineRule="auto" w:before="35"/>
        <w:ind w:left="720" w:right="709"/>
        <w:jc w:val="left"/>
      </w:pPr>
      <w:r>
        <w:rPr>
          <w:spacing w:val="-3"/>
        </w:rPr>
        <w:t>速分析市场及客户的需求、形成解决方案或产品，为客户提供多方位的、高质量的技术开发</w:t>
      </w:r>
      <w:r>
        <w:rPr>
          <w:spacing w:val="-81"/>
        </w:rPr>
        <w:t> </w:t>
      </w:r>
      <w:r>
        <w:rPr>
          <w:spacing w:val="-81"/>
        </w:rPr>
      </w:r>
      <w:r>
        <w:rPr/>
        <w:t>与面向业务运营的运维支撑服务。</w:t>
      </w:r>
    </w:p>
    <w:p>
      <w:pPr>
        <w:spacing w:line="240" w:lineRule="auto" w:before="6"/>
        <w:rPr>
          <w:rFonts w:ascii="宋体" w:hAnsi="宋体" w:cs="宋体" w:eastAsia="宋体" w:hint="default"/>
          <w:sz w:val="15"/>
          <w:szCs w:val="15"/>
        </w:rPr>
      </w:pPr>
    </w:p>
    <w:p>
      <w:pPr>
        <w:spacing w:line="544" w:lineRule="auto" w:before="0"/>
        <w:ind w:left="1140" w:right="2284" w:hanging="105"/>
        <w:jc w:val="left"/>
        <w:rPr>
          <w:rFonts w:ascii="宋体" w:hAnsi="宋体" w:cs="宋体" w:eastAsia="宋体" w:hint="default"/>
          <w:sz w:val="21"/>
          <w:szCs w:val="21"/>
        </w:rPr>
      </w:pPr>
      <w:r>
        <w:rPr>
          <w:rFonts w:ascii="宋体" w:hAnsi="宋体" w:cs="宋体" w:eastAsia="宋体" w:hint="default"/>
          <w:b/>
          <w:bCs/>
          <w:sz w:val="21"/>
          <w:szCs w:val="21"/>
        </w:rPr>
        <w:t>（七）主要子公司及参股公司的经营情况及业绩</w:t>
      </w:r>
      <w:r>
        <w:rPr>
          <w:rFonts w:ascii="宋体" w:hAnsi="宋体" w:cs="宋体" w:eastAsia="宋体" w:hint="default"/>
          <w:b/>
          <w:bCs/>
          <w:w w:val="99"/>
          <w:sz w:val="21"/>
          <w:szCs w:val="21"/>
        </w:rPr>
        <w:t> </w:t>
      </w:r>
      <w:r>
        <w:rPr>
          <w:rFonts w:ascii="宋体" w:hAnsi="宋体" w:cs="宋体" w:eastAsia="宋体" w:hint="default"/>
          <w:b/>
          <w:bCs/>
          <w:sz w:val="21"/>
          <w:szCs w:val="21"/>
        </w:rPr>
        <w:t>1、子公司经营情况及业绩</w:t>
      </w:r>
      <w:r>
        <w:rPr>
          <w:rFonts w:ascii="宋体" w:hAnsi="宋体" w:cs="宋体" w:eastAsia="宋体" w:hint="default"/>
          <w:b/>
          <w:bCs/>
          <w:w w:val="99"/>
          <w:sz w:val="21"/>
          <w:szCs w:val="21"/>
        </w:rPr>
        <w:t> </w:t>
      </w:r>
      <w:r>
        <w:rPr>
          <w:rFonts w:ascii="宋体" w:hAnsi="宋体" w:cs="宋体" w:eastAsia="宋体" w:hint="default"/>
          <w:sz w:val="21"/>
          <w:szCs w:val="21"/>
        </w:rPr>
        <w:t>报告期内，公司控股子公司均纳入合并范围，子公司经营情况如下：</w:t>
      </w:r>
    </w:p>
    <w:p>
      <w:pPr>
        <w:pStyle w:val="BodyText"/>
        <w:spacing w:line="240" w:lineRule="auto" w:before="82"/>
        <w:ind w:left="0" w:right="715"/>
        <w:jc w:val="right"/>
      </w:pPr>
      <w:r>
        <w:rPr/>
        <w:t>单位</w:t>
      </w:r>
      <w:r>
        <w:rPr>
          <w:spacing w:val="-94"/>
        </w:rPr>
        <w:t>：</w:t>
      </w:r>
      <w:r>
        <w:rPr/>
        <w:t>元</w:t>
      </w:r>
    </w:p>
    <w:p>
      <w:pPr>
        <w:spacing w:line="240" w:lineRule="auto" w:before="13"/>
        <w:rPr>
          <w:rFonts w:ascii="宋体" w:hAnsi="宋体" w:cs="宋体" w:eastAsia="宋体" w:hint="default"/>
          <w:sz w:val="9"/>
          <w:szCs w:val="9"/>
        </w:rPr>
      </w:pPr>
    </w:p>
    <w:tbl>
      <w:tblPr>
        <w:tblW w:w="0" w:type="auto"/>
        <w:jc w:val="left"/>
        <w:tblInd w:w="111" w:type="dxa"/>
        <w:tblLayout w:type="fixed"/>
        <w:tblCellMar>
          <w:top w:w="0" w:type="dxa"/>
          <w:left w:w="0" w:type="dxa"/>
          <w:bottom w:w="0" w:type="dxa"/>
          <w:right w:w="0" w:type="dxa"/>
        </w:tblCellMar>
        <w:tblLook w:val="01E0"/>
      </w:tblPr>
      <w:tblGrid>
        <w:gridCol w:w="696"/>
        <w:gridCol w:w="1489"/>
        <w:gridCol w:w="1298"/>
        <w:gridCol w:w="1878"/>
        <w:gridCol w:w="1686"/>
        <w:gridCol w:w="952"/>
        <w:gridCol w:w="1514"/>
      </w:tblGrid>
      <w:tr>
        <w:trPr>
          <w:trHeight w:val="633" w:hRule="exact"/>
        </w:trPr>
        <w:tc>
          <w:tcPr>
            <w:tcW w:w="696"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序号</w:t>
            </w:r>
          </w:p>
        </w:tc>
        <w:tc>
          <w:tcPr>
            <w:tcW w:w="1489"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41"/>
              <w:ind w:left="1" w:right="0"/>
              <w:jc w:val="center"/>
              <w:rPr>
                <w:rFonts w:ascii="宋体" w:hAnsi="宋体" w:cs="宋体" w:eastAsia="宋体" w:hint="default"/>
                <w:sz w:val="21"/>
                <w:szCs w:val="21"/>
              </w:rPr>
            </w:pPr>
            <w:r>
              <w:rPr>
                <w:rFonts w:ascii="宋体" w:hAnsi="宋体" w:cs="宋体" w:eastAsia="宋体" w:hint="default"/>
                <w:sz w:val="21"/>
                <w:szCs w:val="21"/>
              </w:rPr>
              <w:t>公司名称</w:t>
            </w:r>
          </w:p>
        </w:tc>
        <w:tc>
          <w:tcPr>
            <w:tcW w:w="129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41"/>
              <w:ind w:left="224" w:right="0"/>
              <w:jc w:val="left"/>
              <w:rPr>
                <w:rFonts w:ascii="宋体" w:hAnsi="宋体" w:cs="宋体" w:eastAsia="宋体" w:hint="default"/>
                <w:sz w:val="21"/>
                <w:szCs w:val="21"/>
              </w:rPr>
            </w:pPr>
            <w:r>
              <w:rPr>
                <w:rFonts w:ascii="宋体" w:hAnsi="宋体" w:cs="宋体" w:eastAsia="宋体" w:hint="default"/>
                <w:sz w:val="21"/>
                <w:szCs w:val="21"/>
              </w:rPr>
              <w:t>持股比例</w:t>
            </w:r>
          </w:p>
        </w:tc>
        <w:tc>
          <w:tcPr>
            <w:tcW w:w="187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41"/>
              <w:ind w:left="277"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年净利润</w:t>
            </w:r>
          </w:p>
        </w:tc>
        <w:tc>
          <w:tcPr>
            <w:tcW w:w="1686"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41"/>
              <w:ind w:left="181"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年净利润</w:t>
            </w:r>
          </w:p>
        </w:tc>
        <w:tc>
          <w:tcPr>
            <w:tcW w:w="952"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60" w:lineRule="exact"/>
              <w:ind w:left="156" w:right="0"/>
              <w:jc w:val="left"/>
              <w:rPr>
                <w:rFonts w:ascii="宋体" w:hAnsi="宋体" w:cs="宋体" w:eastAsia="宋体" w:hint="default"/>
                <w:sz w:val="21"/>
                <w:szCs w:val="21"/>
              </w:rPr>
            </w:pPr>
            <w:r>
              <w:rPr>
                <w:rFonts w:ascii="宋体" w:hAnsi="宋体" w:cs="宋体" w:eastAsia="宋体" w:hint="default"/>
                <w:sz w:val="21"/>
                <w:szCs w:val="21"/>
              </w:rPr>
              <w:t>同比变</w:t>
            </w:r>
          </w:p>
          <w:p>
            <w:pPr>
              <w:pStyle w:val="TableParagraph"/>
              <w:spacing w:line="240" w:lineRule="auto" w:before="37"/>
              <w:ind w:left="156" w:right="0"/>
              <w:jc w:val="left"/>
              <w:rPr>
                <w:rFonts w:ascii="宋体" w:hAnsi="宋体" w:cs="宋体" w:eastAsia="宋体" w:hint="default"/>
                <w:sz w:val="21"/>
                <w:szCs w:val="21"/>
              </w:rPr>
            </w:pPr>
            <w:r>
              <w:rPr>
                <w:rFonts w:ascii="宋体" w:hAnsi="宋体" w:cs="宋体" w:eastAsia="宋体" w:hint="default"/>
                <w:sz w:val="21"/>
                <w:szCs w:val="21"/>
              </w:rPr>
              <w:t>动比例</w:t>
            </w:r>
          </w:p>
        </w:tc>
        <w:tc>
          <w:tcPr>
            <w:tcW w:w="1514"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60" w:lineRule="exact"/>
              <w:ind w:left="175" w:right="0" w:hanging="53"/>
              <w:jc w:val="left"/>
              <w:rPr>
                <w:rFonts w:ascii="宋体" w:hAnsi="宋体" w:cs="宋体" w:eastAsia="宋体" w:hint="default"/>
                <w:sz w:val="21"/>
                <w:szCs w:val="21"/>
              </w:rPr>
            </w:pPr>
            <w:r>
              <w:rPr>
                <w:rFonts w:ascii="宋体" w:hAnsi="宋体" w:cs="宋体" w:eastAsia="宋体" w:hint="default"/>
                <w:sz w:val="21"/>
                <w:szCs w:val="21"/>
              </w:rPr>
              <w:t>对合并净利润</w:t>
            </w:r>
          </w:p>
          <w:p>
            <w:pPr>
              <w:pStyle w:val="TableParagraph"/>
              <w:spacing w:line="240" w:lineRule="auto" w:before="37"/>
              <w:ind w:left="175" w:right="0"/>
              <w:jc w:val="left"/>
              <w:rPr>
                <w:rFonts w:ascii="宋体" w:hAnsi="宋体" w:cs="宋体" w:eastAsia="宋体" w:hint="default"/>
                <w:sz w:val="21"/>
                <w:szCs w:val="21"/>
              </w:rPr>
            </w:pPr>
            <w:r>
              <w:rPr>
                <w:rFonts w:ascii="宋体" w:hAnsi="宋体" w:cs="宋体" w:eastAsia="宋体" w:hint="default"/>
                <w:sz w:val="21"/>
                <w:szCs w:val="21"/>
              </w:rPr>
              <w:t>的影响比例%</w:t>
            </w:r>
          </w:p>
        </w:tc>
      </w:tr>
      <w:tr>
        <w:trPr>
          <w:trHeight w:val="323" w:hRule="exact"/>
        </w:trPr>
        <w:tc>
          <w:tcPr>
            <w:tcW w:w="696"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60" w:lineRule="exact"/>
              <w:ind w:right="0"/>
              <w:jc w:val="center"/>
              <w:rPr>
                <w:rFonts w:ascii="宋体" w:hAnsi="宋体" w:cs="宋体" w:eastAsia="宋体" w:hint="default"/>
                <w:sz w:val="21"/>
                <w:szCs w:val="21"/>
              </w:rPr>
            </w:pPr>
            <w:r>
              <w:rPr>
                <w:rFonts w:ascii="宋体"/>
                <w:sz w:val="21"/>
              </w:rPr>
              <w:t>1</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新媒传信</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z w:val="21"/>
              </w:rPr>
              <w:t>100%</w:t>
            </w:r>
          </w:p>
        </w:tc>
        <w:tc>
          <w:tcPr>
            <w:tcW w:w="187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0"/>
              <w:jc w:val="right"/>
              <w:rPr>
                <w:rFonts w:ascii="宋体" w:hAnsi="宋体" w:cs="宋体" w:eastAsia="宋体" w:hint="default"/>
                <w:sz w:val="21"/>
                <w:szCs w:val="21"/>
              </w:rPr>
            </w:pPr>
            <w:r>
              <w:rPr>
                <w:rFonts w:ascii="宋体"/>
                <w:sz w:val="21"/>
              </w:rPr>
              <w:t>195,310,680.66</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2"/>
              <w:jc w:val="right"/>
              <w:rPr>
                <w:rFonts w:ascii="宋体" w:hAnsi="宋体" w:cs="宋体" w:eastAsia="宋体" w:hint="default"/>
                <w:sz w:val="21"/>
                <w:szCs w:val="21"/>
              </w:rPr>
            </w:pPr>
            <w:r>
              <w:rPr>
                <w:rFonts w:ascii="宋体"/>
                <w:spacing w:val="-1"/>
                <w:sz w:val="21"/>
              </w:rPr>
              <w:t>181,707,045.03</w:t>
            </w:r>
            <w:r>
              <w:rPr>
                <w:rFonts w:ascii="宋体"/>
                <w:sz w:val="21"/>
              </w:rPr>
            </w:r>
          </w:p>
        </w:tc>
        <w:tc>
          <w:tcPr>
            <w:tcW w:w="95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0"/>
              <w:jc w:val="right"/>
              <w:rPr>
                <w:rFonts w:ascii="宋体" w:hAnsi="宋体" w:cs="宋体" w:eastAsia="宋体" w:hint="default"/>
                <w:sz w:val="21"/>
                <w:szCs w:val="21"/>
              </w:rPr>
            </w:pPr>
            <w:r>
              <w:rPr>
                <w:rFonts w:ascii="宋体"/>
                <w:sz w:val="21"/>
              </w:rPr>
              <w:t>7.49%</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0"/>
              <w:jc w:val="right"/>
              <w:rPr>
                <w:rFonts w:ascii="宋体" w:hAnsi="宋体" w:cs="宋体" w:eastAsia="宋体" w:hint="default"/>
                <w:sz w:val="21"/>
                <w:szCs w:val="21"/>
              </w:rPr>
            </w:pPr>
            <w:r>
              <w:rPr>
                <w:rFonts w:ascii="宋体"/>
                <w:sz w:val="21"/>
              </w:rPr>
              <w:t>59.56%</w:t>
            </w:r>
          </w:p>
        </w:tc>
      </w:tr>
      <w:tr>
        <w:trPr>
          <w:trHeight w:val="324" w:hRule="exact"/>
        </w:trPr>
        <w:tc>
          <w:tcPr>
            <w:tcW w:w="696"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60" w:lineRule="exact"/>
              <w:ind w:right="0"/>
              <w:jc w:val="center"/>
              <w:rPr>
                <w:rFonts w:ascii="宋体" w:hAnsi="宋体" w:cs="宋体" w:eastAsia="宋体" w:hint="default"/>
                <w:sz w:val="21"/>
                <w:szCs w:val="21"/>
              </w:rPr>
            </w:pPr>
            <w:r>
              <w:rPr>
                <w:rFonts w:ascii="宋体"/>
                <w:sz w:val="21"/>
              </w:rPr>
              <w:t>2</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互联时代</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2"/>
              <w:jc w:val="right"/>
              <w:rPr>
                <w:rFonts w:ascii="宋体" w:hAnsi="宋体" w:cs="宋体" w:eastAsia="宋体" w:hint="default"/>
                <w:sz w:val="21"/>
                <w:szCs w:val="21"/>
              </w:rPr>
            </w:pPr>
            <w:r>
              <w:rPr>
                <w:rFonts w:ascii="宋体"/>
                <w:sz w:val="21"/>
              </w:rPr>
              <w:t>100%</w:t>
            </w:r>
          </w:p>
        </w:tc>
        <w:tc>
          <w:tcPr>
            <w:tcW w:w="187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2"/>
              <w:jc w:val="right"/>
              <w:rPr>
                <w:rFonts w:ascii="宋体" w:hAnsi="宋体" w:cs="宋体" w:eastAsia="宋体" w:hint="default"/>
                <w:sz w:val="21"/>
                <w:szCs w:val="21"/>
              </w:rPr>
            </w:pPr>
            <w:r>
              <w:rPr>
                <w:rFonts w:ascii="宋体"/>
                <w:sz w:val="21"/>
              </w:rPr>
              <w:t>-1,579,492.12</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99"/>
              <w:jc w:val="right"/>
              <w:rPr>
                <w:rFonts w:ascii="宋体" w:hAnsi="宋体" w:cs="宋体" w:eastAsia="宋体" w:hint="default"/>
                <w:sz w:val="21"/>
                <w:szCs w:val="21"/>
              </w:rPr>
            </w:pPr>
            <w:r>
              <w:rPr>
                <w:rFonts w:ascii="宋体"/>
                <w:sz w:val="21"/>
              </w:rPr>
              <w:t>-379,148.06</w:t>
            </w:r>
          </w:p>
        </w:tc>
        <w:tc>
          <w:tcPr>
            <w:tcW w:w="95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0"/>
              <w:jc w:val="right"/>
              <w:rPr>
                <w:rFonts w:ascii="宋体" w:hAnsi="宋体" w:cs="宋体" w:eastAsia="宋体" w:hint="default"/>
                <w:sz w:val="21"/>
                <w:szCs w:val="21"/>
              </w:rPr>
            </w:pPr>
            <w:r>
              <w:rPr>
                <w:rFonts w:ascii="宋体"/>
                <w:sz w:val="21"/>
              </w:rPr>
              <w:t>316.59%</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z w:val="21"/>
              </w:rPr>
              <w:t>-0.48%</w:t>
            </w:r>
          </w:p>
        </w:tc>
      </w:tr>
      <w:tr>
        <w:trPr>
          <w:trHeight w:val="323" w:hRule="exact"/>
        </w:trPr>
        <w:tc>
          <w:tcPr>
            <w:tcW w:w="696"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60" w:lineRule="exact"/>
              <w:ind w:right="0"/>
              <w:jc w:val="center"/>
              <w:rPr>
                <w:rFonts w:ascii="宋体" w:hAnsi="宋体" w:cs="宋体" w:eastAsia="宋体" w:hint="default"/>
                <w:sz w:val="21"/>
                <w:szCs w:val="21"/>
              </w:rPr>
            </w:pPr>
            <w:r>
              <w:rPr>
                <w:rFonts w:ascii="宋体"/>
                <w:sz w:val="21"/>
              </w:rPr>
              <w:t>3</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0"/>
              <w:jc w:val="center"/>
              <w:rPr>
                <w:rFonts w:ascii="宋体" w:hAnsi="宋体" w:cs="宋体" w:eastAsia="宋体" w:hint="default"/>
                <w:sz w:val="21"/>
                <w:szCs w:val="21"/>
              </w:rPr>
            </w:pPr>
            <w:r>
              <w:rPr>
                <w:rFonts w:ascii="宋体" w:hAnsi="宋体" w:cs="宋体" w:eastAsia="宋体" w:hint="default"/>
                <w:sz w:val="21"/>
                <w:szCs w:val="21"/>
              </w:rPr>
              <w:t>重庆新媒农信</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0"/>
              <w:jc w:val="right"/>
              <w:rPr>
                <w:rFonts w:ascii="宋体" w:hAnsi="宋体" w:cs="宋体" w:eastAsia="宋体" w:hint="default"/>
                <w:sz w:val="21"/>
                <w:szCs w:val="21"/>
              </w:rPr>
            </w:pPr>
            <w:r>
              <w:rPr>
                <w:rFonts w:ascii="宋体"/>
                <w:sz w:val="21"/>
              </w:rPr>
              <w:t>100%</w:t>
            </w:r>
          </w:p>
        </w:tc>
        <w:tc>
          <w:tcPr>
            <w:tcW w:w="187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0"/>
              <w:jc w:val="right"/>
              <w:rPr>
                <w:rFonts w:ascii="宋体" w:hAnsi="宋体" w:cs="宋体" w:eastAsia="宋体" w:hint="default"/>
                <w:sz w:val="21"/>
                <w:szCs w:val="21"/>
              </w:rPr>
            </w:pPr>
            <w:r>
              <w:rPr>
                <w:rFonts w:ascii="宋体"/>
                <w:spacing w:val="-1"/>
                <w:sz w:val="21"/>
              </w:rPr>
              <w:t>-954,195.94</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z w:val="21"/>
              </w:rPr>
              <w:t>-</w:t>
            </w:r>
          </w:p>
        </w:tc>
        <w:tc>
          <w:tcPr>
            <w:tcW w:w="952" w:type="dxa"/>
            <w:tcBorders>
              <w:top w:val="single" w:sz="4" w:space="0" w:color="000000"/>
              <w:left w:val="single" w:sz="4" w:space="0" w:color="000000"/>
              <w:bottom w:val="single" w:sz="4" w:space="0" w:color="000000"/>
              <w:right w:val="single" w:sz="4" w:space="0" w:color="000000"/>
            </w:tcBorders>
          </w:tcPr>
          <w:p>
            <w:pP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z w:val="21"/>
              </w:rPr>
              <w:t>-0.29%</w:t>
            </w:r>
          </w:p>
        </w:tc>
      </w:tr>
      <w:tr>
        <w:trPr>
          <w:trHeight w:val="323" w:hRule="exact"/>
        </w:trPr>
        <w:tc>
          <w:tcPr>
            <w:tcW w:w="696"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60" w:lineRule="exact"/>
              <w:ind w:right="0"/>
              <w:jc w:val="center"/>
              <w:rPr>
                <w:rFonts w:ascii="宋体" w:hAnsi="宋体" w:cs="宋体" w:eastAsia="宋体" w:hint="default"/>
                <w:sz w:val="21"/>
                <w:szCs w:val="21"/>
              </w:rPr>
            </w:pPr>
            <w:r>
              <w:rPr>
                <w:rFonts w:ascii="宋体"/>
                <w:sz w:val="21"/>
              </w:rPr>
              <w:t>4</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泰岳千腾</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z w:val="21"/>
              </w:rPr>
              <w:t>70%</w:t>
            </w:r>
          </w:p>
        </w:tc>
        <w:tc>
          <w:tcPr>
            <w:tcW w:w="187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2"/>
              <w:jc w:val="right"/>
              <w:rPr>
                <w:rFonts w:ascii="宋体" w:hAnsi="宋体" w:cs="宋体" w:eastAsia="宋体" w:hint="default"/>
                <w:sz w:val="21"/>
                <w:szCs w:val="21"/>
              </w:rPr>
            </w:pPr>
            <w:r>
              <w:rPr>
                <w:rFonts w:ascii="宋体"/>
                <w:sz w:val="21"/>
              </w:rPr>
              <w:t>-</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2"/>
              <w:jc w:val="right"/>
              <w:rPr>
                <w:rFonts w:ascii="宋体" w:hAnsi="宋体" w:cs="宋体" w:eastAsia="宋体" w:hint="default"/>
                <w:sz w:val="21"/>
                <w:szCs w:val="21"/>
              </w:rPr>
            </w:pPr>
            <w:r>
              <w:rPr>
                <w:rFonts w:ascii="宋体"/>
                <w:sz w:val="21"/>
              </w:rPr>
              <w:t>-</w:t>
            </w:r>
          </w:p>
        </w:tc>
        <w:tc>
          <w:tcPr>
            <w:tcW w:w="952" w:type="dxa"/>
            <w:tcBorders>
              <w:top w:val="single" w:sz="4" w:space="0" w:color="000000"/>
              <w:left w:val="single" w:sz="4" w:space="0" w:color="000000"/>
              <w:bottom w:val="single" w:sz="4" w:space="0" w:color="000000"/>
              <w:right w:val="single" w:sz="4" w:space="0" w:color="000000"/>
            </w:tcBorders>
          </w:tcPr>
          <w:p>
            <w:pP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z w:val="21"/>
              </w:rPr>
              <w:t>0.00%</w:t>
            </w:r>
          </w:p>
        </w:tc>
      </w:tr>
      <w:tr>
        <w:trPr>
          <w:trHeight w:val="323" w:hRule="exact"/>
        </w:trPr>
        <w:tc>
          <w:tcPr>
            <w:tcW w:w="696"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60" w:lineRule="exact"/>
              <w:ind w:right="0"/>
              <w:jc w:val="center"/>
              <w:rPr>
                <w:rFonts w:ascii="宋体" w:hAnsi="宋体" w:cs="宋体" w:eastAsia="宋体" w:hint="default"/>
                <w:sz w:val="21"/>
                <w:szCs w:val="21"/>
              </w:rPr>
            </w:pPr>
            <w:r>
              <w:rPr>
                <w:rFonts w:ascii="宋体"/>
                <w:sz w:val="21"/>
              </w:rPr>
              <w:t>5</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0"/>
              <w:jc w:val="center"/>
              <w:rPr>
                <w:rFonts w:ascii="宋体" w:hAnsi="宋体" w:cs="宋体" w:eastAsia="宋体" w:hint="default"/>
                <w:sz w:val="21"/>
                <w:szCs w:val="21"/>
              </w:rPr>
            </w:pPr>
            <w:r>
              <w:rPr>
                <w:rFonts w:ascii="宋体" w:hAnsi="宋体" w:cs="宋体" w:eastAsia="宋体" w:hint="default"/>
                <w:sz w:val="21"/>
                <w:szCs w:val="21"/>
              </w:rPr>
              <w:t>友联创新</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z w:val="21"/>
              </w:rPr>
              <w:t>100%</w:t>
            </w:r>
          </w:p>
        </w:tc>
        <w:tc>
          <w:tcPr>
            <w:tcW w:w="187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pacing w:val="-1"/>
                <w:sz w:val="21"/>
              </w:rPr>
              <w:t>6,251,801.27</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2"/>
              <w:jc w:val="right"/>
              <w:rPr>
                <w:rFonts w:ascii="宋体" w:hAnsi="宋体" w:cs="宋体" w:eastAsia="宋体" w:hint="default"/>
                <w:sz w:val="21"/>
                <w:szCs w:val="21"/>
              </w:rPr>
            </w:pPr>
            <w:r>
              <w:rPr>
                <w:rFonts w:ascii="宋体"/>
                <w:spacing w:val="-1"/>
                <w:sz w:val="21"/>
              </w:rPr>
              <w:t>7,098,277.30</w:t>
            </w:r>
            <w:r>
              <w:rPr>
                <w:rFonts w:ascii="宋体"/>
                <w:sz w:val="21"/>
              </w:rPr>
            </w:r>
          </w:p>
        </w:tc>
        <w:tc>
          <w:tcPr>
            <w:tcW w:w="95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z w:val="21"/>
              </w:rPr>
              <w:t>-11.93%</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z w:val="21"/>
              </w:rPr>
              <w:t>1.91%</w:t>
            </w:r>
          </w:p>
        </w:tc>
      </w:tr>
      <w:tr>
        <w:trPr>
          <w:trHeight w:val="323" w:hRule="exact"/>
        </w:trPr>
        <w:tc>
          <w:tcPr>
            <w:tcW w:w="696"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60" w:lineRule="exact"/>
              <w:ind w:right="0"/>
              <w:jc w:val="center"/>
              <w:rPr>
                <w:rFonts w:ascii="宋体" w:hAnsi="宋体" w:cs="宋体" w:eastAsia="宋体" w:hint="default"/>
                <w:sz w:val="21"/>
                <w:szCs w:val="21"/>
              </w:rPr>
            </w:pPr>
            <w:r>
              <w:rPr>
                <w:rFonts w:ascii="宋体"/>
                <w:sz w:val="21"/>
              </w:rPr>
              <w:t>6</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泰岳通信</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2"/>
              <w:jc w:val="right"/>
              <w:rPr>
                <w:rFonts w:ascii="宋体" w:hAnsi="宋体" w:cs="宋体" w:eastAsia="宋体" w:hint="default"/>
                <w:sz w:val="21"/>
                <w:szCs w:val="21"/>
              </w:rPr>
            </w:pPr>
            <w:r>
              <w:rPr>
                <w:rFonts w:ascii="宋体"/>
                <w:sz w:val="21"/>
              </w:rPr>
              <w:t>100%</w:t>
            </w:r>
          </w:p>
        </w:tc>
        <w:tc>
          <w:tcPr>
            <w:tcW w:w="187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2"/>
              <w:jc w:val="right"/>
              <w:rPr>
                <w:rFonts w:ascii="宋体" w:hAnsi="宋体" w:cs="宋体" w:eastAsia="宋体" w:hint="default"/>
                <w:sz w:val="21"/>
                <w:szCs w:val="21"/>
              </w:rPr>
            </w:pPr>
            <w:r>
              <w:rPr>
                <w:rFonts w:ascii="宋体"/>
                <w:sz w:val="21"/>
              </w:rPr>
              <w:t>-2,331,152.17</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99"/>
              <w:jc w:val="right"/>
              <w:rPr>
                <w:rFonts w:ascii="宋体" w:hAnsi="宋体" w:cs="宋体" w:eastAsia="宋体" w:hint="default"/>
                <w:sz w:val="21"/>
                <w:szCs w:val="21"/>
              </w:rPr>
            </w:pPr>
            <w:r>
              <w:rPr>
                <w:rFonts w:ascii="宋体"/>
                <w:sz w:val="21"/>
              </w:rPr>
              <w:t>-892,358.09</w:t>
            </w:r>
          </w:p>
        </w:tc>
        <w:tc>
          <w:tcPr>
            <w:tcW w:w="95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0"/>
              <w:jc w:val="right"/>
              <w:rPr>
                <w:rFonts w:ascii="宋体" w:hAnsi="宋体" w:cs="宋体" w:eastAsia="宋体" w:hint="default"/>
                <w:sz w:val="21"/>
                <w:szCs w:val="21"/>
              </w:rPr>
            </w:pPr>
            <w:r>
              <w:rPr>
                <w:rFonts w:ascii="宋体"/>
                <w:sz w:val="21"/>
              </w:rPr>
              <w:t>161.24%</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z w:val="21"/>
              </w:rPr>
              <w:t>-0.71%</w:t>
            </w:r>
          </w:p>
        </w:tc>
      </w:tr>
      <w:tr>
        <w:trPr>
          <w:trHeight w:val="324" w:hRule="exact"/>
        </w:trPr>
        <w:tc>
          <w:tcPr>
            <w:tcW w:w="696"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60" w:lineRule="exact"/>
              <w:ind w:right="0"/>
              <w:jc w:val="center"/>
              <w:rPr>
                <w:rFonts w:ascii="宋体" w:hAnsi="宋体" w:cs="宋体" w:eastAsia="宋体" w:hint="default"/>
                <w:sz w:val="21"/>
                <w:szCs w:val="21"/>
              </w:rPr>
            </w:pPr>
            <w:r>
              <w:rPr>
                <w:rFonts w:ascii="宋体"/>
                <w:sz w:val="21"/>
              </w:rPr>
              <w:t>7</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泰岳安全</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2"/>
              <w:jc w:val="right"/>
              <w:rPr>
                <w:rFonts w:ascii="宋体" w:hAnsi="宋体" w:cs="宋体" w:eastAsia="宋体" w:hint="default"/>
                <w:sz w:val="21"/>
                <w:szCs w:val="21"/>
              </w:rPr>
            </w:pPr>
            <w:r>
              <w:rPr>
                <w:rFonts w:ascii="宋体"/>
                <w:sz w:val="21"/>
              </w:rPr>
              <w:t>100%</w:t>
            </w:r>
          </w:p>
        </w:tc>
        <w:tc>
          <w:tcPr>
            <w:tcW w:w="187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2"/>
              <w:jc w:val="right"/>
              <w:rPr>
                <w:rFonts w:ascii="宋体" w:hAnsi="宋体" w:cs="宋体" w:eastAsia="宋体" w:hint="default"/>
                <w:sz w:val="21"/>
                <w:szCs w:val="21"/>
              </w:rPr>
            </w:pPr>
            <w:r>
              <w:rPr>
                <w:rFonts w:ascii="宋体"/>
                <w:sz w:val="21"/>
              </w:rPr>
              <w:t>-2,168,733.97</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2"/>
              <w:jc w:val="right"/>
              <w:rPr>
                <w:rFonts w:ascii="宋体" w:hAnsi="宋体" w:cs="宋体" w:eastAsia="宋体" w:hint="default"/>
                <w:sz w:val="21"/>
                <w:szCs w:val="21"/>
              </w:rPr>
            </w:pPr>
            <w:r>
              <w:rPr>
                <w:rFonts w:ascii="宋体"/>
                <w:spacing w:val="-1"/>
                <w:sz w:val="21"/>
              </w:rPr>
              <w:t>-1,076,231.06</w:t>
            </w:r>
            <w:r>
              <w:rPr>
                <w:rFonts w:ascii="宋体"/>
                <w:sz w:val="21"/>
              </w:rPr>
            </w:r>
          </w:p>
        </w:tc>
        <w:tc>
          <w:tcPr>
            <w:tcW w:w="95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pacing w:val="-1"/>
                <w:sz w:val="21"/>
              </w:rPr>
              <w:t>101.51%</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z w:val="21"/>
              </w:rPr>
              <w:t>-0.66%</w:t>
            </w:r>
          </w:p>
        </w:tc>
      </w:tr>
    </w:tbl>
    <w:p>
      <w:pPr>
        <w:spacing w:line="240" w:lineRule="auto" w:before="4"/>
        <w:rPr>
          <w:rFonts w:ascii="宋体" w:hAnsi="宋体" w:cs="宋体" w:eastAsia="宋体" w:hint="default"/>
          <w:sz w:val="15"/>
          <w:szCs w:val="15"/>
        </w:rPr>
      </w:pPr>
    </w:p>
    <w:p>
      <w:pPr>
        <w:spacing w:before="44"/>
        <w:ind w:left="1080" w:right="709" w:firstLine="0"/>
        <w:jc w:val="left"/>
        <w:rPr>
          <w:rFonts w:ascii="宋体" w:hAnsi="宋体" w:cs="宋体" w:eastAsia="宋体" w:hint="default"/>
          <w:sz w:val="18"/>
          <w:szCs w:val="18"/>
        </w:rPr>
      </w:pPr>
      <w:r>
        <w:rPr>
          <w:rFonts w:ascii="宋体" w:hAnsi="宋体" w:cs="宋体" w:eastAsia="宋体" w:hint="default"/>
          <w:sz w:val="18"/>
          <w:szCs w:val="18"/>
        </w:rPr>
        <w:t>注：互联时代、重庆新媒农信、泰岳千腾、友联创新于报告期内纳入合并范围。</w:t>
      </w:r>
    </w:p>
    <w:p>
      <w:pPr>
        <w:pStyle w:val="BodyText"/>
        <w:spacing w:line="620" w:lineRule="atLeast" w:before="18"/>
        <w:ind w:left="1140" w:right="709"/>
        <w:jc w:val="left"/>
      </w:pPr>
      <w:r>
        <w:rPr/>
        <w:t>（1）北京新媒传信科技有限公司</w:t>
      </w:r>
      <w:r>
        <w:rPr>
          <w:spacing w:val="-1"/>
        </w:rPr>
        <w:t> </w:t>
      </w:r>
      <w:r>
        <w:rPr/>
        <w:t>（以下简称“新媒传信”）</w:t>
      </w:r>
      <w:r>
        <w:rPr/>
        <w:t> 成立日期：2007年3月13日，现注册资本2000万元人民币，是公司全资子公司，专业从</w:t>
      </w:r>
    </w:p>
    <w:p>
      <w:pPr>
        <w:spacing w:line="240" w:lineRule="auto" w:before="10"/>
        <w:rPr>
          <w:rFonts w:ascii="宋体" w:hAnsi="宋体" w:cs="宋体" w:eastAsia="宋体" w:hint="default"/>
          <w:sz w:val="14"/>
          <w:szCs w:val="14"/>
        </w:rPr>
      </w:pPr>
    </w:p>
    <w:p>
      <w:pPr>
        <w:pStyle w:val="BodyText"/>
        <w:spacing w:line="408" w:lineRule="auto"/>
        <w:ind w:left="720" w:right="604"/>
        <w:jc w:val="left"/>
      </w:pPr>
      <w:r>
        <w:rPr/>
        <w:t>事移动互联网的开发及运营业务。目前，承担着中国移动飞信业务的开发及运营支撑工作， </w:t>
      </w:r>
      <w:r>
        <w:rPr>
          <w:spacing w:val="-3"/>
        </w:rPr>
        <w:t>同时与重庆移动新媒传信共同进行农信通业务的开发及运营支撑。新媒传信2009年度、2010</w:t>
      </w:r>
      <w:r>
        <w:rPr>
          <w:spacing w:val="-69"/>
        </w:rPr>
        <w:t> </w:t>
      </w:r>
      <w:r>
        <w:rPr>
          <w:spacing w:val="-69"/>
        </w:rPr>
      </w:r>
      <w:r>
        <w:rPr/>
        <w:t>年度均被认定为国家规划布局内重点软件企业。</w:t>
      </w:r>
    </w:p>
    <w:p>
      <w:pPr>
        <w:spacing w:line="240" w:lineRule="auto" w:before="6"/>
        <w:rPr>
          <w:rFonts w:ascii="宋体" w:hAnsi="宋体" w:cs="宋体" w:eastAsia="宋体" w:hint="default"/>
          <w:sz w:val="15"/>
          <w:szCs w:val="15"/>
        </w:rPr>
      </w:pPr>
    </w:p>
    <w:p>
      <w:pPr>
        <w:pStyle w:val="BodyText"/>
        <w:spacing w:line="408" w:lineRule="auto"/>
        <w:ind w:left="719" w:right="715" w:firstLine="420"/>
        <w:jc w:val="both"/>
      </w:pPr>
      <w:r>
        <w:rPr>
          <w:spacing w:val="-3"/>
        </w:rPr>
        <w:t>截止2010年12月31日，新媒传信总资产59,490.72万元，净资产43,211.28万元，分别增</w:t>
      </w:r>
      <w:r>
        <w:rPr/>
        <w:t> 长113.84%、82.48%。2010年度实现营业收入52,450.58万元，净利润19,531.07万元，比去 年同期相比分别增长13.97%、7.49%。</w:t>
      </w:r>
    </w:p>
    <w:p>
      <w:pPr>
        <w:spacing w:line="240" w:lineRule="auto" w:before="6"/>
        <w:rPr>
          <w:rFonts w:ascii="宋体" w:hAnsi="宋体" w:cs="宋体" w:eastAsia="宋体" w:hint="default"/>
          <w:sz w:val="15"/>
          <w:szCs w:val="15"/>
        </w:rPr>
      </w:pPr>
    </w:p>
    <w:p>
      <w:pPr>
        <w:pStyle w:val="BodyText"/>
        <w:spacing w:line="240" w:lineRule="auto"/>
        <w:ind w:left="1139" w:right="709"/>
        <w:jc w:val="left"/>
      </w:pPr>
      <w:r>
        <w:rPr/>
        <w:t>（2）北京神州泰岳通信技术有限公司（以下简称“泰岳通信”）</w:t>
      </w:r>
    </w:p>
    <w:p>
      <w:pPr>
        <w:spacing w:line="240" w:lineRule="auto" w:before="9"/>
        <w:rPr>
          <w:rFonts w:ascii="宋体" w:hAnsi="宋体" w:cs="宋体" w:eastAsia="宋体" w:hint="default"/>
          <w:sz w:val="26"/>
          <w:szCs w:val="26"/>
        </w:rPr>
      </w:pPr>
    </w:p>
    <w:p>
      <w:pPr>
        <w:pStyle w:val="BodyText"/>
        <w:spacing w:line="408" w:lineRule="auto"/>
        <w:ind w:left="719" w:right="717" w:firstLine="420"/>
        <w:jc w:val="both"/>
      </w:pPr>
      <w:r>
        <w:rPr>
          <w:spacing w:val="-3"/>
        </w:rPr>
        <w:t>成立日期：2009年3月16日，注册资本：500万元，现为公司全资子公司，主要从事为主</w:t>
      </w:r>
      <w:r>
        <w:rPr/>
        <w:t> </w:t>
      </w:r>
      <w:r>
        <w:rPr>
          <w:spacing w:val="-3"/>
        </w:rPr>
        <w:t>设备厂商和各运营商提供无线网络规划、优化、测试与评估，以及相关咨询顾问服务。截止</w:t>
      </w:r>
      <w:r>
        <w:rPr>
          <w:spacing w:val="-80"/>
        </w:rPr>
        <w:t> </w:t>
      </w:r>
      <w:r>
        <w:rPr>
          <w:spacing w:val="-80"/>
        </w:rPr>
      </w:r>
      <w:r>
        <w:rPr>
          <w:spacing w:val="-2"/>
        </w:rPr>
        <w:t>2010年12月31日，泰岳通信净资产为177.65万元，2010年度实现营业收入567.14万元，净利</w:t>
      </w:r>
      <w:r>
        <w:rPr/>
        <w:t> 润-233.12万元。</w:t>
      </w:r>
    </w:p>
    <w:p>
      <w:pPr>
        <w:spacing w:after="0" w:line="408" w:lineRule="auto"/>
        <w:jc w:val="both"/>
        <w:sectPr>
          <w:pgSz w:w="11910" w:h="16840"/>
          <w:pgMar w:header="851" w:footer="982" w:top="1360" w:bottom="1180" w:left="1080" w:right="1080"/>
        </w:sectPr>
      </w:pPr>
    </w:p>
    <w:p>
      <w:pPr>
        <w:spacing w:line="240" w:lineRule="auto" w:before="2"/>
        <w:rPr>
          <w:rFonts w:ascii="宋体" w:hAnsi="宋体" w:cs="宋体" w:eastAsia="宋体" w:hint="default"/>
          <w:sz w:val="8"/>
          <w:szCs w:val="8"/>
        </w:rPr>
      </w:pPr>
    </w:p>
    <w:p>
      <w:pPr>
        <w:pStyle w:val="BodyText"/>
        <w:spacing w:line="408" w:lineRule="auto" w:before="35"/>
        <w:ind w:left="140" w:right="100" w:firstLine="420"/>
        <w:jc w:val="left"/>
      </w:pPr>
      <w:r>
        <w:rPr>
          <w:spacing w:val="-3"/>
        </w:rPr>
        <w:t>公司原持有其70%的出资，报告期内出于集中管理，加强资源配置、增强执行力的考虑，</w:t>
      </w:r>
      <w:r>
        <w:rPr/>
        <w:t> 收购了其余30%，成为公司全资子公司，将其技术及服务团队并入到公司网优及信令监测事</w:t>
      </w:r>
      <w:r>
        <w:rPr>
          <w:spacing w:val="-100"/>
        </w:rPr>
        <w:t> </w:t>
      </w:r>
      <w:r>
        <w:rPr>
          <w:spacing w:val="-100"/>
        </w:rPr>
      </w:r>
      <w:r>
        <w:rPr>
          <w:spacing w:val="-3"/>
        </w:rPr>
        <w:t>业部，共同从事网络优化相关业务。待泰岳通信存续的项目合同执行完毕后，公司计划将其</w:t>
      </w:r>
      <w:r>
        <w:rPr>
          <w:spacing w:val="-81"/>
        </w:rPr>
        <w:t> </w:t>
      </w:r>
      <w:r>
        <w:rPr>
          <w:spacing w:val="-81"/>
        </w:rPr>
      </w:r>
      <w:r>
        <w:rPr/>
        <w:t>吸收合并。</w:t>
      </w:r>
    </w:p>
    <w:p>
      <w:pPr>
        <w:spacing w:line="240" w:lineRule="auto" w:before="7"/>
        <w:rPr>
          <w:rFonts w:ascii="宋体" w:hAnsi="宋体" w:cs="宋体" w:eastAsia="宋体" w:hint="default"/>
          <w:sz w:val="15"/>
          <w:szCs w:val="15"/>
        </w:rPr>
      </w:pPr>
    </w:p>
    <w:p>
      <w:pPr>
        <w:pStyle w:val="BodyText"/>
        <w:spacing w:line="240" w:lineRule="auto"/>
        <w:ind w:left="560" w:right="100"/>
        <w:jc w:val="left"/>
      </w:pPr>
      <w:r>
        <w:rPr/>
        <w:t>（3）北京神州泰岳安全技术有限公司（以下简称“泰岳安全”）</w:t>
      </w:r>
    </w:p>
    <w:p>
      <w:pPr>
        <w:spacing w:line="240" w:lineRule="auto" w:before="8"/>
        <w:rPr>
          <w:rFonts w:ascii="宋体" w:hAnsi="宋体" w:cs="宋体" w:eastAsia="宋体" w:hint="default"/>
          <w:sz w:val="26"/>
          <w:szCs w:val="26"/>
        </w:rPr>
      </w:pPr>
    </w:p>
    <w:p>
      <w:pPr>
        <w:pStyle w:val="BodyText"/>
        <w:spacing w:line="408" w:lineRule="auto"/>
        <w:ind w:left="140" w:right="112" w:firstLine="420"/>
        <w:jc w:val="both"/>
      </w:pPr>
      <w:r>
        <w:rPr>
          <w:spacing w:val="-3"/>
        </w:rPr>
        <w:t>成立日期：2009年10月21日，注册资本：2000万元，系公司全资子公司。主要从事涉及</w:t>
      </w:r>
      <w:r>
        <w:rPr/>
        <w:t> 国家秘密的计算机信息系统集成业务。截止2010年12月31日，泰岳安全总资产为1,820.84</w:t>
      </w:r>
      <w:r>
        <w:rPr>
          <w:spacing w:val="-16"/>
        </w:rPr>
        <w:t> </w:t>
      </w:r>
      <w:r>
        <w:rPr>
          <w:spacing w:val="-16"/>
        </w:rPr>
      </w:r>
      <w:r>
        <w:rPr>
          <w:spacing w:val="-3"/>
        </w:rPr>
        <w:t>万元，净资产为1,675.50万元，2010年度实现营业收入816.00万元、净利润为-216.87万元。</w:t>
      </w:r>
    </w:p>
    <w:p>
      <w:pPr>
        <w:spacing w:line="240" w:lineRule="auto" w:before="6"/>
        <w:rPr>
          <w:rFonts w:ascii="宋体" w:hAnsi="宋体" w:cs="宋体" w:eastAsia="宋体" w:hint="default"/>
          <w:sz w:val="15"/>
          <w:szCs w:val="15"/>
        </w:rPr>
      </w:pPr>
    </w:p>
    <w:p>
      <w:pPr>
        <w:pStyle w:val="BodyText"/>
        <w:spacing w:line="240" w:lineRule="auto"/>
        <w:ind w:left="560" w:right="100"/>
        <w:jc w:val="left"/>
      </w:pPr>
      <w:r>
        <w:rPr/>
        <w:t>（4）北京泰岳干腾网络信息技术有限公司（以下简称“泰岳千腾”）</w:t>
      </w:r>
    </w:p>
    <w:p>
      <w:pPr>
        <w:spacing w:line="240" w:lineRule="auto" w:before="9"/>
        <w:rPr>
          <w:rFonts w:ascii="宋体" w:hAnsi="宋体" w:cs="宋体" w:eastAsia="宋体" w:hint="default"/>
          <w:sz w:val="26"/>
          <w:szCs w:val="26"/>
        </w:rPr>
      </w:pPr>
    </w:p>
    <w:p>
      <w:pPr>
        <w:pStyle w:val="BodyText"/>
        <w:spacing w:line="240" w:lineRule="auto"/>
        <w:ind w:left="560" w:right="100"/>
        <w:jc w:val="left"/>
      </w:pPr>
      <w:r>
        <w:rPr>
          <w:spacing w:val="-3"/>
        </w:rPr>
        <w:t>成立日期：2010年12月31日，注册资本：1000万元，系新媒传信控股子公司，占有其70</w:t>
      </w:r>
    </w:p>
    <w:p>
      <w:pPr>
        <w:spacing w:line="240" w:lineRule="auto" w:before="10"/>
        <w:rPr>
          <w:rFonts w:ascii="宋体" w:hAnsi="宋体" w:cs="宋体" w:eastAsia="宋体" w:hint="default"/>
          <w:sz w:val="14"/>
          <w:szCs w:val="14"/>
        </w:rPr>
      </w:pPr>
    </w:p>
    <w:p>
      <w:pPr>
        <w:pStyle w:val="BodyText"/>
        <w:spacing w:line="408" w:lineRule="auto"/>
        <w:ind w:left="140" w:right="216"/>
        <w:jc w:val="both"/>
      </w:pPr>
      <w:r>
        <w:rPr>
          <w:spacing w:val="-3"/>
        </w:rPr>
        <w:t>％的出资比例，主要从事构建与运营国内特色产品领域的电子商务平台。截止2010年12月31</w:t>
      </w:r>
      <w:r>
        <w:rPr>
          <w:spacing w:val="-69"/>
        </w:rPr>
        <w:t> </w:t>
      </w:r>
      <w:r>
        <w:rPr>
          <w:spacing w:val="-69"/>
        </w:rPr>
      </w:r>
      <w:r>
        <w:rPr>
          <w:spacing w:val="-3"/>
        </w:rPr>
        <w:t>日，泰岳千腾总资产1000万元，净资产1000万元。2010年度，泰岳千腾尚处于筹备期，年内</w:t>
      </w:r>
      <w:r>
        <w:rPr>
          <w:spacing w:val="-69"/>
        </w:rPr>
        <w:t> </w:t>
      </w:r>
      <w:r>
        <w:rPr>
          <w:spacing w:val="-69"/>
        </w:rPr>
      </w:r>
      <w:r>
        <w:rPr/>
        <w:t>未产生营业收入。</w:t>
      </w:r>
    </w:p>
    <w:p>
      <w:pPr>
        <w:spacing w:line="240" w:lineRule="auto" w:before="6"/>
        <w:rPr>
          <w:rFonts w:ascii="宋体" w:hAnsi="宋体" w:cs="宋体" w:eastAsia="宋体" w:hint="default"/>
          <w:sz w:val="15"/>
          <w:szCs w:val="15"/>
        </w:rPr>
      </w:pPr>
    </w:p>
    <w:p>
      <w:pPr>
        <w:pStyle w:val="BodyText"/>
        <w:spacing w:line="240" w:lineRule="auto"/>
        <w:ind w:left="560" w:right="100"/>
        <w:jc w:val="left"/>
      </w:pPr>
      <w:r>
        <w:rPr/>
        <w:t>（5）北京友联创新系统集成有限公司（以下简称“友联创新”）</w:t>
      </w:r>
    </w:p>
    <w:p>
      <w:pPr>
        <w:spacing w:line="240" w:lineRule="auto" w:before="9"/>
        <w:rPr>
          <w:rFonts w:ascii="宋体" w:hAnsi="宋体" w:cs="宋体" w:eastAsia="宋体" w:hint="default"/>
          <w:sz w:val="26"/>
          <w:szCs w:val="26"/>
        </w:rPr>
      </w:pPr>
    </w:p>
    <w:p>
      <w:pPr>
        <w:pStyle w:val="BodyText"/>
        <w:spacing w:line="240" w:lineRule="auto"/>
        <w:ind w:left="560" w:right="100"/>
        <w:jc w:val="left"/>
      </w:pPr>
      <w:r>
        <w:rPr>
          <w:spacing w:val="-3"/>
        </w:rPr>
        <w:t>成立日期：2003年5月20日，注册资本：2000万元，系公司全资子公司，公司占有其100</w:t>
      </w:r>
    </w:p>
    <w:p>
      <w:pPr>
        <w:spacing w:line="240" w:lineRule="auto" w:before="10"/>
        <w:rPr>
          <w:rFonts w:ascii="宋体" w:hAnsi="宋体" w:cs="宋体" w:eastAsia="宋体" w:hint="default"/>
          <w:sz w:val="14"/>
          <w:szCs w:val="14"/>
        </w:rPr>
      </w:pPr>
    </w:p>
    <w:p>
      <w:pPr>
        <w:pStyle w:val="BodyText"/>
        <w:spacing w:line="408" w:lineRule="auto"/>
        <w:ind w:left="140" w:right="216"/>
        <w:jc w:val="both"/>
      </w:pPr>
      <w:r>
        <w:rPr>
          <w:spacing w:val="-3"/>
        </w:rPr>
        <w:t>％的股权。主要从事提供电信级的运维管理咨询、解决方案、软件产品和服务，具有丰富的</w:t>
      </w:r>
      <w:r>
        <w:rPr>
          <w:spacing w:val="-80"/>
        </w:rPr>
        <w:t> </w:t>
      </w:r>
      <w:r>
        <w:rPr>
          <w:spacing w:val="-80"/>
        </w:rPr>
      </w:r>
      <w:r>
        <w:rPr/>
        <w:t>电信行业经验（尤其是在联通、网通领域）。</w:t>
      </w:r>
    </w:p>
    <w:p>
      <w:pPr>
        <w:spacing w:line="240" w:lineRule="auto" w:before="6"/>
        <w:rPr>
          <w:rFonts w:ascii="宋体" w:hAnsi="宋体" w:cs="宋体" w:eastAsia="宋体" w:hint="default"/>
          <w:sz w:val="15"/>
          <w:szCs w:val="15"/>
        </w:rPr>
      </w:pPr>
    </w:p>
    <w:p>
      <w:pPr>
        <w:pStyle w:val="BodyText"/>
        <w:spacing w:line="408" w:lineRule="auto"/>
        <w:ind w:left="140" w:right="216" w:firstLine="420"/>
        <w:jc w:val="both"/>
      </w:pPr>
      <w:r>
        <w:rPr>
          <w:spacing w:val="-3"/>
        </w:rPr>
        <w:t>报告期内，出于深化和巩固在电信行业IT运维管理领域市场地位的考虑，对其进行全资</w:t>
      </w:r>
      <w:r>
        <w:rPr/>
        <w:t> </w:t>
      </w:r>
      <w:r>
        <w:rPr>
          <w:spacing w:val="-3"/>
        </w:rPr>
        <w:t>收购。并将其技术及服务团队并入到公司各相关事业部，共同从事IT运维管理相关业务。截</w:t>
      </w:r>
      <w:r>
        <w:rPr>
          <w:spacing w:val="-78"/>
        </w:rPr>
        <w:t> </w:t>
      </w:r>
      <w:r>
        <w:rPr>
          <w:spacing w:val="-78"/>
        </w:rPr>
      </w:r>
      <w:r>
        <w:rPr>
          <w:spacing w:val="-3"/>
        </w:rPr>
        <w:t>止2010年12月31日，友联创新总资产3,761.19万元、净资产3,178.10万元，2010年度实现营</w:t>
      </w:r>
      <w:r>
        <w:rPr>
          <w:spacing w:val="-68"/>
        </w:rPr>
        <w:t> </w:t>
      </w:r>
      <w:r>
        <w:rPr>
          <w:spacing w:val="-68"/>
        </w:rPr>
      </w:r>
      <w:r>
        <w:rPr/>
        <w:t>业收入3,055.41万元、净利润727.96万元。</w:t>
      </w:r>
    </w:p>
    <w:p>
      <w:pPr>
        <w:spacing w:line="240" w:lineRule="auto" w:before="6"/>
        <w:rPr>
          <w:rFonts w:ascii="宋体" w:hAnsi="宋体" w:cs="宋体" w:eastAsia="宋体" w:hint="default"/>
          <w:sz w:val="15"/>
          <w:szCs w:val="15"/>
        </w:rPr>
      </w:pPr>
    </w:p>
    <w:p>
      <w:pPr>
        <w:pStyle w:val="BodyText"/>
        <w:spacing w:line="240" w:lineRule="auto"/>
        <w:ind w:left="560" w:right="100"/>
        <w:jc w:val="left"/>
      </w:pPr>
      <w:r>
        <w:rPr/>
        <w:t>（6）北京互联时代通讯科技有限公司（以下简称“互联时代”）</w:t>
      </w:r>
    </w:p>
    <w:p>
      <w:pPr>
        <w:spacing w:line="240" w:lineRule="auto" w:before="9"/>
        <w:rPr>
          <w:rFonts w:ascii="宋体" w:hAnsi="宋体" w:cs="宋体" w:eastAsia="宋体" w:hint="default"/>
          <w:sz w:val="26"/>
          <w:szCs w:val="26"/>
        </w:rPr>
      </w:pPr>
    </w:p>
    <w:p>
      <w:pPr>
        <w:pStyle w:val="BodyText"/>
        <w:spacing w:line="408" w:lineRule="auto"/>
        <w:ind w:left="140" w:right="216" w:firstLine="420"/>
        <w:jc w:val="both"/>
      </w:pPr>
      <w:r>
        <w:rPr>
          <w:spacing w:val="-3"/>
        </w:rPr>
        <w:t>成立日期：2002年6月14日，注册资本：1111.1113万元，目前系公司全资子公司，互联</w:t>
      </w:r>
      <w:r>
        <w:rPr/>
        <w:t> </w:t>
      </w:r>
      <w:r>
        <w:rPr>
          <w:spacing w:val="-3"/>
        </w:rPr>
        <w:t>时代在互联网领域耕耘多年，有着丰富的互联网业务相关经验，同时具备增值电信业务经营</w:t>
      </w:r>
      <w:r>
        <w:rPr>
          <w:spacing w:val="-79"/>
        </w:rPr>
        <w:t> </w:t>
      </w:r>
      <w:r>
        <w:rPr>
          <w:spacing w:val="-79"/>
        </w:rPr>
      </w:r>
      <w:r>
        <w:rPr>
          <w:spacing w:val="-3"/>
        </w:rPr>
        <w:t>许可证（业务覆盖范围：全国）。报告期内，出于快速获得电信增值业务经营资质并拓展移</w:t>
      </w:r>
      <w:r>
        <w:rPr>
          <w:spacing w:val="-84"/>
        </w:rPr>
        <w:t> </w:t>
      </w:r>
      <w:r>
        <w:rPr>
          <w:spacing w:val="-84"/>
        </w:rPr>
      </w:r>
      <w:r>
        <w:rPr>
          <w:spacing w:val="-3"/>
        </w:rPr>
        <w:t>动互联网领域内的电信增值业务的考虑，对其进行全资收购，与新媒传信共同从事移动互联</w:t>
      </w:r>
      <w:r>
        <w:rPr>
          <w:spacing w:val="-79"/>
        </w:rPr>
        <w:t> </w:t>
      </w:r>
      <w:r>
        <w:rPr>
          <w:spacing w:val="-79"/>
        </w:rPr>
      </w:r>
      <w:r>
        <w:rPr/>
        <w:t>网相关业务。</w:t>
      </w:r>
    </w:p>
    <w:p>
      <w:pPr>
        <w:spacing w:after="0" w:line="408" w:lineRule="auto"/>
        <w:jc w:val="both"/>
        <w:sectPr>
          <w:pgSz w:w="11910" w:h="16840"/>
          <w:pgMar w:header="851" w:footer="982" w:top="1360" w:bottom="1180" w:left="1660" w:right="1580"/>
        </w:sectPr>
      </w:pPr>
    </w:p>
    <w:p>
      <w:pPr>
        <w:spacing w:line="240" w:lineRule="auto" w:before="2"/>
        <w:rPr>
          <w:rFonts w:ascii="宋体" w:hAnsi="宋体" w:cs="宋体" w:eastAsia="宋体" w:hint="default"/>
          <w:sz w:val="8"/>
          <w:szCs w:val="8"/>
        </w:rPr>
      </w:pPr>
    </w:p>
    <w:p>
      <w:pPr>
        <w:pStyle w:val="BodyText"/>
        <w:spacing w:line="408" w:lineRule="auto" w:before="35"/>
        <w:ind w:left="140" w:right="216" w:firstLine="420"/>
        <w:jc w:val="left"/>
      </w:pPr>
      <w:r>
        <w:rPr>
          <w:spacing w:val="-3"/>
        </w:rPr>
        <w:t>截止2010年12月31日，互联时代总资产699.01万元，净资产578.10万元，2010年度实现</w:t>
      </w:r>
      <w:r>
        <w:rPr/>
        <w:t> 营业收入126.53万元，净利润-157.95万元。</w:t>
      </w:r>
    </w:p>
    <w:p>
      <w:pPr>
        <w:spacing w:line="240" w:lineRule="auto" w:before="6"/>
        <w:rPr>
          <w:rFonts w:ascii="宋体" w:hAnsi="宋体" w:cs="宋体" w:eastAsia="宋体" w:hint="default"/>
          <w:sz w:val="15"/>
          <w:szCs w:val="15"/>
        </w:rPr>
      </w:pPr>
    </w:p>
    <w:p>
      <w:pPr>
        <w:pStyle w:val="BodyText"/>
        <w:spacing w:line="240" w:lineRule="auto"/>
        <w:ind w:left="560" w:right="100"/>
        <w:jc w:val="left"/>
      </w:pPr>
      <w:r>
        <w:rPr/>
        <w:t>（7）重庆新媒农信科技有限公司（以下简称“重庆新媒农信”）</w:t>
      </w:r>
    </w:p>
    <w:p>
      <w:pPr>
        <w:spacing w:line="240" w:lineRule="auto" w:before="9"/>
        <w:rPr>
          <w:rFonts w:ascii="宋体" w:hAnsi="宋体" w:cs="宋体" w:eastAsia="宋体" w:hint="default"/>
          <w:sz w:val="26"/>
          <w:szCs w:val="26"/>
        </w:rPr>
      </w:pPr>
    </w:p>
    <w:p>
      <w:pPr>
        <w:pStyle w:val="BodyText"/>
        <w:spacing w:line="408" w:lineRule="auto"/>
        <w:ind w:left="140" w:right="209" w:firstLine="420"/>
        <w:jc w:val="left"/>
      </w:pPr>
      <w:r>
        <w:rPr/>
        <w:t>成立日期：2010年8月9日，注册资本：10330万元，系公司全资子公司，主要从事中国 移动农村信息网平台与产品的开发建设以及相关运营支撑服务工作。</w:t>
      </w:r>
    </w:p>
    <w:p>
      <w:pPr>
        <w:spacing w:line="240" w:lineRule="auto" w:before="6"/>
        <w:rPr>
          <w:rFonts w:ascii="宋体" w:hAnsi="宋体" w:cs="宋体" w:eastAsia="宋体" w:hint="default"/>
          <w:sz w:val="15"/>
          <w:szCs w:val="15"/>
        </w:rPr>
      </w:pPr>
    </w:p>
    <w:p>
      <w:pPr>
        <w:pStyle w:val="BodyText"/>
        <w:spacing w:line="408" w:lineRule="auto"/>
        <w:ind w:left="140" w:right="104" w:firstLine="420"/>
        <w:jc w:val="left"/>
      </w:pPr>
      <w:r>
        <w:rPr>
          <w:spacing w:val="-3"/>
        </w:rPr>
        <w:t>报告期内出于深化移动互联网业务，适应中国移动农村信息建设发展的要求，及神州泰</w:t>
      </w:r>
      <w:r>
        <w:rPr/>
        <w:t> 岳实现落地服务与快速相应和拓展基于农村信息网之上的电信增值业务的考虑而投资设立， 截止2010年12月31日，重庆新媒农信总资产10,274.29万元，净资产10,234.58万元。</w:t>
      </w:r>
    </w:p>
    <w:p>
      <w:pPr>
        <w:spacing w:line="240" w:lineRule="auto" w:before="6"/>
        <w:rPr>
          <w:rFonts w:ascii="宋体" w:hAnsi="宋体" w:cs="宋体" w:eastAsia="宋体" w:hint="default"/>
          <w:sz w:val="15"/>
          <w:szCs w:val="15"/>
        </w:rPr>
      </w:pPr>
    </w:p>
    <w:p>
      <w:pPr>
        <w:pStyle w:val="Heading2"/>
        <w:spacing w:line="240" w:lineRule="auto"/>
        <w:ind w:left="562" w:right="100"/>
        <w:jc w:val="left"/>
        <w:rPr>
          <w:b w:val="0"/>
          <w:bCs w:val="0"/>
        </w:rPr>
      </w:pPr>
      <w:r>
        <w:rPr/>
        <w:t>2、参股企业经营情况及业绩</w:t>
      </w:r>
      <w:r>
        <w:rPr>
          <w:b w:val="0"/>
          <w:bCs w:val="0"/>
        </w:rPr>
      </w:r>
    </w:p>
    <w:p>
      <w:pPr>
        <w:spacing w:line="240" w:lineRule="auto" w:before="9"/>
        <w:rPr>
          <w:rFonts w:ascii="宋体" w:hAnsi="宋体" w:cs="宋体" w:eastAsia="宋体" w:hint="default"/>
          <w:b/>
          <w:bCs/>
          <w:sz w:val="26"/>
          <w:szCs w:val="26"/>
        </w:rPr>
      </w:pPr>
    </w:p>
    <w:p>
      <w:pPr>
        <w:pStyle w:val="BodyText"/>
        <w:spacing w:line="408" w:lineRule="auto"/>
        <w:ind w:left="140" w:right="216" w:firstLine="420"/>
        <w:jc w:val="both"/>
      </w:pPr>
      <w:r>
        <w:rPr>
          <w:spacing w:val="-3"/>
        </w:rPr>
        <w:t>报告期末，公司参股企业为大连华信。其主要从事计算机软件外包、计算机应用软件开</w:t>
      </w:r>
      <w:r>
        <w:rPr/>
        <w:t> 发、计算机软件产品生产、计算机系统集成、计算机软件维护服务。2010年9月末，公司完 成有关收购其股份的相关手续，自购买日至报告期末，公司取得投资收益为353.08万元。</w:t>
      </w:r>
    </w:p>
    <w:p>
      <w:pPr>
        <w:spacing w:line="240" w:lineRule="auto" w:before="6"/>
        <w:rPr>
          <w:rFonts w:ascii="宋体" w:hAnsi="宋体" w:cs="宋体" w:eastAsia="宋体" w:hint="default"/>
          <w:sz w:val="15"/>
          <w:szCs w:val="15"/>
        </w:rPr>
      </w:pPr>
    </w:p>
    <w:p>
      <w:pPr>
        <w:spacing w:line="544" w:lineRule="auto" w:before="0"/>
        <w:ind w:left="560" w:right="3044" w:hanging="105"/>
        <w:jc w:val="left"/>
        <w:rPr>
          <w:rFonts w:ascii="宋体" w:hAnsi="宋体" w:cs="宋体" w:eastAsia="宋体" w:hint="default"/>
          <w:sz w:val="21"/>
          <w:szCs w:val="21"/>
        </w:rPr>
      </w:pPr>
      <w:r>
        <w:rPr>
          <w:rFonts w:ascii="宋体" w:hAnsi="宋体" w:cs="宋体" w:eastAsia="宋体" w:hint="default"/>
          <w:b/>
          <w:bCs/>
          <w:sz w:val="21"/>
          <w:szCs w:val="21"/>
        </w:rPr>
        <w:t>（八）公司控制的特殊目的主体情况</w:t>
      </w:r>
      <w:r>
        <w:rPr>
          <w:rFonts w:ascii="宋体" w:hAnsi="宋体" w:cs="宋体" w:eastAsia="宋体" w:hint="default"/>
          <w:b/>
          <w:bCs/>
          <w:w w:val="99"/>
          <w:sz w:val="21"/>
          <w:szCs w:val="21"/>
        </w:rPr>
        <w:t> </w:t>
      </w:r>
      <w:r>
        <w:rPr>
          <w:rFonts w:ascii="宋体" w:hAnsi="宋体" w:cs="宋体" w:eastAsia="宋体" w:hint="default"/>
          <w:sz w:val="21"/>
          <w:szCs w:val="21"/>
        </w:rPr>
        <w:t>公司未设立特殊目的公司，也无控制的特殊目的公司。</w:t>
      </w:r>
    </w:p>
    <w:p>
      <w:pPr>
        <w:pStyle w:val="Heading2"/>
        <w:spacing w:line="240" w:lineRule="auto" w:before="82"/>
        <w:ind w:left="140" w:right="100"/>
        <w:jc w:val="left"/>
        <w:rPr>
          <w:b w:val="0"/>
          <w:bCs w:val="0"/>
        </w:rPr>
      </w:pPr>
      <w:r>
        <w:rPr/>
        <w:t>二、对公司未来发展的展望</w:t>
      </w:r>
      <w:r>
        <w:rPr>
          <w:b w:val="0"/>
          <w:bCs w:val="0"/>
        </w:rPr>
      </w:r>
    </w:p>
    <w:p>
      <w:pPr>
        <w:spacing w:line="620" w:lineRule="atLeast" w:before="4"/>
        <w:ind w:left="560" w:right="100" w:hanging="105"/>
        <w:jc w:val="left"/>
        <w:rPr>
          <w:rFonts w:ascii="宋体" w:hAnsi="宋体" w:cs="宋体" w:eastAsia="宋体" w:hint="default"/>
          <w:sz w:val="21"/>
          <w:szCs w:val="21"/>
        </w:rPr>
      </w:pPr>
      <w:r>
        <w:rPr>
          <w:rFonts w:ascii="宋体" w:hAnsi="宋体" w:cs="宋体" w:eastAsia="宋体" w:hint="default"/>
          <w:b/>
          <w:bCs/>
          <w:sz w:val="21"/>
          <w:szCs w:val="21"/>
        </w:rPr>
        <w:t>（一）公司所处行业的发展趋势</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公司经过多年的业务实践与积累，目前基本形成以运维管理、互联网领域为主的业务格</w:t>
      </w:r>
    </w:p>
    <w:p>
      <w:pPr>
        <w:spacing w:line="240" w:lineRule="auto" w:before="10"/>
        <w:rPr>
          <w:rFonts w:ascii="宋体" w:hAnsi="宋体" w:cs="宋体" w:eastAsia="宋体" w:hint="default"/>
          <w:sz w:val="14"/>
          <w:szCs w:val="14"/>
        </w:rPr>
      </w:pPr>
    </w:p>
    <w:p>
      <w:pPr>
        <w:pStyle w:val="BodyText"/>
        <w:spacing w:line="408" w:lineRule="auto"/>
        <w:ind w:left="140" w:right="104"/>
        <w:jc w:val="left"/>
      </w:pPr>
      <w:r>
        <w:rPr>
          <w:spacing w:val="-3"/>
        </w:rPr>
        <w:t>局。在运维管理领域，主要向国内电信、金融、能源等行业的大中型企业和政府部门提供IT</w:t>
      </w:r>
      <w:r>
        <w:rPr>
          <w:spacing w:val="-77"/>
        </w:rPr>
        <w:t> </w:t>
      </w:r>
      <w:r>
        <w:rPr>
          <w:spacing w:val="-77"/>
        </w:rPr>
      </w:r>
      <w:r>
        <w:rPr/>
        <w:t>运维管理的整体解决方案；在互联网领域，目前主要从事以中国移动“飞信”、“农信通” </w:t>
      </w:r>
      <w:r>
        <w:rPr>
          <w:spacing w:val="-3"/>
        </w:rPr>
        <w:t>为代表的互联网业务的开发及运营。报告期内，公司所处行业仍处于稳步发展阶段，整体竞</w:t>
      </w:r>
      <w:r>
        <w:rPr>
          <w:spacing w:val="-81"/>
        </w:rPr>
        <w:t> </w:t>
      </w:r>
      <w:r>
        <w:rPr>
          <w:spacing w:val="-81"/>
        </w:rPr>
      </w:r>
      <w:r>
        <w:rPr/>
        <w:t>争格局未发生重大变化。</w:t>
      </w:r>
    </w:p>
    <w:p>
      <w:pPr>
        <w:spacing w:line="240" w:lineRule="auto" w:before="7"/>
        <w:rPr>
          <w:rFonts w:ascii="宋体" w:hAnsi="宋体" w:cs="宋体" w:eastAsia="宋体" w:hint="default"/>
          <w:sz w:val="15"/>
          <w:szCs w:val="15"/>
        </w:rPr>
      </w:pPr>
    </w:p>
    <w:p>
      <w:pPr>
        <w:pStyle w:val="Heading2"/>
        <w:spacing w:line="240" w:lineRule="auto"/>
        <w:ind w:left="657" w:right="100"/>
        <w:jc w:val="left"/>
        <w:rPr>
          <w:b w:val="0"/>
          <w:bCs w:val="0"/>
        </w:rPr>
      </w:pPr>
      <w:r>
        <w:rPr/>
        <w:t>1、运维管理行业发展状况</w:t>
      </w:r>
      <w:r>
        <w:rPr>
          <w:b w:val="0"/>
          <w:bCs w:val="0"/>
        </w:rPr>
      </w:r>
    </w:p>
    <w:p>
      <w:pPr>
        <w:spacing w:line="240" w:lineRule="auto" w:before="8"/>
        <w:rPr>
          <w:rFonts w:ascii="宋体" w:hAnsi="宋体" w:cs="宋体" w:eastAsia="宋体" w:hint="default"/>
          <w:b/>
          <w:bCs/>
          <w:sz w:val="26"/>
          <w:szCs w:val="26"/>
        </w:rPr>
      </w:pPr>
    </w:p>
    <w:p>
      <w:pPr>
        <w:pStyle w:val="BodyText"/>
        <w:spacing w:line="408" w:lineRule="auto"/>
        <w:ind w:left="140" w:right="111" w:firstLine="420"/>
        <w:jc w:val="both"/>
      </w:pPr>
      <w:r>
        <w:rPr>
          <w:spacing w:val="-3"/>
        </w:rPr>
        <w:t>运维管理是企业信息化建设的重要组成部分。企业的IT系统一般都会经历如下图所示的</w:t>
      </w:r>
      <w:r>
        <w:rPr/>
        <w:t> </w:t>
      </w:r>
      <w:r>
        <w:rPr>
          <w:spacing w:val="-3"/>
        </w:rPr>
        <w:t>生命周期。当IT系统搭建完成后，需要IT部门进行相应的维护管理，以保证IT系统的正常运</w:t>
      </w:r>
      <w:r>
        <w:rPr>
          <w:spacing w:val="-78"/>
        </w:rPr>
        <w:t> </w:t>
      </w:r>
      <w:r>
        <w:rPr>
          <w:spacing w:val="-78"/>
        </w:rPr>
      </w:r>
      <w:r>
        <w:rPr>
          <w:spacing w:val="-3"/>
        </w:rPr>
        <w:t>作。随着企业的业务日渐庞杂以及其对IT系统依赖程度的不断提高，如果IT部门的运维管理</w:t>
      </w:r>
      <w:r>
        <w:rPr>
          <w:spacing w:val="-77"/>
        </w:rPr>
        <w:t> </w:t>
      </w:r>
      <w:r>
        <w:rPr>
          <w:spacing w:val="-77"/>
        </w:rPr>
      </w:r>
      <w:r>
        <w:rPr>
          <w:spacing w:val="-5"/>
        </w:rPr>
        <w:t>能力满足不了IT系统的运行需求，就会降低业务系统的运行效率，从而影响企业的业务运转。</w:t>
      </w:r>
    </w:p>
    <w:p>
      <w:pPr>
        <w:spacing w:after="0" w:line="408" w:lineRule="auto"/>
        <w:jc w:val="both"/>
        <w:sectPr>
          <w:footerReference w:type="default" r:id="rId22"/>
          <w:pgSz w:w="11910" w:h="16840"/>
          <w:pgMar w:footer="982" w:header="851" w:top="1360" w:bottom="1180" w:left="1660" w:right="1580"/>
          <w:pgNumType w:start="20"/>
        </w:sectPr>
      </w:pPr>
    </w:p>
    <w:p>
      <w:pPr>
        <w:spacing w:line="240" w:lineRule="auto" w:before="1"/>
        <w:rPr>
          <w:rFonts w:ascii="宋体" w:hAnsi="宋体" w:cs="宋体" w:eastAsia="宋体" w:hint="default"/>
          <w:sz w:val="16"/>
          <w:szCs w:val="16"/>
        </w:rPr>
      </w:pPr>
    </w:p>
    <w:p>
      <w:pPr>
        <w:spacing w:before="45"/>
        <w:ind w:left="813" w:right="0" w:firstLine="0"/>
        <w:jc w:val="center"/>
        <w:rPr>
          <w:rFonts w:ascii="宋体" w:hAnsi="宋体" w:cs="宋体" w:eastAsia="宋体" w:hint="default"/>
          <w:sz w:val="19"/>
          <w:szCs w:val="19"/>
        </w:rPr>
      </w:pPr>
      <w:r>
        <w:rPr/>
        <w:pict>
          <v:group style="position:absolute;margin-left:114.044998pt;margin-top:1.991028pt;width:167.95pt;height:46.5pt;mso-position-horizontal-relative:page;mso-position-vertical-relative:paragraph;z-index:1144" coordorigin="2281,40" coordsize="3359,930">
            <v:group style="position:absolute;left:2520;top:302;width:1253;height:466" coordorigin="2520,302" coordsize="1253,466">
              <v:shape style="position:absolute;left:2520;top:302;width:1253;height:466" coordorigin="2520,302" coordsize="1253,466" path="m3402,302l3402,418,2520,418,2520,651,3402,651,3402,767,3773,535,3402,302xe" filled="true" fillcolor="#ffcc99" stroked="false">
                <v:path arrowok="t"/>
                <v:fill type="solid"/>
              </v:shape>
            </v:group>
            <v:group style="position:absolute;left:2381;top:418;width:93;height:233" coordorigin="2381,418" coordsize="93,233">
              <v:shape style="position:absolute;left:2381;top:418;width:93;height:233" coordorigin="2381,418" coordsize="93,233" path="m2381,651l2473,651,2473,418,2381,418,2381,651xe" filled="true" fillcolor="#ffcc99" stroked="false">
                <v:path arrowok="t"/>
                <v:fill type="solid"/>
              </v:shape>
            </v:group>
            <v:group style="position:absolute;left:2311;top:418;width:2;height:233" coordorigin="2311,418" coordsize="2,233">
              <v:shape style="position:absolute;left:2311;top:418;width:2;height:233" coordorigin="2311,418" coordsize="0,233" path="m2311,418l2311,651e" filled="false" stroked="true" strokeweight="2.280pt" strokecolor="#ffcc99">
                <v:path arrowok="t"/>
              </v:shape>
            </v:group>
            <v:group style="position:absolute;left:2520;top:302;width:1253;height:466" coordorigin="2520,302" coordsize="1253,466">
              <v:shape style="position:absolute;left:2520;top:302;width:1253;height:466" coordorigin="2520,302" coordsize="1253,466" path="m3402,302l3402,418,2520,418,2520,651,3402,651,3402,767,3773,535,3402,302xe" filled="false" stroked="true" strokeweight=".75pt" strokecolor="#000000">
                <v:path arrowok="t"/>
              </v:shape>
            </v:group>
            <v:group style="position:absolute;left:2381;top:418;width:93;height:233" coordorigin="2381,418" coordsize="93,233">
              <v:shape style="position:absolute;left:2381;top:418;width:93;height:233" coordorigin="2381,418" coordsize="93,233" path="m2473,418l2381,418,2381,651,2473,651,2473,418xe" filled="false" stroked="true" strokeweight=".75pt" strokecolor="#000000">
                <v:path arrowok="t"/>
              </v:shape>
            </v:group>
            <v:group style="position:absolute;left:2288;top:418;width:46;height:233" coordorigin="2288,418" coordsize="46,233">
              <v:shape style="position:absolute;left:2288;top:418;width:46;height:233" coordorigin="2288,418" coordsize="46,233" path="m2334,418l2288,418,2288,651,2334,651,2334,418xe" filled="false" stroked="true" strokeweight=".75pt" strokecolor="#000000">
                <v:path arrowok="t"/>
              </v:shape>
            </v:group>
            <v:group style="position:absolute;left:3817;top:47;width:1815;height:915" coordorigin="3817,47" coordsize="1815,915">
              <v:shape style="position:absolute;left:3817;top:47;width:1815;height:915" coordorigin="3817,47" coordsize="1815,915" path="m5518,47l3932,47,3888,56,3851,81,3826,117,3817,161,3817,848,3826,892,3851,929,3888,953,3932,962,5518,962,5562,953,5598,929,5623,892,5632,848,5632,161,5623,117,5598,81,5562,56,5518,47xe" filled="true" fillcolor="#ccffff" stroked="false">
                <v:path arrowok="t"/>
                <v:fill type="solid"/>
              </v:shape>
            </v:group>
            <v:group style="position:absolute;left:3817;top:47;width:1815;height:915" coordorigin="3817,47" coordsize="1815,915">
              <v:shape style="position:absolute;left:3817;top:47;width:1815;height:915" coordorigin="3817,47" coordsize="1815,915" path="m3932,47l3888,56,3851,81,3826,117,3817,161,3817,848,3826,892,3851,929,3888,953,3932,962,5518,962,5562,953,5598,929,5623,892,5632,848,5632,161,5623,117,5598,81,5562,56,5518,47,3932,47xe" filled="false" stroked="true" strokeweight=".75pt" strokecolor="#000000">
                <v:path arrowok="t"/>
              </v:shape>
              <v:shape style="position:absolute;left:2340;top:99;width:1169;height:195" type="#_x0000_t202" filled="false" stroked="false">
                <v:textbox inset="0,0,0,0">
                  <w:txbxContent>
                    <w:p>
                      <w:pPr>
                        <w:spacing w:line="194" w:lineRule="exact" w:before="0"/>
                        <w:ind w:left="0" w:right="0" w:firstLine="0"/>
                        <w:jc w:val="left"/>
                        <w:rPr>
                          <w:rFonts w:ascii="宋体" w:hAnsi="宋体" w:cs="宋体" w:eastAsia="宋体" w:hint="default"/>
                          <w:sz w:val="19"/>
                          <w:szCs w:val="19"/>
                        </w:rPr>
                      </w:pPr>
                      <w:r>
                        <w:rPr>
                          <w:rFonts w:ascii="宋体" w:hAnsi="宋体" w:cs="宋体" w:eastAsia="宋体" w:hint="default"/>
                          <w:color w:val="003365"/>
                          <w:spacing w:val="-1"/>
                          <w:sz w:val="19"/>
                          <w:szCs w:val="19"/>
                        </w:rPr>
                        <w:t>系统建设启动</w:t>
                      </w:r>
                      <w:r>
                        <w:rPr>
                          <w:rFonts w:ascii="宋体" w:hAnsi="宋体" w:cs="宋体" w:eastAsia="宋体" w:hint="default"/>
                          <w:sz w:val="19"/>
                          <w:szCs w:val="19"/>
                        </w:rPr>
                      </w:r>
                    </w:p>
                  </w:txbxContent>
                </v:textbox>
                <w10:wrap type="none"/>
              </v:shape>
              <v:shape style="position:absolute;left:4290;top:264;width:900;height:510" type="#_x0000_t202" filled="false" stroked="false">
                <v:textbox inset="0,0,0,0">
                  <w:txbxContent>
                    <w:p>
                      <w:pPr>
                        <w:spacing w:line="225" w:lineRule="exact" w:before="0"/>
                        <w:ind w:left="-2" w:right="0" w:firstLine="0"/>
                        <w:jc w:val="center"/>
                        <w:rPr>
                          <w:rFonts w:ascii="宋体" w:hAnsi="宋体" w:cs="宋体" w:eastAsia="宋体" w:hint="default"/>
                          <w:sz w:val="22"/>
                          <w:szCs w:val="22"/>
                        </w:rPr>
                      </w:pPr>
                      <w:r>
                        <w:rPr>
                          <w:rFonts w:ascii="Arial" w:hAnsi="Arial" w:cs="Arial" w:eastAsia="Arial" w:hint="default"/>
                          <w:spacing w:val="-6"/>
                          <w:position w:val="1"/>
                          <w:sz w:val="22"/>
                          <w:szCs w:val="22"/>
                        </w:rPr>
                        <w:t>IT</w:t>
                      </w:r>
                      <w:r>
                        <w:rPr>
                          <w:rFonts w:ascii="宋体" w:hAnsi="宋体" w:cs="宋体" w:eastAsia="宋体" w:hint="default"/>
                          <w:spacing w:val="-6"/>
                          <w:sz w:val="22"/>
                          <w:szCs w:val="22"/>
                        </w:rPr>
                        <w:t>系统</w:t>
                      </w:r>
                      <w:r>
                        <w:rPr>
                          <w:rFonts w:ascii="宋体" w:hAnsi="宋体" w:cs="宋体" w:eastAsia="宋体" w:hint="default"/>
                          <w:sz w:val="22"/>
                          <w:szCs w:val="22"/>
                        </w:rPr>
                      </w:r>
                    </w:p>
                    <w:p>
                      <w:pPr>
                        <w:spacing w:line="283" w:lineRule="exact" w:before="0"/>
                        <w:ind w:left="-1" w:right="0" w:firstLine="0"/>
                        <w:jc w:val="center"/>
                        <w:rPr>
                          <w:rFonts w:ascii="宋体" w:hAnsi="宋体" w:cs="宋体" w:eastAsia="宋体" w:hint="default"/>
                          <w:sz w:val="22"/>
                          <w:szCs w:val="22"/>
                        </w:rPr>
                      </w:pPr>
                      <w:r>
                        <w:rPr>
                          <w:rFonts w:ascii="宋体" w:hAnsi="宋体" w:cs="宋体" w:eastAsia="宋体" w:hint="default"/>
                          <w:spacing w:val="-1"/>
                          <w:sz w:val="22"/>
                          <w:szCs w:val="22"/>
                        </w:rPr>
                        <w:t>开发建设</w:t>
                      </w:r>
                    </w:p>
                  </w:txbxContent>
                </v:textbox>
                <w10:wrap type="none"/>
              </v:shape>
            </v:group>
            <w10:wrap type="none"/>
          </v:group>
        </w:pict>
      </w:r>
      <w:r>
        <w:rPr/>
        <w:pict>
          <v:group style="position:absolute;margin-left:366.079987pt;margin-top:1.366028pt;width:92.75pt;height:47.75pt;mso-position-horizontal-relative:page;mso-position-vertical-relative:paragraph;z-index:1192" coordorigin="7322,27" coordsize="1855,955">
            <v:group style="position:absolute;left:7342;top:47;width:1815;height:915" coordorigin="7342,47" coordsize="1815,915">
              <v:shape style="position:absolute;left:7342;top:47;width:1815;height:915" coordorigin="7342,47" coordsize="1815,915" path="m9042,47l7456,47,7411,56,7375,81,7351,117,7342,161,7342,848,7351,892,7375,929,7411,953,7456,962,9042,962,9087,953,9123,929,9147,892,9156,848,9156,161,9147,117,9123,81,9087,56,9042,47xe" filled="true" fillcolor="#9999ff" stroked="false">
                <v:path arrowok="t"/>
                <v:fill type="solid"/>
              </v:shape>
            </v:group>
            <v:group style="position:absolute;left:7342;top:47;width:1815;height:915" coordorigin="7342,47" coordsize="1815,915">
              <v:shape style="position:absolute;left:7342;top:47;width:1815;height:915" coordorigin="7342,47" coordsize="1815,915" path="m7456,47l7411,56,7375,81,7351,117,7342,161,7342,848,7351,892,7375,929,7411,953,7456,962,9042,962,9087,953,9123,929,9147,892,9156,848,9156,161,9147,117,9123,81,9087,56,9042,47,7456,47xe" filled="false" stroked="true" strokeweight="2pt" strokecolor="#ff0000">
                <v:path arrowok="t"/>
              </v:shape>
              <v:shape style="position:absolute;left:7322;top:27;width:1855;height:955" type="#_x0000_t202" filled="false" stroked="false">
                <v:textbox inset="0,0,0,0">
                  <w:txbxContent>
                    <w:p>
                      <w:pPr>
                        <w:spacing w:line="240" w:lineRule="auto" w:before="7"/>
                        <w:rPr>
                          <w:rFonts w:ascii="宋体" w:hAnsi="宋体" w:cs="宋体" w:eastAsia="宋体" w:hint="default"/>
                          <w:sz w:val="15"/>
                          <w:szCs w:val="15"/>
                        </w:rPr>
                      </w:pPr>
                    </w:p>
                    <w:p>
                      <w:pPr>
                        <w:spacing w:line="284" w:lineRule="exact" w:before="0"/>
                        <w:ind w:left="491" w:right="459" w:firstLine="135"/>
                        <w:jc w:val="left"/>
                        <w:rPr>
                          <w:rFonts w:ascii="宋体" w:hAnsi="宋体" w:cs="宋体" w:eastAsia="宋体" w:hint="default"/>
                          <w:sz w:val="22"/>
                          <w:szCs w:val="22"/>
                        </w:rPr>
                      </w:pPr>
                      <w:r>
                        <w:rPr>
                          <w:rFonts w:ascii="Arial" w:hAnsi="Arial" w:cs="Arial" w:eastAsia="Arial" w:hint="default"/>
                          <w:spacing w:val="-6"/>
                          <w:position w:val="1"/>
                          <w:sz w:val="22"/>
                          <w:szCs w:val="22"/>
                        </w:rPr>
                        <w:t>IT</w:t>
                      </w:r>
                      <w:r>
                        <w:rPr>
                          <w:rFonts w:ascii="宋体" w:hAnsi="宋体" w:cs="宋体" w:eastAsia="宋体" w:hint="default"/>
                          <w:spacing w:val="-6"/>
                          <w:sz w:val="22"/>
                          <w:szCs w:val="22"/>
                        </w:rPr>
                        <w:t>系统</w:t>
                      </w:r>
                      <w:r>
                        <w:rPr>
                          <w:rFonts w:ascii="宋体" w:hAnsi="宋体" w:cs="宋体" w:eastAsia="宋体" w:hint="default"/>
                          <w:spacing w:val="-1"/>
                          <w:w w:val="102"/>
                          <w:sz w:val="22"/>
                          <w:szCs w:val="22"/>
                        </w:rPr>
                        <w:t> </w:t>
                      </w:r>
                      <w:r>
                        <w:rPr>
                          <w:rFonts w:ascii="宋体" w:hAnsi="宋体" w:cs="宋体" w:eastAsia="宋体" w:hint="default"/>
                          <w:sz w:val="22"/>
                          <w:szCs w:val="22"/>
                        </w:rPr>
                        <w:t>运行维护</w:t>
                      </w:r>
                    </w:p>
                  </w:txbxContent>
                </v:textbox>
                <w10:wrap type="none"/>
              </v:shape>
            </v:group>
            <w10:wrap type="none"/>
          </v:group>
        </w:pict>
      </w:r>
      <w:r>
        <w:rPr>
          <w:rFonts w:ascii="宋体" w:hAnsi="宋体" w:cs="宋体" w:eastAsia="宋体" w:hint="default"/>
          <w:color w:val="003365"/>
          <w:w w:val="105"/>
          <w:sz w:val="19"/>
          <w:szCs w:val="19"/>
        </w:rPr>
        <w:t>系统验收</w:t>
      </w:r>
      <w:r>
        <w:rPr>
          <w:rFonts w:ascii="宋体" w:hAnsi="宋体" w:cs="宋体" w:eastAsia="宋体" w:hint="default"/>
          <w:sz w:val="19"/>
          <w:szCs w:val="19"/>
        </w:rPr>
      </w:r>
    </w:p>
    <w:p>
      <w:pPr>
        <w:spacing w:line="479" w:lineRule="exact"/>
        <w:ind w:left="4069" w:right="0" w:firstLine="0"/>
        <w:rPr>
          <w:rFonts w:ascii="宋体" w:hAnsi="宋体" w:cs="宋体" w:eastAsia="宋体" w:hint="default"/>
          <w:sz w:val="20"/>
          <w:szCs w:val="20"/>
        </w:rPr>
      </w:pPr>
      <w:r>
        <w:rPr>
          <w:rFonts w:ascii="宋体" w:hAnsi="宋体" w:cs="宋体" w:eastAsia="宋体" w:hint="default"/>
          <w:position w:val="-9"/>
          <w:sz w:val="20"/>
          <w:szCs w:val="20"/>
        </w:rPr>
        <w:pict>
          <v:group style="width:75pt;height:24pt;mso-position-horizontal-relative:char;mso-position-vertical-relative:line" coordorigin="0,0" coordsize="1500,480">
            <v:group style="position:absolute;left:239;top:8;width:1253;height:465" coordorigin="239,8" coordsize="1253,465">
              <v:shape style="position:absolute;left:239;top:8;width:1253;height:465" coordorigin="239,8" coordsize="1253,465" path="m1121,8l1121,124,239,124,239,357,1121,357,1121,472,1492,240,1121,8xe" filled="true" fillcolor="#ffcc99" stroked="false">
                <v:path arrowok="t"/>
                <v:fill type="solid"/>
              </v:shape>
            </v:group>
            <v:group style="position:absolute;left:100;top:124;width:94;height:233" coordorigin="100,124" coordsize="94,233">
              <v:shape style="position:absolute;left:100;top:124;width:94;height:233" coordorigin="100,124" coordsize="94,233" path="m100,357l194,357,194,124,100,124,100,357xe" filled="true" fillcolor="#ffcc99" stroked="false">
                <v:path arrowok="t"/>
                <v:fill type="solid"/>
              </v:shape>
            </v:group>
            <v:group style="position:absolute;left:31;top:124;width:2;height:233" coordorigin="31,124" coordsize="2,233">
              <v:shape style="position:absolute;left:31;top:124;width:2;height:233" coordorigin="31,124" coordsize="0,233" path="m31,124l31,357e" filled="false" stroked="true" strokeweight="2.34pt" strokecolor="#ffcc99">
                <v:path arrowok="t"/>
              </v:shape>
            </v:group>
            <v:group style="position:absolute;left:239;top:8;width:1253;height:465" coordorigin="239,8" coordsize="1253,465">
              <v:shape style="position:absolute;left:239;top:8;width:1253;height:465" coordorigin="239,8" coordsize="1253,465" path="m1121,8l1121,124,239,124,239,357,1121,357,1121,472,1492,240,1121,8xe" filled="false" stroked="true" strokeweight=".75pt" strokecolor="#000000">
                <v:path arrowok="t"/>
              </v:shape>
            </v:group>
            <v:group style="position:absolute;left:100;top:124;width:94;height:233" coordorigin="100,124" coordsize="94,233">
              <v:shape style="position:absolute;left:100;top:124;width:94;height:233" coordorigin="100,124" coordsize="94,233" path="m193,124l100,124,100,357,193,357,193,124xe" filled="false" stroked="true" strokeweight=".75pt" strokecolor="#000000">
                <v:path arrowok="t"/>
              </v:shape>
            </v:group>
            <v:group style="position:absolute;left:8;top:124;width:47;height:233" coordorigin="8,124" coordsize="47,233">
              <v:shape style="position:absolute;left:8;top:124;width:47;height:233" coordorigin="8,124" coordsize="47,233" path="m54,124l8,124,8,357,54,357,54,124xe" filled="false" stroked="true" strokeweight=".75pt" strokecolor="#000000">
                <v:path arrowok="t"/>
              </v:shape>
            </v:group>
          </v:group>
        </w:pict>
      </w:r>
      <w:r>
        <w:rPr>
          <w:rFonts w:ascii="宋体" w:hAnsi="宋体" w:cs="宋体" w:eastAsia="宋体" w:hint="default"/>
          <w:position w:val="-9"/>
          <w:sz w:val="20"/>
          <w:szCs w:val="20"/>
        </w:rPr>
      </w:r>
    </w:p>
    <w:p>
      <w:pPr>
        <w:spacing w:line="240" w:lineRule="auto" w:before="12"/>
        <w:rPr>
          <w:rFonts w:ascii="宋体" w:hAnsi="宋体" w:cs="宋体" w:eastAsia="宋体" w:hint="default"/>
          <w:sz w:val="21"/>
          <w:szCs w:val="21"/>
        </w:rPr>
      </w:pPr>
    </w:p>
    <w:p>
      <w:pPr>
        <w:spacing w:line="479" w:lineRule="exact"/>
        <w:ind w:left="710" w:right="0" w:firstLine="0"/>
        <w:rPr>
          <w:rFonts w:ascii="宋体" w:hAnsi="宋体" w:cs="宋体" w:eastAsia="宋体" w:hint="default"/>
          <w:sz w:val="20"/>
          <w:szCs w:val="20"/>
        </w:rPr>
      </w:pPr>
      <w:r>
        <w:rPr>
          <w:rFonts w:ascii="宋体" w:hAnsi="宋体" w:cs="宋体" w:eastAsia="宋体" w:hint="default"/>
          <w:position w:val="-9"/>
          <w:sz w:val="20"/>
          <w:szCs w:val="20"/>
        </w:rPr>
        <w:pict>
          <v:group style="width:336.65pt;height:24pt;mso-position-horizontal-relative:char;mso-position-vertical-relative:line" coordorigin="0,0" coordsize="6733,480">
            <v:group style="position:absolute;left:8;top:8;width:6718;height:465" coordorigin="8,8" coordsize="6718,465">
              <v:shape style="position:absolute;left:8;top:8;width:6718;height:465" coordorigin="8,8" coordsize="6718,465" path="m8,8l43,89,139,157,207,185,285,208,372,226,466,237,567,240,2836,240,2937,244,3031,255,3119,272,3197,295,3265,322,3320,355,3387,430,3396,472,3405,430,3473,355,3528,322,3595,295,3673,272,3761,255,3855,244,3956,240,6166,240,6266,237,6361,226,6448,208,6526,185,6593,157,6649,125,6716,49,6725,8e" filled="false" stroked="true" strokeweight=".75pt" strokecolor="#003366">
                <v:path arrowok="t"/>
              </v:shape>
            </v:group>
          </v:group>
        </w:pict>
      </w:r>
      <w:r>
        <w:rPr>
          <w:rFonts w:ascii="宋体" w:hAnsi="宋体" w:cs="宋体" w:eastAsia="宋体" w:hint="default"/>
          <w:position w:val="-9"/>
          <w:sz w:val="20"/>
          <w:szCs w:val="20"/>
        </w:rPr>
      </w:r>
    </w:p>
    <w:p>
      <w:pPr>
        <w:spacing w:line="260" w:lineRule="exact" w:before="0"/>
        <w:ind w:left="2988" w:right="0" w:firstLine="0"/>
        <w:jc w:val="left"/>
        <w:rPr>
          <w:rFonts w:ascii="宋体" w:hAnsi="宋体" w:cs="宋体" w:eastAsia="宋体" w:hint="default"/>
          <w:sz w:val="22"/>
          <w:szCs w:val="22"/>
        </w:rPr>
      </w:pPr>
      <w:r>
        <w:rPr>
          <w:rFonts w:ascii="Arial" w:hAnsi="Arial" w:cs="Arial" w:eastAsia="Arial" w:hint="default"/>
          <w:spacing w:val="-3"/>
          <w:position w:val="1"/>
          <w:sz w:val="22"/>
          <w:szCs w:val="22"/>
        </w:rPr>
        <w:t>IT</w:t>
      </w:r>
      <w:r>
        <w:rPr>
          <w:rFonts w:ascii="宋体" w:hAnsi="宋体" w:cs="宋体" w:eastAsia="宋体" w:hint="default"/>
          <w:spacing w:val="-3"/>
          <w:sz w:val="22"/>
          <w:szCs w:val="22"/>
        </w:rPr>
        <w:t>系统的完整生命周期</w:t>
      </w:r>
    </w:p>
    <w:p>
      <w:pPr>
        <w:pStyle w:val="BodyText"/>
        <w:spacing w:line="408" w:lineRule="auto" w:before="5"/>
        <w:ind w:left="140" w:right="135" w:firstLine="420"/>
        <w:jc w:val="both"/>
      </w:pPr>
      <w:r>
        <w:rPr>
          <w:spacing w:val="-3"/>
        </w:rPr>
        <w:t>随着网络的普及、企业信息化建设的推进、IT技术的发展与创新，人们日常生活和工作</w:t>
      </w:r>
      <w:r>
        <w:rPr/>
        <w:t> </w:t>
      </w:r>
      <w:r>
        <w:rPr>
          <w:spacing w:val="-3"/>
        </w:rPr>
        <w:t>对IT系统的使用不断增加，依赖性越来越高。以电信运营商、金融企业为代表的大型客户的</w:t>
      </w:r>
      <w:r>
        <w:rPr>
          <w:spacing w:val="-80"/>
        </w:rPr>
        <w:t> </w:t>
      </w:r>
      <w:r>
        <w:rPr>
          <w:spacing w:val="-80"/>
        </w:rPr>
      </w:r>
      <w:r>
        <w:rPr>
          <w:spacing w:val="-3"/>
        </w:rPr>
        <w:t>IT系统，尤其是其在线关键业务IT应用系统对运维管理的刚性需求持续快速增长，以保障其</w:t>
      </w:r>
      <w:r>
        <w:rPr>
          <w:spacing w:val="-77"/>
        </w:rPr>
        <w:t> </w:t>
      </w:r>
      <w:r>
        <w:rPr>
          <w:spacing w:val="-77"/>
        </w:rPr>
      </w:r>
      <w:r>
        <w:rPr/>
        <w:t>关键业务系统能够7×24小时持续、不间断地稳定运行，相应的IT运维管理的市场容量将不</w:t>
      </w:r>
      <w:r>
        <w:rPr>
          <w:spacing w:val="-100"/>
        </w:rPr>
        <w:t> </w:t>
      </w:r>
      <w:r>
        <w:rPr>
          <w:spacing w:val="-100"/>
        </w:rPr>
      </w:r>
      <w:r>
        <w:rPr/>
        <w:t>断地增长。</w:t>
      </w:r>
    </w:p>
    <w:p>
      <w:pPr>
        <w:spacing w:line="240" w:lineRule="auto" w:before="6"/>
        <w:rPr>
          <w:rFonts w:ascii="宋体" w:hAnsi="宋体" w:cs="宋体" w:eastAsia="宋体" w:hint="default"/>
          <w:sz w:val="15"/>
          <w:szCs w:val="15"/>
        </w:rPr>
      </w:pPr>
    </w:p>
    <w:p>
      <w:pPr>
        <w:pStyle w:val="BodyText"/>
        <w:spacing w:line="408" w:lineRule="auto"/>
        <w:ind w:left="140" w:right="136" w:firstLine="420"/>
        <w:jc w:val="both"/>
      </w:pPr>
      <w:r>
        <w:rPr>
          <w:spacing w:val="-3"/>
        </w:rPr>
        <w:t>IT运维管理可以细分为面向计算机网络的IT运维管理和面向电信网络的IT运维管理，两</w:t>
      </w:r>
      <w:r>
        <w:rPr/>
        <w:t> </w:t>
      </w:r>
      <w:r>
        <w:rPr>
          <w:spacing w:val="-3"/>
        </w:rPr>
        <w:t>者管理的对象不同，但其解决方案的总体框架是一致的，其主要功能是为信息系统与网络的</w:t>
      </w:r>
      <w:r>
        <w:rPr>
          <w:spacing w:val="-79"/>
        </w:rPr>
        <w:t> </w:t>
      </w:r>
      <w:r>
        <w:rPr>
          <w:spacing w:val="-79"/>
        </w:rPr>
      </w:r>
      <w:r>
        <w:rPr/>
        <w:t>安全、稳定和高效运行提供技术保障。</w:t>
      </w:r>
    </w:p>
    <w:p>
      <w:pPr>
        <w:spacing w:line="240" w:lineRule="auto" w:before="0"/>
        <w:rPr>
          <w:rFonts w:ascii="宋体" w:hAnsi="宋体" w:cs="宋体" w:eastAsia="宋体" w:hint="default"/>
          <w:sz w:val="18"/>
          <w:szCs w:val="18"/>
        </w:rPr>
      </w:pPr>
    </w:p>
    <w:p>
      <w:pPr>
        <w:spacing w:line="2925" w:lineRule="exact"/>
        <w:ind w:left="756" w:right="0" w:firstLine="0"/>
        <w:rPr>
          <w:rFonts w:ascii="宋体" w:hAnsi="宋体" w:cs="宋体" w:eastAsia="宋体" w:hint="default"/>
          <w:sz w:val="20"/>
          <w:szCs w:val="20"/>
        </w:rPr>
      </w:pPr>
      <w:r>
        <w:rPr>
          <w:rFonts w:ascii="宋体" w:hAnsi="宋体" w:cs="宋体" w:eastAsia="宋体" w:hint="default"/>
          <w:position w:val="-58"/>
          <w:sz w:val="20"/>
          <w:szCs w:val="20"/>
        </w:rPr>
        <w:pict>
          <v:group style="width:379.85pt;height:146.3pt;mso-position-horizontal-relative:char;mso-position-vertical-relative:line" coordorigin="0,0" coordsize="7597,2926">
            <v:group style="position:absolute;left:1732;top:2014;width:1253;height:398" coordorigin="1732,2014" coordsize="1253,398">
              <v:shape style="position:absolute;left:1732;top:2014;width:1253;height:398" coordorigin="1732,2014" coordsize="1253,398" path="m1732,2411l2985,2411,2985,2014,1732,2014,1732,2411xe" filled="false" stroked="true" strokeweight=".253pt" strokecolor="#003366">
                <v:path arrowok="t"/>
              </v:shape>
              <v:shape style="position:absolute;left:1863;top:2121;width:998;height:259" type="#_x0000_t75" stroked="false">
                <v:imagedata r:id="rId23" o:title=""/>
              </v:shape>
            </v:group>
            <v:group style="position:absolute;left:3;top:1882;width:6174;height:1042" coordorigin="3,1882" coordsize="6174,1042">
              <v:shape style="position:absolute;left:3;top:1882;width:6174;height:1042" coordorigin="3,1882" coordsize="6174,1042" path="m3,2923l6177,2923,6177,1882,3,1882,3,2923xe" filled="false" stroked="true" strokeweight=".253pt" strokecolor="#003366">
                <v:path arrowok="t"/>
                <v:stroke dashstyle="dash"/>
              </v:shape>
              <v:shape style="position:absolute;left:1534;top:2610;width:3178;height:259" type="#_x0000_t75" stroked="false">
                <v:imagedata r:id="rId24" o:title=""/>
              </v:shape>
            </v:group>
            <v:group style="position:absolute;left:2937;top:1361;width:944;height:653" coordorigin="2937,1361" coordsize="944,653">
              <v:shape style="position:absolute;left:2937;top:1361;width:944;height:653" coordorigin="2937,1361" coordsize="944,653" path="m3880,2014l3880,1589,3135,1589,3135,1361,2937,1361e" filled="false" stroked="true" strokeweight=".253pt" strokecolor="#003366">
                <v:path arrowok="t"/>
              </v:shape>
            </v:group>
            <v:group style="position:absolute;left:3880;top:1361;width:977;height:653" coordorigin="3880,1361" coordsize="977,653">
              <v:shape style="position:absolute;left:3880;top:1361;width:977;height:653" coordorigin="3880,1361" coordsize="977,653" path="m3880,2014l3880,1589,4857,1589,4857,1361e" filled="false" stroked="true" strokeweight=".253pt" strokecolor="#003366">
                <v:path arrowok="t"/>
              </v:shape>
            </v:group>
            <v:group style="position:absolute;left:3253;top:2014;width:1253;height:398" coordorigin="3253,2014" coordsize="1253,398">
              <v:shape style="position:absolute;left:3253;top:2014;width:1253;height:398" coordorigin="3253,2014" coordsize="1253,398" path="m3253,2411l4506,2411,4506,2014,3253,2014,3253,2411xe" filled="false" stroked="true" strokeweight=".253pt" strokecolor="#003366">
                <v:path arrowok="t"/>
              </v:shape>
              <v:shape style="position:absolute;left:3381;top:2121;width:998;height:259" type="#_x0000_t75" stroked="false">
                <v:imagedata r:id="rId25" o:title=""/>
              </v:shape>
            </v:group>
            <v:group style="position:absolute;left:4782;top:2010;width:1253;height:398" coordorigin="4782,2010" coordsize="1253,398">
              <v:shape style="position:absolute;left:4782;top:2010;width:1253;height:398" coordorigin="4782,2010" coordsize="1253,398" path="m4782,2407l6035,2407,6035,2010,4782,2010,4782,2407xe" filled="false" stroked="true" strokeweight=".253pt" strokecolor="#003366">
                <v:path arrowok="t"/>
              </v:shape>
              <v:shape style="position:absolute;left:4909;top:2117;width:998;height:259" type="#_x0000_t75" stroked="false">
                <v:imagedata r:id="rId26" o:title=""/>
              </v:shape>
            </v:group>
            <v:group style="position:absolute;left:181;top:2014;width:1253;height:398" coordorigin="181,2014" coordsize="1253,398">
              <v:shape style="position:absolute;left:181;top:2014;width:1253;height:398" coordorigin="181,2014" coordsize="1253,398" path="m181,2411l1434,2411,1434,2014,181,2014,181,2411xe" filled="false" stroked="true" strokeweight=".253pt" strokecolor="#003366">
                <v:path arrowok="t"/>
              </v:shape>
              <v:shape style="position:absolute;left:328;top:2121;width:979;height:259" type="#_x0000_t75" stroked="false">
                <v:imagedata r:id="rId27" o:title=""/>
              </v:shape>
            </v:group>
            <v:group style="position:absolute;left:2358;top:1775;width:3051;height:239" coordorigin="2358,1775" coordsize="3051,239">
              <v:shape style="position:absolute;left:2358;top:1775;width:3051;height:239" coordorigin="2358,1775" coordsize="3051,239" path="m2358,2014l2358,1775,3880,1775,5409,1775,5409,2010e" filled="false" stroked="true" strokeweight=".253pt" strokecolor="#003366">
                <v:path arrowok="t"/>
              </v:shape>
            </v:group>
            <v:group style="position:absolute;left:6341;top:2014;width:1253;height:398" coordorigin="6341,2014" coordsize="1253,398">
              <v:shape style="position:absolute;left:6341;top:2014;width:1253;height:398" coordorigin="6341,2014" coordsize="1253,398" path="m6341,2411l7594,2411,7594,2014,6341,2014,6341,2411xe" filled="false" stroked="true" strokeweight=".253pt" strokecolor="#003366">
                <v:path arrowok="t"/>
              </v:shape>
              <v:shape style="position:absolute;left:6804;top:2121;width:326;height:511" type="#_x0000_t75" stroked="false">
                <v:imagedata r:id="rId28" o:title=""/>
              </v:shape>
            </v:group>
            <v:group style="position:absolute;left:4819;top:1589;width:2148;height:425" coordorigin="4819,1589" coordsize="2148,425">
              <v:shape style="position:absolute;left:4819;top:1589;width:2148;height:425" coordorigin="4819,1589" coordsize="2148,425" path="m6967,2014l6967,1589,4819,1589e" filled="false" stroked="true" strokeweight=".253pt" strokecolor="#003366">
                <v:path arrowok="t"/>
              </v:shape>
            </v:group>
            <v:group style="position:absolute;left:3273;top:3;width:1208;height:398" coordorigin="3273,3" coordsize="1208,398">
              <v:shape style="position:absolute;left:3273;top:3;width:1208;height:398" coordorigin="3273,3" coordsize="1208,398" path="m3273,400l4480,400,4480,3,3273,3,3273,400xe" filled="false" stroked="true" strokeweight=".253pt" strokecolor="#003366">
                <v:path arrowok="t"/>
              </v:shape>
              <v:shape style="position:absolute;left:3489;top:131;width:125;height:734" type="#_x0000_t75" stroked="false">
                <v:imagedata r:id="rId29" o:title=""/>
              </v:shape>
              <v:shape style="position:absolute;left:3630;top:105;width:662;height:346" type="#_x0000_t75" stroked="false">
                <v:imagedata r:id="rId30" o:title=""/>
              </v:shape>
            </v:group>
            <v:group style="position:absolute;left:2937;top:400;width:940;height:344" coordorigin="2937,400" coordsize="940,344">
              <v:shape style="position:absolute;left:2937;top:400;width:940;height:344" coordorigin="2937,400" coordsize="940,344" path="m3876,400l3876,549,2937,549,2937,743e" filled="false" stroked="true" strokeweight=".253pt" strokecolor="#003366">
                <v:path arrowok="t"/>
              </v:shape>
            </v:group>
            <v:group style="position:absolute;left:3876;top:400;width:981;height:344" coordorigin="3876,400" coordsize="981,344">
              <v:shape style="position:absolute;left:3876;top:400;width:981;height:344" coordorigin="3876,400" coordsize="981,344" path="m3876,400l3876,549,4857,549,4857,743e" filled="false" stroked="true" strokeweight=".253pt" strokecolor="#003366">
                <v:path arrowok="t"/>
              </v:shape>
            </v:group>
            <v:group style="position:absolute;left:2206;top:743;width:1462;height:618" coordorigin="2206,743" coordsize="1462,618">
              <v:shape style="position:absolute;left:2206;top:743;width:1462;height:618" coordorigin="2206,743" coordsize="1462,618" path="m2206,1361l3667,1361,3667,743,2206,743,2206,1361xe" filled="false" stroked="true" strokeweight=".253pt" strokecolor="#003366">
                <v:path arrowok="t"/>
              </v:shape>
              <v:shape style="position:absolute;left:2356;top:838;width:1162;height:202" type="#_x0000_t75" stroked="false">
                <v:imagedata r:id="rId31" o:title=""/>
              </v:shape>
              <v:shape style="position:absolute;left:2549;top:1097;width:125;height:734" type="#_x0000_t75" stroked="false">
                <v:imagedata r:id="rId32" o:title=""/>
              </v:shape>
              <v:shape style="position:absolute;left:2691;top:1071;width:662;height:346" type="#_x0000_t75" stroked="false">
                <v:imagedata r:id="rId30" o:title=""/>
              </v:shape>
            </v:group>
            <v:group style="position:absolute;left:4089;top:743;width:1536;height:618" coordorigin="4089,743" coordsize="1536,618">
              <v:shape style="position:absolute;left:4089;top:743;width:1536;height:618" coordorigin="4089,743" coordsize="1536,618" path="m4089,1361l5625,1361,5625,743,4089,743,4089,1361xe" filled="false" stroked="true" strokeweight=".253pt" strokecolor="#003366">
                <v:path arrowok="t"/>
              </v:shape>
              <v:shape style="position:absolute;left:4192;top:845;width:1325;height:209" type="#_x0000_t75" stroked="false">
                <v:imagedata r:id="rId33" o:title=""/>
              </v:shape>
              <v:shape style="position:absolute;left:4469;top:1092;width:125;height:734" type="#_x0000_t75" stroked="false">
                <v:imagedata r:id="rId34" o:title=""/>
              </v:shape>
              <v:shape style="position:absolute;left:4611;top:1066;width:662;height:346" type="#_x0000_t75" stroked="false">
                <v:imagedata r:id="rId30" o:title=""/>
              </v:shape>
            </v:group>
            <v:group style="position:absolute;left:808;top:1361;width:2129;height:653" coordorigin="808,1361" coordsize="2129,653">
              <v:shape style="position:absolute;left:808;top:1361;width:2129;height:653" coordorigin="808,1361" coordsize="2129,653" path="m808,2014l808,1589,2687,1589,2687,1361,2937,1361e" filled="false" stroked="true" strokeweight=".253pt" strokecolor="#003366">
                <v:path arrowok="t"/>
              </v:shape>
            </v:group>
          </v:group>
        </w:pict>
      </w:r>
      <w:r>
        <w:rPr>
          <w:rFonts w:ascii="宋体" w:hAnsi="宋体" w:cs="宋体" w:eastAsia="宋体" w:hint="default"/>
          <w:position w:val="-58"/>
          <w:sz w:val="20"/>
          <w:szCs w:val="20"/>
        </w:rPr>
      </w:r>
    </w:p>
    <w:p>
      <w:pPr>
        <w:spacing w:line="240" w:lineRule="auto" w:before="7"/>
        <w:rPr>
          <w:rFonts w:ascii="宋体" w:hAnsi="宋体" w:cs="宋体" w:eastAsia="宋体" w:hint="default"/>
          <w:sz w:val="21"/>
          <w:szCs w:val="21"/>
        </w:rPr>
      </w:pPr>
    </w:p>
    <w:p>
      <w:pPr>
        <w:pStyle w:val="BodyText"/>
        <w:spacing w:line="408" w:lineRule="auto" w:before="35"/>
        <w:ind w:left="139" w:right="135" w:firstLine="420"/>
        <w:jc w:val="both"/>
      </w:pPr>
      <w:r>
        <w:rPr/>
        <w:pict>
          <v:group style="position:absolute;margin-left:96pt;margin-top:-126.567429pt;width:8.35pt;height:148pt;mso-position-horizontal-relative:page;mso-position-vertical-relative:paragraph;z-index:-712528" coordorigin="1920,-2531" coordsize="167,2960">
            <v:shape style="position:absolute;left:1931;top:-1227;width:154;height:986" type="#_x0000_t75" stroked="false">
              <v:imagedata r:id="rId35" o:title=""/>
            </v:shape>
            <v:shape style="position:absolute;left:1933;top:-1003;width:154;height:929" type="#_x0000_t75" stroked="false">
              <v:imagedata r:id="rId36" o:title=""/>
            </v:shape>
            <v:shape style="position:absolute;left:1932;top:-787;width:154;height:986" type="#_x0000_t75" stroked="false">
              <v:imagedata r:id="rId37" o:title=""/>
            </v:shape>
            <v:shape style="position:absolute;left:1946;top:-566;width:125;height:994" type="#_x0000_t75" stroked="false">
              <v:imagedata r:id="rId38" o:title=""/>
            </v:shape>
            <v:shape style="position:absolute;left:1922;top:-2531;width:154;height:1022" type="#_x0000_t75" stroked="false">
              <v:imagedata r:id="rId39" o:title=""/>
            </v:shape>
            <v:shape style="position:absolute;left:1920;top:-2294;width:154;height:878" type="#_x0000_t75" stroked="false">
              <v:imagedata r:id="rId40" o:title=""/>
            </v:shape>
            <v:shape style="position:absolute;left:1920;top:-2084;width:154;height:965" type="#_x0000_t75" stroked="false">
              <v:imagedata r:id="rId41" o:title=""/>
            </v:shape>
            <v:shape style="position:absolute;left:1922;top:-1868;width:154;height:1008" type="#_x0000_t75" stroked="false">
              <v:imagedata r:id="rId42" o:title=""/>
            </v:shape>
            <w10:wrap type="none"/>
          </v:group>
        </w:pict>
      </w:r>
      <w:r>
        <w:rPr/>
        <w:t>业务服务管理（即BSM）相关产品与服务是面向计算机网络的IT运维管理市场的代表性 组成部分；电信运维支撑系统（即OSS）相关产品与服务是面向电信网络的IT运维管理市场</w:t>
      </w:r>
      <w:r>
        <w:rPr>
          <w:spacing w:val="-100"/>
        </w:rPr>
        <w:t> </w:t>
      </w:r>
      <w:r>
        <w:rPr>
          <w:spacing w:val="-100"/>
        </w:rPr>
      </w:r>
      <w:r>
        <w:rPr>
          <w:spacing w:val="-3"/>
        </w:rPr>
        <w:t>的主要组成部分。近年来，兼具计算机网络和电信网络特色的各类电信数据业务的出现，以</w:t>
      </w:r>
      <w:r>
        <w:rPr>
          <w:spacing w:val="-81"/>
        </w:rPr>
        <w:t> </w:t>
      </w:r>
      <w:r>
        <w:rPr>
          <w:spacing w:val="-81"/>
        </w:rPr>
      </w:r>
      <w:r>
        <w:rPr>
          <w:spacing w:val="-3"/>
        </w:rPr>
        <w:t>及电信运营商整合计算机网络管理和电信网络管理的需求的提出，使得BSM与OSS两类产品及</w:t>
      </w:r>
      <w:r>
        <w:rPr>
          <w:spacing w:val="-72"/>
        </w:rPr>
        <w:t> </w:t>
      </w:r>
      <w:r>
        <w:rPr>
          <w:spacing w:val="-72"/>
        </w:rPr>
      </w:r>
      <w:r>
        <w:rPr/>
        <w:t>服务呈现出相互融合的态势。随着计算机网络和电信网络的融合，这一趋势将日益明显。</w:t>
      </w:r>
    </w:p>
    <w:p>
      <w:pPr>
        <w:spacing w:line="240" w:lineRule="auto" w:before="6"/>
        <w:rPr>
          <w:rFonts w:ascii="宋体" w:hAnsi="宋体" w:cs="宋体" w:eastAsia="宋体" w:hint="default"/>
          <w:sz w:val="15"/>
          <w:szCs w:val="15"/>
        </w:rPr>
      </w:pPr>
    </w:p>
    <w:p>
      <w:pPr>
        <w:pStyle w:val="BodyText"/>
        <w:spacing w:line="408" w:lineRule="auto"/>
        <w:ind w:left="139" w:right="135" w:firstLine="420"/>
        <w:jc w:val="both"/>
      </w:pPr>
      <w:r>
        <w:rPr>
          <w:spacing w:val="-3"/>
        </w:rPr>
        <w:t>（1）国内BSM市场规模将保持持续快速增长，主要应用领域仍集中在IT成熟度较高的电</w:t>
      </w:r>
      <w:r>
        <w:rPr/>
        <w:t> </w:t>
      </w:r>
      <w:r>
        <w:rPr>
          <w:spacing w:val="-5"/>
        </w:rPr>
        <w:t>信、金融和政府等领域。据IDC市场研究报告，2009年至2013年我国的BSM市场容量将以19.4%</w:t>
      </w:r>
      <w:r>
        <w:rPr>
          <w:spacing w:val="-62"/>
        </w:rPr>
        <w:t> </w:t>
      </w:r>
      <w:r>
        <w:rPr>
          <w:spacing w:val="-62"/>
        </w:rPr>
      </w:r>
      <w:r>
        <w:rPr/>
        <w:t>的年均复合增长率保持高速增长，至2013年达到47.9亿元的市场规模。</w:t>
      </w:r>
    </w:p>
    <w:p>
      <w:pPr>
        <w:spacing w:line="240" w:lineRule="auto" w:before="6"/>
        <w:rPr>
          <w:rFonts w:ascii="宋体" w:hAnsi="宋体" w:cs="宋体" w:eastAsia="宋体" w:hint="default"/>
          <w:sz w:val="15"/>
          <w:szCs w:val="15"/>
        </w:rPr>
      </w:pPr>
    </w:p>
    <w:p>
      <w:pPr>
        <w:pStyle w:val="BodyText"/>
        <w:spacing w:line="240" w:lineRule="auto"/>
        <w:ind w:left="559" w:right="0"/>
        <w:jc w:val="left"/>
      </w:pPr>
      <w:r>
        <w:rPr>
          <w:spacing w:val="-3"/>
        </w:rPr>
        <w:t>（2）国内OSS市场的主要应用领域为国内的电信运营商。电信运营商为适应全业务竞争</w:t>
      </w:r>
    </w:p>
    <w:p>
      <w:pPr>
        <w:spacing w:after="0" w:line="240" w:lineRule="auto"/>
        <w:jc w:val="left"/>
        <w:sectPr>
          <w:pgSz w:w="11910" w:h="16840"/>
          <w:pgMar w:header="851" w:footer="982" w:top="1360" w:bottom="1180" w:left="1660" w:right="1660"/>
        </w:sectPr>
      </w:pPr>
    </w:p>
    <w:p>
      <w:pPr>
        <w:spacing w:line="240" w:lineRule="auto" w:before="2"/>
        <w:rPr>
          <w:rFonts w:ascii="宋体" w:hAnsi="宋体" w:cs="宋体" w:eastAsia="宋体" w:hint="default"/>
          <w:sz w:val="8"/>
          <w:szCs w:val="8"/>
        </w:rPr>
      </w:pPr>
    </w:p>
    <w:p>
      <w:pPr>
        <w:pStyle w:val="BodyText"/>
        <w:spacing w:line="408" w:lineRule="auto" w:before="35"/>
        <w:ind w:left="140" w:right="214"/>
        <w:jc w:val="both"/>
      </w:pPr>
      <w:r>
        <w:rPr>
          <w:spacing w:val="-3"/>
        </w:rPr>
        <w:t>的市场格局，逐步加大了支撑系统方面的投资力度，以形成良好的运营管理能力。同时，随</w:t>
      </w:r>
      <w:r>
        <w:rPr>
          <w:spacing w:val="-81"/>
        </w:rPr>
        <w:t> </w:t>
      </w:r>
      <w:r>
        <w:rPr>
          <w:spacing w:val="-81"/>
        </w:rPr>
      </w:r>
      <w:r>
        <w:rPr>
          <w:spacing w:val="2"/>
        </w:rPr>
        <w:t>着3G网络建设的逐步开展、各种新业务的不断推出以及电信运营商对精细化管理的需求加</w:t>
      </w:r>
      <w:r>
        <w:rPr>
          <w:spacing w:val="-88"/>
        </w:rPr>
        <w:t> </w:t>
      </w:r>
      <w:r>
        <w:rPr>
          <w:spacing w:val="-88"/>
        </w:rPr>
      </w:r>
      <w:r>
        <w:rPr/>
        <w:t>强，都将促使电信运营商对OSS市场提出新的需求，如3G网络管理系统、服务保障系统、网</w:t>
      </w:r>
      <w:r>
        <w:rPr/>
        <w:t> 络优化系统与网络优化服务等，OSS市场的需求将处于持续高增长阶段。</w:t>
      </w:r>
    </w:p>
    <w:p>
      <w:pPr>
        <w:spacing w:line="240" w:lineRule="auto" w:before="6"/>
        <w:rPr>
          <w:rFonts w:ascii="宋体" w:hAnsi="宋体" w:cs="宋体" w:eastAsia="宋体" w:hint="default"/>
          <w:sz w:val="15"/>
          <w:szCs w:val="15"/>
        </w:rPr>
      </w:pPr>
    </w:p>
    <w:p>
      <w:pPr>
        <w:pStyle w:val="Heading2"/>
        <w:spacing w:line="240" w:lineRule="auto"/>
        <w:ind w:left="657" w:right="100"/>
        <w:jc w:val="left"/>
        <w:rPr>
          <w:b w:val="0"/>
          <w:bCs w:val="0"/>
        </w:rPr>
      </w:pPr>
      <w:r>
        <w:rPr/>
        <w:t>2、移动互联网发展状况</w:t>
      </w:r>
      <w:r>
        <w:rPr>
          <w:b w:val="0"/>
          <w:bCs w:val="0"/>
        </w:rPr>
      </w:r>
    </w:p>
    <w:p>
      <w:pPr>
        <w:spacing w:line="240" w:lineRule="auto" w:before="9"/>
        <w:rPr>
          <w:rFonts w:ascii="宋体" w:hAnsi="宋体" w:cs="宋体" w:eastAsia="宋体" w:hint="default"/>
          <w:b/>
          <w:bCs/>
          <w:sz w:val="26"/>
          <w:szCs w:val="26"/>
        </w:rPr>
      </w:pPr>
    </w:p>
    <w:p>
      <w:pPr>
        <w:pStyle w:val="BodyText"/>
        <w:spacing w:line="408" w:lineRule="auto"/>
        <w:ind w:left="140" w:right="100" w:firstLine="420"/>
        <w:jc w:val="left"/>
      </w:pPr>
      <w:r>
        <w:rPr>
          <w:spacing w:val="-6"/>
        </w:rPr>
        <w:t>根据中国互联网络信息中心（CNNIC）调查显示，截至2009年末，我国网民规模已达3.84</w:t>
      </w:r>
      <w:r>
        <w:rPr>
          <w:spacing w:val="-1"/>
        </w:rPr>
        <w:t> </w:t>
      </w:r>
      <w:r>
        <w:rPr>
          <w:spacing w:val="-3"/>
        </w:rPr>
        <w:t>亿，互联网普及率进一步提升，达到28.9%。受3G业务开展的影响，手机网民数量迅速增长，</w:t>
      </w:r>
      <w:r>
        <w:rPr>
          <w:spacing w:val="-74"/>
        </w:rPr>
        <w:t> </w:t>
      </w:r>
      <w:r>
        <w:rPr>
          <w:spacing w:val="-74"/>
        </w:rPr>
      </w:r>
      <w:r>
        <w:rPr/>
        <w:t>规模已达2.33亿人，占整体网民的60.8%，移动网络、手机终端在中国互联网发展中起着更</w:t>
      </w:r>
      <w:r>
        <w:rPr/>
        <w:t> </w:t>
      </w:r>
      <w:r>
        <w:rPr>
          <w:spacing w:val="-3"/>
        </w:rPr>
        <w:t>加重要的作用。随着3G业务的持续开展，手机上网将成为刺激我国互联网用户增长的新增长</w:t>
      </w:r>
      <w:r>
        <w:rPr>
          <w:spacing w:val="-78"/>
        </w:rPr>
        <w:t> </w:t>
      </w:r>
      <w:r>
        <w:rPr>
          <w:spacing w:val="-78"/>
        </w:rPr>
      </w:r>
      <w:r>
        <w:rPr/>
        <w:t>点。</w:t>
      </w:r>
    </w:p>
    <w:p>
      <w:pPr>
        <w:spacing w:line="240" w:lineRule="auto" w:before="6"/>
        <w:rPr>
          <w:rFonts w:ascii="宋体" w:hAnsi="宋体" w:cs="宋体" w:eastAsia="宋体" w:hint="default"/>
          <w:sz w:val="15"/>
          <w:szCs w:val="15"/>
        </w:rPr>
      </w:pPr>
    </w:p>
    <w:p>
      <w:pPr>
        <w:pStyle w:val="BodyText"/>
        <w:spacing w:line="408" w:lineRule="auto"/>
        <w:ind w:left="140" w:right="215" w:firstLine="420"/>
        <w:jc w:val="both"/>
      </w:pPr>
      <w:r>
        <w:rPr>
          <w:spacing w:val="-3"/>
        </w:rPr>
        <w:t>电信运营商传统语音业务的发展已经到了瓶颈，需要新的业务模式来提高盈收，移动互</w:t>
      </w:r>
      <w:r>
        <w:rPr/>
        <w:t> </w:t>
      </w:r>
      <w:r>
        <w:rPr>
          <w:spacing w:val="-3"/>
        </w:rPr>
        <w:t>联网业务就是其中最重要的组成部分，在3G发牌之后，运营商均加大网络建设的力度，并且</w:t>
      </w:r>
      <w:r>
        <w:rPr>
          <w:spacing w:val="-80"/>
        </w:rPr>
        <w:t> </w:t>
      </w:r>
      <w:r>
        <w:rPr>
          <w:spacing w:val="-80"/>
        </w:rPr>
      </w:r>
      <w:r>
        <w:rPr>
          <w:spacing w:val="-3"/>
        </w:rPr>
        <w:t>在多个地区建立各种新业务创新基地，将极大地推动移动互联网产业发展。未来几年，运营</w:t>
      </w:r>
      <w:r>
        <w:rPr>
          <w:spacing w:val="-81"/>
        </w:rPr>
        <w:t> </w:t>
      </w:r>
      <w:r>
        <w:rPr>
          <w:spacing w:val="-81"/>
        </w:rPr>
      </w:r>
      <w:r>
        <w:rPr/>
        <w:t>商管道化趋势越来越明显，内容、应用与本地化服务将主导移动互联网发展。</w:t>
      </w:r>
    </w:p>
    <w:p>
      <w:pPr>
        <w:spacing w:line="240" w:lineRule="auto" w:before="6"/>
        <w:rPr>
          <w:rFonts w:ascii="宋体" w:hAnsi="宋体" w:cs="宋体" w:eastAsia="宋体" w:hint="default"/>
          <w:sz w:val="15"/>
          <w:szCs w:val="15"/>
        </w:rPr>
      </w:pPr>
    </w:p>
    <w:p>
      <w:pPr>
        <w:pStyle w:val="Heading2"/>
        <w:spacing w:line="240" w:lineRule="auto"/>
        <w:ind w:left="657" w:right="100"/>
        <w:jc w:val="left"/>
        <w:rPr>
          <w:b w:val="0"/>
          <w:bCs w:val="0"/>
        </w:rPr>
      </w:pPr>
      <w:r>
        <w:rPr/>
        <w:t>3、即时通讯市场状况</w:t>
      </w:r>
      <w:r>
        <w:rPr>
          <w:b w:val="0"/>
          <w:bCs w:val="0"/>
        </w:rPr>
      </w:r>
    </w:p>
    <w:p>
      <w:pPr>
        <w:spacing w:line="240" w:lineRule="auto" w:before="9"/>
        <w:rPr>
          <w:rFonts w:ascii="宋体" w:hAnsi="宋体" w:cs="宋体" w:eastAsia="宋体" w:hint="default"/>
          <w:b/>
          <w:bCs/>
          <w:sz w:val="26"/>
          <w:szCs w:val="26"/>
        </w:rPr>
      </w:pPr>
    </w:p>
    <w:p>
      <w:pPr>
        <w:pStyle w:val="BodyText"/>
        <w:spacing w:line="408" w:lineRule="auto"/>
        <w:ind w:left="140" w:right="216" w:firstLine="420"/>
        <w:jc w:val="both"/>
      </w:pPr>
      <w:r>
        <w:rPr>
          <w:spacing w:val="-3"/>
        </w:rPr>
        <w:t>公司所从事的飞信业务是中国移动推出的基于IM的移动互联网业务。即时通信是中国互</w:t>
      </w:r>
      <w:r>
        <w:rPr/>
        <w:t> </w:t>
      </w:r>
      <w:r>
        <w:rPr>
          <w:spacing w:val="-3"/>
        </w:rPr>
        <w:t>联网最为普及的网络应用之一，互联网快速发展、网民整体基数的增长以及人们对交流需求</w:t>
      </w:r>
      <w:r>
        <w:rPr>
          <w:spacing w:val="-79"/>
        </w:rPr>
        <w:t> </w:t>
      </w:r>
      <w:r>
        <w:rPr>
          <w:spacing w:val="-79"/>
        </w:rPr>
      </w:r>
      <w:r>
        <w:rPr/>
        <w:t>的不断变化和提升，在一定程度上推动了即时通信市场的发展。</w:t>
      </w:r>
    </w:p>
    <w:p>
      <w:pPr>
        <w:spacing w:line="240" w:lineRule="auto" w:before="6"/>
        <w:rPr>
          <w:rFonts w:ascii="宋体" w:hAnsi="宋体" w:cs="宋体" w:eastAsia="宋体" w:hint="default"/>
          <w:sz w:val="15"/>
          <w:szCs w:val="15"/>
        </w:rPr>
      </w:pPr>
    </w:p>
    <w:p>
      <w:pPr>
        <w:pStyle w:val="BodyText"/>
        <w:spacing w:line="408" w:lineRule="auto"/>
        <w:ind w:left="140" w:right="216" w:firstLine="420"/>
        <w:jc w:val="both"/>
      </w:pPr>
      <w:r>
        <w:rPr/>
        <w:t>（1）互联网社区化趋势有利于促进即时通信的发展。互联网社区化发展是建立在用户 </w:t>
      </w:r>
      <w:r>
        <w:rPr>
          <w:spacing w:val="-3"/>
        </w:rPr>
        <w:t>交流和沟通的基础之上，随着互联网逐步向该方向靠拢，即时通信产品作为用户交流的主要</w:t>
      </w:r>
      <w:r>
        <w:rPr>
          <w:spacing w:val="-79"/>
        </w:rPr>
        <w:t> </w:t>
      </w:r>
      <w:r>
        <w:rPr>
          <w:spacing w:val="-79"/>
        </w:rPr>
      </w:r>
      <w:r>
        <w:rPr>
          <w:spacing w:val="-3"/>
        </w:rPr>
        <w:t>工具，其用户黏性大、传播力强、整合能力高的优势对互联网个性化、社区化发展提供有利</w:t>
      </w:r>
      <w:r>
        <w:rPr>
          <w:spacing w:val="-80"/>
        </w:rPr>
        <w:t> </w:t>
      </w:r>
      <w:r>
        <w:rPr>
          <w:spacing w:val="-80"/>
        </w:rPr>
      </w:r>
      <w:r>
        <w:rPr>
          <w:spacing w:val="-3"/>
        </w:rPr>
        <w:t>的技术支持。社区化发展过程中，即时通信是必不可少的工具之一，这也为即时通信产品带</w:t>
      </w:r>
      <w:r>
        <w:rPr>
          <w:spacing w:val="-81"/>
        </w:rPr>
        <w:t> </w:t>
      </w:r>
      <w:r>
        <w:rPr>
          <w:spacing w:val="-81"/>
        </w:rPr>
      </w:r>
      <w:r>
        <w:rPr/>
        <w:t>来了更多的发展机会。</w:t>
      </w:r>
    </w:p>
    <w:p>
      <w:pPr>
        <w:spacing w:line="240" w:lineRule="auto" w:before="6"/>
        <w:rPr>
          <w:rFonts w:ascii="宋体" w:hAnsi="宋体" w:cs="宋体" w:eastAsia="宋体" w:hint="default"/>
          <w:sz w:val="15"/>
          <w:szCs w:val="15"/>
        </w:rPr>
      </w:pPr>
    </w:p>
    <w:p>
      <w:pPr>
        <w:pStyle w:val="BodyText"/>
        <w:spacing w:line="408" w:lineRule="auto"/>
        <w:ind w:left="140" w:right="216" w:firstLine="420"/>
        <w:jc w:val="both"/>
      </w:pPr>
      <w:r>
        <w:rPr/>
        <w:t>（2）即时通信产品已经拥有巨大的用户资源，且用户流失率较低，并具有更为突出的 及时性、便利性优势，为其发展奠定了良好基础。</w:t>
      </w:r>
    </w:p>
    <w:p>
      <w:pPr>
        <w:spacing w:line="240" w:lineRule="auto" w:before="6"/>
        <w:rPr>
          <w:rFonts w:ascii="宋体" w:hAnsi="宋体" w:cs="宋体" w:eastAsia="宋体" w:hint="default"/>
          <w:sz w:val="15"/>
          <w:szCs w:val="15"/>
        </w:rPr>
      </w:pPr>
    </w:p>
    <w:p>
      <w:pPr>
        <w:pStyle w:val="BodyText"/>
        <w:spacing w:line="408" w:lineRule="auto"/>
        <w:ind w:left="140" w:right="100" w:firstLine="420"/>
        <w:jc w:val="left"/>
      </w:pPr>
      <w:r>
        <w:rPr>
          <w:spacing w:val="-3"/>
        </w:rPr>
        <w:t>（3）互联网快速发展、网民整体基数的增长，以及人们对交流需求的不断变化和提升，</w:t>
      </w:r>
      <w:r>
        <w:rPr/>
        <w:t> </w:t>
      </w:r>
      <w:r>
        <w:rPr>
          <w:spacing w:val="-3"/>
        </w:rPr>
        <w:t>在一定程度上推动了即时通信市场的发展。随着中小企业的快速增长及企业信息化进程的逐</w:t>
      </w:r>
    </w:p>
    <w:p>
      <w:pPr>
        <w:spacing w:after="0" w:line="408" w:lineRule="auto"/>
        <w:jc w:val="left"/>
        <w:sectPr>
          <w:pgSz w:w="11910" w:h="16840"/>
          <w:pgMar w:header="851" w:footer="982" w:top="1360" w:bottom="1180" w:left="1660" w:right="1580"/>
        </w:sectPr>
      </w:pPr>
    </w:p>
    <w:p>
      <w:pPr>
        <w:spacing w:line="240" w:lineRule="auto" w:before="2"/>
        <w:rPr>
          <w:rFonts w:ascii="宋体" w:hAnsi="宋体" w:cs="宋体" w:eastAsia="宋体" w:hint="default"/>
          <w:sz w:val="8"/>
          <w:szCs w:val="8"/>
        </w:rPr>
      </w:pPr>
    </w:p>
    <w:p>
      <w:pPr>
        <w:pStyle w:val="BodyText"/>
        <w:spacing w:line="408" w:lineRule="auto" w:before="35"/>
        <w:ind w:left="140" w:right="216"/>
        <w:jc w:val="both"/>
      </w:pPr>
      <w:r>
        <w:rPr>
          <w:spacing w:val="-3"/>
        </w:rPr>
        <w:t>步推进，企业内使用即时通信产品进行协同办公也已经成为趋势之一。随着移动运营商及电</w:t>
      </w:r>
      <w:r>
        <w:rPr>
          <w:spacing w:val="-79"/>
        </w:rPr>
        <w:t> </w:t>
      </w:r>
      <w:r>
        <w:rPr>
          <w:spacing w:val="-79"/>
        </w:rPr>
      </w:r>
      <w:r>
        <w:rPr>
          <w:spacing w:val="-3"/>
        </w:rPr>
        <w:t>信运营商的加入，通过即时通信等软件进行语音、视频会议将更大程度的满足企业级用户的</w:t>
      </w:r>
      <w:r>
        <w:rPr>
          <w:spacing w:val="-79"/>
        </w:rPr>
        <w:t> </w:t>
      </w:r>
      <w:r>
        <w:rPr>
          <w:spacing w:val="-79"/>
        </w:rPr>
      </w:r>
      <w:r>
        <w:rPr/>
        <w:t>需求，推动整个市场的发展。</w:t>
      </w:r>
    </w:p>
    <w:p>
      <w:pPr>
        <w:spacing w:line="240" w:lineRule="auto" w:before="6"/>
        <w:rPr>
          <w:rFonts w:ascii="宋体" w:hAnsi="宋体" w:cs="宋体" w:eastAsia="宋体" w:hint="default"/>
          <w:sz w:val="15"/>
          <w:szCs w:val="15"/>
        </w:rPr>
      </w:pPr>
    </w:p>
    <w:p>
      <w:pPr>
        <w:pStyle w:val="Heading2"/>
        <w:spacing w:line="240" w:lineRule="auto"/>
        <w:ind w:left="657" w:right="100"/>
        <w:jc w:val="left"/>
        <w:rPr>
          <w:b w:val="0"/>
          <w:bCs w:val="0"/>
        </w:rPr>
      </w:pPr>
      <w:r>
        <w:rPr/>
        <w:t>4、中国移动农村信息网</w:t>
      </w:r>
      <w:r>
        <w:rPr>
          <w:b w:val="0"/>
          <w:bCs w:val="0"/>
        </w:rPr>
      </w:r>
    </w:p>
    <w:p>
      <w:pPr>
        <w:pStyle w:val="BodyText"/>
        <w:spacing w:line="620" w:lineRule="atLeast" w:before="4"/>
        <w:ind w:left="560" w:right="100"/>
        <w:jc w:val="left"/>
      </w:pPr>
      <w:r>
        <w:rPr/>
        <w:t>1）农村移动互联网状况 </w:t>
      </w:r>
      <w:r>
        <w:rPr>
          <w:spacing w:val="2"/>
        </w:rPr>
        <w:t>公司所从事的农村信息网业务是中国移动推出的基于农村信息化建设的移动互联网业</w:t>
      </w:r>
    </w:p>
    <w:p>
      <w:pPr>
        <w:spacing w:line="240" w:lineRule="auto" w:before="10"/>
        <w:rPr>
          <w:rFonts w:ascii="宋体" w:hAnsi="宋体" w:cs="宋体" w:eastAsia="宋体" w:hint="default"/>
          <w:sz w:val="14"/>
          <w:szCs w:val="14"/>
        </w:rPr>
      </w:pPr>
    </w:p>
    <w:p>
      <w:pPr>
        <w:pStyle w:val="BodyText"/>
        <w:spacing w:line="408" w:lineRule="auto"/>
        <w:ind w:left="140" w:right="99"/>
        <w:jc w:val="left"/>
      </w:pPr>
      <w:r>
        <w:rPr>
          <w:spacing w:val="-5"/>
        </w:rPr>
        <w:t>务。对于经济发展滞后、网络基础设施尚未完善、信息资源匮乏、农民互联网价值认知较低，</w:t>
      </w:r>
      <w:r>
        <w:rPr>
          <w:spacing w:val="-100"/>
        </w:rPr>
        <w:t> </w:t>
      </w:r>
      <w:r>
        <w:rPr>
          <w:spacing w:val="-100"/>
        </w:rPr>
      </w:r>
      <w:r>
        <w:rPr>
          <w:spacing w:val="-3"/>
        </w:rPr>
        <w:t>网络应用尚浅的中国农村地区而言，手机已经成为农村网民上网的有益补充，成为广大农民</w:t>
      </w:r>
      <w:r>
        <w:rPr>
          <w:spacing w:val="-79"/>
        </w:rPr>
        <w:t> </w:t>
      </w:r>
      <w:r>
        <w:rPr>
          <w:spacing w:val="-79"/>
        </w:rPr>
      </w:r>
      <w:r>
        <w:rPr>
          <w:spacing w:val="-3"/>
        </w:rPr>
        <w:t>接触和使用互联网的重要平台。在手机日益普及的条件下，手机数据业务和手机上网，成为</w:t>
      </w:r>
      <w:r>
        <w:rPr>
          <w:spacing w:val="-81"/>
        </w:rPr>
        <w:t> </w:t>
      </w:r>
      <w:r>
        <w:rPr>
          <w:spacing w:val="-81"/>
        </w:rPr>
      </w:r>
      <w:r>
        <w:rPr/>
        <w:t>新农村建设的重要手段。截至2008 年底，中国手机上网用户达到1.2 亿，城镇手机上网用</w:t>
      </w:r>
      <w:r>
        <w:rPr/>
        <w:t> 户7789 万人，占城镇网民总体的36.5%。农村手机上网用户约为4010 万人，占农村网民总 体的47.4%。</w:t>
      </w:r>
    </w:p>
    <w:p>
      <w:pPr>
        <w:spacing w:line="240" w:lineRule="auto" w:before="6"/>
        <w:rPr>
          <w:rFonts w:ascii="宋体" w:hAnsi="宋体" w:cs="宋体" w:eastAsia="宋体" w:hint="default"/>
          <w:sz w:val="15"/>
          <w:szCs w:val="15"/>
        </w:rPr>
      </w:pPr>
    </w:p>
    <w:p>
      <w:pPr>
        <w:pStyle w:val="BodyText"/>
        <w:spacing w:line="408" w:lineRule="auto"/>
        <w:ind w:left="140" w:right="99" w:firstLine="420"/>
        <w:jc w:val="left"/>
      </w:pPr>
      <w:r>
        <w:rPr>
          <w:spacing w:val="-3"/>
        </w:rPr>
        <w:t>电信运营商应结合农村居民和网民的结构特征，有针对性地为广大农民的生产和生活提</w:t>
      </w:r>
      <w:r>
        <w:rPr/>
        <w:t> </w:t>
      </w:r>
      <w:r>
        <w:rPr>
          <w:spacing w:val="-5"/>
        </w:rPr>
        <w:t>供信息服务，以手机为载体，为农民提供政策法规、农业科技、价格行情、市场供求等信息，</w:t>
      </w:r>
      <w:r>
        <w:rPr>
          <w:spacing w:val="-100"/>
        </w:rPr>
        <w:t> </w:t>
      </w:r>
      <w:r>
        <w:rPr>
          <w:spacing w:val="-100"/>
        </w:rPr>
      </w:r>
      <w:r>
        <w:rPr>
          <w:spacing w:val="-3"/>
        </w:rPr>
        <w:t>使农民在使用过程中真实地体会到互联网信息带来的价值，提高农民使用手机上网的需求和</w:t>
      </w:r>
      <w:r>
        <w:rPr>
          <w:spacing w:val="-79"/>
        </w:rPr>
        <w:t> </w:t>
      </w:r>
      <w:r>
        <w:rPr>
          <w:spacing w:val="-79"/>
        </w:rPr>
      </w:r>
      <w:r>
        <w:rPr>
          <w:spacing w:val="-4"/>
        </w:rPr>
        <w:t>积极性，使互联网信息在中国7</w:t>
      </w:r>
      <w:r>
        <w:rPr>
          <w:spacing w:val="-19"/>
        </w:rPr>
        <w:t> </w:t>
      </w:r>
      <w:r>
        <w:rPr/>
        <w:t>亿多农民的生产和生活中发挥作用，这也是中国农村信息化</w:t>
      </w:r>
      <w:r>
        <w:rPr/>
        <w:t> 的真正意义所在。</w:t>
      </w:r>
    </w:p>
    <w:p>
      <w:pPr>
        <w:spacing w:line="240" w:lineRule="auto" w:before="6"/>
        <w:rPr>
          <w:rFonts w:ascii="宋体" w:hAnsi="宋体" w:cs="宋体" w:eastAsia="宋体" w:hint="default"/>
          <w:sz w:val="15"/>
          <w:szCs w:val="15"/>
        </w:rPr>
      </w:pPr>
    </w:p>
    <w:p>
      <w:pPr>
        <w:pStyle w:val="BodyText"/>
        <w:spacing w:line="240" w:lineRule="auto"/>
        <w:ind w:left="560" w:right="100"/>
        <w:jc w:val="left"/>
      </w:pPr>
      <w:r>
        <w:rPr/>
        <w:t>2）中国移动农村信息网</w:t>
      </w:r>
    </w:p>
    <w:p>
      <w:pPr>
        <w:spacing w:line="240" w:lineRule="auto" w:before="9"/>
        <w:rPr>
          <w:rFonts w:ascii="宋体" w:hAnsi="宋体" w:cs="宋体" w:eastAsia="宋体" w:hint="default"/>
          <w:sz w:val="26"/>
          <w:szCs w:val="26"/>
        </w:rPr>
      </w:pPr>
    </w:p>
    <w:p>
      <w:pPr>
        <w:pStyle w:val="BodyText"/>
        <w:spacing w:line="408" w:lineRule="auto"/>
        <w:ind w:left="140" w:right="215" w:firstLine="420"/>
        <w:jc w:val="both"/>
      </w:pPr>
      <w:r>
        <w:rPr>
          <w:spacing w:val="2"/>
        </w:rPr>
        <w:t>“中国移动农村信息网”（以下简称“农网”或“农信通”）是中国移动于2006年10</w:t>
      </w:r>
      <w:r>
        <w:rPr/>
        <w:t> </w:t>
      </w:r>
      <w:r>
        <w:rPr>
          <w:spacing w:val="-3"/>
        </w:rPr>
        <w:t>月在重庆建立的面向全国、服务“三农”的网络平台，是中国移动对国家“三农”政策的积</w:t>
      </w:r>
      <w:r>
        <w:rPr>
          <w:spacing w:val="-81"/>
        </w:rPr>
        <w:t> </w:t>
      </w:r>
      <w:r>
        <w:rPr>
          <w:spacing w:val="-81"/>
        </w:rPr>
      </w:r>
      <w:r>
        <w:rPr>
          <w:spacing w:val="-3"/>
        </w:rPr>
        <w:t>极响应，旨在打开农民视野，丰富农民知识，满足农民务工需求，帮助农民增收致富和保障</w:t>
      </w:r>
      <w:r>
        <w:rPr>
          <w:spacing w:val="-80"/>
        </w:rPr>
        <w:t> </w:t>
      </w:r>
      <w:r>
        <w:rPr>
          <w:spacing w:val="-80"/>
        </w:rPr>
      </w:r>
      <w:r>
        <w:rPr/>
        <w:t>政务畅通。</w:t>
      </w:r>
    </w:p>
    <w:p>
      <w:pPr>
        <w:spacing w:line="240" w:lineRule="auto" w:before="6"/>
        <w:rPr>
          <w:rFonts w:ascii="宋体" w:hAnsi="宋体" w:cs="宋体" w:eastAsia="宋体" w:hint="default"/>
          <w:sz w:val="15"/>
          <w:szCs w:val="15"/>
        </w:rPr>
      </w:pPr>
    </w:p>
    <w:p>
      <w:pPr>
        <w:pStyle w:val="BodyText"/>
        <w:spacing w:line="408" w:lineRule="auto"/>
        <w:ind w:left="140" w:right="104" w:firstLine="420"/>
        <w:jc w:val="left"/>
      </w:pPr>
      <w:r>
        <w:rPr>
          <w:spacing w:val="-3"/>
        </w:rPr>
        <w:t>农网针对农村地域辽阔，网络覆盖不够平衡、文化水平低、人口流动大、信息需求短平</w:t>
      </w:r>
      <w:r>
        <w:rPr/>
        <w:t> 快，差异性较大、经济水平不高，收入低，支付能力差等现状，充分利用了移动通信随时、 </w:t>
      </w:r>
      <w:r>
        <w:rPr>
          <w:spacing w:val="-3"/>
        </w:rPr>
        <w:t>随地、随身、覆盖面广以及手机价廉、便携、方便、易用、普及率高等特点，通过短信、彩</w:t>
      </w:r>
      <w:r>
        <w:rPr>
          <w:spacing w:val="-80"/>
        </w:rPr>
        <w:t> </w:t>
      </w:r>
      <w:r>
        <w:rPr>
          <w:spacing w:val="-80"/>
        </w:rPr>
      </w:r>
      <w:r>
        <w:rPr/>
        <w:t>信、语音、WAP、互联网等方式提供的惠民、利民的信息服务，满足农民关注的民生问题、</w:t>
      </w:r>
      <w:r>
        <w:rPr>
          <w:spacing w:val="-100"/>
        </w:rPr>
        <w:t> </w:t>
      </w:r>
      <w:r>
        <w:rPr>
          <w:spacing w:val="-100"/>
        </w:rPr>
      </w:r>
      <w:r>
        <w:rPr>
          <w:spacing w:val="-3"/>
        </w:rPr>
        <w:t>农产品的产供销和农村政务管理等信息化需求，帮助农民增加收入，保障农务畅通、方便政</w:t>
      </w:r>
    </w:p>
    <w:p>
      <w:pPr>
        <w:spacing w:after="0" w:line="408" w:lineRule="auto"/>
        <w:jc w:val="left"/>
        <w:sectPr>
          <w:pgSz w:w="11910" w:h="16840"/>
          <w:pgMar w:header="851" w:footer="982" w:top="1360" w:bottom="1180" w:left="1660" w:right="1580"/>
        </w:sectPr>
      </w:pPr>
    </w:p>
    <w:p>
      <w:pPr>
        <w:spacing w:line="240" w:lineRule="auto" w:before="2"/>
        <w:rPr>
          <w:rFonts w:ascii="宋体" w:hAnsi="宋体" w:cs="宋体" w:eastAsia="宋体" w:hint="default"/>
          <w:sz w:val="8"/>
          <w:szCs w:val="8"/>
        </w:rPr>
      </w:pPr>
    </w:p>
    <w:p>
      <w:pPr>
        <w:pStyle w:val="BodyText"/>
        <w:spacing w:line="240" w:lineRule="auto" w:before="35"/>
        <w:ind w:left="460" w:right="364"/>
        <w:jc w:val="left"/>
      </w:pPr>
      <w:r>
        <w:rPr/>
        <w:t>府了解民生信息，推进农村信息化，填平农村“信息鸿沟”。</w:t>
      </w:r>
    </w:p>
    <w:p>
      <w:pPr>
        <w:spacing w:line="240" w:lineRule="auto" w:before="9"/>
        <w:rPr>
          <w:rFonts w:ascii="宋体" w:hAnsi="宋体" w:cs="宋体" w:eastAsia="宋体" w:hint="default"/>
          <w:sz w:val="26"/>
          <w:szCs w:val="26"/>
        </w:rPr>
      </w:pPr>
    </w:p>
    <w:p>
      <w:pPr>
        <w:pStyle w:val="BodyText"/>
        <w:spacing w:line="408" w:lineRule="auto"/>
        <w:ind w:left="460" w:right="364" w:firstLine="420"/>
        <w:jc w:val="left"/>
      </w:pPr>
      <w:r>
        <w:rPr>
          <w:spacing w:val="-6"/>
        </w:rPr>
        <w:t>农网以搜索为基础、以产品为依托、以服务为导向，针对农业、农村、农民这三个方面，</w:t>
      </w:r>
      <w:r>
        <w:rPr/>
        <w:t> 有针对性的提供了如百事易、政务易、商贸易、务工易等产品，并建设了12582综合农业信</w:t>
      </w:r>
      <w:r>
        <w:rPr>
          <w:spacing w:val="-100"/>
        </w:rPr>
        <w:t> </w:t>
      </w:r>
      <w:r>
        <w:rPr>
          <w:spacing w:val="-100"/>
        </w:rPr>
      </w:r>
      <w:r>
        <w:rPr/>
        <w:t>息门户网站，取得了良好的效果。2010年，农信通业务正式被中国移动纳入到基地化管理，</w:t>
      </w:r>
      <w:r>
        <w:rPr/>
        <w:t> </w:t>
      </w:r>
      <w:r>
        <w:rPr>
          <w:spacing w:val="-3"/>
        </w:rPr>
        <w:t>对于未来的发展将起到积极的促进作用。通过构建农业信息化综合应用服务平台，不断探索</w:t>
      </w:r>
      <w:r>
        <w:rPr>
          <w:spacing w:val="-79"/>
        </w:rPr>
        <w:t> </w:t>
      </w:r>
      <w:r>
        <w:rPr>
          <w:spacing w:val="-79"/>
        </w:rPr>
      </w:r>
      <w:r>
        <w:rPr/>
        <w:t>和尝试适合农村开展的信息服务商业模式，推进农村信息化建设。</w:t>
      </w:r>
    </w:p>
    <w:p>
      <w:pPr>
        <w:spacing w:line="240" w:lineRule="auto" w:before="6"/>
        <w:rPr>
          <w:rFonts w:ascii="宋体" w:hAnsi="宋体" w:cs="宋体" w:eastAsia="宋体" w:hint="default"/>
          <w:sz w:val="15"/>
          <w:szCs w:val="15"/>
        </w:rPr>
      </w:pPr>
    </w:p>
    <w:p>
      <w:pPr>
        <w:pStyle w:val="Heading2"/>
        <w:spacing w:line="240" w:lineRule="auto"/>
        <w:ind w:left="775" w:right="364"/>
        <w:jc w:val="left"/>
        <w:rPr>
          <w:b w:val="0"/>
          <w:bCs w:val="0"/>
        </w:rPr>
      </w:pPr>
      <w:r>
        <w:rPr/>
        <w:t>（二）公司面临的市场格局</w:t>
      </w:r>
      <w:r>
        <w:rPr>
          <w:b w:val="0"/>
          <w:bCs w:val="0"/>
        </w:rPr>
      </w:r>
    </w:p>
    <w:p>
      <w:pPr>
        <w:spacing w:line="240" w:lineRule="auto" w:before="10"/>
        <w:rPr>
          <w:rFonts w:ascii="宋体" w:hAnsi="宋体" w:cs="宋体" w:eastAsia="宋体" w:hint="default"/>
          <w:b/>
          <w:bCs/>
          <w:sz w:val="26"/>
          <w:szCs w:val="26"/>
        </w:rPr>
      </w:pPr>
    </w:p>
    <w:p>
      <w:pPr>
        <w:pStyle w:val="BodyText"/>
        <w:spacing w:line="408" w:lineRule="auto"/>
        <w:ind w:left="460" w:right="366" w:firstLine="420"/>
        <w:jc w:val="left"/>
      </w:pPr>
      <w:r>
        <w:rPr>
          <w:spacing w:val="-5"/>
        </w:rPr>
        <w:t>1、IBM、HP、BMC、CA等国际厂商均已进入我国BSM领域，它们具备强大的产品研发能力，</w:t>
      </w:r>
      <w:r>
        <w:rPr/>
        <w:t> 领先的咨询能力和雄厚的资金实力，在我国市场推出了技术成熟的BSM软件产品，主要包括 IBM</w:t>
      </w:r>
      <w:r>
        <w:rPr>
          <w:spacing w:val="-35"/>
        </w:rPr>
        <w:t> </w:t>
      </w:r>
      <w:r>
        <w:rPr/>
        <w:t>Tivoli、HP</w:t>
      </w:r>
      <w:r>
        <w:rPr>
          <w:spacing w:val="-37"/>
        </w:rPr>
        <w:t> </w:t>
      </w:r>
      <w:r>
        <w:rPr/>
        <w:t>OpenView、BMC</w:t>
      </w:r>
      <w:r>
        <w:rPr>
          <w:spacing w:val="-35"/>
        </w:rPr>
        <w:t> </w:t>
      </w:r>
      <w:r>
        <w:rPr/>
        <w:t>Remedy</w:t>
      </w:r>
      <w:r>
        <w:rPr>
          <w:spacing w:val="-35"/>
        </w:rPr>
        <w:t> </w:t>
      </w:r>
      <w:r>
        <w:rPr/>
        <w:t>&amp;</w:t>
      </w:r>
      <w:r>
        <w:rPr>
          <w:spacing w:val="-35"/>
        </w:rPr>
        <w:t> </w:t>
      </w:r>
      <w:r>
        <w:rPr/>
        <w:t>Patrol和CA</w:t>
      </w:r>
      <w:r>
        <w:rPr>
          <w:spacing w:val="-35"/>
        </w:rPr>
        <w:t> </w:t>
      </w:r>
      <w:r>
        <w:rPr/>
        <w:t>Unicenter等。国内厂商以神州泰岳、</w:t>
      </w:r>
      <w:r>
        <w:rPr/>
        <w:t> 直真科技、亿阳信通、游龙网络等企业为代表，具有相对成熟的产品和服务，在国内BSM市</w:t>
      </w:r>
      <w:r>
        <w:rPr>
          <w:spacing w:val="-98"/>
        </w:rPr>
        <w:t> </w:t>
      </w:r>
      <w:r>
        <w:rPr>
          <w:spacing w:val="-98"/>
        </w:rPr>
      </w:r>
      <w:r>
        <w:rPr/>
        <w:t>场中拥有较高的市场份额。</w:t>
      </w:r>
    </w:p>
    <w:p>
      <w:pPr>
        <w:spacing w:line="240" w:lineRule="auto" w:before="6"/>
        <w:rPr>
          <w:rFonts w:ascii="宋体" w:hAnsi="宋体" w:cs="宋体" w:eastAsia="宋体" w:hint="default"/>
          <w:sz w:val="15"/>
          <w:szCs w:val="15"/>
        </w:rPr>
      </w:pPr>
    </w:p>
    <w:p>
      <w:pPr>
        <w:pStyle w:val="BodyText"/>
        <w:spacing w:line="408" w:lineRule="auto"/>
        <w:ind w:left="460" w:right="371" w:firstLine="420"/>
        <w:jc w:val="both"/>
      </w:pPr>
      <w:r>
        <w:rPr>
          <w:spacing w:val="-3"/>
        </w:rPr>
        <w:t>2、国内OSS市场中，本土厂商占据着市场主导地位，国际厂商的市场份额较小，其主要</w:t>
      </w:r>
      <w:r>
        <w:rPr/>
        <w:t> </w:t>
      </w:r>
      <w:r>
        <w:rPr>
          <w:spacing w:val="-3"/>
        </w:rPr>
        <w:t>原因是国际厂商的OSS产品未能较好地适应我国电信行业的特点，而国内的OSS厂商具有完整</w:t>
      </w:r>
      <w:r>
        <w:rPr>
          <w:spacing w:val="-74"/>
        </w:rPr>
        <w:t> </w:t>
      </w:r>
      <w:r>
        <w:rPr>
          <w:spacing w:val="-74"/>
        </w:rPr>
      </w:r>
      <w:r>
        <w:rPr>
          <w:spacing w:val="-5"/>
        </w:rPr>
        <w:t>的自主研发能力和丰富的电信运维管理经验，且在人力成本方面占据较大的优势。国内的OSS</w:t>
      </w:r>
      <w:r>
        <w:rPr>
          <w:spacing w:val="-101"/>
        </w:rPr>
        <w:t> </w:t>
      </w:r>
      <w:r>
        <w:rPr>
          <w:spacing w:val="-101"/>
        </w:rPr>
      </w:r>
      <w:r>
        <w:rPr>
          <w:spacing w:val="-5"/>
        </w:rPr>
        <w:t>主流厂商包括亿阳信通、北京市天元网络技术股份有限公司、浪潮乐金信息系统有限公司等。</w:t>
      </w:r>
    </w:p>
    <w:p>
      <w:pPr>
        <w:spacing w:line="240" w:lineRule="auto" w:before="6"/>
        <w:rPr>
          <w:rFonts w:ascii="宋体" w:hAnsi="宋体" w:cs="宋体" w:eastAsia="宋体" w:hint="default"/>
          <w:sz w:val="15"/>
          <w:szCs w:val="15"/>
        </w:rPr>
      </w:pPr>
    </w:p>
    <w:p>
      <w:pPr>
        <w:pStyle w:val="BodyText"/>
        <w:spacing w:line="408" w:lineRule="auto"/>
        <w:ind w:left="460" w:right="469" w:firstLine="420"/>
        <w:jc w:val="left"/>
      </w:pPr>
      <w:r>
        <w:rPr/>
        <w:t>3、即时通信市场细分明显，产品导向的特性造成每款主流即时通信软件均有特征较为 明显的用户群，从垂直性、通用性以及不同软件的传输特性等维度可分为以下几类：</w:t>
      </w:r>
    </w:p>
    <w:p>
      <w:pPr>
        <w:spacing w:line="240" w:lineRule="auto" w:before="8"/>
        <w:rPr>
          <w:rFonts w:ascii="宋体" w:hAnsi="宋体" w:cs="宋体" w:eastAsia="宋体" w:hint="default"/>
          <w:sz w:val="10"/>
          <w:szCs w:val="10"/>
        </w:rPr>
      </w:pPr>
    </w:p>
    <w:tbl>
      <w:tblPr>
        <w:tblW w:w="0" w:type="auto"/>
        <w:jc w:val="left"/>
        <w:tblInd w:w="103" w:type="dxa"/>
        <w:tblLayout w:type="fixed"/>
        <w:tblCellMar>
          <w:top w:w="0" w:type="dxa"/>
          <w:left w:w="0" w:type="dxa"/>
          <w:bottom w:w="0" w:type="dxa"/>
          <w:right w:w="0" w:type="dxa"/>
        </w:tblCellMar>
        <w:tblLook w:val="01E0"/>
      </w:tblPr>
      <w:tblGrid>
        <w:gridCol w:w="1966"/>
        <w:gridCol w:w="1966"/>
        <w:gridCol w:w="1356"/>
        <w:gridCol w:w="1315"/>
        <w:gridCol w:w="2406"/>
      </w:tblGrid>
      <w:tr>
        <w:trPr>
          <w:trHeight w:val="771" w:hRule="exact"/>
        </w:trPr>
        <w:tc>
          <w:tcPr>
            <w:tcW w:w="196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分类</w:t>
            </w:r>
          </w:p>
        </w:tc>
        <w:tc>
          <w:tcPr>
            <w:tcW w:w="196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综合类</w:t>
            </w:r>
          </w:p>
        </w:tc>
        <w:tc>
          <w:tcPr>
            <w:tcW w:w="135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跨平台</w:t>
            </w:r>
          </w:p>
        </w:tc>
        <w:tc>
          <w:tcPr>
            <w:tcW w:w="131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335"/>
              <w:jc w:val="right"/>
              <w:rPr>
                <w:rFonts w:ascii="宋体" w:hAnsi="宋体" w:cs="宋体" w:eastAsia="宋体" w:hint="default"/>
                <w:sz w:val="21"/>
                <w:szCs w:val="21"/>
              </w:rPr>
            </w:pPr>
            <w:r>
              <w:rPr>
                <w:rFonts w:ascii="宋体" w:hAnsi="宋体" w:cs="宋体" w:eastAsia="宋体" w:hint="default"/>
                <w:sz w:val="21"/>
                <w:szCs w:val="21"/>
              </w:rPr>
              <w:t>跨网络</w:t>
            </w:r>
          </w:p>
        </w:tc>
        <w:tc>
          <w:tcPr>
            <w:tcW w:w="240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垂直</w:t>
            </w:r>
          </w:p>
        </w:tc>
      </w:tr>
      <w:tr>
        <w:trPr>
          <w:trHeight w:val="1111" w:hRule="exact"/>
        </w:trPr>
        <w:tc>
          <w:tcPr>
            <w:tcW w:w="196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8"/>
              <w:ind w:right="0"/>
              <w:jc w:val="center"/>
              <w:rPr>
                <w:rFonts w:ascii="宋体" w:hAnsi="宋体" w:cs="宋体" w:eastAsia="宋体" w:hint="default"/>
                <w:sz w:val="21"/>
                <w:szCs w:val="21"/>
              </w:rPr>
            </w:pPr>
            <w:r>
              <w:rPr>
                <w:rFonts w:ascii="宋体" w:hAnsi="宋体" w:cs="宋体" w:eastAsia="宋体" w:hint="default"/>
                <w:sz w:val="21"/>
                <w:szCs w:val="21"/>
              </w:rPr>
              <w:t>主流即时通信软件</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1"/>
                <w:szCs w:val="21"/>
              </w:rPr>
            </w:pPr>
          </w:p>
          <w:p>
            <w:pPr>
              <w:pStyle w:val="TableParagraph"/>
              <w:spacing w:line="273" w:lineRule="auto"/>
              <w:ind w:left="503" w:right="110" w:hanging="394"/>
              <w:jc w:val="left"/>
              <w:rPr>
                <w:rFonts w:ascii="宋体" w:hAnsi="宋体" w:cs="宋体" w:eastAsia="宋体" w:hint="default"/>
                <w:sz w:val="21"/>
                <w:szCs w:val="21"/>
              </w:rPr>
            </w:pPr>
            <w:r>
              <w:rPr>
                <w:rFonts w:ascii="宋体" w:hAnsi="宋体" w:cs="宋体" w:eastAsia="宋体" w:hint="default"/>
                <w:sz w:val="21"/>
                <w:szCs w:val="21"/>
              </w:rPr>
              <w:t>腾讯</w:t>
            </w:r>
            <w:r>
              <w:rPr>
                <w:rFonts w:ascii="宋体" w:hAnsi="宋体" w:cs="宋体" w:eastAsia="宋体" w:hint="default"/>
                <w:spacing w:val="-55"/>
                <w:sz w:val="21"/>
                <w:szCs w:val="21"/>
              </w:rPr>
              <w:t> </w:t>
            </w:r>
            <w:r>
              <w:rPr>
                <w:rFonts w:ascii="宋体" w:hAnsi="宋体" w:cs="宋体" w:eastAsia="宋体" w:hint="default"/>
                <w:sz w:val="21"/>
                <w:szCs w:val="21"/>
              </w:rPr>
              <w:t>QQ</w:t>
            </w:r>
            <w:r>
              <w:rPr>
                <w:rFonts w:ascii="宋体" w:hAnsi="宋体" w:cs="宋体" w:eastAsia="宋体" w:hint="default"/>
                <w:spacing w:val="-55"/>
                <w:sz w:val="21"/>
                <w:szCs w:val="21"/>
              </w:rPr>
              <w:t> </w:t>
            </w:r>
            <w:r>
              <w:rPr>
                <w:rFonts w:ascii="宋体" w:hAnsi="宋体" w:cs="宋体" w:eastAsia="宋体" w:hint="default"/>
                <w:sz w:val="21"/>
                <w:szCs w:val="21"/>
              </w:rPr>
              <w:t>和微软</w:t>
            </w:r>
            <w:r>
              <w:rPr>
                <w:rFonts w:ascii="宋体" w:hAnsi="宋体" w:cs="宋体" w:eastAsia="宋体" w:hint="default"/>
                <w:spacing w:val="-55"/>
                <w:sz w:val="21"/>
                <w:szCs w:val="21"/>
              </w:rPr>
              <w:t> </w:t>
            </w:r>
            <w:r>
              <w:rPr>
                <w:rFonts w:ascii="宋体" w:hAnsi="宋体" w:cs="宋体" w:eastAsia="宋体" w:hint="default"/>
                <w:sz w:val="21"/>
                <w:szCs w:val="21"/>
              </w:rPr>
              <w:t>MSN</w:t>
            </w:r>
            <w:r>
              <w:rPr>
                <w:rFonts w:ascii="宋体" w:hAnsi="宋体" w:cs="宋体" w:eastAsia="宋体" w:hint="default"/>
                <w:spacing w:val="-1"/>
                <w:sz w:val="21"/>
                <w:szCs w:val="21"/>
              </w:rPr>
              <w:t> </w:t>
            </w:r>
            <w:r>
              <w:rPr>
                <w:rFonts w:ascii="宋体" w:hAnsi="宋体" w:cs="宋体" w:eastAsia="宋体" w:hint="default"/>
                <w:sz w:val="21"/>
                <w:szCs w:val="21"/>
              </w:rPr>
              <w:t>Messenger</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8"/>
              <w:ind w:right="0"/>
              <w:jc w:val="center"/>
              <w:rPr>
                <w:rFonts w:ascii="宋体" w:hAnsi="宋体" w:cs="宋体" w:eastAsia="宋体" w:hint="default"/>
                <w:sz w:val="21"/>
                <w:szCs w:val="21"/>
              </w:rPr>
            </w:pPr>
            <w:r>
              <w:rPr>
                <w:rFonts w:ascii="宋体" w:hAnsi="宋体" w:cs="宋体" w:eastAsia="宋体" w:hint="default"/>
                <w:sz w:val="21"/>
                <w:szCs w:val="21"/>
              </w:rPr>
              <w:t>移动飞信</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8"/>
              <w:ind w:right="387"/>
              <w:jc w:val="right"/>
              <w:rPr>
                <w:rFonts w:ascii="宋体" w:hAnsi="宋体" w:cs="宋体" w:eastAsia="宋体" w:hint="default"/>
                <w:sz w:val="21"/>
                <w:szCs w:val="21"/>
              </w:rPr>
            </w:pPr>
            <w:r>
              <w:rPr>
                <w:rFonts w:ascii="宋体"/>
                <w:sz w:val="21"/>
              </w:rPr>
              <w:t>Skype</w:t>
            </w: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1"/>
                <w:szCs w:val="21"/>
              </w:rPr>
            </w:pPr>
          </w:p>
          <w:p>
            <w:pPr>
              <w:pStyle w:val="TableParagraph"/>
              <w:spacing w:line="273" w:lineRule="auto"/>
              <w:ind w:left="436" w:right="119" w:hanging="316"/>
              <w:jc w:val="left"/>
              <w:rPr>
                <w:rFonts w:ascii="宋体" w:hAnsi="宋体" w:cs="宋体" w:eastAsia="宋体" w:hint="default"/>
                <w:sz w:val="21"/>
                <w:szCs w:val="21"/>
              </w:rPr>
            </w:pPr>
            <w:r>
              <w:rPr>
                <w:rFonts w:ascii="宋体" w:hAnsi="宋体" w:cs="宋体" w:eastAsia="宋体" w:hint="default"/>
                <w:sz w:val="21"/>
                <w:szCs w:val="21"/>
              </w:rPr>
              <w:t>网易泡泡、新浪</w:t>
            </w:r>
            <w:r>
              <w:rPr>
                <w:rFonts w:ascii="宋体" w:hAnsi="宋体" w:cs="宋体" w:eastAsia="宋体" w:hint="default"/>
                <w:spacing w:val="-53"/>
                <w:sz w:val="21"/>
                <w:szCs w:val="21"/>
              </w:rPr>
              <w:t> </w:t>
            </w:r>
            <w:r>
              <w:rPr>
                <w:rFonts w:ascii="宋体" w:hAnsi="宋体" w:cs="宋体" w:eastAsia="宋体" w:hint="default"/>
                <w:sz w:val="21"/>
                <w:szCs w:val="21"/>
              </w:rPr>
              <w:t>UC、百</w:t>
            </w:r>
            <w:r>
              <w:rPr>
                <w:rFonts w:ascii="宋体" w:hAnsi="宋体" w:cs="宋体" w:eastAsia="宋体" w:hint="default"/>
                <w:sz w:val="21"/>
                <w:szCs w:val="21"/>
              </w:rPr>
              <w:t> 度</w:t>
            </w:r>
            <w:r>
              <w:rPr>
                <w:rFonts w:ascii="宋体" w:hAnsi="宋体" w:cs="宋体" w:eastAsia="宋体" w:hint="default"/>
                <w:spacing w:val="-55"/>
                <w:sz w:val="21"/>
                <w:szCs w:val="21"/>
              </w:rPr>
              <w:t> </w:t>
            </w:r>
            <w:r>
              <w:rPr>
                <w:rFonts w:ascii="宋体" w:hAnsi="宋体" w:cs="宋体" w:eastAsia="宋体" w:hint="default"/>
                <w:sz w:val="21"/>
                <w:szCs w:val="21"/>
              </w:rPr>
              <w:t>Hi、阿里旺旺</w:t>
            </w:r>
          </w:p>
        </w:tc>
      </w:tr>
    </w:tbl>
    <w:p>
      <w:pPr>
        <w:spacing w:line="240" w:lineRule="auto" w:before="1"/>
        <w:rPr>
          <w:rFonts w:ascii="宋体" w:hAnsi="宋体" w:cs="宋体" w:eastAsia="宋体" w:hint="default"/>
          <w:sz w:val="14"/>
          <w:szCs w:val="14"/>
        </w:rPr>
      </w:pPr>
    </w:p>
    <w:p>
      <w:pPr>
        <w:pStyle w:val="BodyText"/>
        <w:spacing w:line="408" w:lineRule="auto" w:before="35"/>
        <w:ind w:left="460" w:right="475" w:firstLine="420"/>
        <w:jc w:val="both"/>
      </w:pPr>
      <w:r>
        <w:rPr/>
        <w:t>从市场维度看，腾讯QQ处于绝对领先地位，而飞信、百度HI、阿里旺旺以及MSN构成第 </w:t>
      </w:r>
      <w:r>
        <w:rPr>
          <w:spacing w:val="-3"/>
        </w:rPr>
        <w:t>二梯队，未来该梯队内的各即时通信工具往往以其区别于通用即时通信工具的服务去开发用</w:t>
      </w:r>
      <w:r>
        <w:rPr>
          <w:spacing w:val="-79"/>
        </w:rPr>
        <w:t> </w:t>
      </w:r>
      <w:r>
        <w:rPr>
          <w:spacing w:val="-79"/>
        </w:rPr>
      </w:r>
      <w:r>
        <w:rPr>
          <w:spacing w:val="-3"/>
        </w:rPr>
        <w:t>户，如免费短信功能带动了移动飞信、电子商务沟通需求带动了阿里旺旺、百度的搜索和空</w:t>
      </w:r>
      <w:r>
        <w:rPr>
          <w:spacing w:val="-81"/>
        </w:rPr>
        <w:t> </w:t>
      </w:r>
      <w:r>
        <w:rPr>
          <w:spacing w:val="-81"/>
        </w:rPr>
      </w:r>
      <w:r>
        <w:rPr>
          <w:spacing w:val="-3"/>
        </w:rPr>
        <w:t>间等Web2.0服务带动了百度Hi，因此，中国即时通信工具未来将呈现出反向推动的态势，即</w:t>
      </w:r>
      <w:r>
        <w:rPr>
          <w:spacing w:val="-71"/>
        </w:rPr>
        <w:t> </w:t>
      </w:r>
      <w:r>
        <w:rPr>
          <w:spacing w:val="-71"/>
        </w:rPr>
      </w:r>
      <w:r>
        <w:rPr/>
        <w:t>其他互联网服务或者功能推动整体即时通信用户规模的增长。</w:t>
      </w:r>
    </w:p>
    <w:p>
      <w:pPr>
        <w:spacing w:after="0" w:line="408" w:lineRule="auto"/>
        <w:jc w:val="both"/>
        <w:sectPr>
          <w:pgSz w:w="11910" w:h="16840"/>
          <w:pgMar w:header="851" w:footer="982" w:top="1360" w:bottom="1180" w:left="1340" w:right="1320"/>
        </w:sectPr>
      </w:pPr>
    </w:p>
    <w:p>
      <w:pPr>
        <w:spacing w:line="240" w:lineRule="auto" w:before="2"/>
        <w:rPr>
          <w:rFonts w:ascii="宋体" w:hAnsi="宋体" w:cs="宋体" w:eastAsia="宋体" w:hint="default"/>
          <w:sz w:val="8"/>
          <w:szCs w:val="8"/>
        </w:rPr>
      </w:pPr>
    </w:p>
    <w:p>
      <w:pPr>
        <w:pStyle w:val="BodyText"/>
        <w:spacing w:line="408" w:lineRule="auto" w:before="35"/>
        <w:ind w:left="140" w:right="216" w:firstLine="420"/>
        <w:jc w:val="both"/>
      </w:pPr>
      <w:r>
        <w:rPr/>
        <w:t>4、手机在农村的拥有率远远高于电脑，将成为农村居民获取信息的重要平台。中国移 </w:t>
      </w:r>
      <w:r>
        <w:rPr>
          <w:spacing w:val="-3"/>
        </w:rPr>
        <w:t>动在农村信息网的建设方面起步相对较早，在该领域处于领先的位置，但仍面临着来自于其</w:t>
      </w:r>
      <w:r>
        <w:rPr>
          <w:spacing w:val="-79"/>
        </w:rPr>
        <w:t> </w:t>
      </w:r>
      <w:r>
        <w:rPr>
          <w:spacing w:val="-79"/>
        </w:rPr>
      </w:r>
      <w:r>
        <w:rPr>
          <w:spacing w:val="-3"/>
        </w:rPr>
        <w:t>他电信运营商的竞争。公司将加快农信通产品的开发力度，提升竞争力，结合农民的生产和</w:t>
      </w:r>
      <w:r>
        <w:rPr>
          <w:spacing w:val="-81"/>
        </w:rPr>
        <w:t> </w:t>
      </w:r>
      <w:r>
        <w:rPr>
          <w:spacing w:val="-81"/>
        </w:rPr>
      </w:r>
      <w:r>
        <w:rPr/>
        <w:t>生活需要，提供具有针对性的信息服务，提高农民使用手机获取信息的意愿。</w:t>
      </w:r>
    </w:p>
    <w:p>
      <w:pPr>
        <w:spacing w:line="240" w:lineRule="auto" w:before="6"/>
        <w:rPr>
          <w:rFonts w:ascii="宋体" w:hAnsi="宋体" w:cs="宋体" w:eastAsia="宋体" w:hint="default"/>
          <w:sz w:val="15"/>
          <w:szCs w:val="15"/>
        </w:rPr>
      </w:pPr>
    </w:p>
    <w:p>
      <w:pPr>
        <w:pStyle w:val="Heading2"/>
        <w:spacing w:line="544" w:lineRule="auto"/>
        <w:ind w:left="559" w:right="100" w:hanging="105"/>
        <w:jc w:val="left"/>
        <w:rPr>
          <w:b w:val="0"/>
          <w:bCs w:val="0"/>
        </w:rPr>
      </w:pPr>
      <w:r>
        <w:rPr/>
        <w:t>（三）对公司未来发展战略和经营目标的实现产生不利影响的风险因素分析</w:t>
      </w:r>
      <w:r>
        <w:rPr>
          <w:spacing w:val="1"/>
          <w:w w:val="99"/>
        </w:rPr>
        <w:t> </w:t>
      </w:r>
      <w:r>
        <w:rPr/>
        <w:t>1、运维管理业务对电信行业依赖的风险</w:t>
      </w:r>
      <w:r>
        <w:rPr>
          <w:b w:val="0"/>
          <w:bCs w:val="0"/>
        </w:rPr>
      </w:r>
    </w:p>
    <w:p>
      <w:pPr>
        <w:pStyle w:val="BodyText"/>
        <w:spacing w:line="408" w:lineRule="auto" w:before="82"/>
        <w:ind w:left="139" w:right="105" w:firstLine="420"/>
        <w:jc w:val="left"/>
      </w:pPr>
      <w:r>
        <w:rPr>
          <w:spacing w:val="-3"/>
        </w:rPr>
        <w:t>电信行业是公司运维管理业务的重点市场领域，公司对电信行业的依赖程度较高。如果</w:t>
      </w:r>
      <w:r>
        <w:rPr/>
        <w:t> 未来电信行业发生不可预测的不利变化或者电信运营商对信息化建设的投资规模大幅下降， 将对公司的盈利能力产生较大不利影响。</w:t>
      </w:r>
    </w:p>
    <w:p>
      <w:pPr>
        <w:pStyle w:val="BodyText"/>
        <w:spacing w:line="408" w:lineRule="auto" w:before="96"/>
        <w:ind w:left="139" w:right="105" w:firstLine="420"/>
        <w:jc w:val="left"/>
      </w:pPr>
      <w:r>
        <w:rPr>
          <w:spacing w:val="-3"/>
        </w:rPr>
        <w:t>电信行业与其他行业相比，其信息化程度较高，系统规模庞大且复杂，对IT运维管理的</w:t>
      </w:r>
      <w:r>
        <w:rPr/>
        <w:t> </w:t>
      </w:r>
      <w:r>
        <w:rPr>
          <w:spacing w:val="2"/>
        </w:rPr>
        <w:t>认同和接受程度也较高，IT投资规模大，是运维管理重点应用领域。电信行业的重组、3G</w:t>
      </w:r>
      <w:r>
        <w:rPr>
          <w:spacing w:val="-91"/>
        </w:rPr>
        <w:t> </w:t>
      </w:r>
      <w:r>
        <w:rPr>
          <w:spacing w:val="-91"/>
        </w:rPr>
      </w:r>
      <w:r>
        <w:rPr>
          <w:spacing w:val="-3"/>
        </w:rPr>
        <w:t>网络的建设，以及电信运营商之间的竞争等，必然促使运营商通过加大网络建设、不断开发</w:t>
      </w:r>
      <w:r>
        <w:rPr>
          <w:spacing w:val="-81"/>
        </w:rPr>
        <w:t> </w:t>
      </w:r>
      <w:r>
        <w:rPr>
          <w:spacing w:val="-81"/>
        </w:rPr>
      </w:r>
      <w:r>
        <w:rPr>
          <w:spacing w:val="-5"/>
        </w:rPr>
        <w:t>新的业务、提高IT系统运行效率等方式以满足用户多样化、个性化、快捷、高效的通信需求，</w:t>
      </w:r>
      <w:r>
        <w:rPr>
          <w:spacing w:val="-98"/>
        </w:rPr>
        <w:t> </w:t>
      </w:r>
      <w:r>
        <w:rPr>
          <w:spacing w:val="-98"/>
        </w:rPr>
      </w:r>
      <w:r>
        <w:rPr>
          <w:spacing w:val="-3"/>
        </w:rPr>
        <w:t>巩固和争取更多市场份额。因此，电信运营商对运维管理的投资将继续保持增长态势。公司</w:t>
      </w:r>
      <w:r>
        <w:rPr>
          <w:spacing w:val="-81"/>
        </w:rPr>
        <w:t> </w:t>
      </w:r>
      <w:r>
        <w:rPr>
          <w:spacing w:val="-81"/>
        </w:rPr>
      </w:r>
      <w:r>
        <w:rPr>
          <w:spacing w:val="-3"/>
        </w:rPr>
        <w:t>将在深化和巩固在电信行业市场地位的同时，加大向金融、能源、政府部门等领域的横向拓</w:t>
      </w:r>
      <w:r>
        <w:rPr>
          <w:spacing w:val="-81"/>
        </w:rPr>
        <w:t> </w:t>
      </w:r>
      <w:r>
        <w:rPr>
          <w:spacing w:val="-81"/>
        </w:rPr>
      </w:r>
      <w:r>
        <w:rPr/>
        <w:t>展的力度，提升在该等领域市场份额，稳定经营，降低风险。</w:t>
      </w:r>
    </w:p>
    <w:p>
      <w:pPr>
        <w:spacing w:line="240" w:lineRule="auto" w:before="6"/>
        <w:rPr>
          <w:rFonts w:ascii="宋体" w:hAnsi="宋体" w:cs="宋体" w:eastAsia="宋体" w:hint="default"/>
          <w:sz w:val="15"/>
          <w:szCs w:val="15"/>
        </w:rPr>
      </w:pPr>
    </w:p>
    <w:p>
      <w:pPr>
        <w:pStyle w:val="Heading2"/>
        <w:spacing w:line="240" w:lineRule="auto"/>
        <w:ind w:left="657" w:right="100"/>
        <w:jc w:val="left"/>
        <w:rPr>
          <w:b w:val="0"/>
          <w:bCs w:val="0"/>
        </w:rPr>
      </w:pPr>
      <w:r>
        <w:rPr/>
        <w:t>2、飞信业务持续发展的风险</w:t>
      </w:r>
      <w:r>
        <w:rPr>
          <w:b w:val="0"/>
          <w:bCs w:val="0"/>
        </w:rPr>
      </w:r>
    </w:p>
    <w:p>
      <w:pPr>
        <w:spacing w:line="240" w:lineRule="auto" w:before="9"/>
        <w:rPr>
          <w:rFonts w:ascii="宋体" w:hAnsi="宋体" w:cs="宋体" w:eastAsia="宋体" w:hint="default"/>
          <w:b/>
          <w:bCs/>
          <w:sz w:val="26"/>
          <w:szCs w:val="26"/>
        </w:rPr>
      </w:pPr>
    </w:p>
    <w:p>
      <w:pPr>
        <w:pStyle w:val="BodyText"/>
        <w:spacing w:line="408" w:lineRule="auto"/>
        <w:ind w:left="139" w:right="214" w:firstLine="420"/>
        <w:jc w:val="both"/>
      </w:pPr>
      <w:r>
        <w:rPr>
          <w:spacing w:val="-3"/>
        </w:rPr>
        <w:t>飞信业务是公司互联网业务的重要组成部分，也是公司的主要收入来源之一，如果中国</w:t>
      </w:r>
      <w:r>
        <w:rPr/>
        <w:t> </w:t>
      </w:r>
      <w:r>
        <w:rPr>
          <w:spacing w:val="2"/>
        </w:rPr>
        <w:t>移动飞信业务经营状况不佳或者中国移动在未来的合作过程中提出解除或不再与公司续签</w:t>
      </w:r>
      <w:r>
        <w:rPr>
          <w:spacing w:val="-85"/>
        </w:rPr>
        <w:t> </w:t>
      </w:r>
      <w:r>
        <w:rPr>
          <w:spacing w:val="-85"/>
        </w:rPr>
      </w:r>
      <w:r>
        <w:rPr>
          <w:spacing w:val="-3"/>
        </w:rPr>
        <w:t>新的合作合同，或在合作过程中降低与公司的合同结算价格，都将对公司盈利能力产生较大</w:t>
      </w:r>
      <w:r>
        <w:rPr>
          <w:spacing w:val="-79"/>
        </w:rPr>
        <w:t> </w:t>
      </w:r>
      <w:r>
        <w:rPr>
          <w:spacing w:val="-79"/>
        </w:rPr>
      </w:r>
      <w:r>
        <w:rPr/>
        <w:t>不利影响。</w:t>
      </w:r>
    </w:p>
    <w:p>
      <w:pPr>
        <w:pStyle w:val="BodyText"/>
        <w:spacing w:line="408" w:lineRule="auto" w:before="95"/>
        <w:ind w:left="139" w:right="216" w:firstLine="420"/>
        <w:jc w:val="both"/>
      </w:pPr>
      <w:r>
        <w:rPr>
          <w:spacing w:val="-3"/>
        </w:rPr>
        <w:t>飞信业务是中国移动为了迎接3G所推出的战略性新业务之一，是移动网与互联网互联互</w:t>
      </w:r>
      <w:r>
        <w:rPr/>
        <w:t> </w:t>
      </w:r>
      <w:r>
        <w:rPr>
          <w:spacing w:val="-3"/>
        </w:rPr>
        <w:t>通的移动综合通信服务平台，具有覆盖终端多样、无缝互通、永不离线等优点，能够较好实</w:t>
      </w:r>
      <w:r>
        <w:rPr>
          <w:spacing w:val="-80"/>
        </w:rPr>
        <w:t> </w:t>
      </w:r>
      <w:r>
        <w:rPr>
          <w:spacing w:val="-80"/>
        </w:rPr>
      </w:r>
      <w:r>
        <w:rPr/>
        <w:t>现互联网和移动网间的无缝通信服务。自2007年6月正式商用以来，逐步为广大中国移动用</w:t>
      </w:r>
      <w:r>
        <w:rPr/>
        <w:t> </w:t>
      </w:r>
      <w:r>
        <w:rPr>
          <w:spacing w:val="-3"/>
        </w:rPr>
        <w:t>户熟悉和接受，现已成为主流即时通信平台。基于互联网的快速发展、移动通信网络与互联</w:t>
      </w:r>
      <w:r>
        <w:rPr>
          <w:spacing w:val="-81"/>
        </w:rPr>
        <w:t> </w:t>
      </w:r>
      <w:r>
        <w:rPr>
          <w:spacing w:val="-81"/>
        </w:rPr>
      </w:r>
      <w:r>
        <w:rPr>
          <w:spacing w:val="-3"/>
        </w:rPr>
        <w:t>网的加速融合、3G应用发展以及中国移动领先的市场地位和强大的客户基础等因素，飞信业</w:t>
      </w:r>
      <w:r>
        <w:rPr>
          <w:spacing w:val="-78"/>
        </w:rPr>
        <w:t> </w:t>
      </w:r>
      <w:r>
        <w:rPr>
          <w:spacing w:val="-78"/>
        </w:rPr>
      </w:r>
      <w:r>
        <w:rPr/>
        <w:t>务发展空间非常广阔。</w:t>
      </w:r>
    </w:p>
    <w:p>
      <w:pPr>
        <w:pStyle w:val="BodyText"/>
        <w:spacing w:line="240" w:lineRule="auto" w:before="96"/>
        <w:ind w:left="559" w:right="100"/>
        <w:jc w:val="left"/>
      </w:pPr>
      <w:r>
        <w:rPr>
          <w:spacing w:val="-3"/>
        </w:rPr>
        <w:t>在飞信业务运营实践过程中，公司的服务充分展示了技术先进、运行可靠、实用性和兼</w:t>
      </w:r>
    </w:p>
    <w:p>
      <w:pPr>
        <w:spacing w:after="0" w:line="240" w:lineRule="auto"/>
        <w:jc w:val="left"/>
        <w:sectPr>
          <w:pgSz w:w="11910" w:h="16840"/>
          <w:pgMar w:header="851" w:footer="982" w:top="1360" w:bottom="1180" w:left="1660" w:right="1580"/>
        </w:sectPr>
      </w:pPr>
    </w:p>
    <w:p>
      <w:pPr>
        <w:spacing w:line="240" w:lineRule="auto" w:before="2"/>
        <w:rPr>
          <w:rFonts w:ascii="宋体" w:hAnsi="宋体" w:cs="宋体" w:eastAsia="宋体" w:hint="default"/>
          <w:sz w:val="8"/>
          <w:szCs w:val="8"/>
        </w:rPr>
      </w:pPr>
    </w:p>
    <w:p>
      <w:pPr>
        <w:pStyle w:val="BodyText"/>
        <w:spacing w:line="408" w:lineRule="auto" w:before="35"/>
        <w:ind w:left="140" w:right="216"/>
        <w:jc w:val="both"/>
      </w:pPr>
      <w:r>
        <w:rPr>
          <w:spacing w:val="-3"/>
        </w:rPr>
        <w:t>容性较强等优点，为飞信业务的发展提供了稳定可靠的技术平台，获得了中国移动和广大飞</w:t>
      </w:r>
      <w:r>
        <w:rPr>
          <w:spacing w:val="-79"/>
        </w:rPr>
        <w:t> </w:t>
      </w:r>
      <w:r>
        <w:rPr>
          <w:spacing w:val="-79"/>
        </w:rPr>
      </w:r>
      <w:r>
        <w:rPr>
          <w:spacing w:val="-3"/>
        </w:rPr>
        <w:t>信业务用户的好评，双方形成了互相依存、合作共赢的战略关系。同时，随着飞信业务用户</w:t>
      </w:r>
      <w:r>
        <w:rPr>
          <w:spacing w:val="-80"/>
        </w:rPr>
        <w:t> </w:t>
      </w:r>
      <w:r>
        <w:rPr>
          <w:spacing w:val="-80"/>
        </w:rPr>
      </w:r>
      <w:r>
        <w:rPr>
          <w:spacing w:val="-3"/>
        </w:rPr>
        <w:t>数量的快速增长，这种合作的置换成本也将进一步提高，为飞信业务的持续合作打下了更加</w:t>
      </w:r>
      <w:r>
        <w:rPr>
          <w:spacing w:val="-79"/>
        </w:rPr>
        <w:t> </w:t>
      </w:r>
      <w:r>
        <w:rPr>
          <w:spacing w:val="-79"/>
        </w:rPr>
      </w:r>
      <w:r>
        <w:rPr/>
        <w:t>坚实的基础。</w:t>
      </w:r>
    </w:p>
    <w:p>
      <w:pPr>
        <w:pStyle w:val="BodyText"/>
        <w:spacing w:line="408" w:lineRule="auto" w:before="96"/>
        <w:ind w:left="140" w:right="104" w:firstLine="420"/>
        <w:jc w:val="left"/>
      </w:pPr>
      <w:r>
        <w:rPr/>
        <w:t>未来，公司将积极巩固业已形成的战略合作关系，进一步加大研发与运维投入的力度， </w:t>
      </w:r>
      <w:r>
        <w:rPr>
          <w:spacing w:val="-3"/>
        </w:rPr>
        <w:t>继续强化飞信平台的性能、功能，丰富应用内容，提升用户体验，保持飞信持续、健康、稳</w:t>
      </w:r>
      <w:r>
        <w:rPr>
          <w:spacing w:val="-81"/>
        </w:rPr>
        <w:t> </w:t>
      </w:r>
      <w:r>
        <w:rPr>
          <w:spacing w:val="-81"/>
        </w:rPr>
      </w:r>
      <w:r>
        <w:rPr/>
        <w:t>定的发展。</w:t>
      </w:r>
    </w:p>
    <w:p>
      <w:pPr>
        <w:spacing w:line="240" w:lineRule="auto" w:before="6"/>
        <w:rPr>
          <w:rFonts w:ascii="宋体" w:hAnsi="宋体" w:cs="宋体" w:eastAsia="宋体" w:hint="default"/>
          <w:sz w:val="15"/>
          <w:szCs w:val="15"/>
        </w:rPr>
      </w:pPr>
    </w:p>
    <w:p>
      <w:pPr>
        <w:pStyle w:val="Heading2"/>
        <w:spacing w:line="544" w:lineRule="auto"/>
        <w:ind w:left="657" w:right="4605" w:hanging="202"/>
        <w:jc w:val="left"/>
        <w:rPr>
          <w:b w:val="0"/>
          <w:bCs w:val="0"/>
        </w:rPr>
      </w:pPr>
      <w:r>
        <w:rPr/>
        <w:t>（四）管理层所关注的发展机遇和挑战</w:t>
      </w:r>
      <w:r>
        <w:rPr>
          <w:spacing w:val="1"/>
          <w:w w:val="99"/>
        </w:rPr>
        <w:t> </w:t>
      </w:r>
      <w:r>
        <w:rPr/>
        <w:t>1、机遇</w:t>
      </w:r>
      <w:r>
        <w:rPr>
          <w:b w:val="0"/>
          <w:bCs w:val="0"/>
        </w:rPr>
      </w:r>
    </w:p>
    <w:p>
      <w:pPr>
        <w:pStyle w:val="BodyText"/>
        <w:spacing w:line="408" w:lineRule="auto" w:before="82"/>
        <w:ind w:left="139" w:right="216" w:firstLine="420"/>
        <w:jc w:val="both"/>
      </w:pPr>
      <w:r>
        <w:rPr>
          <w:spacing w:val="-3"/>
        </w:rPr>
        <w:t>（1）国内BSM市场规模将保持持续快速增长。IDC报告显示，2009年至2013年我国的BSM</w:t>
      </w:r>
      <w:r>
        <w:rPr>
          <w:spacing w:val="-1"/>
        </w:rPr>
        <w:t> 市场容量将以19.4%的年均复合增长率保持高速增长，至2013年达到47.9亿元的市场规模。</w:t>
      </w:r>
      <w:r>
        <w:rPr/>
      </w:r>
    </w:p>
    <w:p>
      <w:pPr>
        <w:spacing w:line="240" w:lineRule="auto" w:before="6"/>
        <w:rPr>
          <w:rFonts w:ascii="宋体" w:hAnsi="宋体" w:cs="宋体" w:eastAsia="宋体" w:hint="default"/>
          <w:sz w:val="15"/>
          <w:szCs w:val="15"/>
        </w:rPr>
      </w:pPr>
    </w:p>
    <w:p>
      <w:pPr>
        <w:pStyle w:val="BodyText"/>
        <w:spacing w:line="408" w:lineRule="auto"/>
        <w:ind w:left="139" w:right="215" w:firstLine="420"/>
        <w:jc w:val="both"/>
      </w:pPr>
      <w:r>
        <w:rPr>
          <w:spacing w:val="-3"/>
        </w:rPr>
        <w:t>（2）3G网络建设为OSS市场发展提供良好的机遇。根据工业和信息化部公布的数据，3G</w:t>
      </w:r>
      <w:r>
        <w:rPr/>
        <w:t> 牌照发放后，国内三大电信运营商自2009至2011年3G建设投资规模合计达到4,000亿元，其 中用于IT运维管理方面的投资将占据一定的比例，为行业发展提供了良好的机遇。</w:t>
      </w:r>
    </w:p>
    <w:p>
      <w:pPr>
        <w:spacing w:line="240" w:lineRule="auto" w:before="6"/>
        <w:rPr>
          <w:rFonts w:ascii="宋体" w:hAnsi="宋体" w:cs="宋体" w:eastAsia="宋体" w:hint="default"/>
          <w:sz w:val="15"/>
          <w:szCs w:val="15"/>
        </w:rPr>
      </w:pPr>
    </w:p>
    <w:p>
      <w:pPr>
        <w:pStyle w:val="BodyText"/>
        <w:spacing w:line="408" w:lineRule="auto"/>
        <w:ind w:left="139" w:right="216" w:firstLine="420"/>
        <w:jc w:val="both"/>
      </w:pPr>
      <w:r>
        <w:rPr>
          <w:spacing w:val="-4"/>
        </w:rPr>
        <w:t>（3）无线网络优化的良好发展机遇。未来五年，伴随不断加大的3G</w:t>
      </w:r>
      <w:r>
        <w:rPr>
          <w:spacing w:val="21"/>
        </w:rPr>
        <w:t> </w:t>
      </w:r>
      <w:r>
        <w:rPr/>
        <w:t>网络规模以及现有</w:t>
      </w:r>
      <w:r>
        <w:rPr/>
        <w:t> </w:t>
      </w:r>
      <w:r>
        <w:rPr>
          <w:spacing w:val="-3"/>
        </w:rPr>
        <w:t>的2G网络规模，运营商更加注重用户维系、营销和品牌建设，对网络质量的持续性关注度进</w:t>
      </w:r>
      <w:r>
        <w:rPr>
          <w:spacing w:val="-80"/>
        </w:rPr>
        <w:t> </w:t>
      </w:r>
      <w:r>
        <w:rPr>
          <w:spacing w:val="-80"/>
        </w:rPr>
      </w:r>
      <w:r>
        <w:rPr>
          <w:spacing w:val="-3"/>
        </w:rPr>
        <w:t>一步提升，对无线网络优化产品及服务需求将保持较快增长，据CCID预测，到2013年，国内</w:t>
      </w:r>
      <w:r>
        <w:rPr>
          <w:spacing w:val="-69"/>
        </w:rPr>
        <w:t> </w:t>
      </w:r>
      <w:r>
        <w:rPr>
          <w:spacing w:val="-69"/>
        </w:rPr>
      </w:r>
      <w:r>
        <w:rPr/>
        <w:t>通信网络优化市场规模预计超过350亿元。</w:t>
      </w:r>
    </w:p>
    <w:p>
      <w:pPr>
        <w:spacing w:line="240" w:lineRule="auto" w:before="6"/>
        <w:rPr>
          <w:rFonts w:ascii="宋体" w:hAnsi="宋体" w:cs="宋体" w:eastAsia="宋体" w:hint="default"/>
          <w:sz w:val="15"/>
          <w:szCs w:val="15"/>
        </w:rPr>
      </w:pPr>
    </w:p>
    <w:p>
      <w:pPr>
        <w:pStyle w:val="BodyText"/>
        <w:spacing w:line="408" w:lineRule="auto"/>
        <w:ind w:left="139" w:right="100" w:firstLine="420"/>
        <w:jc w:val="left"/>
      </w:pPr>
      <w:r>
        <w:rPr>
          <w:spacing w:val="-5"/>
        </w:rPr>
        <w:t>（4）根据CNNIC调查显示，截至2009年末，我国网民规模已达3.84亿，受3G开展的影响，</w:t>
      </w:r>
      <w:r>
        <w:rPr/>
        <w:t> </w:t>
      </w:r>
      <w:r>
        <w:rPr>
          <w:spacing w:val="-3"/>
        </w:rPr>
        <w:t>手机网民数量迅速增长，规模已达2.33亿人，移动网络、手机终端在互联网发展中将起着更</w:t>
      </w:r>
      <w:r>
        <w:rPr>
          <w:spacing w:val="-77"/>
        </w:rPr>
        <w:t> </w:t>
      </w:r>
      <w:r>
        <w:rPr>
          <w:spacing w:val="-77"/>
        </w:rPr>
      </w:r>
      <w:r>
        <w:rPr/>
        <w:t>加重要的作用。根据摩根士丹利研究显示，未来5年，通过3G、社交、视频、网络电话、移</w:t>
      </w:r>
      <w:r>
        <w:rPr>
          <w:spacing w:val="-100"/>
        </w:rPr>
        <w:t> </w:t>
      </w:r>
      <w:r>
        <w:rPr>
          <w:spacing w:val="-100"/>
        </w:rPr>
      </w:r>
      <w:r>
        <w:rPr/>
        <w:t>动装置等趋势的融合，移动互联网发展速度大大快于桌面互联网。</w:t>
      </w:r>
    </w:p>
    <w:p>
      <w:pPr>
        <w:spacing w:line="240" w:lineRule="auto" w:before="6"/>
        <w:rPr>
          <w:rFonts w:ascii="宋体" w:hAnsi="宋体" w:cs="宋体" w:eastAsia="宋体" w:hint="default"/>
          <w:sz w:val="15"/>
          <w:szCs w:val="15"/>
        </w:rPr>
      </w:pPr>
    </w:p>
    <w:p>
      <w:pPr>
        <w:pStyle w:val="BodyText"/>
        <w:spacing w:line="408" w:lineRule="auto"/>
        <w:ind w:left="139" w:right="216" w:firstLine="420"/>
        <w:jc w:val="both"/>
      </w:pPr>
      <w:r>
        <w:rPr/>
        <w:t>（5）随着网民、手机用户整体基数的增长，人们对信息交流需求的不断变化和提升， </w:t>
      </w:r>
      <w:r>
        <w:rPr>
          <w:spacing w:val="-3"/>
        </w:rPr>
        <w:t>计算机网络和电信网络的融合对跨平台信息互动的实现，以及互联网的社区化趋势，将进一</w:t>
      </w:r>
      <w:r>
        <w:rPr>
          <w:spacing w:val="-79"/>
        </w:rPr>
        <w:t> </w:t>
      </w:r>
      <w:r>
        <w:rPr>
          <w:spacing w:val="-79"/>
        </w:rPr>
      </w:r>
      <w:r>
        <w:rPr/>
        <w:t>步促进即时通信发展，即时通讯市场用户规模将继续保持较快的增长态势。</w:t>
      </w:r>
    </w:p>
    <w:p>
      <w:pPr>
        <w:spacing w:line="240" w:lineRule="auto" w:before="6"/>
        <w:rPr>
          <w:rFonts w:ascii="宋体" w:hAnsi="宋体" w:cs="宋体" w:eastAsia="宋体" w:hint="default"/>
          <w:sz w:val="15"/>
          <w:szCs w:val="15"/>
        </w:rPr>
      </w:pPr>
    </w:p>
    <w:p>
      <w:pPr>
        <w:pStyle w:val="BodyText"/>
        <w:spacing w:line="408" w:lineRule="auto"/>
        <w:ind w:left="139" w:right="122" w:firstLine="420"/>
        <w:jc w:val="both"/>
      </w:pPr>
      <w:r>
        <w:rPr/>
        <w:t>（6）随着中国农村互联网的快速发展，农村网民对互联网的使用逐步加深。截至2008 年底，农村网民规模已达到8460万人，增长率超过60%，其中手机上网用户约为4010</w:t>
      </w:r>
      <w:r>
        <w:rPr>
          <w:spacing w:val="-4"/>
        </w:rPr>
        <w:t> </w:t>
      </w:r>
      <w:r>
        <w:rPr/>
        <w:t>万人，</w:t>
      </w:r>
    </w:p>
    <w:p>
      <w:pPr>
        <w:spacing w:after="0" w:line="408" w:lineRule="auto"/>
        <w:jc w:val="both"/>
        <w:sectPr>
          <w:footerReference w:type="default" r:id="rId43"/>
          <w:pgSz w:w="11910" w:h="16840"/>
          <w:pgMar w:footer="982" w:header="851" w:top="1360" w:bottom="1180" w:left="1660" w:right="1580"/>
          <w:pgNumType w:start="26"/>
        </w:sectPr>
      </w:pPr>
    </w:p>
    <w:p>
      <w:pPr>
        <w:spacing w:line="240" w:lineRule="auto" w:before="2"/>
        <w:rPr>
          <w:rFonts w:ascii="宋体" w:hAnsi="宋体" w:cs="宋体" w:eastAsia="宋体" w:hint="default"/>
          <w:sz w:val="8"/>
          <w:szCs w:val="8"/>
        </w:rPr>
      </w:pPr>
    </w:p>
    <w:p>
      <w:pPr>
        <w:pStyle w:val="BodyText"/>
        <w:spacing w:line="408" w:lineRule="auto" w:before="35"/>
        <w:ind w:left="140" w:right="216"/>
        <w:jc w:val="both"/>
      </w:pPr>
      <w:r>
        <w:rPr>
          <w:spacing w:val="-1"/>
        </w:rPr>
        <w:t>占农村网民总体的47.4%。在国家政策的鼓励号召下，随着“电脑下乡”、“手机下乡”扶 </w:t>
      </w:r>
      <w:r>
        <w:rPr>
          <w:spacing w:val="-3"/>
        </w:rPr>
        <w:t>持工程的全面落实，以及3G应用的发展，手机上网也将进入快速发展时期，农村手机上网市</w:t>
      </w:r>
      <w:r>
        <w:rPr>
          <w:spacing w:val="-80"/>
        </w:rPr>
        <w:t> </w:t>
      </w:r>
      <w:r>
        <w:rPr>
          <w:spacing w:val="-80"/>
        </w:rPr>
      </w:r>
      <w:r>
        <w:rPr>
          <w:spacing w:val="-3"/>
        </w:rPr>
        <w:t>场的前景可期，农村通信市场将会成为中国互联网快速增长的新动力。中国移动农村信息网</w:t>
      </w:r>
      <w:r>
        <w:rPr>
          <w:spacing w:val="-79"/>
        </w:rPr>
        <w:t> </w:t>
      </w:r>
      <w:r>
        <w:rPr>
          <w:spacing w:val="-79"/>
        </w:rPr>
      </w:r>
      <w:r>
        <w:rPr/>
        <w:t>业务尚处于发展初期，未来有着很大的发展空间。</w:t>
      </w:r>
    </w:p>
    <w:p>
      <w:pPr>
        <w:spacing w:line="240" w:lineRule="auto" w:before="7"/>
        <w:rPr>
          <w:rFonts w:ascii="宋体" w:hAnsi="宋体" w:cs="宋体" w:eastAsia="宋体" w:hint="default"/>
          <w:sz w:val="15"/>
          <w:szCs w:val="15"/>
        </w:rPr>
      </w:pPr>
    </w:p>
    <w:p>
      <w:pPr>
        <w:pStyle w:val="Heading2"/>
        <w:spacing w:line="240" w:lineRule="auto"/>
        <w:ind w:left="657" w:right="100"/>
        <w:jc w:val="left"/>
        <w:rPr>
          <w:b w:val="0"/>
          <w:bCs w:val="0"/>
        </w:rPr>
      </w:pPr>
      <w:r>
        <w:rPr/>
        <w:t>2、挑战</w:t>
      </w:r>
      <w:r>
        <w:rPr>
          <w:b w:val="0"/>
          <w:bCs w:val="0"/>
        </w:rPr>
      </w:r>
    </w:p>
    <w:p>
      <w:pPr>
        <w:pStyle w:val="BodyText"/>
        <w:spacing w:line="626" w:lineRule="exact" w:before="92"/>
        <w:ind w:left="560" w:right="100"/>
        <w:jc w:val="left"/>
      </w:pPr>
      <w:r>
        <w:rPr/>
        <w:t>（1）对高端人才的持续需求 </w:t>
      </w:r>
      <w:r>
        <w:rPr>
          <w:spacing w:val="-6"/>
        </w:rPr>
        <w:t>公司属于知识密集型、智力密集型行业，高端人才储备不足将制约着企业的进一步发展。</w:t>
      </w:r>
    </w:p>
    <w:p>
      <w:pPr>
        <w:pStyle w:val="BodyText"/>
        <w:spacing w:line="408" w:lineRule="auto" w:before="96"/>
        <w:ind w:left="140" w:right="99"/>
        <w:jc w:val="left"/>
      </w:pPr>
      <w:r>
        <w:rPr>
          <w:spacing w:val="-5"/>
        </w:rPr>
        <w:t>随着公司业务规模不断扩大，以及互联网、网络优化业务领域等业务线、产品线的不断丰富，</w:t>
      </w:r>
      <w:r>
        <w:rPr>
          <w:spacing w:val="-98"/>
        </w:rPr>
        <w:t> </w:t>
      </w:r>
      <w:r>
        <w:rPr>
          <w:spacing w:val="-98"/>
        </w:rPr>
      </w:r>
      <w:r>
        <w:rPr>
          <w:spacing w:val="-3"/>
        </w:rPr>
        <w:t>对软件高级技术人员、营销人员和管理人员具有较大的需求。如何保持现有技术队伍和管理</w:t>
      </w:r>
      <w:r>
        <w:rPr>
          <w:spacing w:val="-79"/>
        </w:rPr>
        <w:t> </w:t>
      </w:r>
      <w:r>
        <w:rPr>
          <w:spacing w:val="-79"/>
        </w:rPr>
      </w:r>
      <w:r>
        <w:rPr>
          <w:spacing w:val="-3"/>
        </w:rPr>
        <w:t>层的稳定、提高业务人员专业水平和综合素质、培养和引进优秀人才，对公司的快速发展至</w:t>
      </w:r>
      <w:r>
        <w:rPr>
          <w:spacing w:val="-81"/>
        </w:rPr>
        <w:t> </w:t>
      </w:r>
      <w:r>
        <w:rPr>
          <w:spacing w:val="-81"/>
        </w:rPr>
      </w:r>
      <w:r>
        <w:rPr/>
        <w:t>关重要。</w:t>
      </w:r>
    </w:p>
    <w:p>
      <w:pPr>
        <w:spacing w:line="240" w:lineRule="auto" w:before="6"/>
        <w:rPr>
          <w:rFonts w:ascii="宋体" w:hAnsi="宋体" w:cs="宋体" w:eastAsia="宋体" w:hint="default"/>
          <w:sz w:val="15"/>
          <w:szCs w:val="15"/>
        </w:rPr>
      </w:pPr>
    </w:p>
    <w:p>
      <w:pPr>
        <w:pStyle w:val="BodyText"/>
        <w:spacing w:line="240" w:lineRule="auto"/>
        <w:ind w:left="560" w:right="100"/>
        <w:jc w:val="left"/>
      </w:pPr>
      <w:r>
        <w:rPr/>
        <w:t>（2）规模扩大对管理水平的挑战</w:t>
      </w:r>
    </w:p>
    <w:p>
      <w:pPr>
        <w:spacing w:line="240" w:lineRule="auto" w:before="10"/>
        <w:rPr>
          <w:rFonts w:ascii="宋体" w:hAnsi="宋体" w:cs="宋体" w:eastAsia="宋体" w:hint="default"/>
          <w:sz w:val="26"/>
          <w:szCs w:val="26"/>
        </w:rPr>
      </w:pPr>
    </w:p>
    <w:p>
      <w:pPr>
        <w:pStyle w:val="BodyText"/>
        <w:spacing w:line="408" w:lineRule="auto"/>
        <w:ind w:left="140" w:right="216" w:firstLine="420"/>
        <w:jc w:val="both"/>
      </w:pPr>
      <w:r>
        <w:rPr>
          <w:spacing w:val="-3"/>
        </w:rPr>
        <w:t>随着公司业务规模持续快速增长，公司在战略规划、组织机构设置、企业文化建设、资</w:t>
      </w:r>
      <w:r>
        <w:rPr/>
        <w:t> </w:t>
      </w:r>
      <w:r>
        <w:rPr>
          <w:spacing w:val="-3"/>
        </w:rPr>
        <w:t>源配置、运营管理，特别是资金管理、人才管理、内部控制等方面都将对公司管理水平提出</w:t>
      </w:r>
      <w:r>
        <w:rPr>
          <w:spacing w:val="-80"/>
        </w:rPr>
        <w:t> </w:t>
      </w:r>
      <w:r>
        <w:rPr>
          <w:spacing w:val="-80"/>
        </w:rPr>
      </w:r>
      <w:r>
        <w:rPr/>
        <w:t>更大的挑战。</w:t>
      </w:r>
    </w:p>
    <w:p>
      <w:pPr>
        <w:spacing w:line="240" w:lineRule="auto" w:before="6"/>
        <w:rPr>
          <w:rFonts w:ascii="宋体" w:hAnsi="宋体" w:cs="宋体" w:eastAsia="宋体" w:hint="default"/>
          <w:sz w:val="15"/>
          <w:szCs w:val="15"/>
        </w:rPr>
      </w:pPr>
    </w:p>
    <w:p>
      <w:pPr>
        <w:pStyle w:val="BodyText"/>
        <w:spacing w:line="240" w:lineRule="auto"/>
        <w:ind w:left="560" w:right="100"/>
        <w:jc w:val="left"/>
      </w:pPr>
      <w:r>
        <w:rPr/>
        <w:t>（3）市场竞争不断加剧</w:t>
      </w:r>
    </w:p>
    <w:p>
      <w:pPr>
        <w:spacing w:line="240" w:lineRule="auto" w:before="10"/>
        <w:rPr>
          <w:rFonts w:ascii="宋体" w:hAnsi="宋体" w:cs="宋体" w:eastAsia="宋体" w:hint="default"/>
          <w:sz w:val="26"/>
          <w:szCs w:val="26"/>
        </w:rPr>
      </w:pPr>
    </w:p>
    <w:p>
      <w:pPr>
        <w:pStyle w:val="BodyText"/>
        <w:spacing w:line="408" w:lineRule="auto"/>
        <w:ind w:left="140" w:right="216" w:firstLine="420"/>
        <w:jc w:val="both"/>
      </w:pPr>
      <w:r>
        <w:rPr/>
        <w:t>行业的快速发展给公司提供发展机遇的同时，也给公司带来挑战。公司所从事的BSM、 OSS以及以飞信、农信通业务为代表的互联网领域处于快速发展阶段，但依然面临激烈的市</w:t>
      </w:r>
      <w:r>
        <w:rPr>
          <w:spacing w:val="-100"/>
        </w:rPr>
        <w:t> </w:t>
      </w:r>
      <w:r>
        <w:rPr>
          <w:spacing w:val="-100"/>
        </w:rPr>
      </w:r>
      <w:r>
        <w:rPr/>
        <w:t>场竞争。</w:t>
      </w:r>
    </w:p>
    <w:p>
      <w:pPr>
        <w:spacing w:line="240" w:lineRule="auto" w:before="7"/>
        <w:rPr>
          <w:rFonts w:ascii="宋体" w:hAnsi="宋体" w:cs="宋体" w:eastAsia="宋体" w:hint="default"/>
          <w:sz w:val="15"/>
          <w:szCs w:val="15"/>
        </w:rPr>
      </w:pPr>
    </w:p>
    <w:p>
      <w:pPr>
        <w:pStyle w:val="BodyText"/>
        <w:spacing w:line="408" w:lineRule="auto"/>
        <w:ind w:left="140" w:right="216" w:firstLine="420"/>
        <w:jc w:val="both"/>
      </w:pPr>
      <w:r>
        <w:rPr/>
        <w:t>1）面对3G网络建设所带来的新兴OSS市场，国内OSS软件厂商和运维服务提供商之间的 竞争将进一步加剧，同时很多传统的软件提供商或服务提供商也将加入到这个领域，OSS市</w:t>
      </w:r>
      <w:r>
        <w:rPr>
          <w:spacing w:val="-98"/>
        </w:rPr>
        <w:t> </w:t>
      </w:r>
      <w:r>
        <w:rPr>
          <w:spacing w:val="-98"/>
        </w:rPr>
      </w:r>
      <w:r>
        <w:rPr>
          <w:spacing w:val="-3"/>
        </w:rPr>
        <w:t>场的竞争将愈加激烈。如何准确掌握客户需求、交付满意的产品和服务是公司首要考虑的问</w:t>
      </w:r>
      <w:r>
        <w:rPr>
          <w:spacing w:val="-79"/>
        </w:rPr>
        <w:t> </w:t>
      </w:r>
      <w:r>
        <w:rPr>
          <w:spacing w:val="-79"/>
        </w:rPr>
      </w:r>
      <w:r>
        <w:rPr/>
        <w:t>题。</w:t>
      </w:r>
    </w:p>
    <w:p>
      <w:pPr>
        <w:spacing w:line="240" w:lineRule="auto" w:before="7"/>
        <w:rPr>
          <w:rFonts w:ascii="宋体" w:hAnsi="宋体" w:cs="宋体" w:eastAsia="宋体" w:hint="default"/>
          <w:sz w:val="15"/>
          <w:szCs w:val="15"/>
        </w:rPr>
      </w:pPr>
    </w:p>
    <w:p>
      <w:pPr>
        <w:pStyle w:val="BodyText"/>
        <w:spacing w:line="408" w:lineRule="auto"/>
        <w:ind w:left="140" w:right="215" w:firstLine="420"/>
        <w:jc w:val="both"/>
      </w:pPr>
      <w:r>
        <w:rPr/>
        <w:t>2）飞信作为跨平台即时通信软件已成为主流的即时通讯平台，但是整体规模与QQ相比 有很大差距，并有被其他即时通讯产品赶超的威胁，此外，类似开心网、人人网等SNS网站 </w:t>
      </w:r>
      <w:r>
        <w:rPr>
          <w:spacing w:val="-3"/>
        </w:rPr>
        <w:t>的发展以及用户粘合度的增加，用户对于社交网站的信息传递使用频率也增多，这也会对即</w:t>
      </w:r>
      <w:r>
        <w:rPr>
          <w:spacing w:val="-79"/>
        </w:rPr>
        <w:t> </w:t>
      </w:r>
      <w:r>
        <w:rPr>
          <w:spacing w:val="-79"/>
        </w:rPr>
      </w:r>
      <w:r>
        <w:rPr/>
        <w:t>时通信工具的使用造成一定影响。</w:t>
      </w:r>
    </w:p>
    <w:p>
      <w:pPr>
        <w:spacing w:after="0" w:line="408" w:lineRule="auto"/>
        <w:jc w:val="both"/>
        <w:sectPr>
          <w:footerReference w:type="default" r:id="rId44"/>
          <w:pgSz w:w="11910" w:h="16840"/>
          <w:pgMar w:footer="982" w:header="851" w:top="1360" w:bottom="1180" w:left="1660" w:right="1580"/>
          <w:pgNumType w:start="27"/>
        </w:sectPr>
      </w:pPr>
    </w:p>
    <w:p>
      <w:pPr>
        <w:spacing w:line="240" w:lineRule="auto" w:before="4"/>
        <w:rPr>
          <w:rFonts w:ascii="宋体" w:hAnsi="宋体" w:cs="宋体" w:eastAsia="宋体" w:hint="default"/>
          <w:sz w:val="8"/>
          <w:szCs w:val="8"/>
        </w:rPr>
      </w:pPr>
    </w:p>
    <w:p>
      <w:pPr>
        <w:pStyle w:val="BodyText"/>
        <w:spacing w:line="408" w:lineRule="auto" w:before="35"/>
        <w:ind w:left="140" w:right="104" w:firstLine="420"/>
        <w:jc w:val="left"/>
      </w:pPr>
      <w:r>
        <w:rPr/>
        <w:t>3）中国移动农村信息网的建设方面起步相对较早，处于领先地位，但是仍面临着来自 </w:t>
      </w:r>
      <w:r>
        <w:rPr>
          <w:spacing w:val="-3"/>
        </w:rPr>
        <w:t>于其他电信运营商的竞争，同时，农村信息化建设中存在着农村基层政府意识、农民使用习</w:t>
      </w:r>
      <w:r>
        <w:rPr>
          <w:spacing w:val="-81"/>
        </w:rPr>
        <w:t> </w:t>
      </w:r>
      <w:r>
        <w:rPr>
          <w:spacing w:val="-81"/>
        </w:rPr>
      </w:r>
      <w:r>
        <w:rPr/>
        <w:t>惯有待进一步加强与培养；涉农信息资源庞杂与分散、整合难度大；用户需求呈现复杂化、 个性化、多样化；经济水平不高、收入低，支付能力差等诸多困难。</w:t>
      </w:r>
    </w:p>
    <w:p>
      <w:pPr>
        <w:spacing w:line="240" w:lineRule="auto" w:before="6"/>
        <w:rPr>
          <w:rFonts w:ascii="宋体" w:hAnsi="宋体" w:cs="宋体" w:eastAsia="宋体" w:hint="default"/>
          <w:sz w:val="15"/>
          <w:szCs w:val="15"/>
        </w:rPr>
      </w:pPr>
    </w:p>
    <w:p>
      <w:pPr>
        <w:pStyle w:val="Heading2"/>
        <w:spacing w:line="544" w:lineRule="auto"/>
        <w:ind w:left="657" w:right="3670" w:hanging="202"/>
        <w:jc w:val="left"/>
        <w:rPr>
          <w:b w:val="0"/>
          <w:bCs w:val="0"/>
        </w:rPr>
      </w:pPr>
      <w:r>
        <w:rPr/>
        <w:t>（二）公司未来发展战略规划及</w:t>
      </w:r>
      <w:r>
        <w:rPr>
          <w:spacing w:val="-62"/>
        </w:rPr>
        <w:t> </w:t>
      </w:r>
      <w:r>
        <w:rPr/>
        <w:t>2011</w:t>
      </w:r>
      <w:r>
        <w:rPr>
          <w:spacing w:val="-60"/>
        </w:rPr>
        <w:t> </w:t>
      </w:r>
      <w:r>
        <w:rPr/>
        <w:t>年经营计划</w:t>
      </w:r>
      <w:r>
        <w:rPr>
          <w:w w:val="99"/>
        </w:rPr>
        <w:t> </w:t>
      </w:r>
      <w:r>
        <w:rPr/>
        <w:t>1、战略规划</w:t>
      </w:r>
      <w:r>
        <w:rPr>
          <w:b w:val="0"/>
          <w:bCs w:val="0"/>
        </w:rPr>
      </w:r>
    </w:p>
    <w:p>
      <w:pPr>
        <w:pStyle w:val="BodyText"/>
        <w:spacing w:line="408" w:lineRule="auto" w:before="82"/>
        <w:ind w:left="139" w:right="105" w:firstLine="420"/>
        <w:jc w:val="left"/>
      </w:pPr>
      <w:r>
        <w:rPr>
          <w:spacing w:val="-3"/>
        </w:rPr>
        <w:t>公司经过多年的业务实践与积累，目前基本形成以运维管理、互联网领域为主的业务格</w:t>
      </w:r>
      <w:r>
        <w:rPr/>
        <w:t> 局。未来几年，公司将进一步巩固和提高在我国运维管理领域的领先市场地位，凭借技术、 </w:t>
      </w:r>
      <w:r>
        <w:rPr>
          <w:spacing w:val="-3"/>
        </w:rPr>
        <w:t>市场等优势，以飞信业务、农信通业务为基础，稳步拓展互联网市场，积极探索运维管理产</w:t>
      </w:r>
      <w:r>
        <w:rPr>
          <w:spacing w:val="-80"/>
        </w:rPr>
        <w:t> </w:t>
      </w:r>
      <w:r>
        <w:rPr>
          <w:spacing w:val="-80"/>
        </w:rPr>
      </w:r>
      <w:r>
        <w:rPr/>
        <w:t>业、互联网产业延伸的相关业务领域，构建公司持续成长的长效格局。</w:t>
      </w:r>
    </w:p>
    <w:p>
      <w:pPr>
        <w:spacing w:line="240" w:lineRule="auto" w:before="6"/>
        <w:rPr>
          <w:rFonts w:ascii="宋体" w:hAnsi="宋体" w:cs="宋体" w:eastAsia="宋体" w:hint="default"/>
          <w:sz w:val="15"/>
          <w:szCs w:val="15"/>
        </w:rPr>
      </w:pPr>
    </w:p>
    <w:p>
      <w:pPr>
        <w:pStyle w:val="Heading2"/>
        <w:spacing w:line="240" w:lineRule="auto"/>
        <w:ind w:left="657" w:right="100"/>
        <w:jc w:val="left"/>
        <w:rPr>
          <w:b w:val="0"/>
          <w:bCs w:val="0"/>
        </w:rPr>
      </w:pPr>
      <w:r>
        <w:rPr/>
        <w:t>2、公司</w:t>
      </w:r>
      <w:r>
        <w:rPr>
          <w:spacing w:val="-57"/>
        </w:rPr>
        <w:t> </w:t>
      </w:r>
      <w:r>
        <w:rPr/>
        <w:t>2011</w:t>
      </w:r>
      <w:r>
        <w:rPr>
          <w:spacing w:val="-55"/>
        </w:rPr>
        <w:t> </w:t>
      </w:r>
      <w:r>
        <w:rPr/>
        <w:t>年经营计划</w:t>
      </w:r>
      <w:r>
        <w:rPr>
          <w:b w:val="0"/>
          <w:bCs w:val="0"/>
        </w:rPr>
      </w:r>
    </w:p>
    <w:p>
      <w:pPr>
        <w:pStyle w:val="BodyText"/>
        <w:spacing w:line="626" w:lineRule="exact" w:before="93"/>
        <w:ind w:left="559" w:right="100"/>
        <w:jc w:val="left"/>
      </w:pPr>
      <w:r>
        <w:rPr/>
        <w:t>（1）产品与业务计划 </w:t>
      </w:r>
      <w:r>
        <w:rPr>
          <w:spacing w:val="-3"/>
        </w:rPr>
        <w:t>密切跟踪以电信行业为代表的国内信息化建设以及互联网的发展趋势，紧密围绕市场需</w:t>
      </w:r>
    </w:p>
    <w:p>
      <w:pPr>
        <w:pStyle w:val="BodyText"/>
        <w:spacing w:line="408" w:lineRule="auto" w:before="96"/>
        <w:ind w:left="139" w:right="105"/>
        <w:jc w:val="left"/>
      </w:pPr>
      <w:r>
        <w:rPr/>
        <w:t>求进行深度开发和创新，加大软件开发力度，强化产品的性能与功能，持续加强技术储备， 进一步提高公司的研发能力和市场抗风险能力，提升公司核心竞争力。</w:t>
      </w:r>
    </w:p>
    <w:p>
      <w:pPr>
        <w:spacing w:line="240" w:lineRule="auto" w:before="6"/>
        <w:rPr>
          <w:rFonts w:ascii="宋体" w:hAnsi="宋体" w:cs="宋体" w:eastAsia="宋体" w:hint="default"/>
          <w:sz w:val="15"/>
          <w:szCs w:val="15"/>
        </w:rPr>
      </w:pPr>
    </w:p>
    <w:p>
      <w:pPr>
        <w:pStyle w:val="BodyText"/>
        <w:spacing w:line="408" w:lineRule="auto"/>
        <w:ind w:left="139" w:right="105" w:firstLine="420"/>
        <w:jc w:val="left"/>
      </w:pPr>
      <w:r>
        <w:rPr/>
        <w:t>1）全力推进募集资金项目实施，力争年内全部达产，以实现对现有主要产品的升级、 换代，增强现有软件产品的功能和质量，形成体系完善、功能领先、性能优越的系列产品， 优化公司的业务结构。</w:t>
      </w:r>
    </w:p>
    <w:p>
      <w:pPr>
        <w:spacing w:line="240" w:lineRule="auto" w:before="7"/>
        <w:rPr>
          <w:rFonts w:ascii="宋体" w:hAnsi="宋体" w:cs="宋体" w:eastAsia="宋体" w:hint="default"/>
          <w:sz w:val="15"/>
          <w:szCs w:val="15"/>
        </w:rPr>
      </w:pPr>
    </w:p>
    <w:p>
      <w:pPr>
        <w:pStyle w:val="BodyText"/>
        <w:spacing w:line="408" w:lineRule="auto"/>
        <w:ind w:left="139" w:right="216" w:firstLine="420"/>
        <w:jc w:val="both"/>
      </w:pPr>
      <w:r>
        <w:rPr/>
        <w:t>2）继续着力进行信令监测等围绕建立基于用户感知的网络监控指标体系和网络优化系 </w:t>
      </w:r>
      <w:r>
        <w:rPr>
          <w:spacing w:val="-3"/>
        </w:rPr>
        <w:t>统的开发及网络优化服务的技术储备，并与现有产品进行整合，进一步完善公司产品技术体</w:t>
      </w:r>
      <w:r>
        <w:rPr>
          <w:spacing w:val="-79"/>
        </w:rPr>
        <w:t> </w:t>
      </w:r>
      <w:r>
        <w:rPr>
          <w:spacing w:val="-79"/>
        </w:rPr>
      </w:r>
      <w:r>
        <w:rPr/>
        <w:t>系；积极开展系统集成业务；积极拓展海外市场。</w:t>
      </w:r>
    </w:p>
    <w:p>
      <w:pPr>
        <w:spacing w:line="240" w:lineRule="auto" w:before="7"/>
        <w:rPr>
          <w:rFonts w:ascii="宋体" w:hAnsi="宋体" w:cs="宋体" w:eastAsia="宋体" w:hint="default"/>
          <w:sz w:val="15"/>
          <w:szCs w:val="15"/>
        </w:rPr>
      </w:pPr>
    </w:p>
    <w:p>
      <w:pPr>
        <w:pStyle w:val="BodyText"/>
        <w:spacing w:line="408" w:lineRule="auto"/>
        <w:ind w:left="139" w:right="100" w:firstLine="420"/>
        <w:jc w:val="left"/>
      </w:pPr>
      <w:r>
        <w:rPr/>
        <w:t>3）在移动互联网领域，大力加强市场化意识与能力，进一步推广快速迭代的敏捷开发 </w:t>
      </w:r>
      <w:r>
        <w:rPr>
          <w:spacing w:val="-3"/>
        </w:rPr>
        <w:t>模式，以用户需求、用户价值驱动产品设计与改进，加强平台功能、业务处理能力，提升平</w:t>
      </w:r>
      <w:r>
        <w:rPr>
          <w:spacing w:val="-84"/>
        </w:rPr>
        <w:t> </w:t>
      </w:r>
      <w:r>
        <w:rPr>
          <w:spacing w:val="-84"/>
        </w:rPr>
      </w:r>
      <w:r>
        <w:rPr>
          <w:spacing w:val="-5"/>
        </w:rPr>
        <w:t>台质量支撑全网的能力；加强飞信的产品与内容建设，进一步提高实用性、好用性、易用性；</w:t>
      </w:r>
      <w:r>
        <w:rPr>
          <w:spacing w:val="-100"/>
        </w:rPr>
        <w:t> </w:t>
      </w:r>
      <w:r>
        <w:rPr>
          <w:spacing w:val="-100"/>
        </w:rPr>
      </w:r>
      <w:r>
        <w:rPr>
          <w:spacing w:val="-3"/>
        </w:rPr>
        <w:t>积极推进企业飞信的开发建设，为中国移动构建面向企业客户统一通信和端到端信息化服务</w:t>
      </w:r>
      <w:r>
        <w:rPr>
          <w:spacing w:val="-79"/>
        </w:rPr>
        <w:t> </w:t>
      </w:r>
      <w:r>
        <w:rPr>
          <w:spacing w:val="-79"/>
        </w:rPr>
      </w:r>
      <w:r>
        <w:rPr>
          <w:spacing w:val="-3"/>
        </w:rPr>
        <w:t>平台；认真做好农信通的开发建设，配合中国移动积极推进全网运营的相关工作，促进农信</w:t>
      </w:r>
      <w:r>
        <w:rPr>
          <w:spacing w:val="-81"/>
        </w:rPr>
        <w:t> </w:t>
      </w:r>
      <w:r>
        <w:rPr>
          <w:spacing w:val="-81"/>
        </w:rPr>
      </w:r>
      <w:r>
        <w:rPr>
          <w:spacing w:val="-3"/>
        </w:rPr>
        <w:t>通业务的发展；深入开展手机游戏、千腾网、务工易等自主性互联网业务的技术开发、市场</w:t>
      </w:r>
    </w:p>
    <w:p>
      <w:pPr>
        <w:spacing w:after="0" w:line="408" w:lineRule="auto"/>
        <w:jc w:val="left"/>
        <w:sectPr>
          <w:footerReference w:type="default" r:id="rId45"/>
          <w:pgSz w:w="11910" w:h="16840"/>
          <w:pgMar w:footer="982" w:header="851" w:top="1360" w:bottom="1180" w:left="1660" w:right="1580"/>
          <w:pgNumType w:start="28"/>
        </w:sectPr>
      </w:pPr>
    </w:p>
    <w:p>
      <w:pPr>
        <w:spacing w:line="240" w:lineRule="auto" w:before="2"/>
        <w:rPr>
          <w:rFonts w:ascii="宋体" w:hAnsi="宋体" w:cs="宋体" w:eastAsia="宋体" w:hint="default"/>
          <w:sz w:val="8"/>
          <w:szCs w:val="8"/>
        </w:rPr>
      </w:pPr>
    </w:p>
    <w:p>
      <w:pPr>
        <w:pStyle w:val="BodyText"/>
        <w:spacing w:line="240" w:lineRule="auto" w:before="35"/>
        <w:ind w:left="140" w:right="100"/>
        <w:jc w:val="left"/>
      </w:pPr>
      <w:r>
        <w:rPr/>
        <w:t>推广工作，认真做好互联网的技术储备、业务布局；</w:t>
      </w:r>
    </w:p>
    <w:p>
      <w:pPr>
        <w:spacing w:line="240" w:lineRule="auto" w:before="10"/>
        <w:rPr>
          <w:rFonts w:ascii="宋体" w:hAnsi="宋体" w:cs="宋体" w:eastAsia="宋体" w:hint="default"/>
          <w:sz w:val="26"/>
          <w:szCs w:val="26"/>
        </w:rPr>
      </w:pPr>
    </w:p>
    <w:p>
      <w:pPr>
        <w:pStyle w:val="BodyText"/>
        <w:spacing w:line="408" w:lineRule="auto"/>
        <w:ind w:left="140" w:right="99" w:firstLine="420"/>
        <w:jc w:val="left"/>
      </w:pPr>
      <w:r>
        <w:rPr/>
        <w:t>4）继续充分合理地运用与规划超募资金，有序推进募投项目的实施，积极探索包括并 </w:t>
      </w:r>
      <w:r>
        <w:rPr>
          <w:spacing w:val="-5"/>
        </w:rPr>
        <w:t>购、参股、战略合作等多种形式的合作方式，适时开展在产业链方面有延伸（如物联网领域、</w:t>
      </w:r>
      <w:r>
        <w:rPr>
          <w:spacing w:val="-102"/>
        </w:rPr>
        <w:t> </w:t>
      </w:r>
      <w:r>
        <w:rPr>
          <w:spacing w:val="-102"/>
        </w:rPr>
      </w:r>
      <w:r>
        <w:rPr>
          <w:spacing w:val="-3"/>
        </w:rPr>
        <w:t>三网融合领域等）、有利于拓展市场领域和增强公司技术实力与综合竞争力的投资与并购工</w:t>
      </w:r>
      <w:r>
        <w:rPr>
          <w:spacing w:val="-79"/>
        </w:rPr>
        <w:t> </w:t>
      </w:r>
      <w:r>
        <w:rPr>
          <w:spacing w:val="-79"/>
        </w:rPr>
      </w:r>
      <w:r>
        <w:rPr/>
        <w:t>作，充分发挥募集资金的使用效率，为公司可持续发展构建坚实基础。</w:t>
      </w:r>
    </w:p>
    <w:p>
      <w:pPr>
        <w:spacing w:line="240" w:lineRule="auto" w:before="7"/>
        <w:rPr>
          <w:rFonts w:ascii="宋体" w:hAnsi="宋体" w:cs="宋体" w:eastAsia="宋体" w:hint="default"/>
          <w:sz w:val="15"/>
          <w:szCs w:val="15"/>
        </w:rPr>
      </w:pPr>
    </w:p>
    <w:p>
      <w:pPr>
        <w:pStyle w:val="BodyText"/>
        <w:spacing w:line="408" w:lineRule="auto"/>
        <w:ind w:left="140" w:right="99" w:firstLine="420"/>
        <w:jc w:val="left"/>
      </w:pPr>
      <w:r>
        <w:rPr/>
        <w:t>（2）人力资源体系的建设是整个公司持续发展的基石与保障，公司将持续不断的完善 </w:t>
      </w:r>
      <w:r>
        <w:rPr>
          <w:spacing w:val="-3"/>
        </w:rPr>
        <w:t>人才培养、引进和激励机制。公司将持续加强企业文化建设，提高员工归属感、认同度，积</w:t>
      </w:r>
      <w:r>
        <w:rPr>
          <w:spacing w:val="-84"/>
        </w:rPr>
        <w:t> </w:t>
      </w:r>
      <w:r>
        <w:rPr>
          <w:spacing w:val="-84"/>
        </w:rPr>
      </w:r>
      <w:r>
        <w:rPr>
          <w:spacing w:val="-5"/>
        </w:rPr>
        <w:t>极推进并实施股权激励计划，落实《员工发展序列、薪资与激励方案》，完善全员绩效考核，</w:t>
      </w:r>
      <w:r>
        <w:rPr>
          <w:spacing w:val="-100"/>
        </w:rPr>
        <w:t> </w:t>
      </w:r>
      <w:r>
        <w:rPr>
          <w:spacing w:val="-100"/>
        </w:rPr>
      </w:r>
      <w:r>
        <w:rPr/>
        <w:t>推进以职位序列为基础的“双通道”（专业通道和管理通道）的员工职业发展体系的建设， </w:t>
      </w:r>
      <w:r>
        <w:rPr>
          <w:spacing w:val="-3"/>
        </w:rPr>
        <w:t>健全内部人才培养、干部培养和外部人才引进机制以及科学有效的人力资源管理制度，做好</w:t>
      </w:r>
      <w:r>
        <w:rPr>
          <w:spacing w:val="-79"/>
        </w:rPr>
        <w:t> </w:t>
      </w:r>
      <w:r>
        <w:rPr>
          <w:spacing w:val="-79"/>
        </w:rPr>
      </w:r>
      <w:r>
        <w:rPr/>
        <w:t>人才的梯队建设、储备建设。</w:t>
      </w:r>
    </w:p>
    <w:p>
      <w:pPr>
        <w:spacing w:line="240" w:lineRule="auto" w:before="7"/>
        <w:rPr>
          <w:rFonts w:ascii="宋体" w:hAnsi="宋体" w:cs="宋体" w:eastAsia="宋体" w:hint="default"/>
          <w:sz w:val="15"/>
          <w:szCs w:val="15"/>
        </w:rPr>
      </w:pPr>
    </w:p>
    <w:p>
      <w:pPr>
        <w:pStyle w:val="BodyText"/>
        <w:spacing w:line="408" w:lineRule="auto"/>
        <w:ind w:left="140" w:right="215" w:firstLine="420"/>
        <w:jc w:val="both"/>
      </w:pPr>
      <w:r>
        <w:rPr/>
        <w:t>（3）以交付价值为指导思想，进一步深入组织结构的优化与调整。运维管理领域将继 </w:t>
      </w:r>
      <w:r>
        <w:rPr>
          <w:spacing w:val="-3"/>
        </w:rPr>
        <w:t>续本着销售管理精细化、规范化的原则，在公司“三大区、三大行业”销售架构基础上，加</w:t>
      </w:r>
      <w:r>
        <w:rPr>
          <w:spacing w:val="-81"/>
        </w:rPr>
        <w:t> </w:t>
      </w:r>
      <w:r>
        <w:rPr>
          <w:spacing w:val="-81"/>
        </w:rPr>
      </w:r>
      <w:r>
        <w:rPr>
          <w:spacing w:val="-3"/>
        </w:rPr>
        <w:t>强技术本地化、销售团队建设以及销售、技术在项目全过程的紧密配合，进一步提高响应时</w:t>
      </w:r>
      <w:r>
        <w:rPr>
          <w:spacing w:val="-81"/>
        </w:rPr>
        <w:t> </w:t>
      </w:r>
      <w:r>
        <w:rPr>
          <w:spacing w:val="-81"/>
        </w:rPr>
      </w:r>
      <w:r>
        <w:rPr>
          <w:spacing w:val="-3"/>
        </w:rPr>
        <w:t>间。继续加强项目管理体系、研发管理体系方面的建设，推动产品研发、项目实施、技术服</w:t>
      </w:r>
      <w:r>
        <w:rPr>
          <w:spacing w:val="-84"/>
        </w:rPr>
        <w:t> </w:t>
      </w:r>
      <w:r>
        <w:rPr>
          <w:spacing w:val="-84"/>
        </w:rPr>
      </w:r>
      <w:r>
        <w:rPr>
          <w:spacing w:val="-3"/>
        </w:rPr>
        <w:t>务的一体化，提高交付效率与整体业务价值。同时，积极论证区域性中心建设的可行性，有</w:t>
      </w:r>
      <w:r>
        <w:rPr>
          <w:spacing w:val="-80"/>
        </w:rPr>
        <w:t> </w:t>
      </w:r>
      <w:r>
        <w:rPr>
          <w:spacing w:val="-80"/>
        </w:rPr>
      </w:r>
      <w:r>
        <w:rPr>
          <w:spacing w:val="-3"/>
        </w:rPr>
        <w:t>针对性的构建以中心城市为节点辐射全国的营销与服务网络，全面拓宽市场覆盖面，提升服</w:t>
      </w:r>
      <w:r>
        <w:rPr>
          <w:spacing w:val="-79"/>
        </w:rPr>
        <w:t> </w:t>
      </w:r>
      <w:r>
        <w:rPr>
          <w:spacing w:val="-79"/>
        </w:rPr>
      </w:r>
      <w:r>
        <w:rPr/>
        <w:t>务质量及整体运营效率。</w:t>
      </w:r>
    </w:p>
    <w:p>
      <w:pPr>
        <w:spacing w:line="240" w:lineRule="auto" w:before="7"/>
        <w:rPr>
          <w:rFonts w:ascii="宋体" w:hAnsi="宋体" w:cs="宋体" w:eastAsia="宋体" w:hint="default"/>
          <w:sz w:val="15"/>
          <w:szCs w:val="15"/>
        </w:rPr>
      </w:pPr>
    </w:p>
    <w:p>
      <w:pPr>
        <w:pStyle w:val="BodyText"/>
        <w:spacing w:line="408" w:lineRule="auto"/>
        <w:ind w:left="140" w:right="216" w:firstLine="420"/>
        <w:jc w:val="both"/>
      </w:pPr>
      <w:r>
        <w:rPr/>
        <w:t>（4）进一步加强内部管理，提高管理效率，控制成本支出。同时，围绕经营、研发等 </w:t>
      </w:r>
      <w:r>
        <w:rPr>
          <w:spacing w:val="-3"/>
        </w:rPr>
        <w:t>重点业务环节，构建以内部环境为重要基础，以风险评估为重要环节，以控制活动为重要手</w:t>
      </w:r>
      <w:r>
        <w:rPr>
          <w:spacing w:val="-81"/>
        </w:rPr>
        <w:t> </w:t>
      </w:r>
      <w:r>
        <w:rPr>
          <w:spacing w:val="-81"/>
        </w:rPr>
      </w:r>
      <w:r>
        <w:rPr>
          <w:spacing w:val="-3"/>
        </w:rPr>
        <w:t>段，以信息与沟通为重要条件，以内部监督为重要保证，相互联系、相互促进的内部控制和</w:t>
      </w:r>
      <w:r>
        <w:rPr>
          <w:spacing w:val="-80"/>
        </w:rPr>
        <w:t> </w:t>
      </w:r>
      <w:r>
        <w:rPr>
          <w:spacing w:val="-80"/>
        </w:rPr>
      </w:r>
      <w:r>
        <w:rPr/>
        <w:t>全面风险管理体系。</w:t>
      </w:r>
    </w:p>
    <w:p>
      <w:pPr>
        <w:spacing w:line="240" w:lineRule="auto" w:before="7"/>
        <w:rPr>
          <w:rFonts w:ascii="宋体" w:hAnsi="宋体" w:cs="宋体" w:eastAsia="宋体" w:hint="default"/>
          <w:sz w:val="15"/>
          <w:szCs w:val="15"/>
        </w:rPr>
      </w:pPr>
    </w:p>
    <w:p>
      <w:pPr>
        <w:pStyle w:val="BodyText"/>
        <w:spacing w:line="408" w:lineRule="auto"/>
        <w:ind w:left="140" w:right="215" w:firstLine="420"/>
        <w:jc w:val="both"/>
      </w:pPr>
      <w:r>
        <w:rPr/>
        <w:t>（5）投资者关系工作是公司长抓不懈的重要工作。2011年，公司将进一步完善公司的 </w:t>
      </w:r>
      <w:r>
        <w:rPr>
          <w:spacing w:val="-3"/>
        </w:rPr>
        <w:t>治理结构，建立和健全投资者沟通平台，规范公司投资者关系工作，加强公司与投资者和潜</w:t>
      </w:r>
      <w:r>
        <w:rPr>
          <w:spacing w:val="-81"/>
        </w:rPr>
        <w:t> </w:t>
      </w:r>
      <w:r>
        <w:rPr>
          <w:spacing w:val="-81"/>
        </w:rPr>
      </w:r>
      <w:r>
        <w:rPr>
          <w:spacing w:val="-3"/>
        </w:rPr>
        <w:t>在投资者之间的沟通，加深投资者对公司的了解和认同，促进公司与投资者之间长期、稳定</w:t>
      </w:r>
      <w:r>
        <w:rPr>
          <w:spacing w:val="-81"/>
        </w:rPr>
        <w:t> </w:t>
      </w:r>
      <w:r>
        <w:rPr>
          <w:spacing w:val="-81"/>
        </w:rPr>
      </w:r>
      <w:r>
        <w:rPr>
          <w:spacing w:val="-3"/>
        </w:rPr>
        <w:t>的良好关系，提升公司的诚信度、核心竞争能力和持续发展能力，实现公司价值最大化和股</w:t>
      </w:r>
      <w:r>
        <w:rPr>
          <w:spacing w:val="-81"/>
        </w:rPr>
        <w:t> </w:t>
      </w:r>
      <w:r>
        <w:rPr>
          <w:spacing w:val="-81"/>
        </w:rPr>
      </w:r>
      <w:r>
        <w:rPr/>
        <w:t>东利益最大化。</w:t>
      </w:r>
    </w:p>
    <w:p>
      <w:pPr>
        <w:spacing w:after="0" w:line="408" w:lineRule="auto"/>
        <w:jc w:val="both"/>
        <w:sectPr>
          <w:pgSz w:w="11910" w:h="16840"/>
          <w:pgMar w:header="851" w:footer="982" w:top="1360" w:bottom="1180" w:left="1660" w:right="1580"/>
        </w:sectPr>
      </w:pPr>
    </w:p>
    <w:p>
      <w:pPr>
        <w:spacing w:line="240" w:lineRule="auto" w:before="4"/>
        <w:rPr>
          <w:rFonts w:ascii="宋体" w:hAnsi="宋体" w:cs="宋体" w:eastAsia="宋体" w:hint="default"/>
          <w:sz w:val="8"/>
          <w:szCs w:val="8"/>
        </w:rPr>
      </w:pPr>
    </w:p>
    <w:p>
      <w:pPr>
        <w:pStyle w:val="Heading2"/>
        <w:spacing w:line="240" w:lineRule="auto" w:before="35"/>
        <w:ind w:left="455" w:right="85"/>
        <w:jc w:val="left"/>
        <w:rPr>
          <w:b w:val="0"/>
          <w:bCs w:val="0"/>
        </w:rPr>
      </w:pPr>
      <w:r>
        <w:rPr/>
        <w:t>（六）实现未来发展战略所需资金的计划</w:t>
      </w:r>
      <w:r>
        <w:rPr>
          <w:b w:val="0"/>
          <w:bCs w:val="0"/>
        </w:rPr>
      </w:r>
    </w:p>
    <w:p>
      <w:pPr>
        <w:spacing w:line="240" w:lineRule="auto" w:before="8"/>
        <w:rPr>
          <w:rFonts w:ascii="宋体" w:hAnsi="宋体" w:cs="宋体" w:eastAsia="宋体" w:hint="default"/>
          <w:b/>
          <w:bCs/>
          <w:sz w:val="26"/>
          <w:szCs w:val="26"/>
        </w:rPr>
      </w:pPr>
    </w:p>
    <w:p>
      <w:pPr>
        <w:pStyle w:val="BodyText"/>
        <w:spacing w:line="408" w:lineRule="auto"/>
        <w:ind w:left="139" w:right="85" w:firstLine="420"/>
        <w:jc w:val="left"/>
      </w:pPr>
      <w:r>
        <w:rPr>
          <w:spacing w:val="-3"/>
        </w:rPr>
        <w:t>公司2009年9月首次公开发行A股并上市，募集资金净额1,703,363,128.52元，公司将严</w:t>
      </w:r>
      <w:r>
        <w:rPr/>
        <w:t> 格按照中国证监会和深交所各项规定管好和用好募集资金和超募资金，严格执行审批程序， 积极推进募投项目建设和制订并实施超募资金使用方案，努力提高资金的使用效率。</w:t>
      </w:r>
    </w:p>
    <w:p>
      <w:pPr>
        <w:spacing w:line="240" w:lineRule="auto" w:before="7"/>
        <w:rPr>
          <w:rFonts w:ascii="宋体" w:hAnsi="宋体" w:cs="宋体" w:eastAsia="宋体" w:hint="default"/>
          <w:sz w:val="15"/>
          <w:szCs w:val="15"/>
        </w:rPr>
      </w:pPr>
    </w:p>
    <w:p>
      <w:pPr>
        <w:pStyle w:val="BodyText"/>
        <w:spacing w:line="408" w:lineRule="auto"/>
        <w:ind w:left="139" w:right="85" w:firstLine="420"/>
        <w:jc w:val="left"/>
      </w:pPr>
      <w:r>
        <w:rPr>
          <w:spacing w:val="-3"/>
        </w:rPr>
        <w:t>同时，公司将合理安排自有资金，建立与银行之间的良好合作关系，盘活公司资产，确</w:t>
      </w:r>
      <w:r>
        <w:rPr/>
        <w:t> 保公司未来发展资金需求，为公司的长远发展奠定基础，为股东创造最大效益。</w:t>
      </w:r>
    </w:p>
    <w:p>
      <w:pPr>
        <w:pStyle w:val="Heading2"/>
        <w:spacing w:line="240" w:lineRule="auto" w:before="125"/>
        <w:ind w:left="139" w:right="85"/>
        <w:jc w:val="left"/>
        <w:rPr>
          <w:b w:val="0"/>
          <w:bCs w:val="0"/>
        </w:rPr>
      </w:pPr>
      <w:r>
        <w:rPr/>
        <w:t>三、公司投资情况</w:t>
      </w:r>
      <w:r>
        <w:rPr>
          <w:b w:val="0"/>
          <w:bCs w:val="0"/>
        </w:rPr>
      </w:r>
    </w:p>
    <w:p>
      <w:pPr>
        <w:spacing w:line="240" w:lineRule="auto" w:before="8"/>
        <w:rPr>
          <w:rFonts w:ascii="宋体" w:hAnsi="宋体" w:cs="宋体" w:eastAsia="宋体" w:hint="default"/>
          <w:b/>
          <w:bCs/>
          <w:sz w:val="20"/>
          <w:szCs w:val="20"/>
        </w:rPr>
      </w:pPr>
    </w:p>
    <w:p>
      <w:pPr>
        <w:spacing w:line="544" w:lineRule="auto" w:before="0"/>
        <w:ind w:left="657" w:right="4796" w:hanging="202"/>
        <w:jc w:val="left"/>
        <w:rPr>
          <w:rFonts w:ascii="宋体" w:hAnsi="宋体" w:cs="宋体" w:eastAsia="宋体" w:hint="default"/>
          <w:sz w:val="21"/>
          <w:szCs w:val="21"/>
        </w:rPr>
      </w:pPr>
      <w:r>
        <w:rPr>
          <w:rFonts w:ascii="宋体" w:hAnsi="宋体" w:cs="宋体" w:eastAsia="宋体" w:hint="default"/>
          <w:b/>
          <w:bCs/>
          <w:sz w:val="21"/>
          <w:szCs w:val="21"/>
        </w:rPr>
        <w:t>（一）报告期内募集资金的使用情况</w:t>
      </w:r>
      <w:r>
        <w:rPr>
          <w:rFonts w:ascii="宋体" w:hAnsi="宋体" w:cs="宋体" w:eastAsia="宋体" w:hint="default"/>
          <w:b/>
          <w:bCs/>
          <w:w w:val="99"/>
          <w:sz w:val="21"/>
          <w:szCs w:val="21"/>
        </w:rPr>
        <w:t> </w:t>
      </w:r>
      <w:r>
        <w:rPr>
          <w:rFonts w:ascii="宋体" w:hAnsi="宋体" w:cs="宋体" w:eastAsia="宋体" w:hint="default"/>
          <w:b/>
          <w:bCs/>
          <w:sz w:val="21"/>
          <w:szCs w:val="21"/>
        </w:rPr>
        <w:t>1、募集资金到位情况</w:t>
      </w:r>
      <w:r>
        <w:rPr>
          <w:rFonts w:ascii="宋体" w:hAnsi="宋体" w:cs="宋体" w:eastAsia="宋体" w:hint="default"/>
          <w:sz w:val="21"/>
          <w:szCs w:val="21"/>
        </w:rPr>
      </w:r>
    </w:p>
    <w:p>
      <w:pPr>
        <w:pStyle w:val="BodyText"/>
        <w:spacing w:line="408" w:lineRule="auto" w:before="82"/>
        <w:ind w:left="139" w:right="189" w:firstLine="420"/>
        <w:jc w:val="both"/>
      </w:pPr>
      <w:r>
        <w:rPr/>
        <w:t>经中国证券监督管理委员会“证监许可[2009]952号”文核准，公司向社会公开发行人 民币普通股（A股）3,160</w:t>
      </w:r>
      <w:r>
        <w:rPr>
          <w:spacing w:val="26"/>
        </w:rPr>
        <w:t> </w:t>
      </w:r>
      <w:r>
        <w:rPr/>
        <w:t>万股，每股面值1.00</w:t>
      </w:r>
      <w:r>
        <w:rPr>
          <w:spacing w:val="25"/>
        </w:rPr>
        <w:t> </w:t>
      </w:r>
      <w:r>
        <w:rPr>
          <w:spacing w:val="2"/>
        </w:rPr>
        <w:t>元，发行价格每股58元，募集资金总额：</w:t>
      </w:r>
      <w:r>
        <w:rPr>
          <w:spacing w:val="-98"/>
        </w:rPr>
        <w:t> </w:t>
      </w:r>
      <w:r>
        <w:rPr>
          <w:spacing w:val="-98"/>
        </w:rPr>
      </w:r>
      <w:r>
        <w:rPr/>
        <w:t>1,832,800,000.00</w:t>
      </w:r>
      <w:r>
        <w:rPr>
          <w:spacing w:val="-72"/>
        </w:rPr>
        <w:t> </w:t>
      </w:r>
      <w:r>
        <w:rPr>
          <w:spacing w:val="16"/>
        </w:rPr>
        <w:t>元，</w:t>
      </w:r>
      <w:r>
        <w:rPr>
          <w:spacing w:val="-74"/>
        </w:rPr>
        <w:t> </w:t>
      </w:r>
      <w:r>
        <w:rPr>
          <w:spacing w:val="26"/>
        </w:rPr>
        <w:t>扣除各项发</w:t>
      </w:r>
      <w:r>
        <w:rPr>
          <w:spacing w:val="-72"/>
        </w:rPr>
        <w:t> </w:t>
      </w:r>
      <w:r>
        <w:rPr>
          <w:spacing w:val="22"/>
        </w:rPr>
        <w:t>行费用</w:t>
      </w:r>
      <w:r>
        <w:rPr>
          <w:spacing w:val="-73"/>
        </w:rPr>
        <w:t> </w:t>
      </w:r>
      <w:r>
        <w:rPr/>
        <w:t>129,436,871.48</w:t>
      </w:r>
      <w:r>
        <w:rPr>
          <w:spacing w:val="-73"/>
        </w:rPr>
        <w:t> </w:t>
      </w:r>
      <w:r>
        <w:rPr>
          <w:spacing w:val="26"/>
        </w:rPr>
        <w:t>元，公司募</w:t>
      </w:r>
      <w:r>
        <w:rPr>
          <w:spacing w:val="-72"/>
        </w:rPr>
        <w:t> </w:t>
      </w:r>
      <w:r>
        <w:rPr>
          <w:spacing w:val="26"/>
        </w:rPr>
        <w:t>集资金净额</w:t>
      </w:r>
      <w:r>
        <w:rPr>
          <w:spacing w:val="-71"/>
        </w:rPr>
        <w:t> </w:t>
      </w:r>
      <w:r>
        <w:rPr/>
        <w:t>为</w:t>
      </w:r>
    </w:p>
    <w:p>
      <w:pPr>
        <w:pStyle w:val="BodyText"/>
        <w:spacing w:line="408" w:lineRule="auto" w:before="46"/>
        <w:ind w:left="139" w:right="190"/>
        <w:jc w:val="left"/>
      </w:pPr>
      <w:r>
        <w:rPr/>
        <w:t>1,703,363,128.52元。以上募集资金已由立信会计师事务所有限公司于2009年10月9日出具 信会师报字（2009）第11801号《验资报告》验证确认。</w:t>
      </w:r>
    </w:p>
    <w:p>
      <w:pPr>
        <w:spacing w:line="240" w:lineRule="auto" w:before="7"/>
        <w:rPr>
          <w:rFonts w:ascii="宋体" w:hAnsi="宋体" w:cs="宋体" w:eastAsia="宋体" w:hint="default"/>
          <w:sz w:val="15"/>
          <w:szCs w:val="15"/>
        </w:rPr>
      </w:pPr>
    </w:p>
    <w:p>
      <w:pPr>
        <w:pStyle w:val="Heading2"/>
        <w:spacing w:line="240" w:lineRule="auto"/>
        <w:ind w:left="657" w:right="85"/>
        <w:jc w:val="left"/>
        <w:rPr>
          <w:b w:val="0"/>
          <w:bCs w:val="0"/>
        </w:rPr>
      </w:pPr>
      <w:r>
        <w:rPr/>
        <w:t>2、募集资金管理情况</w:t>
      </w:r>
      <w:r>
        <w:rPr>
          <w:b w:val="0"/>
          <w:bCs w:val="0"/>
        </w:rPr>
      </w:r>
    </w:p>
    <w:p>
      <w:pPr>
        <w:spacing w:line="240" w:lineRule="auto" w:before="8"/>
        <w:rPr>
          <w:rFonts w:ascii="宋体" w:hAnsi="宋体" w:cs="宋体" w:eastAsia="宋体" w:hint="default"/>
          <w:b/>
          <w:bCs/>
          <w:sz w:val="26"/>
          <w:szCs w:val="26"/>
        </w:rPr>
      </w:pPr>
    </w:p>
    <w:p>
      <w:pPr>
        <w:pStyle w:val="BodyText"/>
        <w:spacing w:line="408" w:lineRule="auto"/>
        <w:ind w:left="139" w:right="85" w:firstLine="420"/>
        <w:jc w:val="left"/>
      </w:pPr>
      <w:r>
        <w:rPr>
          <w:spacing w:val="-3"/>
        </w:rPr>
        <w:t>公司严格按照《募集资金管理办法》的规定和要求，对募集资金的存放和使用进行有效</w:t>
      </w:r>
      <w:r>
        <w:rPr/>
        <w:t> 的监督和管理，以确保用于募集资金投资项目的建设。</w:t>
      </w:r>
    </w:p>
    <w:p>
      <w:pPr>
        <w:pStyle w:val="BodyText"/>
        <w:spacing w:line="408" w:lineRule="auto" w:before="96"/>
        <w:ind w:left="139" w:right="85" w:firstLine="420"/>
        <w:jc w:val="left"/>
      </w:pPr>
      <w:r>
        <w:rPr>
          <w:spacing w:val="-3"/>
        </w:rPr>
        <w:t>在使用募集资金时，严格履行相应的申请和审批手续，保证募集资金专款专用，同时及</w:t>
      </w:r>
      <w:r>
        <w:rPr/>
        <w:t> 时告知保荐机构，并随时接受保荐代表人的监督。</w:t>
      </w:r>
    </w:p>
    <w:p>
      <w:pPr>
        <w:spacing w:line="240" w:lineRule="auto" w:before="6"/>
        <w:rPr>
          <w:rFonts w:ascii="宋体" w:hAnsi="宋体" w:cs="宋体" w:eastAsia="宋体" w:hint="default"/>
          <w:sz w:val="15"/>
          <w:szCs w:val="15"/>
        </w:rPr>
      </w:pPr>
    </w:p>
    <w:p>
      <w:pPr>
        <w:pStyle w:val="Heading2"/>
        <w:spacing w:line="240" w:lineRule="auto"/>
        <w:ind w:left="657" w:right="85"/>
        <w:jc w:val="left"/>
        <w:rPr>
          <w:b w:val="0"/>
          <w:bCs w:val="0"/>
        </w:rPr>
      </w:pPr>
      <w:r>
        <w:rPr/>
        <w:t>3、募集资金的具体使用情况</w:t>
      </w:r>
      <w:r>
        <w:rPr>
          <w:b w:val="0"/>
          <w:bCs w:val="0"/>
        </w:rPr>
      </w:r>
    </w:p>
    <w:p>
      <w:pPr>
        <w:spacing w:line="240" w:lineRule="auto" w:before="9"/>
        <w:rPr>
          <w:rFonts w:ascii="宋体" w:hAnsi="宋体" w:cs="宋体" w:eastAsia="宋体" w:hint="default"/>
          <w:b/>
          <w:bCs/>
          <w:sz w:val="26"/>
          <w:szCs w:val="26"/>
        </w:rPr>
      </w:pPr>
    </w:p>
    <w:p>
      <w:pPr>
        <w:pStyle w:val="BodyText"/>
        <w:spacing w:line="451" w:lineRule="auto"/>
        <w:ind w:left="559" w:right="85"/>
        <w:jc w:val="left"/>
      </w:pPr>
      <w:r>
        <w:rPr/>
        <w:t>截止2010年12月31日，募集资金项目具体情况见如下的募集资金使用情况对照表。 </w:t>
      </w:r>
      <w:r>
        <w:rPr>
          <w:spacing w:val="-3"/>
        </w:rPr>
        <w:t>同时，公司将根据公司的发展规划和市场需求，稳妥安排剩余超募资金的使用，待公司</w:t>
      </w:r>
    </w:p>
    <w:p>
      <w:pPr>
        <w:pStyle w:val="BodyText"/>
        <w:spacing w:line="240" w:lineRule="auto" w:before="8"/>
        <w:ind w:left="139" w:right="85"/>
        <w:jc w:val="left"/>
      </w:pPr>
      <w:r>
        <w:rPr/>
        <w:t>董事会拟定详细使用计划并履行相关程序后使用。</w:t>
      </w:r>
    </w:p>
    <w:p>
      <w:pPr>
        <w:spacing w:after="0" w:line="240" w:lineRule="auto"/>
        <w:jc w:val="left"/>
        <w:sectPr>
          <w:pgSz w:w="11910" w:h="16840"/>
          <w:pgMar w:header="851" w:footer="982" w:top="1360" w:bottom="1180" w:left="1660" w:right="16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2"/>
          <w:szCs w:val="22"/>
        </w:rPr>
      </w:pPr>
    </w:p>
    <w:tbl>
      <w:tblPr>
        <w:tblW w:w="0" w:type="auto"/>
        <w:jc w:val="left"/>
        <w:tblInd w:w="119" w:type="dxa"/>
        <w:tblLayout w:type="fixed"/>
        <w:tblCellMar>
          <w:top w:w="0" w:type="dxa"/>
          <w:left w:w="0" w:type="dxa"/>
          <w:bottom w:w="0" w:type="dxa"/>
          <w:right w:w="0" w:type="dxa"/>
        </w:tblCellMar>
        <w:tblLook w:val="01E0"/>
      </w:tblPr>
      <w:tblGrid>
        <w:gridCol w:w="1432"/>
        <w:gridCol w:w="1018"/>
        <w:gridCol w:w="1067"/>
        <w:gridCol w:w="1068"/>
        <w:gridCol w:w="1068"/>
        <w:gridCol w:w="1068"/>
        <w:gridCol w:w="1068"/>
        <w:gridCol w:w="1123"/>
        <w:gridCol w:w="1046"/>
        <w:gridCol w:w="998"/>
        <w:gridCol w:w="1057"/>
        <w:gridCol w:w="1014"/>
        <w:gridCol w:w="1014"/>
      </w:tblGrid>
      <w:tr>
        <w:trPr>
          <w:trHeight w:val="322" w:hRule="exact"/>
        </w:trPr>
        <w:tc>
          <w:tcPr>
            <w:tcW w:w="4584"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募集资金总额（已扣除承销保荐及其他发行费用）</w:t>
            </w:r>
          </w:p>
        </w:tc>
        <w:tc>
          <w:tcPr>
            <w:tcW w:w="21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123" w:right="0"/>
              <w:jc w:val="left"/>
              <w:rPr>
                <w:rFonts w:ascii="宋体" w:hAnsi="宋体" w:cs="宋体" w:eastAsia="宋体" w:hint="default"/>
                <w:sz w:val="18"/>
                <w:szCs w:val="18"/>
              </w:rPr>
            </w:pPr>
            <w:r>
              <w:rPr>
                <w:rFonts w:ascii="宋体"/>
                <w:sz w:val="18"/>
              </w:rPr>
              <w:t>170,336.31</w:t>
            </w:r>
          </w:p>
        </w:tc>
        <w:tc>
          <w:tcPr>
            <w:tcW w:w="5293"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651" w:right="0"/>
              <w:jc w:val="left"/>
              <w:rPr>
                <w:rFonts w:ascii="宋体" w:hAnsi="宋体" w:cs="宋体" w:eastAsia="宋体" w:hint="default"/>
                <w:sz w:val="18"/>
                <w:szCs w:val="18"/>
              </w:rPr>
            </w:pPr>
            <w:r>
              <w:rPr>
                <w:rFonts w:ascii="宋体" w:hAnsi="宋体" w:cs="宋体" w:eastAsia="宋体" w:hint="default"/>
                <w:sz w:val="18"/>
                <w:szCs w:val="18"/>
              </w:rPr>
              <w:t>本年度投入募集资金总额</w:t>
            </w:r>
          </w:p>
        </w:tc>
        <w:tc>
          <w:tcPr>
            <w:tcW w:w="20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105" w:right="0"/>
              <w:jc w:val="left"/>
              <w:rPr>
                <w:rFonts w:ascii="宋体" w:hAnsi="宋体" w:cs="宋体" w:eastAsia="宋体" w:hint="default"/>
                <w:sz w:val="18"/>
                <w:szCs w:val="18"/>
              </w:rPr>
            </w:pPr>
            <w:r>
              <w:rPr>
                <w:rFonts w:ascii="宋体"/>
                <w:sz w:val="18"/>
              </w:rPr>
              <w:t>55,814.48</w:t>
            </w:r>
          </w:p>
        </w:tc>
      </w:tr>
      <w:tr>
        <w:trPr>
          <w:trHeight w:val="323" w:hRule="exact"/>
        </w:trPr>
        <w:tc>
          <w:tcPr>
            <w:tcW w:w="4584"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变更用途的募集资金总额</w:t>
            </w:r>
          </w:p>
        </w:tc>
        <w:tc>
          <w:tcPr>
            <w:tcW w:w="21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0</w:t>
            </w:r>
          </w:p>
        </w:tc>
        <w:tc>
          <w:tcPr>
            <w:tcW w:w="5293" w:type="dxa"/>
            <w:gridSpan w:val="5"/>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651" w:right="0"/>
              <w:jc w:val="left"/>
              <w:rPr>
                <w:rFonts w:ascii="宋体" w:hAnsi="宋体" w:cs="宋体" w:eastAsia="宋体" w:hint="default"/>
                <w:sz w:val="18"/>
                <w:szCs w:val="18"/>
              </w:rPr>
            </w:pPr>
            <w:r>
              <w:rPr>
                <w:rFonts w:ascii="宋体" w:hAnsi="宋体" w:cs="宋体" w:eastAsia="宋体" w:hint="default"/>
                <w:sz w:val="18"/>
                <w:szCs w:val="18"/>
              </w:rPr>
              <w:t>已累计投入募集资金总额</w:t>
            </w:r>
          </w:p>
        </w:tc>
        <w:tc>
          <w:tcPr>
            <w:tcW w:w="2028" w:type="dxa"/>
            <w:gridSpan w:val="2"/>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105" w:right="0"/>
              <w:jc w:val="left"/>
              <w:rPr>
                <w:rFonts w:ascii="宋体" w:hAnsi="宋体" w:cs="宋体" w:eastAsia="宋体" w:hint="default"/>
                <w:sz w:val="18"/>
                <w:szCs w:val="18"/>
              </w:rPr>
            </w:pPr>
            <w:r>
              <w:rPr>
                <w:rFonts w:ascii="宋体"/>
                <w:sz w:val="18"/>
              </w:rPr>
              <w:t>58,310.14</w:t>
            </w:r>
          </w:p>
        </w:tc>
      </w:tr>
      <w:tr>
        <w:trPr>
          <w:trHeight w:val="322" w:hRule="exact"/>
        </w:trPr>
        <w:tc>
          <w:tcPr>
            <w:tcW w:w="4584"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变更用途的募集资金总额比例</w:t>
            </w:r>
          </w:p>
        </w:tc>
        <w:tc>
          <w:tcPr>
            <w:tcW w:w="21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0.00%</w:t>
            </w:r>
          </w:p>
        </w:tc>
        <w:tc>
          <w:tcPr>
            <w:tcW w:w="5293" w:type="dxa"/>
            <w:gridSpan w:val="5"/>
            <w:vMerge/>
            <w:tcBorders>
              <w:left w:val="single" w:sz="4" w:space="0" w:color="000000"/>
              <w:bottom w:val="single" w:sz="4" w:space="0" w:color="000000"/>
              <w:right w:val="single" w:sz="4" w:space="0" w:color="000000"/>
            </w:tcBorders>
          </w:tcPr>
          <w:p>
            <w:pPr/>
          </w:p>
        </w:tc>
        <w:tc>
          <w:tcPr>
            <w:tcW w:w="2028" w:type="dxa"/>
            <w:gridSpan w:val="2"/>
            <w:vMerge/>
            <w:tcBorders>
              <w:left w:val="single" w:sz="4" w:space="0" w:color="000000"/>
              <w:bottom w:val="single" w:sz="4" w:space="0" w:color="000000"/>
              <w:right w:val="single" w:sz="4" w:space="0" w:color="000000"/>
            </w:tcBorders>
          </w:tcPr>
          <w:p>
            <w:pPr/>
          </w:p>
        </w:tc>
      </w:tr>
      <w:tr>
        <w:trPr>
          <w:trHeight w:val="865" w:hRule="exact"/>
        </w:trPr>
        <w:tc>
          <w:tcPr>
            <w:tcW w:w="143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3"/>
                <w:szCs w:val="23"/>
              </w:rPr>
            </w:pPr>
          </w:p>
          <w:p>
            <w:pPr>
              <w:pStyle w:val="TableParagraph"/>
              <w:spacing w:line="316" w:lineRule="auto"/>
              <w:ind w:left="171" w:right="168"/>
              <w:jc w:val="center"/>
              <w:rPr>
                <w:rFonts w:ascii="宋体" w:hAnsi="宋体" w:cs="宋体" w:eastAsia="宋体" w:hint="default"/>
                <w:sz w:val="18"/>
                <w:szCs w:val="18"/>
              </w:rPr>
            </w:pPr>
            <w:r>
              <w:rPr>
                <w:rFonts w:ascii="宋体" w:hAnsi="宋体" w:cs="宋体" w:eastAsia="宋体" w:hint="default"/>
                <w:sz w:val="18"/>
                <w:szCs w:val="18"/>
              </w:rPr>
              <w:t>承诺投资项目 和超募资金投 向</w:t>
            </w:r>
          </w:p>
        </w:tc>
        <w:tc>
          <w:tcPr>
            <w:tcW w:w="101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10"/>
              <w:ind w:left="233" w:right="142" w:hanging="90"/>
              <w:jc w:val="left"/>
              <w:rPr>
                <w:rFonts w:ascii="宋体" w:hAnsi="宋体" w:cs="宋体" w:eastAsia="宋体" w:hint="default"/>
                <w:sz w:val="18"/>
                <w:szCs w:val="18"/>
              </w:rPr>
            </w:pPr>
            <w:r>
              <w:rPr>
                <w:rFonts w:ascii="宋体" w:hAnsi="宋体" w:cs="宋体" w:eastAsia="宋体" w:hint="default"/>
                <w:sz w:val="18"/>
                <w:szCs w:val="18"/>
              </w:rPr>
              <w:t>是否已变 更项目</w:t>
            </w:r>
          </w:p>
          <w:p>
            <w:pPr>
              <w:pStyle w:val="TableParagraph"/>
              <w:spacing w:line="316" w:lineRule="auto" w:before="18"/>
              <w:ind w:left="233" w:right="142" w:hanging="90"/>
              <w:jc w:val="left"/>
              <w:rPr>
                <w:rFonts w:ascii="宋体" w:hAnsi="宋体" w:cs="宋体" w:eastAsia="宋体" w:hint="default"/>
                <w:sz w:val="18"/>
                <w:szCs w:val="18"/>
              </w:rPr>
            </w:pPr>
            <w:r>
              <w:rPr>
                <w:rFonts w:ascii="宋体" w:hAnsi="宋体" w:cs="宋体" w:eastAsia="宋体" w:hint="default"/>
                <w:sz w:val="18"/>
                <w:szCs w:val="18"/>
              </w:rPr>
              <w:t>（含部分 变更）</w:t>
            </w:r>
          </w:p>
        </w:tc>
        <w:tc>
          <w:tcPr>
            <w:tcW w:w="106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3"/>
                <w:szCs w:val="23"/>
              </w:rPr>
            </w:pPr>
          </w:p>
          <w:p>
            <w:pPr>
              <w:pStyle w:val="TableParagraph"/>
              <w:spacing w:line="316" w:lineRule="auto"/>
              <w:ind w:left="168" w:right="167"/>
              <w:jc w:val="center"/>
              <w:rPr>
                <w:rFonts w:ascii="宋体" w:hAnsi="宋体" w:cs="宋体" w:eastAsia="宋体" w:hint="default"/>
                <w:sz w:val="18"/>
                <w:szCs w:val="18"/>
              </w:rPr>
            </w:pPr>
            <w:r>
              <w:rPr>
                <w:rFonts w:ascii="宋体" w:hAnsi="宋体" w:cs="宋体" w:eastAsia="宋体" w:hint="default"/>
                <w:sz w:val="18"/>
                <w:szCs w:val="18"/>
              </w:rPr>
              <w:t>募集资金 承诺投资 总额</w:t>
            </w:r>
          </w:p>
        </w:tc>
        <w:tc>
          <w:tcPr>
            <w:tcW w:w="106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8"/>
                <w:szCs w:val="18"/>
              </w:rPr>
            </w:pPr>
          </w:p>
          <w:p>
            <w:pPr>
              <w:pStyle w:val="TableParagraph"/>
              <w:spacing w:line="316" w:lineRule="auto"/>
              <w:ind w:left="259" w:right="167" w:hanging="90"/>
              <w:jc w:val="left"/>
              <w:rPr>
                <w:rFonts w:ascii="宋体" w:hAnsi="宋体" w:cs="宋体" w:eastAsia="宋体" w:hint="default"/>
                <w:sz w:val="18"/>
                <w:szCs w:val="18"/>
              </w:rPr>
            </w:pPr>
            <w:r>
              <w:rPr>
                <w:rFonts w:ascii="宋体" w:hAnsi="宋体" w:cs="宋体" w:eastAsia="宋体" w:hint="default"/>
                <w:sz w:val="18"/>
                <w:szCs w:val="18"/>
              </w:rPr>
              <w:t>调整后投 资总额</w:t>
            </w:r>
          </w:p>
        </w:tc>
        <w:tc>
          <w:tcPr>
            <w:tcW w:w="106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3"/>
                <w:szCs w:val="23"/>
              </w:rPr>
            </w:pPr>
          </w:p>
          <w:p>
            <w:pPr>
              <w:pStyle w:val="TableParagraph"/>
              <w:spacing w:line="316" w:lineRule="auto"/>
              <w:ind w:left="169" w:right="167"/>
              <w:jc w:val="both"/>
              <w:rPr>
                <w:rFonts w:ascii="宋体" w:hAnsi="宋体" w:cs="宋体" w:eastAsia="宋体" w:hint="default"/>
                <w:sz w:val="18"/>
                <w:szCs w:val="18"/>
              </w:rPr>
            </w:pPr>
            <w:r>
              <w:rPr>
                <w:rFonts w:ascii="宋体" w:hAnsi="宋体" w:cs="宋体" w:eastAsia="宋体" w:hint="default"/>
                <w:sz w:val="18"/>
                <w:szCs w:val="18"/>
              </w:rPr>
              <w:t>截至期末 承诺投入 金额(1)</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25"/>
              <w:ind w:left="439" w:right="167" w:hanging="270"/>
              <w:jc w:val="left"/>
              <w:rPr>
                <w:rFonts w:ascii="宋体" w:hAnsi="宋体" w:cs="宋体" w:eastAsia="宋体" w:hint="default"/>
                <w:sz w:val="18"/>
                <w:szCs w:val="18"/>
              </w:rPr>
            </w:pPr>
            <w:r>
              <w:rPr>
                <w:rFonts w:ascii="宋体" w:hAnsi="宋体" w:cs="宋体" w:eastAsia="宋体" w:hint="default"/>
                <w:sz w:val="18"/>
                <w:szCs w:val="18"/>
              </w:rPr>
              <w:t>本年度投 入</w:t>
            </w:r>
          </w:p>
        </w:tc>
        <w:tc>
          <w:tcPr>
            <w:tcW w:w="106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3"/>
                <w:szCs w:val="23"/>
              </w:rPr>
            </w:pPr>
          </w:p>
          <w:p>
            <w:pPr>
              <w:pStyle w:val="TableParagraph"/>
              <w:spacing w:line="316" w:lineRule="auto"/>
              <w:ind w:left="169" w:right="167"/>
              <w:jc w:val="both"/>
              <w:rPr>
                <w:rFonts w:ascii="宋体" w:hAnsi="宋体" w:cs="宋体" w:eastAsia="宋体" w:hint="default"/>
                <w:sz w:val="18"/>
                <w:szCs w:val="18"/>
              </w:rPr>
            </w:pPr>
            <w:r>
              <w:rPr>
                <w:rFonts w:ascii="宋体" w:hAnsi="宋体" w:cs="宋体" w:eastAsia="宋体" w:hint="default"/>
                <w:sz w:val="18"/>
                <w:szCs w:val="18"/>
              </w:rPr>
              <w:t>截至期末 累计投入 金额(2)</w:t>
            </w:r>
          </w:p>
        </w:tc>
        <w:tc>
          <w:tcPr>
            <w:tcW w:w="1123" w:type="dxa"/>
            <w:vMerge w:val="restart"/>
            <w:tcBorders>
              <w:top w:val="single" w:sz="4" w:space="0" w:color="000000"/>
              <w:left w:val="single" w:sz="4" w:space="0" w:color="000000"/>
              <w:right w:val="single" w:sz="4" w:space="0" w:color="000000"/>
            </w:tcBorders>
          </w:tcPr>
          <w:p>
            <w:pPr>
              <w:pStyle w:val="TableParagraph"/>
              <w:spacing w:line="316" w:lineRule="auto" w:before="10"/>
              <w:ind w:left="106" w:right="104"/>
              <w:jc w:val="center"/>
              <w:rPr>
                <w:rFonts w:ascii="宋体" w:hAnsi="宋体" w:cs="宋体" w:eastAsia="宋体" w:hint="default"/>
                <w:sz w:val="18"/>
                <w:szCs w:val="18"/>
              </w:rPr>
            </w:pPr>
            <w:r>
              <w:rPr>
                <w:rFonts w:ascii="宋体" w:hAnsi="宋体" w:cs="宋体" w:eastAsia="宋体" w:hint="default"/>
                <w:sz w:val="18"/>
                <w:szCs w:val="18"/>
              </w:rPr>
              <w:t>截至期末累 计投入金额 与承诺投入 金额的差额 (3)＝</w:t>
            </w:r>
          </w:p>
          <w:p>
            <w:pPr>
              <w:pStyle w:val="TableParagraph"/>
              <w:spacing w:line="240" w:lineRule="auto" w:before="18"/>
              <w:ind w:left="1" w:right="0"/>
              <w:jc w:val="center"/>
              <w:rPr>
                <w:rFonts w:ascii="宋体" w:hAnsi="宋体" w:cs="宋体" w:eastAsia="宋体" w:hint="default"/>
                <w:sz w:val="18"/>
                <w:szCs w:val="18"/>
              </w:rPr>
            </w:pPr>
            <w:r>
              <w:rPr>
                <w:rFonts w:ascii="宋体"/>
                <w:sz w:val="18"/>
              </w:rPr>
              <w:t>(2)-(1)</w:t>
            </w:r>
          </w:p>
        </w:tc>
        <w:tc>
          <w:tcPr>
            <w:tcW w:w="104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10"/>
              <w:ind w:left="158" w:right="156"/>
              <w:jc w:val="left"/>
              <w:rPr>
                <w:rFonts w:ascii="宋体" w:hAnsi="宋体" w:cs="宋体" w:eastAsia="宋体" w:hint="default"/>
                <w:sz w:val="18"/>
                <w:szCs w:val="18"/>
              </w:rPr>
            </w:pPr>
            <w:r>
              <w:rPr>
                <w:rFonts w:ascii="宋体" w:hAnsi="宋体" w:cs="宋体" w:eastAsia="宋体" w:hint="default"/>
                <w:sz w:val="18"/>
                <w:szCs w:val="18"/>
              </w:rPr>
              <w:t>截至期末 投入进度</w:t>
            </w:r>
          </w:p>
          <w:p>
            <w:pPr>
              <w:pStyle w:val="TableParagraph"/>
              <w:spacing w:line="240" w:lineRule="auto" w:before="18"/>
              <w:ind w:left="158" w:right="0"/>
              <w:jc w:val="left"/>
              <w:rPr>
                <w:rFonts w:ascii="宋体" w:hAnsi="宋体" w:cs="宋体" w:eastAsia="宋体" w:hint="default"/>
                <w:sz w:val="18"/>
                <w:szCs w:val="18"/>
              </w:rPr>
            </w:pPr>
            <w:r>
              <w:rPr>
                <w:rFonts w:ascii="宋体" w:hAnsi="宋体" w:cs="宋体" w:eastAsia="宋体" w:hint="default"/>
                <w:sz w:val="18"/>
                <w:szCs w:val="18"/>
              </w:rPr>
              <w:t>（%）(4)</w:t>
            </w:r>
          </w:p>
          <w:p>
            <w:pPr>
              <w:pStyle w:val="TableParagraph"/>
              <w:spacing w:line="240" w:lineRule="auto" w:before="76"/>
              <w:ind w:left="112" w:right="0"/>
              <w:jc w:val="left"/>
              <w:rPr>
                <w:rFonts w:ascii="宋体" w:hAnsi="宋体" w:cs="宋体" w:eastAsia="宋体" w:hint="default"/>
                <w:sz w:val="18"/>
                <w:szCs w:val="18"/>
              </w:rPr>
            </w:pPr>
            <w:r>
              <w:rPr>
                <w:rFonts w:ascii="宋体" w:hAnsi="宋体" w:cs="宋体" w:eastAsia="宋体" w:hint="default"/>
                <w:sz w:val="18"/>
                <w:szCs w:val="18"/>
              </w:rPr>
              <w:t>＝(2)/(1)</w:t>
            </w:r>
          </w:p>
        </w:tc>
        <w:tc>
          <w:tcPr>
            <w:tcW w:w="99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9"/>
              <w:ind w:left="134" w:right="132"/>
              <w:jc w:val="center"/>
              <w:rPr>
                <w:rFonts w:ascii="宋体" w:hAnsi="宋体" w:cs="宋体" w:eastAsia="宋体" w:hint="default"/>
                <w:sz w:val="18"/>
                <w:szCs w:val="18"/>
              </w:rPr>
            </w:pPr>
            <w:r>
              <w:rPr>
                <w:rFonts w:ascii="宋体" w:hAnsi="宋体" w:cs="宋体" w:eastAsia="宋体" w:hint="default"/>
                <w:sz w:val="18"/>
                <w:szCs w:val="18"/>
              </w:rPr>
              <w:t>项目达到 预定可使 用状态日 期</w:t>
            </w:r>
          </w:p>
        </w:tc>
        <w:tc>
          <w:tcPr>
            <w:tcW w:w="105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316" w:lineRule="auto"/>
              <w:ind w:left="163" w:right="162"/>
              <w:jc w:val="left"/>
              <w:rPr>
                <w:rFonts w:ascii="宋体" w:hAnsi="宋体" w:cs="宋体" w:eastAsia="宋体" w:hint="default"/>
                <w:sz w:val="18"/>
                <w:szCs w:val="18"/>
              </w:rPr>
            </w:pPr>
            <w:r>
              <w:rPr>
                <w:rFonts w:ascii="宋体" w:hAnsi="宋体" w:cs="宋体" w:eastAsia="宋体" w:hint="default"/>
                <w:sz w:val="18"/>
                <w:szCs w:val="18"/>
              </w:rPr>
              <w:t>本年度实 现的效益</w:t>
            </w:r>
          </w:p>
        </w:tc>
        <w:tc>
          <w:tcPr>
            <w:tcW w:w="101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316" w:lineRule="auto"/>
              <w:ind w:left="141" w:right="140"/>
              <w:jc w:val="left"/>
              <w:rPr>
                <w:rFonts w:ascii="宋体" w:hAnsi="宋体" w:cs="宋体" w:eastAsia="宋体" w:hint="default"/>
                <w:sz w:val="18"/>
                <w:szCs w:val="18"/>
              </w:rPr>
            </w:pPr>
            <w:r>
              <w:rPr>
                <w:rFonts w:ascii="宋体" w:hAnsi="宋体" w:cs="宋体" w:eastAsia="宋体" w:hint="default"/>
                <w:sz w:val="18"/>
                <w:szCs w:val="18"/>
              </w:rPr>
              <w:t>是否达到 预计效益</w:t>
            </w:r>
          </w:p>
        </w:tc>
        <w:tc>
          <w:tcPr>
            <w:tcW w:w="101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9"/>
              <w:ind w:left="141" w:right="140"/>
              <w:jc w:val="center"/>
              <w:rPr>
                <w:rFonts w:ascii="宋体" w:hAnsi="宋体" w:cs="宋体" w:eastAsia="宋体" w:hint="default"/>
                <w:sz w:val="18"/>
                <w:szCs w:val="18"/>
              </w:rPr>
            </w:pPr>
            <w:r>
              <w:rPr>
                <w:rFonts w:ascii="宋体" w:hAnsi="宋体" w:cs="宋体" w:eastAsia="宋体" w:hint="default"/>
                <w:sz w:val="18"/>
                <w:szCs w:val="18"/>
              </w:rPr>
              <w:t>项目可行 性是否发 生重大变 化</w:t>
            </w:r>
          </w:p>
        </w:tc>
      </w:tr>
      <w:tr>
        <w:trPr>
          <w:trHeight w:val="1016" w:hRule="exact"/>
        </w:trPr>
        <w:tc>
          <w:tcPr>
            <w:tcW w:w="1432" w:type="dxa"/>
            <w:vMerge/>
            <w:tcBorders>
              <w:left w:val="single" w:sz="4" w:space="0" w:color="000000"/>
              <w:bottom w:val="single" w:sz="4" w:space="0" w:color="000000"/>
              <w:right w:val="single" w:sz="4" w:space="0" w:color="000000"/>
            </w:tcBorders>
          </w:tcPr>
          <w:p>
            <w:pPr/>
          </w:p>
        </w:tc>
        <w:tc>
          <w:tcPr>
            <w:tcW w:w="1018" w:type="dxa"/>
            <w:vMerge/>
            <w:tcBorders>
              <w:left w:val="single" w:sz="4" w:space="0" w:color="000000"/>
              <w:bottom w:val="single" w:sz="4" w:space="0" w:color="000000"/>
              <w:right w:val="single" w:sz="4" w:space="0" w:color="000000"/>
            </w:tcBorders>
          </w:tcPr>
          <w:p>
            <w:pPr/>
          </w:p>
        </w:tc>
        <w:tc>
          <w:tcPr>
            <w:tcW w:w="1067" w:type="dxa"/>
            <w:vMerge/>
            <w:tcBorders>
              <w:left w:val="single" w:sz="4" w:space="0" w:color="000000"/>
              <w:bottom w:val="single" w:sz="4" w:space="0" w:color="000000"/>
              <w:right w:val="single" w:sz="4" w:space="0" w:color="000000"/>
            </w:tcBorders>
          </w:tcPr>
          <w:p>
            <w:pPr/>
          </w:p>
        </w:tc>
        <w:tc>
          <w:tcPr>
            <w:tcW w:w="1068" w:type="dxa"/>
            <w:vMerge/>
            <w:tcBorders>
              <w:left w:val="single" w:sz="4" w:space="0" w:color="000000"/>
              <w:bottom w:val="single" w:sz="4" w:space="0" w:color="000000"/>
              <w:right w:val="single" w:sz="4" w:space="0" w:color="000000"/>
            </w:tcBorders>
          </w:tcPr>
          <w:p>
            <w:pPr/>
          </w:p>
        </w:tc>
        <w:tc>
          <w:tcPr>
            <w:tcW w:w="1068" w:type="dxa"/>
            <w:vMerge/>
            <w:tcBorders>
              <w:left w:val="single" w:sz="4" w:space="0" w:color="000000"/>
              <w:bottom w:val="single" w:sz="4" w:space="0" w:color="000000"/>
              <w:right w:val="single" w:sz="4" w:space="0" w:color="000000"/>
            </w:tcBorders>
          </w:tcPr>
          <w:p>
            <w:pP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68" w:type="dxa"/>
            <w:vMerge/>
            <w:tcBorders>
              <w:left w:val="single" w:sz="4" w:space="0" w:color="000000"/>
              <w:bottom w:val="single" w:sz="4" w:space="0" w:color="000000"/>
              <w:right w:val="single" w:sz="4" w:space="0" w:color="000000"/>
            </w:tcBorders>
          </w:tcPr>
          <w:p>
            <w:pPr/>
          </w:p>
        </w:tc>
        <w:tc>
          <w:tcPr>
            <w:tcW w:w="1123" w:type="dxa"/>
            <w:vMerge/>
            <w:tcBorders>
              <w:left w:val="single" w:sz="4" w:space="0" w:color="000000"/>
              <w:bottom w:val="single" w:sz="4" w:space="0" w:color="000000"/>
              <w:right w:val="single" w:sz="4" w:space="0" w:color="000000"/>
            </w:tcBorders>
          </w:tcPr>
          <w:p>
            <w:pPr/>
          </w:p>
        </w:tc>
        <w:tc>
          <w:tcPr>
            <w:tcW w:w="1046" w:type="dxa"/>
            <w:vMerge/>
            <w:tcBorders>
              <w:left w:val="single" w:sz="4" w:space="0" w:color="000000"/>
              <w:bottom w:val="single" w:sz="4" w:space="0" w:color="000000"/>
              <w:right w:val="single" w:sz="4" w:space="0" w:color="000000"/>
            </w:tcBorders>
          </w:tcPr>
          <w:p>
            <w:pPr/>
          </w:p>
        </w:tc>
        <w:tc>
          <w:tcPr>
            <w:tcW w:w="998" w:type="dxa"/>
            <w:vMerge/>
            <w:tcBorders>
              <w:left w:val="single" w:sz="4" w:space="0" w:color="000000"/>
              <w:bottom w:val="single" w:sz="4" w:space="0" w:color="000000"/>
              <w:right w:val="single" w:sz="4" w:space="0" w:color="000000"/>
            </w:tcBorders>
          </w:tcPr>
          <w:p>
            <w:pPr/>
          </w:p>
        </w:tc>
        <w:tc>
          <w:tcPr>
            <w:tcW w:w="1057" w:type="dxa"/>
            <w:vMerge/>
            <w:tcBorders>
              <w:left w:val="single" w:sz="4" w:space="0" w:color="000000"/>
              <w:bottom w:val="single" w:sz="4" w:space="0" w:color="000000"/>
              <w:right w:val="single" w:sz="4" w:space="0" w:color="000000"/>
            </w:tcBorders>
          </w:tcPr>
          <w:p>
            <w:pPr/>
          </w:p>
        </w:tc>
        <w:tc>
          <w:tcPr>
            <w:tcW w:w="1014" w:type="dxa"/>
            <w:vMerge/>
            <w:tcBorders>
              <w:left w:val="single" w:sz="4" w:space="0" w:color="000000"/>
              <w:bottom w:val="single" w:sz="4" w:space="0" w:color="000000"/>
              <w:right w:val="single" w:sz="4" w:space="0" w:color="000000"/>
            </w:tcBorders>
          </w:tcPr>
          <w:p>
            <w:pPr/>
          </w:p>
        </w:tc>
        <w:tc>
          <w:tcPr>
            <w:tcW w:w="1014" w:type="dxa"/>
            <w:vMerge/>
            <w:tcBorders>
              <w:left w:val="single" w:sz="4" w:space="0" w:color="000000"/>
              <w:bottom w:val="single" w:sz="4" w:space="0" w:color="000000"/>
              <w:right w:val="single" w:sz="4" w:space="0" w:color="000000"/>
            </w:tcBorders>
          </w:tcPr>
          <w:p>
            <w:pPr/>
          </w:p>
        </w:tc>
      </w:tr>
      <w:tr>
        <w:trPr>
          <w:trHeight w:val="461" w:hRule="exact"/>
        </w:trPr>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171" w:right="0"/>
              <w:jc w:val="left"/>
              <w:rPr>
                <w:rFonts w:ascii="宋体" w:hAnsi="宋体" w:cs="宋体" w:eastAsia="宋体" w:hint="default"/>
                <w:sz w:val="18"/>
                <w:szCs w:val="18"/>
              </w:rPr>
            </w:pPr>
            <w:r>
              <w:rPr>
                <w:rFonts w:ascii="宋体" w:hAnsi="宋体" w:cs="宋体" w:eastAsia="宋体" w:hint="default"/>
                <w:sz w:val="18"/>
                <w:szCs w:val="18"/>
              </w:rPr>
              <w:t>承诺投资项目</w:t>
            </w:r>
          </w:p>
        </w:tc>
        <w:tc>
          <w:tcPr>
            <w:tcW w:w="1018" w:type="dxa"/>
            <w:tcBorders>
              <w:top w:val="single" w:sz="4" w:space="0" w:color="000000"/>
              <w:left w:val="single" w:sz="4" w:space="0" w:color="000000"/>
              <w:bottom w:val="single" w:sz="4" w:space="0" w:color="000000"/>
              <w:right w:val="single" w:sz="4" w:space="0" w:color="000000"/>
            </w:tcBorders>
          </w:tcPr>
          <w:p>
            <w:pPr/>
          </w:p>
        </w:tc>
        <w:tc>
          <w:tcPr>
            <w:tcW w:w="1067" w:type="dxa"/>
            <w:tcBorders>
              <w:top w:val="single" w:sz="4" w:space="0" w:color="000000"/>
              <w:left w:val="single" w:sz="4" w:space="0" w:color="000000"/>
              <w:bottom w:val="single" w:sz="4" w:space="0" w:color="000000"/>
              <w:right w:val="single" w:sz="4" w:space="0" w:color="000000"/>
            </w:tcBorders>
          </w:tcPr>
          <w:p>
            <w:pPr/>
          </w:p>
        </w:tc>
        <w:tc>
          <w:tcPr>
            <w:tcW w:w="1068" w:type="dxa"/>
            <w:tcBorders>
              <w:top w:val="single" w:sz="4" w:space="0" w:color="000000"/>
              <w:left w:val="single" w:sz="4" w:space="0" w:color="000000"/>
              <w:bottom w:val="single" w:sz="4" w:space="0" w:color="000000"/>
              <w:right w:val="single" w:sz="4" w:space="0" w:color="000000"/>
            </w:tcBorders>
          </w:tcPr>
          <w:p>
            <w:pPr/>
          </w:p>
        </w:tc>
        <w:tc>
          <w:tcPr>
            <w:tcW w:w="1068" w:type="dxa"/>
            <w:tcBorders>
              <w:top w:val="single" w:sz="4" w:space="0" w:color="000000"/>
              <w:left w:val="single" w:sz="4" w:space="0" w:color="000000"/>
              <w:bottom w:val="single" w:sz="4" w:space="0" w:color="000000"/>
              <w:right w:val="single" w:sz="4" w:space="0" w:color="000000"/>
            </w:tcBorders>
          </w:tcPr>
          <w:p>
            <w:pPr/>
          </w:p>
        </w:tc>
        <w:tc>
          <w:tcPr>
            <w:tcW w:w="1068" w:type="dxa"/>
            <w:tcBorders>
              <w:top w:val="single" w:sz="4" w:space="0" w:color="000000"/>
              <w:left w:val="single" w:sz="4" w:space="0" w:color="000000"/>
              <w:bottom w:val="single" w:sz="4" w:space="0" w:color="000000"/>
              <w:right w:val="single" w:sz="4" w:space="0" w:color="000000"/>
            </w:tcBorders>
          </w:tcPr>
          <w:p>
            <w:pPr/>
          </w:p>
        </w:tc>
        <w:tc>
          <w:tcPr>
            <w:tcW w:w="1068"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
        </w:tc>
        <w:tc>
          <w:tcPr>
            <w:tcW w:w="1057" w:type="dxa"/>
            <w:tcBorders>
              <w:top w:val="single" w:sz="4" w:space="0" w:color="000000"/>
              <w:left w:val="single" w:sz="4" w:space="0" w:color="000000"/>
              <w:bottom w:val="single" w:sz="4" w:space="0" w:color="000000"/>
              <w:right w:val="single" w:sz="4" w:space="0" w:color="000000"/>
            </w:tcBorders>
          </w:tcPr>
          <w:p>
            <w:pPr/>
          </w:p>
        </w:tc>
        <w:tc>
          <w:tcPr>
            <w:tcW w:w="1014" w:type="dxa"/>
            <w:tcBorders>
              <w:top w:val="single" w:sz="4" w:space="0" w:color="000000"/>
              <w:left w:val="single" w:sz="4" w:space="0" w:color="000000"/>
              <w:bottom w:val="single" w:sz="4" w:space="0" w:color="000000"/>
              <w:right w:val="single" w:sz="4" w:space="0" w:color="000000"/>
            </w:tcBorders>
          </w:tcPr>
          <w:p>
            <w:pPr/>
          </w:p>
        </w:tc>
        <w:tc>
          <w:tcPr>
            <w:tcW w:w="1014" w:type="dxa"/>
            <w:tcBorders>
              <w:top w:val="single" w:sz="4" w:space="0" w:color="000000"/>
              <w:left w:val="single" w:sz="4" w:space="0" w:color="000000"/>
              <w:bottom w:val="single" w:sz="4" w:space="0" w:color="000000"/>
              <w:right w:val="single" w:sz="4" w:space="0" w:color="000000"/>
            </w:tcBorders>
          </w:tcPr>
          <w:p>
            <w:pPr/>
          </w:p>
        </w:tc>
      </w:tr>
      <w:tr>
        <w:trPr>
          <w:trHeight w:val="946" w:hRule="exact"/>
        </w:trPr>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4" w:right="95"/>
              <w:jc w:val="left"/>
              <w:rPr>
                <w:rFonts w:ascii="宋体" w:hAnsi="宋体" w:cs="宋体" w:eastAsia="宋体" w:hint="default"/>
                <w:sz w:val="18"/>
                <w:szCs w:val="18"/>
              </w:rPr>
            </w:pPr>
            <w:r>
              <w:rPr>
                <w:rFonts w:ascii="宋体" w:hAnsi="宋体" w:cs="宋体" w:eastAsia="宋体" w:hint="default"/>
                <w:spacing w:val="7"/>
                <w:sz w:val="18"/>
                <w:szCs w:val="18"/>
              </w:rPr>
              <w:t>1、飞信平台大 </w:t>
            </w:r>
            <w:r>
              <w:rPr>
                <w:rFonts w:ascii="宋体" w:hAnsi="宋体" w:cs="宋体" w:eastAsia="宋体" w:hint="default"/>
                <w:spacing w:val="13"/>
                <w:sz w:val="18"/>
                <w:szCs w:val="18"/>
              </w:rPr>
              <w:t>规模</w:t>
            </w:r>
            <w:r>
              <w:rPr>
                <w:rFonts w:ascii="宋体" w:hAnsi="宋体" w:cs="宋体" w:eastAsia="宋体" w:hint="default"/>
                <w:spacing w:val="-64"/>
                <w:sz w:val="18"/>
                <w:szCs w:val="18"/>
              </w:rPr>
              <w:t> </w:t>
            </w:r>
            <w:r>
              <w:rPr>
                <w:rFonts w:ascii="宋体" w:hAnsi="宋体" w:cs="宋体" w:eastAsia="宋体" w:hint="default"/>
                <w:spacing w:val="13"/>
                <w:sz w:val="18"/>
                <w:szCs w:val="18"/>
              </w:rPr>
              <w:t>改造</w:t>
            </w:r>
            <w:r>
              <w:rPr>
                <w:rFonts w:ascii="宋体" w:hAnsi="宋体" w:cs="宋体" w:eastAsia="宋体" w:hint="default"/>
                <w:spacing w:val="-64"/>
                <w:sz w:val="18"/>
                <w:szCs w:val="18"/>
              </w:rPr>
              <w:t> </w:t>
            </w:r>
            <w:r>
              <w:rPr>
                <w:rFonts w:ascii="宋体" w:hAnsi="宋体" w:cs="宋体" w:eastAsia="宋体" w:hint="default"/>
                <w:sz w:val="18"/>
                <w:szCs w:val="18"/>
              </w:rPr>
              <w:t>升</w:t>
            </w:r>
            <w:r>
              <w:rPr>
                <w:rFonts w:ascii="宋体" w:hAnsi="宋体" w:cs="宋体" w:eastAsia="宋体" w:hint="default"/>
                <w:spacing w:val="-64"/>
                <w:sz w:val="18"/>
                <w:szCs w:val="18"/>
              </w:rPr>
              <w:t> </w:t>
            </w:r>
            <w:r>
              <w:rPr>
                <w:rFonts w:ascii="宋体" w:hAnsi="宋体" w:cs="宋体" w:eastAsia="宋体" w:hint="default"/>
                <w:sz w:val="18"/>
                <w:szCs w:val="18"/>
              </w:rPr>
              <w:t>级</w:t>
            </w:r>
          </w:p>
          <w:p>
            <w:pPr>
              <w:pStyle w:val="TableParagraph"/>
              <w:spacing w:line="240" w:lineRule="auto" w:before="18"/>
              <w:ind w:left="104"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40" w:right="0"/>
              <w:jc w:val="center"/>
              <w:rPr>
                <w:rFonts w:ascii="宋体" w:hAnsi="宋体" w:cs="宋体" w:eastAsia="宋体" w:hint="default"/>
                <w:sz w:val="18"/>
                <w:szCs w:val="18"/>
              </w:rPr>
            </w:pPr>
            <w:r>
              <w:rPr>
                <w:rFonts w:ascii="宋体"/>
                <w:sz w:val="18"/>
              </w:rPr>
              <w:t>16,840.38</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1"/>
              <w:jc w:val="right"/>
              <w:rPr>
                <w:rFonts w:ascii="宋体" w:hAnsi="宋体" w:cs="宋体" w:eastAsia="宋体" w:hint="default"/>
                <w:sz w:val="18"/>
                <w:szCs w:val="18"/>
              </w:rPr>
            </w:pPr>
            <w:r>
              <w:rPr>
                <w:rFonts w:ascii="宋体"/>
                <w:sz w:val="18"/>
              </w:rPr>
              <w:t>16,840.38</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1"/>
              <w:jc w:val="right"/>
              <w:rPr>
                <w:rFonts w:ascii="宋体" w:hAnsi="宋体" w:cs="宋体" w:eastAsia="宋体" w:hint="default"/>
                <w:sz w:val="18"/>
                <w:szCs w:val="18"/>
              </w:rPr>
            </w:pPr>
            <w:r>
              <w:rPr>
                <w:rFonts w:ascii="宋体"/>
                <w:sz w:val="18"/>
              </w:rPr>
              <w:t>16,840.38</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131" w:right="0"/>
              <w:jc w:val="center"/>
              <w:rPr>
                <w:rFonts w:ascii="宋体" w:hAnsi="宋体" w:cs="宋体" w:eastAsia="宋体" w:hint="default"/>
                <w:sz w:val="18"/>
                <w:szCs w:val="18"/>
              </w:rPr>
            </w:pPr>
            <w:r>
              <w:rPr>
                <w:rFonts w:ascii="宋体"/>
                <w:sz w:val="18"/>
              </w:rPr>
              <w:t>9,597.00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1"/>
              <w:jc w:val="right"/>
              <w:rPr>
                <w:rFonts w:ascii="宋体" w:hAnsi="宋体" w:cs="宋体" w:eastAsia="宋体" w:hint="default"/>
                <w:sz w:val="18"/>
                <w:szCs w:val="18"/>
              </w:rPr>
            </w:pPr>
            <w:r>
              <w:rPr>
                <w:rFonts w:ascii="宋体"/>
                <w:sz w:val="18"/>
              </w:rPr>
              <w:t>11,214.36</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0"/>
              <w:jc w:val="right"/>
              <w:rPr>
                <w:rFonts w:ascii="宋体" w:hAnsi="宋体" w:cs="宋体" w:eastAsia="宋体" w:hint="default"/>
                <w:sz w:val="18"/>
                <w:szCs w:val="18"/>
              </w:rPr>
            </w:pPr>
            <w:r>
              <w:rPr>
                <w:rFonts w:ascii="宋体"/>
                <w:sz w:val="18"/>
              </w:rPr>
              <w:t>-5,626.02</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1"/>
              <w:jc w:val="right"/>
              <w:rPr>
                <w:rFonts w:ascii="宋体" w:hAnsi="宋体" w:cs="宋体" w:eastAsia="宋体" w:hint="default"/>
                <w:sz w:val="18"/>
                <w:szCs w:val="18"/>
              </w:rPr>
            </w:pPr>
            <w:r>
              <w:rPr>
                <w:rFonts w:ascii="宋体"/>
                <w:sz w:val="18"/>
              </w:rPr>
              <w:t>66.59</w:t>
            </w:r>
          </w:p>
        </w:tc>
        <w:tc>
          <w:tcPr>
            <w:tcW w:w="998" w:type="dxa"/>
            <w:tcBorders>
              <w:top w:val="single" w:sz="4" w:space="0" w:color="000000"/>
              <w:left w:val="single" w:sz="4" w:space="0" w:color="000000"/>
              <w:bottom w:val="single" w:sz="4" w:space="0" w:color="000000"/>
              <w:right w:val="single" w:sz="4" w:space="0" w:color="000000"/>
            </w:tcBorders>
          </w:tcPr>
          <w:p>
            <w:pP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1"/>
              <w:jc w:val="right"/>
              <w:rPr>
                <w:rFonts w:ascii="宋体" w:hAnsi="宋体" w:cs="宋体" w:eastAsia="宋体" w:hint="default"/>
                <w:sz w:val="18"/>
                <w:szCs w:val="18"/>
              </w:rPr>
            </w:pPr>
            <w:r>
              <w:rPr>
                <w:rFonts w:ascii="宋体"/>
                <w:sz w:val="18"/>
              </w:rPr>
              <w:t>2,090.85</w:t>
            </w:r>
          </w:p>
        </w:tc>
        <w:tc>
          <w:tcPr>
            <w:tcW w:w="1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1"/>
              <w:jc w:val="right"/>
              <w:rPr>
                <w:rFonts w:ascii="宋体" w:hAnsi="宋体" w:cs="宋体" w:eastAsia="宋体" w:hint="default"/>
                <w:sz w:val="18"/>
                <w:szCs w:val="18"/>
              </w:rPr>
            </w:pPr>
            <w:r>
              <w:rPr>
                <w:rFonts w:ascii="宋体" w:hAnsi="宋体" w:cs="宋体" w:eastAsia="宋体" w:hint="default"/>
                <w:sz w:val="18"/>
                <w:szCs w:val="18"/>
              </w:rPr>
              <w:t>是</w:t>
            </w:r>
          </w:p>
        </w:tc>
        <w:tc>
          <w:tcPr>
            <w:tcW w:w="1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946" w:hRule="exact"/>
        </w:trPr>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4" w:right="95"/>
              <w:jc w:val="both"/>
              <w:rPr>
                <w:rFonts w:ascii="宋体" w:hAnsi="宋体" w:cs="宋体" w:eastAsia="宋体" w:hint="default"/>
                <w:sz w:val="18"/>
                <w:szCs w:val="18"/>
              </w:rPr>
            </w:pPr>
            <w:r>
              <w:rPr>
                <w:rFonts w:ascii="宋体" w:hAnsi="宋体" w:cs="宋体" w:eastAsia="宋体" w:hint="default"/>
                <w:spacing w:val="7"/>
                <w:sz w:val="18"/>
                <w:szCs w:val="18"/>
              </w:rPr>
              <w:t>2、电信综合网 </w:t>
            </w:r>
            <w:r>
              <w:rPr>
                <w:rFonts w:ascii="宋体" w:hAnsi="宋体" w:cs="宋体" w:eastAsia="宋体" w:hint="default"/>
                <w:sz w:val="18"/>
                <w:szCs w:val="18"/>
              </w:rPr>
              <w:t>管 产</w:t>
            </w:r>
            <w:r>
              <w:rPr>
                <w:rFonts w:ascii="宋体" w:hAnsi="宋体" w:cs="宋体" w:eastAsia="宋体" w:hint="default"/>
                <w:spacing w:val="44"/>
                <w:sz w:val="18"/>
                <w:szCs w:val="18"/>
              </w:rPr>
              <w:t> </w:t>
            </w:r>
            <w:r>
              <w:rPr>
                <w:rFonts w:ascii="宋体" w:hAnsi="宋体" w:cs="宋体" w:eastAsia="宋体" w:hint="default"/>
                <w:sz w:val="18"/>
                <w:szCs w:val="18"/>
              </w:rPr>
              <w:t>品</w:t>
            </w:r>
            <w:r>
              <w:rPr>
                <w:rFonts w:ascii="宋体" w:hAnsi="宋体" w:cs="宋体" w:eastAsia="宋体" w:hint="default"/>
                <w:sz w:val="18"/>
                <w:szCs w:val="18"/>
              </w:rPr>
              <w:t> Ultra-TIMP</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130" w:right="0"/>
              <w:jc w:val="center"/>
              <w:rPr>
                <w:rFonts w:ascii="宋体" w:hAnsi="宋体" w:cs="宋体" w:eastAsia="宋体" w:hint="default"/>
                <w:sz w:val="18"/>
                <w:szCs w:val="18"/>
              </w:rPr>
            </w:pPr>
            <w:r>
              <w:rPr>
                <w:rFonts w:ascii="宋体"/>
                <w:sz w:val="18"/>
              </w:rPr>
              <w:t>8,813.70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1"/>
              <w:jc w:val="right"/>
              <w:rPr>
                <w:rFonts w:ascii="宋体" w:hAnsi="宋体" w:cs="宋体" w:eastAsia="宋体" w:hint="default"/>
                <w:sz w:val="18"/>
                <w:szCs w:val="18"/>
              </w:rPr>
            </w:pPr>
            <w:r>
              <w:rPr>
                <w:rFonts w:ascii="宋体"/>
                <w:sz w:val="18"/>
              </w:rPr>
              <w:t>8,813.70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1"/>
              <w:jc w:val="right"/>
              <w:rPr>
                <w:rFonts w:ascii="宋体" w:hAnsi="宋体" w:cs="宋体" w:eastAsia="宋体" w:hint="default"/>
                <w:sz w:val="18"/>
                <w:szCs w:val="18"/>
              </w:rPr>
            </w:pPr>
            <w:r>
              <w:rPr>
                <w:rFonts w:ascii="宋体"/>
                <w:sz w:val="18"/>
              </w:rPr>
              <w:t>8,813.70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131" w:right="0"/>
              <w:jc w:val="center"/>
              <w:rPr>
                <w:rFonts w:ascii="宋体" w:hAnsi="宋体" w:cs="宋体" w:eastAsia="宋体" w:hint="default"/>
                <w:sz w:val="18"/>
                <w:szCs w:val="18"/>
              </w:rPr>
            </w:pPr>
            <w:r>
              <w:rPr>
                <w:rFonts w:ascii="宋体"/>
                <w:sz w:val="18"/>
              </w:rPr>
              <w:t>2,491.51</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1"/>
              <w:jc w:val="right"/>
              <w:rPr>
                <w:rFonts w:ascii="宋体" w:hAnsi="宋体" w:cs="宋体" w:eastAsia="宋体" w:hint="default"/>
                <w:sz w:val="18"/>
                <w:szCs w:val="18"/>
              </w:rPr>
            </w:pPr>
            <w:r>
              <w:rPr>
                <w:rFonts w:ascii="宋体"/>
                <w:sz w:val="18"/>
              </w:rPr>
              <w:t>2,576.56</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0"/>
              <w:jc w:val="right"/>
              <w:rPr>
                <w:rFonts w:ascii="宋体" w:hAnsi="宋体" w:cs="宋体" w:eastAsia="宋体" w:hint="default"/>
                <w:sz w:val="18"/>
                <w:szCs w:val="18"/>
              </w:rPr>
            </w:pPr>
            <w:r>
              <w:rPr>
                <w:rFonts w:ascii="宋体"/>
                <w:sz w:val="18"/>
              </w:rPr>
              <w:t>-6,237.14</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1"/>
              <w:jc w:val="right"/>
              <w:rPr>
                <w:rFonts w:ascii="宋体" w:hAnsi="宋体" w:cs="宋体" w:eastAsia="宋体" w:hint="default"/>
                <w:sz w:val="18"/>
                <w:szCs w:val="18"/>
              </w:rPr>
            </w:pPr>
            <w:r>
              <w:rPr>
                <w:rFonts w:ascii="宋体"/>
                <w:sz w:val="18"/>
              </w:rPr>
              <w:t>29.23</w:t>
            </w:r>
          </w:p>
        </w:tc>
        <w:tc>
          <w:tcPr>
            <w:tcW w:w="998" w:type="dxa"/>
            <w:tcBorders>
              <w:top w:val="single" w:sz="4" w:space="0" w:color="000000"/>
              <w:left w:val="single" w:sz="4" w:space="0" w:color="000000"/>
              <w:bottom w:val="single" w:sz="4" w:space="0" w:color="000000"/>
              <w:right w:val="single" w:sz="4" w:space="0" w:color="000000"/>
            </w:tcBorders>
          </w:tcPr>
          <w:p>
            <w:pP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1"/>
              <w:jc w:val="right"/>
              <w:rPr>
                <w:rFonts w:ascii="宋体" w:hAnsi="宋体" w:cs="宋体" w:eastAsia="宋体" w:hint="default"/>
                <w:sz w:val="18"/>
                <w:szCs w:val="18"/>
              </w:rPr>
            </w:pPr>
            <w:r>
              <w:rPr>
                <w:rFonts w:ascii="宋体"/>
                <w:sz w:val="18"/>
              </w:rPr>
              <w:t>255.85</w:t>
            </w:r>
          </w:p>
        </w:tc>
        <w:tc>
          <w:tcPr>
            <w:tcW w:w="1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1"/>
              <w:jc w:val="right"/>
              <w:rPr>
                <w:rFonts w:ascii="宋体" w:hAnsi="宋体" w:cs="宋体" w:eastAsia="宋体" w:hint="default"/>
                <w:sz w:val="18"/>
                <w:szCs w:val="18"/>
              </w:rPr>
            </w:pPr>
            <w:r>
              <w:rPr>
                <w:rFonts w:ascii="宋体" w:hAnsi="宋体" w:cs="宋体" w:eastAsia="宋体" w:hint="default"/>
                <w:sz w:val="18"/>
                <w:szCs w:val="18"/>
              </w:rPr>
              <w:t>是</w:t>
            </w:r>
          </w:p>
        </w:tc>
        <w:tc>
          <w:tcPr>
            <w:tcW w:w="1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947" w:hRule="exact"/>
        </w:trPr>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4" w:right="95"/>
              <w:jc w:val="both"/>
              <w:rPr>
                <w:rFonts w:ascii="宋体" w:hAnsi="宋体" w:cs="宋体" w:eastAsia="宋体" w:hint="default"/>
                <w:sz w:val="18"/>
                <w:szCs w:val="18"/>
              </w:rPr>
            </w:pPr>
            <w:r>
              <w:rPr>
                <w:rFonts w:ascii="宋体" w:hAnsi="宋体" w:cs="宋体" w:eastAsia="宋体" w:hint="default"/>
                <w:spacing w:val="7"/>
                <w:sz w:val="18"/>
                <w:szCs w:val="18"/>
              </w:rPr>
              <w:t>3、无线网络优 </w:t>
            </w:r>
            <w:r>
              <w:rPr>
                <w:rFonts w:ascii="宋体" w:hAnsi="宋体" w:cs="宋体" w:eastAsia="宋体" w:hint="default"/>
                <w:sz w:val="18"/>
                <w:szCs w:val="18"/>
              </w:rPr>
              <w:t>化 平</w:t>
            </w:r>
            <w:r>
              <w:rPr>
                <w:rFonts w:ascii="宋体" w:hAnsi="宋体" w:cs="宋体" w:eastAsia="宋体" w:hint="default"/>
                <w:spacing w:val="44"/>
                <w:sz w:val="18"/>
                <w:szCs w:val="18"/>
              </w:rPr>
              <w:t> </w:t>
            </w:r>
            <w:r>
              <w:rPr>
                <w:rFonts w:ascii="宋体" w:hAnsi="宋体" w:cs="宋体" w:eastAsia="宋体" w:hint="default"/>
                <w:sz w:val="18"/>
                <w:szCs w:val="18"/>
              </w:rPr>
              <w:t>台</w:t>
            </w:r>
            <w:r>
              <w:rPr>
                <w:rFonts w:ascii="宋体" w:hAnsi="宋体" w:cs="宋体" w:eastAsia="宋体" w:hint="default"/>
                <w:sz w:val="18"/>
                <w:szCs w:val="18"/>
              </w:rPr>
              <w:t> Ultra-WOSS</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130" w:right="0"/>
              <w:jc w:val="center"/>
              <w:rPr>
                <w:rFonts w:ascii="宋体" w:hAnsi="宋体" w:cs="宋体" w:eastAsia="宋体" w:hint="default"/>
                <w:sz w:val="18"/>
                <w:szCs w:val="18"/>
              </w:rPr>
            </w:pPr>
            <w:r>
              <w:rPr>
                <w:rFonts w:ascii="宋体"/>
                <w:sz w:val="18"/>
              </w:rPr>
              <w:t>6,422.94</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1"/>
              <w:jc w:val="right"/>
              <w:rPr>
                <w:rFonts w:ascii="宋体" w:hAnsi="宋体" w:cs="宋体" w:eastAsia="宋体" w:hint="default"/>
                <w:sz w:val="18"/>
                <w:szCs w:val="18"/>
              </w:rPr>
            </w:pPr>
            <w:r>
              <w:rPr>
                <w:rFonts w:ascii="宋体"/>
                <w:sz w:val="18"/>
              </w:rPr>
              <w:t>6,422.94</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1"/>
              <w:jc w:val="right"/>
              <w:rPr>
                <w:rFonts w:ascii="宋体" w:hAnsi="宋体" w:cs="宋体" w:eastAsia="宋体" w:hint="default"/>
                <w:sz w:val="18"/>
                <w:szCs w:val="18"/>
              </w:rPr>
            </w:pPr>
            <w:r>
              <w:rPr>
                <w:rFonts w:ascii="宋体"/>
                <w:sz w:val="18"/>
              </w:rPr>
              <w:t>6,422.94</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131" w:right="0"/>
              <w:jc w:val="center"/>
              <w:rPr>
                <w:rFonts w:ascii="宋体" w:hAnsi="宋体" w:cs="宋体" w:eastAsia="宋体" w:hint="default"/>
                <w:sz w:val="18"/>
                <w:szCs w:val="18"/>
              </w:rPr>
            </w:pPr>
            <w:r>
              <w:rPr>
                <w:rFonts w:ascii="宋体"/>
                <w:sz w:val="18"/>
              </w:rPr>
              <w:t>2,258.89</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1"/>
              <w:jc w:val="right"/>
              <w:rPr>
                <w:rFonts w:ascii="宋体" w:hAnsi="宋体" w:cs="宋体" w:eastAsia="宋体" w:hint="default"/>
                <w:sz w:val="18"/>
                <w:szCs w:val="18"/>
              </w:rPr>
            </w:pPr>
            <w:r>
              <w:rPr>
                <w:rFonts w:ascii="宋体"/>
                <w:sz w:val="18"/>
              </w:rPr>
              <w:t>2,329.57</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0"/>
              <w:jc w:val="right"/>
              <w:rPr>
                <w:rFonts w:ascii="宋体" w:hAnsi="宋体" w:cs="宋体" w:eastAsia="宋体" w:hint="default"/>
                <w:sz w:val="18"/>
                <w:szCs w:val="18"/>
              </w:rPr>
            </w:pPr>
            <w:r>
              <w:rPr>
                <w:rFonts w:ascii="宋体"/>
                <w:sz w:val="18"/>
              </w:rPr>
              <w:t>-4,093.37</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1"/>
              <w:jc w:val="right"/>
              <w:rPr>
                <w:rFonts w:ascii="宋体" w:hAnsi="宋体" w:cs="宋体" w:eastAsia="宋体" w:hint="default"/>
                <w:sz w:val="18"/>
                <w:szCs w:val="18"/>
              </w:rPr>
            </w:pPr>
            <w:r>
              <w:rPr>
                <w:rFonts w:ascii="宋体"/>
                <w:sz w:val="18"/>
              </w:rPr>
              <w:t>36.27</w:t>
            </w:r>
          </w:p>
        </w:tc>
        <w:tc>
          <w:tcPr>
            <w:tcW w:w="998" w:type="dxa"/>
            <w:tcBorders>
              <w:top w:val="single" w:sz="4" w:space="0" w:color="000000"/>
              <w:left w:val="single" w:sz="4" w:space="0" w:color="000000"/>
              <w:bottom w:val="single" w:sz="4" w:space="0" w:color="000000"/>
              <w:right w:val="single" w:sz="4" w:space="0" w:color="000000"/>
            </w:tcBorders>
          </w:tcPr>
          <w:p>
            <w:pPr/>
          </w:p>
        </w:tc>
        <w:tc>
          <w:tcPr>
            <w:tcW w:w="1057" w:type="dxa"/>
            <w:tcBorders>
              <w:top w:val="single" w:sz="4" w:space="0" w:color="000000"/>
              <w:left w:val="single" w:sz="4" w:space="0" w:color="000000"/>
              <w:bottom w:val="single" w:sz="4" w:space="0" w:color="000000"/>
              <w:right w:val="single" w:sz="4" w:space="0" w:color="000000"/>
            </w:tcBorders>
          </w:tcPr>
          <w:p>
            <w:pPr/>
          </w:p>
        </w:tc>
        <w:tc>
          <w:tcPr>
            <w:tcW w:w="1014" w:type="dxa"/>
            <w:tcBorders>
              <w:top w:val="single" w:sz="4" w:space="0" w:color="000000"/>
              <w:left w:val="single" w:sz="4" w:space="0" w:color="000000"/>
              <w:bottom w:val="single" w:sz="4" w:space="0" w:color="000000"/>
              <w:right w:val="single" w:sz="4" w:space="0" w:color="000000"/>
            </w:tcBorders>
          </w:tcPr>
          <w:p>
            <w:pPr/>
          </w:p>
        </w:tc>
        <w:tc>
          <w:tcPr>
            <w:tcW w:w="1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946" w:hRule="exact"/>
        </w:trPr>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4" w:right="100"/>
              <w:jc w:val="both"/>
              <w:rPr>
                <w:rFonts w:ascii="宋体" w:hAnsi="宋体" w:cs="宋体" w:eastAsia="宋体" w:hint="default"/>
                <w:sz w:val="18"/>
                <w:szCs w:val="18"/>
              </w:rPr>
            </w:pPr>
            <w:r>
              <w:rPr>
                <w:rFonts w:ascii="宋体" w:hAnsi="宋体" w:cs="宋体" w:eastAsia="宋体" w:hint="default"/>
                <w:spacing w:val="-12"/>
                <w:sz w:val="18"/>
                <w:szCs w:val="18"/>
              </w:rPr>
              <w:t>4、IT</w:t>
            </w:r>
            <w:r>
              <w:rPr>
                <w:rFonts w:ascii="宋体" w:hAnsi="宋体" w:cs="宋体" w:eastAsia="宋体" w:hint="default"/>
                <w:spacing w:val="2"/>
                <w:sz w:val="18"/>
                <w:szCs w:val="18"/>
              </w:rPr>
              <w:t> </w:t>
            </w:r>
            <w:r>
              <w:rPr>
                <w:rFonts w:ascii="宋体" w:hAnsi="宋体" w:cs="宋体" w:eastAsia="宋体" w:hint="default"/>
                <w:sz w:val="18"/>
                <w:szCs w:val="18"/>
              </w:rPr>
              <w:t>监控管理</w:t>
            </w:r>
            <w:r>
              <w:rPr>
                <w:rFonts w:ascii="宋体" w:hAnsi="宋体" w:cs="宋体" w:eastAsia="宋体" w:hint="default"/>
                <w:sz w:val="18"/>
                <w:szCs w:val="18"/>
              </w:rPr>
              <w:t> 平台</w:t>
            </w:r>
            <w:r>
              <w:rPr>
                <w:rFonts w:ascii="宋体" w:hAnsi="宋体" w:cs="宋体" w:eastAsia="宋体" w:hint="default"/>
                <w:spacing w:val="-46"/>
                <w:sz w:val="18"/>
                <w:szCs w:val="18"/>
              </w:rPr>
              <w:t> </w:t>
            </w:r>
            <w:r>
              <w:rPr>
                <w:rFonts w:ascii="宋体" w:hAnsi="宋体" w:cs="宋体" w:eastAsia="宋体" w:hint="default"/>
                <w:sz w:val="18"/>
                <w:szCs w:val="18"/>
              </w:rPr>
              <w:t>Ultra-ΣM</w:t>
            </w:r>
            <w:r>
              <w:rPr>
                <w:rFonts w:ascii="宋体" w:hAnsi="宋体" w:cs="宋体" w:eastAsia="宋体" w:hint="default"/>
                <w:sz w:val="18"/>
                <w:szCs w:val="18"/>
              </w:rPr>
              <w:t> 系列软件</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130" w:right="0"/>
              <w:jc w:val="center"/>
              <w:rPr>
                <w:rFonts w:ascii="宋体" w:hAnsi="宋体" w:cs="宋体" w:eastAsia="宋体" w:hint="default"/>
                <w:sz w:val="18"/>
                <w:szCs w:val="18"/>
              </w:rPr>
            </w:pPr>
            <w:r>
              <w:rPr>
                <w:rFonts w:ascii="宋体"/>
                <w:sz w:val="18"/>
              </w:rPr>
              <w:t>7,149.65</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1"/>
              <w:jc w:val="right"/>
              <w:rPr>
                <w:rFonts w:ascii="宋体" w:hAnsi="宋体" w:cs="宋体" w:eastAsia="宋体" w:hint="default"/>
                <w:sz w:val="18"/>
                <w:szCs w:val="18"/>
              </w:rPr>
            </w:pPr>
            <w:r>
              <w:rPr>
                <w:rFonts w:ascii="宋体"/>
                <w:sz w:val="18"/>
              </w:rPr>
              <w:t>7,149.65</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1"/>
              <w:jc w:val="right"/>
              <w:rPr>
                <w:rFonts w:ascii="宋体" w:hAnsi="宋体" w:cs="宋体" w:eastAsia="宋体" w:hint="default"/>
                <w:sz w:val="18"/>
                <w:szCs w:val="18"/>
              </w:rPr>
            </w:pPr>
            <w:r>
              <w:rPr>
                <w:rFonts w:ascii="宋体"/>
                <w:sz w:val="18"/>
              </w:rPr>
              <w:t>7,149.65</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131" w:right="0"/>
              <w:jc w:val="center"/>
              <w:rPr>
                <w:rFonts w:ascii="宋体" w:hAnsi="宋体" w:cs="宋体" w:eastAsia="宋体" w:hint="default"/>
                <w:sz w:val="18"/>
                <w:szCs w:val="18"/>
              </w:rPr>
            </w:pPr>
            <w:r>
              <w:rPr>
                <w:rFonts w:ascii="宋体"/>
                <w:sz w:val="18"/>
              </w:rPr>
              <w:t>2,374.81</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1"/>
              <w:jc w:val="right"/>
              <w:rPr>
                <w:rFonts w:ascii="宋体" w:hAnsi="宋体" w:cs="宋体" w:eastAsia="宋体" w:hint="default"/>
                <w:sz w:val="18"/>
                <w:szCs w:val="18"/>
              </w:rPr>
            </w:pPr>
            <w:r>
              <w:rPr>
                <w:rFonts w:ascii="宋体"/>
                <w:sz w:val="18"/>
              </w:rPr>
              <w:t>2,613.69</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0"/>
              <w:jc w:val="right"/>
              <w:rPr>
                <w:rFonts w:ascii="宋体" w:hAnsi="宋体" w:cs="宋体" w:eastAsia="宋体" w:hint="default"/>
                <w:sz w:val="18"/>
                <w:szCs w:val="18"/>
              </w:rPr>
            </w:pPr>
            <w:r>
              <w:rPr>
                <w:rFonts w:ascii="宋体"/>
                <w:sz w:val="18"/>
              </w:rPr>
              <w:t>-4,535.96</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1"/>
              <w:jc w:val="right"/>
              <w:rPr>
                <w:rFonts w:ascii="宋体" w:hAnsi="宋体" w:cs="宋体" w:eastAsia="宋体" w:hint="default"/>
                <w:sz w:val="18"/>
                <w:szCs w:val="18"/>
              </w:rPr>
            </w:pPr>
            <w:r>
              <w:rPr>
                <w:rFonts w:ascii="宋体"/>
                <w:sz w:val="18"/>
              </w:rPr>
              <w:t>36.56</w:t>
            </w:r>
          </w:p>
        </w:tc>
        <w:tc>
          <w:tcPr>
            <w:tcW w:w="998" w:type="dxa"/>
            <w:tcBorders>
              <w:top w:val="single" w:sz="4" w:space="0" w:color="000000"/>
              <w:left w:val="single" w:sz="4" w:space="0" w:color="000000"/>
              <w:bottom w:val="single" w:sz="4" w:space="0" w:color="000000"/>
              <w:right w:val="single" w:sz="4" w:space="0" w:color="000000"/>
            </w:tcBorders>
          </w:tcPr>
          <w:p>
            <w:pP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1"/>
              <w:jc w:val="right"/>
              <w:rPr>
                <w:rFonts w:ascii="宋体" w:hAnsi="宋体" w:cs="宋体" w:eastAsia="宋体" w:hint="default"/>
                <w:sz w:val="18"/>
                <w:szCs w:val="18"/>
              </w:rPr>
            </w:pPr>
            <w:r>
              <w:rPr>
                <w:rFonts w:ascii="宋体"/>
                <w:sz w:val="18"/>
              </w:rPr>
              <w:t>1,055.67</w:t>
            </w:r>
          </w:p>
        </w:tc>
        <w:tc>
          <w:tcPr>
            <w:tcW w:w="1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1"/>
              <w:jc w:val="right"/>
              <w:rPr>
                <w:rFonts w:ascii="宋体" w:hAnsi="宋体" w:cs="宋体" w:eastAsia="宋体" w:hint="default"/>
                <w:sz w:val="18"/>
                <w:szCs w:val="18"/>
              </w:rPr>
            </w:pPr>
            <w:r>
              <w:rPr>
                <w:rFonts w:ascii="宋体" w:hAnsi="宋体" w:cs="宋体" w:eastAsia="宋体" w:hint="default"/>
                <w:sz w:val="18"/>
                <w:szCs w:val="18"/>
              </w:rPr>
              <w:t>是</w:t>
            </w:r>
          </w:p>
        </w:tc>
        <w:tc>
          <w:tcPr>
            <w:tcW w:w="1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center"/>
        <w:rPr>
          <w:rFonts w:ascii="宋体" w:hAnsi="宋体" w:cs="宋体" w:eastAsia="宋体" w:hint="default"/>
          <w:sz w:val="18"/>
          <w:szCs w:val="18"/>
        </w:rPr>
        <w:sectPr>
          <w:headerReference w:type="default" r:id="rId46"/>
          <w:footerReference w:type="default" r:id="rId47"/>
          <w:pgSz w:w="16840" w:h="11910" w:orient="landscape"/>
          <w:pgMar w:header="851" w:footer="978" w:top="1360" w:bottom="1160" w:left="1300" w:right="1260"/>
          <w:pgNumType w:start="31"/>
        </w:sect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7"/>
          <w:szCs w:val="17"/>
        </w:rPr>
      </w:pPr>
    </w:p>
    <w:tbl>
      <w:tblPr>
        <w:tblW w:w="0" w:type="auto"/>
        <w:jc w:val="left"/>
        <w:tblInd w:w="119" w:type="dxa"/>
        <w:tblLayout w:type="fixed"/>
        <w:tblCellMar>
          <w:top w:w="0" w:type="dxa"/>
          <w:left w:w="0" w:type="dxa"/>
          <w:bottom w:w="0" w:type="dxa"/>
          <w:right w:w="0" w:type="dxa"/>
        </w:tblCellMar>
        <w:tblLook w:val="01E0"/>
      </w:tblPr>
      <w:tblGrid>
        <w:gridCol w:w="1432"/>
        <w:gridCol w:w="1018"/>
        <w:gridCol w:w="1067"/>
        <w:gridCol w:w="1068"/>
        <w:gridCol w:w="1068"/>
        <w:gridCol w:w="1068"/>
        <w:gridCol w:w="1068"/>
        <w:gridCol w:w="1123"/>
        <w:gridCol w:w="1046"/>
        <w:gridCol w:w="998"/>
        <w:gridCol w:w="1057"/>
        <w:gridCol w:w="1014"/>
        <w:gridCol w:w="1014"/>
      </w:tblGrid>
      <w:tr>
        <w:trPr>
          <w:trHeight w:val="700" w:hRule="exact"/>
        </w:trPr>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3"/>
              <w:ind w:left="104" w:right="95"/>
              <w:jc w:val="left"/>
              <w:rPr>
                <w:rFonts w:ascii="宋体" w:hAnsi="宋体" w:cs="宋体" w:eastAsia="宋体" w:hint="default"/>
                <w:sz w:val="18"/>
                <w:szCs w:val="18"/>
              </w:rPr>
            </w:pPr>
            <w:r>
              <w:rPr>
                <w:rFonts w:ascii="宋体" w:hAnsi="宋体" w:cs="宋体" w:eastAsia="宋体" w:hint="default"/>
                <w:spacing w:val="7"/>
                <w:sz w:val="18"/>
                <w:szCs w:val="18"/>
              </w:rPr>
              <w:t>5、运维服务流 </w:t>
            </w:r>
            <w:r>
              <w:rPr>
                <w:rFonts w:ascii="宋体" w:hAnsi="宋体" w:cs="宋体" w:eastAsia="宋体" w:hint="default"/>
                <w:sz w:val="18"/>
                <w:szCs w:val="18"/>
              </w:rPr>
              <w:t>程管理系统</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130" w:right="0"/>
              <w:jc w:val="center"/>
              <w:rPr>
                <w:rFonts w:ascii="宋体" w:hAnsi="宋体" w:cs="宋体" w:eastAsia="宋体" w:hint="default"/>
                <w:sz w:val="18"/>
                <w:szCs w:val="18"/>
              </w:rPr>
            </w:pPr>
            <w:r>
              <w:rPr>
                <w:rFonts w:ascii="宋体"/>
                <w:sz w:val="18"/>
              </w:rPr>
              <w:t>5,994.23</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5,994.23</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5,994.23</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131" w:right="0"/>
              <w:jc w:val="center"/>
              <w:rPr>
                <w:rFonts w:ascii="宋体" w:hAnsi="宋体" w:cs="宋体" w:eastAsia="宋体" w:hint="default"/>
                <w:sz w:val="18"/>
                <w:szCs w:val="18"/>
              </w:rPr>
            </w:pPr>
            <w:r>
              <w:rPr>
                <w:rFonts w:ascii="宋体"/>
                <w:sz w:val="18"/>
              </w:rPr>
              <w:t>1,723.29</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1,882.47</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宋体" w:hAnsi="宋体" w:cs="宋体" w:eastAsia="宋体" w:hint="default"/>
                <w:sz w:val="18"/>
                <w:szCs w:val="18"/>
              </w:rPr>
            </w:pPr>
            <w:r>
              <w:rPr>
                <w:rFonts w:ascii="宋体"/>
                <w:sz w:val="18"/>
              </w:rPr>
              <w:t>-4,111.76</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31.4</w:t>
            </w:r>
          </w:p>
        </w:tc>
        <w:tc>
          <w:tcPr>
            <w:tcW w:w="998" w:type="dxa"/>
            <w:tcBorders>
              <w:top w:val="single" w:sz="4" w:space="0" w:color="000000"/>
              <w:left w:val="single" w:sz="4" w:space="0" w:color="000000"/>
              <w:bottom w:val="single" w:sz="4" w:space="0" w:color="000000"/>
              <w:right w:val="single" w:sz="4" w:space="0" w:color="000000"/>
            </w:tcBorders>
          </w:tcPr>
          <w:p>
            <w:pP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543.69</w:t>
            </w:r>
          </w:p>
        </w:tc>
        <w:tc>
          <w:tcPr>
            <w:tcW w:w="1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是</w:t>
            </w:r>
          </w:p>
        </w:tc>
        <w:tc>
          <w:tcPr>
            <w:tcW w:w="1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955" w:hRule="exact"/>
        </w:trPr>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5"/>
              <w:ind w:left="104" w:right="95"/>
              <w:jc w:val="both"/>
              <w:rPr>
                <w:rFonts w:ascii="宋体" w:hAnsi="宋体" w:cs="宋体" w:eastAsia="宋体" w:hint="default"/>
                <w:sz w:val="18"/>
                <w:szCs w:val="18"/>
              </w:rPr>
            </w:pPr>
            <w:r>
              <w:rPr>
                <w:rFonts w:ascii="宋体" w:hAnsi="宋体" w:cs="宋体" w:eastAsia="宋体" w:hint="default"/>
                <w:spacing w:val="7"/>
                <w:sz w:val="18"/>
                <w:szCs w:val="18"/>
              </w:rPr>
              <w:t>6、新一代安全 </w:t>
            </w:r>
            <w:r>
              <w:rPr>
                <w:rFonts w:ascii="宋体" w:hAnsi="宋体" w:cs="宋体" w:eastAsia="宋体" w:hint="default"/>
                <w:spacing w:val="13"/>
                <w:sz w:val="18"/>
                <w:szCs w:val="18"/>
              </w:rPr>
              <w:t>运行</w:t>
            </w:r>
            <w:r>
              <w:rPr>
                <w:rFonts w:ascii="宋体" w:hAnsi="宋体" w:cs="宋体" w:eastAsia="宋体" w:hint="default"/>
                <w:spacing w:val="-64"/>
                <w:sz w:val="18"/>
                <w:szCs w:val="18"/>
              </w:rPr>
              <w:t> </w:t>
            </w:r>
            <w:r>
              <w:rPr>
                <w:rFonts w:ascii="宋体" w:hAnsi="宋体" w:cs="宋体" w:eastAsia="宋体" w:hint="default"/>
                <w:spacing w:val="13"/>
                <w:sz w:val="18"/>
                <w:szCs w:val="18"/>
              </w:rPr>
              <w:t>管理</w:t>
            </w:r>
            <w:r>
              <w:rPr>
                <w:rFonts w:ascii="宋体" w:hAnsi="宋体" w:cs="宋体" w:eastAsia="宋体" w:hint="default"/>
                <w:spacing w:val="-64"/>
                <w:sz w:val="18"/>
                <w:szCs w:val="18"/>
              </w:rPr>
              <w:t> </w:t>
            </w:r>
            <w:r>
              <w:rPr>
                <w:rFonts w:ascii="宋体" w:hAnsi="宋体" w:cs="宋体" w:eastAsia="宋体" w:hint="default"/>
                <w:sz w:val="18"/>
                <w:szCs w:val="18"/>
              </w:rPr>
              <w:t>中</w:t>
            </w:r>
            <w:r>
              <w:rPr>
                <w:rFonts w:ascii="宋体" w:hAnsi="宋体" w:cs="宋体" w:eastAsia="宋体" w:hint="default"/>
                <w:spacing w:val="-64"/>
                <w:sz w:val="18"/>
                <w:szCs w:val="18"/>
              </w:rPr>
              <w:t> </w:t>
            </w:r>
            <w:r>
              <w:rPr>
                <w:rFonts w:ascii="宋体" w:hAnsi="宋体" w:cs="宋体" w:eastAsia="宋体" w:hint="default"/>
                <w:sz w:val="18"/>
                <w:szCs w:val="18"/>
              </w:rPr>
              <w:t>心</w:t>
            </w:r>
            <w:r>
              <w:rPr>
                <w:rFonts w:ascii="宋体" w:hAnsi="宋体" w:cs="宋体" w:eastAsia="宋体" w:hint="default"/>
                <w:sz w:val="18"/>
                <w:szCs w:val="18"/>
              </w:rPr>
              <w:t> Ultra-SOMC3.0</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0"/>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0"/>
              <w:ind w:left="130" w:right="0"/>
              <w:jc w:val="center"/>
              <w:rPr>
                <w:rFonts w:ascii="宋体" w:hAnsi="宋体" w:cs="宋体" w:eastAsia="宋体" w:hint="default"/>
                <w:sz w:val="18"/>
                <w:szCs w:val="18"/>
              </w:rPr>
            </w:pPr>
            <w:r>
              <w:rPr>
                <w:rFonts w:ascii="宋体"/>
                <w:sz w:val="18"/>
              </w:rPr>
              <w:t>5,031.90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0"/>
              <w:ind w:right="101"/>
              <w:jc w:val="right"/>
              <w:rPr>
                <w:rFonts w:ascii="宋体" w:hAnsi="宋体" w:cs="宋体" w:eastAsia="宋体" w:hint="default"/>
                <w:sz w:val="18"/>
                <w:szCs w:val="18"/>
              </w:rPr>
            </w:pPr>
            <w:r>
              <w:rPr>
                <w:rFonts w:ascii="宋体"/>
                <w:sz w:val="18"/>
              </w:rPr>
              <w:t>5,031.90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0"/>
              <w:ind w:right="101"/>
              <w:jc w:val="right"/>
              <w:rPr>
                <w:rFonts w:ascii="宋体" w:hAnsi="宋体" w:cs="宋体" w:eastAsia="宋体" w:hint="default"/>
                <w:sz w:val="18"/>
                <w:szCs w:val="18"/>
              </w:rPr>
            </w:pPr>
            <w:r>
              <w:rPr>
                <w:rFonts w:ascii="宋体"/>
                <w:sz w:val="18"/>
              </w:rPr>
              <w:t>5,031.90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0"/>
              <w:ind w:left="131" w:right="0"/>
              <w:jc w:val="center"/>
              <w:rPr>
                <w:rFonts w:ascii="宋体" w:hAnsi="宋体" w:cs="宋体" w:eastAsia="宋体" w:hint="default"/>
                <w:sz w:val="18"/>
                <w:szCs w:val="18"/>
              </w:rPr>
            </w:pPr>
            <w:r>
              <w:rPr>
                <w:rFonts w:ascii="宋体"/>
                <w:sz w:val="18"/>
              </w:rPr>
              <w:t>1,900.35</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0"/>
              <w:ind w:right="101"/>
              <w:jc w:val="right"/>
              <w:rPr>
                <w:rFonts w:ascii="宋体" w:hAnsi="宋体" w:cs="宋体" w:eastAsia="宋体" w:hint="default"/>
                <w:sz w:val="18"/>
                <w:szCs w:val="18"/>
              </w:rPr>
            </w:pPr>
            <w:r>
              <w:rPr>
                <w:rFonts w:ascii="宋体"/>
                <w:sz w:val="18"/>
              </w:rPr>
              <w:t>2,224.86</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0"/>
              <w:ind w:right="100"/>
              <w:jc w:val="right"/>
              <w:rPr>
                <w:rFonts w:ascii="宋体" w:hAnsi="宋体" w:cs="宋体" w:eastAsia="宋体" w:hint="default"/>
                <w:sz w:val="18"/>
                <w:szCs w:val="18"/>
              </w:rPr>
            </w:pPr>
            <w:r>
              <w:rPr>
                <w:rFonts w:ascii="宋体"/>
                <w:sz w:val="18"/>
              </w:rPr>
              <w:t>-2,807.04</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0"/>
              <w:ind w:right="101"/>
              <w:jc w:val="right"/>
              <w:rPr>
                <w:rFonts w:ascii="宋体" w:hAnsi="宋体" w:cs="宋体" w:eastAsia="宋体" w:hint="default"/>
                <w:sz w:val="18"/>
                <w:szCs w:val="18"/>
              </w:rPr>
            </w:pPr>
            <w:r>
              <w:rPr>
                <w:rFonts w:ascii="宋体"/>
                <w:sz w:val="18"/>
              </w:rPr>
              <w:t>44.22</w:t>
            </w:r>
          </w:p>
        </w:tc>
        <w:tc>
          <w:tcPr>
            <w:tcW w:w="998" w:type="dxa"/>
            <w:tcBorders>
              <w:top w:val="single" w:sz="4" w:space="0" w:color="000000"/>
              <w:left w:val="single" w:sz="4" w:space="0" w:color="000000"/>
              <w:bottom w:val="single" w:sz="4" w:space="0" w:color="000000"/>
              <w:right w:val="single" w:sz="4" w:space="0" w:color="000000"/>
            </w:tcBorders>
          </w:tcPr>
          <w:p>
            <w:pP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0"/>
              <w:ind w:right="101"/>
              <w:jc w:val="right"/>
              <w:rPr>
                <w:rFonts w:ascii="宋体" w:hAnsi="宋体" w:cs="宋体" w:eastAsia="宋体" w:hint="default"/>
                <w:sz w:val="18"/>
                <w:szCs w:val="18"/>
              </w:rPr>
            </w:pPr>
            <w:r>
              <w:rPr>
                <w:rFonts w:ascii="宋体"/>
                <w:sz w:val="18"/>
              </w:rPr>
              <w:t>130.58</w:t>
            </w:r>
          </w:p>
        </w:tc>
        <w:tc>
          <w:tcPr>
            <w:tcW w:w="1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0"/>
              <w:ind w:right="101"/>
              <w:jc w:val="right"/>
              <w:rPr>
                <w:rFonts w:ascii="宋体" w:hAnsi="宋体" w:cs="宋体" w:eastAsia="宋体" w:hint="default"/>
                <w:sz w:val="18"/>
                <w:szCs w:val="18"/>
              </w:rPr>
            </w:pPr>
            <w:r>
              <w:rPr>
                <w:rFonts w:ascii="宋体" w:hAnsi="宋体" w:cs="宋体" w:eastAsia="宋体" w:hint="default"/>
                <w:sz w:val="18"/>
                <w:szCs w:val="18"/>
              </w:rPr>
              <w:t>是</w:t>
            </w:r>
          </w:p>
        </w:tc>
        <w:tc>
          <w:tcPr>
            <w:tcW w:w="1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0"/>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634" w:hRule="exact"/>
        </w:trPr>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531" w:right="168" w:hanging="360"/>
              <w:jc w:val="left"/>
              <w:rPr>
                <w:rFonts w:ascii="宋体" w:hAnsi="宋体" w:cs="宋体" w:eastAsia="宋体" w:hint="default"/>
                <w:sz w:val="18"/>
                <w:szCs w:val="18"/>
              </w:rPr>
            </w:pPr>
            <w:r>
              <w:rPr>
                <w:rFonts w:ascii="宋体" w:hAnsi="宋体" w:cs="宋体" w:eastAsia="宋体" w:hint="default"/>
                <w:sz w:val="18"/>
                <w:szCs w:val="18"/>
              </w:rPr>
              <w:t>承诺投资项目 小计</w:t>
            </w:r>
          </w:p>
        </w:tc>
        <w:tc>
          <w:tcPr>
            <w:tcW w:w="1018" w:type="dxa"/>
            <w:tcBorders>
              <w:top w:val="single" w:sz="4" w:space="0" w:color="000000"/>
              <w:left w:val="single" w:sz="4" w:space="0" w:color="000000"/>
              <w:bottom w:val="single" w:sz="4" w:space="0" w:color="000000"/>
              <w:right w:val="single" w:sz="4" w:space="0" w:color="000000"/>
            </w:tcBorders>
          </w:tcPr>
          <w:p>
            <w:pP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40" w:right="0"/>
              <w:jc w:val="center"/>
              <w:rPr>
                <w:rFonts w:ascii="宋体" w:hAnsi="宋体" w:cs="宋体" w:eastAsia="宋体" w:hint="default"/>
                <w:sz w:val="18"/>
                <w:szCs w:val="18"/>
              </w:rPr>
            </w:pPr>
            <w:r>
              <w:rPr>
                <w:rFonts w:ascii="宋体"/>
                <w:sz w:val="18"/>
              </w:rPr>
              <w:t>50,252.80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宋体" w:hAnsi="宋体" w:cs="宋体" w:eastAsia="宋体" w:hint="default"/>
                <w:sz w:val="18"/>
                <w:szCs w:val="18"/>
              </w:rPr>
            </w:pPr>
            <w:r>
              <w:rPr>
                <w:rFonts w:ascii="宋体"/>
                <w:sz w:val="18"/>
              </w:rPr>
              <w:t>50,252.80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宋体" w:hAnsi="宋体" w:cs="宋体" w:eastAsia="宋体" w:hint="default"/>
                <w:sz w:val="18"/>
                <w:szCs w:val="18"/>
              </w:rPr>
            </w:pPr>
            <w:r>
              <w:rPr>
                <w:rFonts w:ascii="宋体"/>
                <w:sz w:val="18"/>
              </w:rPr>
              <w:t>50,252.80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41" w:right="0"/>
              <w:jc w:val="center"/>
              <w:rPr>
                <w:rFonts w:ascii="宋体" w:hAnsi="宋体" w:cs="宋体" w:eastAsia="宋体" w:hint="default"/>
                <w:sz w:val="18"/>
                <w:szCs w:val="18"/>
              </w:rPr>
            </w:pPr>
            <w:r>
              <w:rPr>
                <w:rFonts w:ascii="宋体"/>
                <w:sz w:val="18"/>
              </w:rPr>
              <w:t>20,345.85</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宋体" w:hAnsi="宋体" w:cs="宋体" w:eastAsia="宋体" w:hint="default"/>
                <w:sz w:val="18"/>
                <w:szCs w:val="18"/>
              </w:rPr>
            </w:pPr>
            <w:r>
              <w:rPr>
                <w:rFonts w:ascii="宋体"/>
                <w:sz w:val="18"/>
              </w:rPr>
              <w:t>22,841.51</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00"/>
              <w:jc w:val="right"/>
              <w:rPr>
                <w:rFonts w:ascii="宋体" w:hAnsi="宋体" w:cs="宋体" w:eastAsia="宋体" w:hint="default"/>
                <w:sz w:val="18"/>
                <w:szCs w:val="18"/>
              </w:rPr>
            </w:pPr>
            <w:r>
              <w:rPr>
                <w:rFonts w:ascii="宋体"/>
                <w:sz w:val="18"/>
              </w:rPr>
              <w:t>-27,411.29</w:t>
            </w:r>
          </w:p>
        </w:tc>
        <w:tc>
          <w:tcPr>
            <w:tcW w:w="1046"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宋体" w:hAnsi="宋体" w:cs="宋体" w:eastAsia="宋体" w:hint="default"/>
                <w:sz w:val="18"/>
                <w:szCs w:val="18"/>
              </w:rPr>
            </w:pPr>
            <w:r>
              <w:rPr>
                <w:rFonts w:ascii="宋体"/>
                <w:sz w:val="18"/>
              </w:rPr>
              <w:t>4,076.64</w:t>
            </w:r>
          </w:p>
        </w:tc>
        <w:tc>
          <w:tcPr>
            <w:tcW w:w="1014" w:type="dxa"/>
            <w:tcBorders>
              <w:top w:val="single" w:sz="4" w:space="0" w:color="000000"/>
              <w:left w:val="single" w:sz="4" w:space="0" w:color="000000"/>
              <w:bottom w:val="single" w:sz="4" w:space="0" w:color="000000"/>
              <w:right w:val="single" w:sz="4" w:space="0" w:color="000000"/>
            </w:tcBorders>
          </w:tcPr>
          <w:p>
            <w:pPr/>
          </w:p>
        </w:tc>
        <w:tc>
          <w:tcPr>
            <w:tcW w:w="1014" w:type="dxa"/>
            <w:tcBorders>
              <w:top w:val="single" w:sz="4" w:space="0" w:color="000000"/>
              <w:left w:val="single" w:sz="4" w:space="0" w:color="000000"/>
              <w:bottom w:val="single" w:sz="4" w:space="0" w:color="000000"/>
              <w:right w:val="single" w:sz="4" w:space="0" w:color="000000"/>
            </w:tcBorders>
          </w:tcPr>
          <w:p>
            <w:pPr/>
          </w:p>
        </w:tc>
      </w:tr>
      <w:tr>
        <w:trPr>
          <w:trHeight w:val="460" w:hRule="exact"/>
        </w:trPr>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171" w:right="0"/>
              <w:jc w:val="left"/>
              <w:rPr>
                <w:rFonts w:ascii="宋体" w:hAnsi="宋体" w:cs="宋体" w:eastAsia="宋体" w:hint="default"/>
                <w:sz w:val="18"/>
                <w:szCs w:val="18"/>
              </w:rPr>
            </w:pPr>
            <w:r>
              <w:rPr>
                <w:rFonts w:ascii="宋体" w:hAnsi="宋体" w:cs="宋体" w:eastAsia="宋体" w:hint="default"/>
                <w:sz w:val="18"/>
                <w:szCs w:val="18"/>
              </w:rPr>
              <w:t>超募资金投向</w:t>
            </w:r>
          </w:p>
        </w:tc>
        <w:tc>
          <w:tcPr>
            <w:tcW w:w="1018" w:type="dxa"/>
            <w:tcBorders>
              <w:top w:val="single" w:sz="4" w:space="0" w:color="000000"/>
              <w:left w:val="single" w:sz="4" w:space="0" w:color="000000"/>
              <w:bottom w:val="single" w:sz="4" w:space="0" w:color="000000"/>
              <w:right w:val="single" w:sz="4" w:space="0" w:color="000000"/>
            </w:tcBorders>
          </w:tcPr>
          <w:p>
            <w:pPr/>
          </w:p>
        </w:tc>
        <w:tc>
          <w:tcPr>
            <w:tcW w:w="1067" w:type="dxa"/>
            <w:tcBorders>
              <w:top w:val="single" w:sz="4" w:space="0" w:color="000000"/>
              <w:left w:val="single" w:sz="4" w:space="0" w:color="000000"/>
              <w:bottom w:val="single" w:sz="4" w:space="0" w:color="000000"/>
              <w:right w:val="single" w:sz="4" w:space="0" w:color="000000"/>
            </w:tcBorders>
          </w:tcPr>
          <w:p>
            <w:pPr/>
          </w:p>
        </w:tc>
        <w:tc>
          <w:tcPr>
            <w:tcW w:w="1068" w:type="dxa"/>
            <w:tcBorders>
              <w:top w:val="single" w:sz="4" w:space="0" w:color="000000"/>
              <w:left w:val="single" w:sz="4" w:space="0" w:color="000000"/>
              <w:bottom w:val="single" w:sz="4" w:space="0" w:color="000000"/>
              <w:right w:val="single" w:sz="4" w:space="0" w:color="000000"/>
            </w:tcBorders>
          </w:tcPr>
          <w:p>
            <w:pPr/>
          </w:p>
        </w:tc>
        <w:tc>
          <w:tcPr>
            <w:tcW w:w="1068" w:type="dxa"/>
            <w:tcBorders>
              <w:top w:val="single" w:sz="4" w:space="0" w:color="000000"/>
              <w:left w:val="single" w:sz="4" w:space="0" w:color="000000"/>
              <w:bottom w:val="single" w:sz="4" w:space="0" w:color="000000"/>
              <w:right w:val="single" w:sz="4" w:space="0" w:color="000000"/>
            </w:tcBorders>
          </w:tcPr>
          <w:p>
            <w:pPr/>
          </w:p>
        </w:tc>
        <w:tc>
          <w:tcPr>
            <w:tcW w:w="1068" w:type="dxa"/>
            <w:tcBorders>
              <w:top w:val="single" w:sz="4" w:space="0" w:color="000000"/>
              <w:left w:val="single" w:sz="4" w:space="0" w:color="000000"/>
              <w:bottom w:val="single" w:sz="4" w:space="0" w:color="000000"/>
              <w:right w:val="single" w:sz="4" w:space="0" w:color="000000"/>
            </w:tcBorders>
          </w:tcPr>
          <w:p>
            <w:pPr/>
          </w:p>
        </w:tc>
        <w:tc>
          <w:tcPr>
            <w:tcW w:w="1068"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
        </w:tc>
        <w:tc>
          <w:tcPr>
            <w:tcW w:w="1057" w:type="dxa"/>
            <w:tcBorders>
              <w:top w:val="single" w:sz="4" w:space="0" w:color="000000"/>
              <w:left w:val="single" w:sz="4" w:space="0" w:color="000000"/>
              <w:bottom w:val="single" w:sz="4" w:space="0" w:color="000000"/>
              <w:right w:val="single" w:sz="4" w:space="0" w:color="000000"/>
            </w:tcBorders>
          </w:tcPr>
          <w:p>
            <w:pPr/>
          </w:p>
        </w:tc>
        <w:tc>
          <w:tcPr>
            <w:tcW w:w="1014" w:type="dxa"/>
            <w:tcBorders>
              <w:top w:val="single" w:sz="4" w:space="0" w:color="000000"/>
              <w:left w:val="single" w:sz="4" w:space="0" w:color="000000"/>
              <w:bottom w:val="single" w:sz="4" w:space="0" w:color="000000"/>
              <w:right w:val="single" w:sz="4" w:space="0" w:color="000000"/>
            </w:tcBorders>
          </w:tcPr>
          <w:p>
            <w:pPr/>
          </w:p>
        </w:tc>
        <w:tc>
          <w:tcPr>
            <w:tcW w:w="1014" w:type="dxa"/>
            <w:tcBorders>
              <w:top w:val="single" w:sz="4" w:space="0" w:color="000000"/>
              <w:left w:val="single" w:sz="4" w:space="0" w:color="000000"/>
              <w:bottom w:val="single" w:sz="4" w:space="0" w:color="000000"/>
              <w:right w:val="single" w:sz="4" w:space="0" w:color="000000"/>
            </w:tcBorders>
          </w:tcPr>
          <w:p>
            <w:pPr/>
          </w:p>
        </w:tc>
      </w:tr>
      <w:tr>
        <w:trPr>
          <w:trHeight w:val="1391" w:hRule="exact"/>
        </w:trPr>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6"/>
              <w:ind w:left="104" w:right="56"/>
              <w:jc w:val="both"/>
              <w:rPr>
                <w:rFonts w:ascii="宋体" w:hAnsi="宋体" w:cs="宋体" w:eastAsia="宋体" w:hint="default"/>
                <w:sz w:val="18"/>
                <w:szCs w:val="18"/>
              </w:rPr>
            </w:pPr>
            <w:r>
              <w:rPr>
                <w:rFonts w:ascii="宋体" w:hAnsi="宋体" w:cs="宋体" w:eastAsia="宋体" w:hint="default"/>
                <w:spacing w:val="7"/>
                <w:sz w:val="18"/>
                <w:szCs w:val="18"/>
              </w:rPr>
              <w:t>超募－1、研发 </w:t>
            </w:r>
            <w:r>
              <w:rPr>
                <w:rFonts w:ascii="宋体" w:hAnsi="宋体" w:cs="宋体" w:eastAsia="宋体" w:hint="default"/>
                <w:spacing w:val="13"/>
                <w:sz w:val="18"/>
                <w:szCs w:val="18"/>
              </w:rPr>
              <w:t>及办</w:t>
            </w:r>
            <w:r>
              <w:rPr>
                <w:rFonts w:ascii="宋体" w:hAnsi="宋体" w:cs="宋体" w:eastAsia="宋体" w:hint="default"/>
                <w:spacing w:val="-64"/>
                <w:sz w:val="18"/>
                <w:szCs w:val="18"/>
              </w:rPr>
              <w:t> </w:t>
            </w:r>
            <w:r>
              <w:rPr>
                <w:rFonts w:ascii="宋体" w:hAnsi="宋体" w:cs="宋体" w:eastAsia="宋体" w:hint="default"/>
                <w:spacing w:val="13"/>
                <w:sz w:val="18"/>
                <w:szCs w:val="18"/>
              </w:rPr>
              <w:t>公用</w:t>
            </w:r>
            <w:r>
              <w:rPr>
                <w:rFonts w:ascii="宋体" w:hAnsi="宋体" w:cs="宋体" w:eastAsia="宋体" w:hint="default"/>
                <w:spacing w:val="-64"/>
                <w:sz w:val="18"/>
                <w:szCs w:val="18"/>
              </w:rPr>
              <w:t> </w:t>
            </w:r>
            <w:r>
              <w:rPr>
                <w:rFonts w:ascii="宋体" w:hAnsi="宋体" w:cs="宋体" w:eastAsia="宋体" w:hint="default"/>
                <w:sz w:val="18"/>
                <w:szCs w:val="18"/>
              </w:rPr>
              <w:t>房</w:t>
            </w:r>
            <w:r>
              <w:rPr>
                <w:rFonts w:ascii="宋体" w:hAnsi="宋体" w:cs="宋体" w:eastAsia="宋体" w:hint="default"/>
                <w:spacing w:val="-64"/>
                <w:sz w:val="18"/>
                <w:szCs w:val="18"/>
              </w:rPr>
              <w:t> </w:t>
            </w:r>
            <w:r>
              <w:rPr>
                <w:rFonts w:ascii="宋体" w:hAnsi="宋体" w:cs="宋体" w:eastAsia="宋体" w:hint="default"/>
                <w:sz w:val="18"/>
                <w:szCs w:val="18"/>
              </w:rPr>
              <w:t>的</w:t>
            </w:r>
            <w:r>
              <w:rPr>
                <w:rFonts w:ascii="宋体" w:hAnsi="宋体" w:cs="宋体" w:eastAsia="宋体" w:hint="default"/>
                <w:sz w:val="18"/>
                <w:szCs w:val="18"/>
              </w:rPr>
              <w:t> </w:t>
            </w:r>
            <w:r>
              <w:rPr>
                <w:rFonts w:ascii="宋体" w:hAnsi="宋体" w:cs="宋体" w:eastAsia="宋体" w:hint="default"/>
                <w:spacing w:val="-7"/>
                <w:sz w:val="18"/>
                <w:szCs w:val="18"/>
              </w:rPr>
              <w:t>建设（北辰首作</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大厦</w:t>
            </w:r>
            <w:r>
              <w:rPr>
                <w:rFonts w:ascii="宋体" w:hAnsi="宋体" w:cs="宋体" w:eastAsia="宋体" w:hint="default"/>
                <w:spacing w:val="-46"/>
                <w:sz w:val="18"/>
                <w:szCs w:val="18"/>
              </w:rPr>
              <w:t> </w:t>
            </w:r>
            <w:r>
              <w:rPr>
                <w:rFonts w:ascii="宋体" w:hAnsi="宋体" w:cs="宋体" w:eastAsia="宋体" w:hint="default"/>
                <w:sz w:val="18"/>
                <w:szCs w:val="18"/>
              </w:rPr>
              <w:t>7－14</w:t>
            </w:r>
            <w:r>
              <w:rPr>
                <w:rFonts w:ascii="宋体" w:hAnsi="宋体" w:cs="宋体" w:eastAsia="宋体" w:hint="default"/>
                <w:spacing w:val="-46"/>
                <w:sz w:val="18"/>
                <w:szCs w:val="18"/>
              </w:rPr>
              <w:t> </w:t>
            </w:r>
            <w:r>
              <w:rPr>
                <w:rFonts w:ascii="宋体" w:hAnsi="宋体" w:cs="宋体" w:eastAsia="宋体" w:hint="default"/>
                <w:sz w:val="18"/>
                <w:szCs w:val="18"/>
              </w:rPr>
              <w:t>层）</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0"/>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0"/>
              <w:ind w:left="40" w:right="0"/>
              <w:jc w:val="center"/>
              <w:rPr>
                <w:rFonts w:ascii="宋体" w:hAnsi="宋体" w:cs="宋体" w:eastAsia="宋体" w:hint="default"/>
                <w:sz w:val="18"/>
                <w:szCs w:val="18"/>
              </w:rPr>
            </w:pPr>
            <w:r>
              <w:rPr>
                <w:rFonts w:ascii="宋体"/>
                <w:sz w:val="18"/>
              </w:rPr>
              <w:t>25,453.85</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0"/>
              <w:ind w:right="101"/>
              <w:jc w:val="right"/>
              <w:rPr>
                <w:rFonts w:ascii="宋体" w:hAnsi="宋体" w:cs="宋体" w:eastAsia="宋体" w:hint="default"/>
                <w:sz w:val="18"/>
                <w:szCs w:val="18"/>
              </w:rPr>
            </w:pPr>
            <w:r>
              <w:rPr>
                <w:rFonts w:ascii="宋体"/>
                <w:sz w:val="18"/>
              </w:rPr>
              <w:t>25,453.85</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0"/>
              <w:ind w:right="101"/>
              <w:jc w:val="right"/>
              <w:rPr>
                <w:rFonts w:ascii="宋体" w:hAnsi="宋体" w:cs="宋体" w:eastAsia="宋体" w:hint="default"/>
                <w:sz w:val="18"/>
                <w:szCs w:val="18"/>
              </w:rPr>
            </w:pPr>
            <w:r>
              <w:rPr>
                <w:rFonts w:ascii="宋体"/>
                <w:sz w:val="18"/>
              </w:rPr>
              <w:t>25,453.85</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0"/>
              <w:ind w:left="41" w:right="0"/>
              <w:jc w:val="center"/>
              <w:rPr>
                <w:rFonts w:ascii="宋体" w:hAnsi="宋体" w:cs="宋体" w:eastAsia="宋体" w:hint="default"/>
                <w:sz w:val="18"/>
                <w:szCs w:val="18"/>
              </w:rPr>
            </w:pPr>
            <w:r>
              <w:rPr>
                <w:rFonts w:ascii="宋体"/>
                <w:sz w:val="18"/>
              </w:rPr>
              <w:t>20,996.71</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0"/>
              <w:ind w:right="101"/>
              <w:jc w:val="right"/>
              <w:rPr>
                <w:rFonts w:ascii="宋体" w:hAnsi="宋体" w:cs="宋体" w:eastAsia="宋体" w:hint="default"/>
                <w:sz w:val="18"/>
                <w:szCs w:val="18"/>
              </w:rPr>
            </w:pPr>
            <w:r>
              <w:rPr>
                <w:rFonts w:ascii="宋体"/>
                <w:sz w:val="18"/>
              </w:rPr>
              <w:t>20,996.71</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0"/>
              <w:ind w:right="100"/>
              <w:jc w:val="right"/>
              <w:rPr>
                <w:rFonts w:ascii="宋体" w:hAnsi="宋体" w:cs="宋体" w:eastAsia="宋体" w:hint="default"/>
                <w:sz w:val="18"/>
                <w:szCs w:val="18"/>
              </w:rPr>
            </w:pPr>
            <w:r>
              <w:rPr>
                <w:rFonts w:ascii="宋体"/>
                <w:sz w:val="18"/>
              </w:rPr>
              <w:t>-4,457.14</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0"/>
              <w:ind w:right="101"/>
              <w:jc w:val="right"/>
              <w:rPr>
                <w:rFonts w:ascii="宋体" w:hAnsi="宋体" w:cs="宋体" w:eastAsia="宋体" w:hint="default"/>
                <w:sz w:val="18"/>
                <w:szCs w:val="18"/>
              </w:rPr>
            </w:pPr>
            <w:r>
              <w:rPr>
                <w:rFonts w:ascii="宋体"/>
                <w:sz w:val="18"/>
              </w:rPr>
              <w:t>82.49</w:t>
            </w:r>
          </w:p>
        </w:tc>
        <w:tc>
          <w:tcPr>
            <w:tcW w:w="998" w:type="dxa"/>
            <w:tcBorders>
              <w:top w:val="single" w:sz="4" w:space="0" w:color="000000"/>
              <w:left w:val="single" w:sz="4" w:space="0" w:color="000000"/>
              <w:bottom w:val="single" w:sz="4" w:space="0" w:color="000000"/>
              <w:right w:val="single" w:sz="4" w:space="0" w:color="000000"/>
            </w:tcBorders>
          </w:tcPr>
          <w:p>
            <w:pPr/>
          </w:p>
        </w:tc>
        <w:tc>
          <w:tcPr>
            <w:tcW w:w="1057" w:type="dxa"/>
            <w:tcBorders>
              <w:top w:val="single" w:sz="4" w:space="0" w:color="000000"/>
              <w:left w:val="single" w:sz="4" w:space="0" w:color="000000"/>
              <w:bottom w:val="single" w:sz="4" w:space="0" w:color="000000"/>
              <w:right w:val="single" w:sz="4" w:space="0" w:color="000000"/>
            </w:tcBorders>
          </w:tcPr>
          <w:p>
            <w:pPr/>
          </w:p>
        </w:tc>
        <w:tc>
          <w:tcPr>
            <w:tcW w:w="1014" w:type="dxa"/>
            <w:tcBorders>
              <w:top w:val="single" w:sz="4" w:space="0" w:color="000000"/>
              <w:left w:val="single" w:sz="4" w:space="0" w:color="000000"/>
              <w:bottom w:val="single" w:sz="4" w:space="0" w:color="000000"/>
              <w:right w:val="single" w:sz="4" w:space="0" w:color="000000"/>
            </w:tcBorders>
          </w:tcPr>
          <w:p>
            <w:pPr/>
          </w:p>
        </w:tc>
        <w:tc>
          <w:tcPr>
            <w:tcW w:w="1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0"/>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1570" w:hRule="exact"/>
        </w:trPr>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4" w:right="95"/>
              <w:jc w:val="both"/>
              <w:rPr>
                <w:rFonts w:ascii="宋体" w:hAnsi="宋体" w:cs="宋体" w:eastAsia="宋体" w:hint="default"/>
                <w:sz w:val="18"/>
                <w:szCs w:val="18"/>
              </w:rPr>
            </w:pPr>
            <w:r>
              <w:rPr>
                <w:rFonts w:ascii="宋体" w:hAnsi="宋体" w:cs="宋体" w:eastAsia="宋体" w:hint="default"/>
                <w:spacing w:val="7"/>
                <w:sz w:val="18"/>
                <w:szCs w:val="18"/>
              </w:rPr>
              <w:t>超募－2、收购 </w:t>
            </w:r>
            <w:r>
              <w:rPr>
                <w:rFonts w:ascii="宋体" w:hAnsi="宋体" w:cs="宋体" w:eastAsia="宋体" w:hint="default"/>
                <w:spacing w:val="13"/>
                <w:sz w:val="18"/>
                <w:szCs w:val="18"/>
              </w:rPr>
              <w:t>大连</w:t>
            </w:r>
            <w:r>
              <w:rPr>
                <w:rFonts w:ascii="宋体" w:hAnsi="宋体" w:cs="宋体" w:eastAsia="宋体" w:hint="default"/>
                <w:spacing w:val="-64"/>
                <w:sz w:val="18"/>
                <w:szCs w:val="18"/>
              </w:rPr>
              <w:t> </w:t>
            </w:r>
            <w:r>
              <w:rPr>
                <w:rFonts w:ascii="宋体" w:hAnsi="宋体" w:cs="宋体" w:eastAsia="宋体" w:hint="default"/>
                <w:spacing w:val="13"/>
                <w:sz w:val="18"/>
                <w:szCs w:val="18"/>
              </w:rPr>
              <w:t>华信</w:t>
            </w:r>
            <w:r>
              <w:rPr>
                <w:rFonts w:ascii="宋体" w:hAnsi="宋体" w:cs="宋体" w:eastAsia="宋体" w:hint="default"/>
                <w:spacing w:val="-64"/>
                <w:sz w:val="18"/>
                <w:szCs w:val="18"/>
              </w:rPr>
              <w:t> </w:t>
            </w:r>
            <w:r>
              <w:rPr>
                <w:rFonts w:ascii="宋体" w:hAnsi="宋体" w:cs="宋体" w:eastAsia="宋体" w:hint="default"/>
                <w:sz w:val="18"/>
                <w:szCs w:val="18"/>
              </w:rPr>
              <w:t>计</w:t>
            </w:r>
            <w:r>
              <w:rPr>
                <w:rFonts w:ascii="宋体" w:hAnsi="宋体" w:cs="宋体" w:eastAsia="宋体" w:hint="default"/>
                <w:spacing w:val="-64"/>
                <w:sz w:val="18"/>
                <w:szCs w:val="18"/>
              </w:rPr>
              <w:t> </w:t>
            </w:r>
            <w:r>
              <w:rPr>
                <w:rFonts w:ascii="宋体" w:hAnsi="宋体" w:cs="宋体" w:eastAsia="宋体" w:hint="default"/>
                <w:sz w:val="18"/>
                <w:szCs w:val="18"/>
              </w:rPr>
              <w:t>算</w:t>
            </w:r>
            <w:r>
              <w:rPr>
                <w:rFonts w:ascii="宋体" w:hAnsi="宋体" w:cs="宋体" w:eastAsia="宋体" w:hint="default"/>
                <w:sz w:val="18"/>
                <w:szCs w:val="18"/>
              </w:rPr>
              <w:t> </w:t>
            </w:r>
            <w:r>
              <w:rPr>
                <w:rFonts w:ascii="宋体" w:hAnsi="宋体" w:cs="宋体" w:eastAsia="宋体" w:hint="default"/>
                <w:spacing w:val="13"/>
                <w:sz w:val="18"/>
                <w:szCs w:val="18"/>
              </w:rPr>
              <w:t>机技</w:t>
            </w:r>
            <w:r>
              <w:rPr>
                <w:rFonts w:ascii="宋体" w:hAnsi="宋体" w:cs="宋体" w:eastAsia="宋体" w:hint="default"/>
                <w:spacing w:val="-64"/>
                <w:sz w:val="18"/>
                <w:szCs w:val="18"/>
              </w:rPr>
              <w:t> </w:t>
            </w:r>
            <w:r>
              <w:rPr>
                <w:rFonts w:ascii="宋体" w:hAnsi="宋体" w:cs="宋体" w:eastAsia="宋体" w:hint="default"/>
                <w:spacing w:val="13"/>
                <w:sz w:val="18"/>
                <w:szCs w:val="18"/>
              </w:rPr>
              <w:t>术股</w:t>
            </w:r>
            <w:r>
              <w:rPr>
                <w:rFonts w:ascii="宋体" w:hAnsi="宋体" w:cs="宋体" w:eastAsia="宋体" w:hint="default"/>
                <w:spacing w:val="-64"/>
                <w:sz w:val="18"/>
                <w:szCs w:val="18"/>
              </w:rPr>
              <w:t> </w:t>
            </w:r>
            <w:r>
              <w:rPr>
                <w:rFonts w:ascii="宋体" w:hAnsi="宋体" w:cs="宋体" w:eastAsia="宋体" w:hint="default"/>
                <w:sz w:val="18"/>
                <w:szCs w:val="18"/>
              </w:rPr>
              <w:t>份</w:t>
            </w:r>
            <w:r>
              <w:rPr>
                <w:rFonts w:ascii="宋体" w:hAnsi="宋体" w:cs="宋体" w:eastAsia="宋体" w:hint="default"/>
                <w:spacing w:val="-64"/>
                <w:sz w:val="18"/>
                <w:szCs w:val="18"/>
              </w:rPr>
              <w:t> </w:t>
            </w:r>
            <w:r>
              <w:rPr>
                <w:rFonts w:ascii="宋体" w:hAnsi="宋体" w:cs="宋体" w:eastAsia="宋体" w:hint="default"/>
                <w:sz w:val="18"/>
                <w:szCs w:val="18"/>
              </w:rPr>
              <w:t>有</w:t>
            </w:r>
            <w:r>
              <w:rPr>
                <w:rFonts w:ascii="宋体" w:hAnsi="宋体" w:cs="宋体" w:eastAsia="宋体" w:hint="default"/>
                <w:sz w:val="18"/>
                <w:szCs w:val="18"/>
              </w:rPr>
              <w:t> </w:t>
            </w:r>
            <w:r>
              <w:rPr>
                <w:rFonts w:ascii="宋体" w:hAnsi="宋体" w:cs="宋体" w:eastAsia="宋体" w:hint="default"/>
                <w:spacing w:val="13"/>
                <w:sz w:val="18"/>
                <w:szCs w:val="18"/>
              </w:rPr>
              <w:t>限公</w:t>
            </w:r>
            <w:r>
              <w:rPr>
                <w:rFonts w:ascii="宋体" w:hAnsi="宋体" w:cs="宋体" w:eastAsia="宋体" w:hint="default"/>
                <w:spacing w:val="-64"/>
                <w:sz w:val="18"/>
                <w:szCs w:val="18"/>
              </w:rPr>
              <w:t> </w:t>
            </w:r>
            <w:r>
              <w:rPr>
                <w:rFonts w:ascii="宋体" w:hAnsi="宋体" w:cs="宋体" w:eastAsia="宋体" w:hint="default"/>
                <w:spacing w:val="13"/>
                <w:sz w:val="18"/>
                <w:szCs w:val="18"/>
              </w:rPr>
              <w:t>司部</w:t>
            </w:r>
            <w:r>
              <w:rPr>
                <w:rFonts w:ascii="宋体" w:hAnsi="宋体" w:cs="宋体" w:eastAsia="宋体" w:hint="default"/>
                <w:spacing w:val="-64"/>
                <w:sz w:val="18"/>
                <w:szCs w:val="18"/>
              </w:rPr>
              <w:t> </w:t>
            </w:r>
            <w:r>
              <w:rPr>
                <w:rFonts w:ascii="宋体" w:hAnsi="宋体" w:cs="宋体" w:eastAsia="宋体" w:hint="default"/>
                <w:sz w:val="18"/>
                <w:szCs w:val="18"/>
              </w:rPr>
              <w:t>分</w:t>
            </w:r>
            <w:r>
              <w:rPr>
                <w:rFonts w:ascii="宋体" w:hAnsi="宋体" w:cs="宋体" w:eastAsia="宋体" w:hint="default"/>
                <w:spacing w:val="-64"/>
                <w:sz w:val="18"/>
                <w:szCs w:val="18"/>
              </w:rPr>
              <w:t> </w:t>
            </w:r>
            <w:r>
              <w:rPr>
                <w:rFonts w:ascii="宋体" w:hAnsi="宋体" w:cs="宋体" w:eastAsia="宋体" w:hint="default"/>
                <w:sz w:val="18"/>
                <w:szCs w:val="18"/>
              </w:rPr>
              <w:t>股</w:t>
            </w:r>
            <w:r>
              <w:rPr>
                <w:rFonts w:ascii="宋体" w:hAnsi="宋体" w:cs="宋体" w:eastAsia="宋体" w:hint="default"/>
                <w:sz w:val="18"/>
                <w:szCs w:val="18"/>
              </w:rPr>
              <w:t> 权</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left="130" w:right="0"/>
              <w:jc w:val="center"/>
              <w:rPr>
                <w:rFonts w:ascii="宋体" w:hAnsi="宋体" w:cs="宋体" w:eastAsia="宋体" w:hint="default"/>
                <w:sz w:val="18"/>
                <w:szCs w:val="18"/>
              </w:rPr>
            </w:pPr>
            <w:r>
              <w:rPr>
                <w:rFonts w:ascii="宋体"/>
                <w:sz w:val="18"/>
              </w:rPr>
              <w:t>7,230.38</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right="101"/>
              <w:jc w:val="right"/>
              <w:rPr>
                <w:rFonts w:ascii="宋体" w:hAnsi="宋体" w:cs="宋体" w:eastAsia="宋体" w:hint="default"/>
                <w:sz w:val="18"/>
                <w:szCs w:val="18"/>
              </w:rPr>
            </w:pPr>
            <w:r>
              <w:rPr>
                <w:rFonts w:ascii="宋体"/>
                <w:sz w:val="18"/>
              </w:rPr>
              <w:t>7,230.38</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right="101"/>
              <w:jc w:val="right"/>
              <w:rPr>
                <w:rFonts w:ascii="宋体" w:hAnsi="宋体" w:cs="宋体" w:eastAsia="宋体" w:hint="default"/>
                <w:sz w:val="18"/>
                <w:szCs w:val="18"/>
              </w:rPr>
            </w:pPr>
            <w:r>
              <w:rPr>
                <w:rFonts w:ascii="宋体"/>
                <w:sz w:val="18"/>
              </w:rPr>
              <w:t>7,230.38</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left="131" w:right="0"/>
              <w:jc w:val="center"/>
              <w:rPr>
                <w:rFonts w:ascii="宋体" w:hAnsi="宋体" w:cs="宋体" w:eastAsia="宋体" w:hint="default"/>
                <w:sz w:val="18"/>
                <w:szCs w:val="18"/>
              </w:rPr>
            </w:pPr>
            <w:r>
              <w:rPr>
                <w:rFonts w:ascii="宋体"/>
                <w:sz w:val="18"/>
              </w:rPr>
              <w:t>7,230.38</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right="101"/>
              <w:jc w:val="right"/>
              <w:rPr>
                <w:rFonts w:ascii="宋体" w:hAnsi="宋体" w:cs="宋体" w:eastAsia="宋体" w:hint="default"/>
                <w:sz w:val="18"/>
                <w:szCs w:val="18"/>
              </w:rPr>
            </w:pPr>
            <w:r>
              <w:rPr>
                <w:rFonts w:ascii="宋体"/>
                <w:sz w:val="18"/>
              </w:rPr>
              <w:t>7,230.38</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100"/>
              <w:jc w:val="right"/>
              <w:rPr>
                <w:rFonts w:ascii="宋体" w:hAnsi="宋体" w:cs="宋体" w:eastAsia="宋体" w:hint="default"/>
                <w:sz w:val="18"/>
                <w:szCs w:val="18"/>
              </w:rPr>
            </w:pPr>
            <w:r>
              <w:rPr>
                <w:rFonts w:ascii="宋体"/>
                <w:sz w:val="18"/>
              </w:rPr>
              <w:t>-</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right="101"/>
              <w:jc w:val="right"/>
              <w:rPr>
                <w:rFonts w:ascii="宋体" w:hAnsi="宋体" w:cs="宋体" w:eastAsia="宋体" w:hint="default"/>
                <w:sz w:val="18"/>
                <w:szCs w:val="18"/>
              </w:rPr>
            </w:pPr>
            <w:r>
              <w:rPr>
                <w:rFonts w:ascii="宋体"/>
                <w:sz w:val="18"/>
              </w:rPr>
              <w:t>100</w:t>
            </w:r>
          </w:p>
        </w:tc>
        <w:tc>
          <w:tcPr>
            <w:tcW w:w="998" w:type="dxa"/>
            <w:tcBorders>
              <w:top w:val="single" w:sz="4" w:space="0" w:color="000000"/>
              <w:left w:val="single" w:sz="4" w:space="0" w:color="000000"/>
              <w:bottom w:val="single" w:sz="4" w:space="0" w:color="000000"/>
              <w:right w:val="single" w:sz="4" w:space="0" w:color="000000"/>
            </w:tcBorders>
          </w:tcPr>
          <w:p>
            <w:pP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right="101"/>
              <w:jc w:val="right"/>
              <w:rPr>
                <w:rFonts w:ascii="宋体" w:hAnsi="宋体" w:cs="宋体" w:eastAsia="宋体" w:hint="default"/>
                <w:sz w:val="18"/>
                <w:szCs w:val="18"/>
              </w:rPr>
            </w:pPr>
            <w:r>
              <w:rPr>
                <w:rFonts w:ascii="宋体"/>
                <w:sz w:val="18"/>
              </w:rPr>
              <w:t>353.08</w:t>
            </w:r>
          </w:p>
        </w:tc>
        <w:tc>
          <w:tcPr>
            <w:tcW w:w="1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是</w:t>
            </w:r>
          </w:p>
        </w:tc>
        <w:tc>
          <w:tcPr>
            <w:tcW w:w="1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1258" w:hRule="exact"/>
        </w:trPr>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4" w:right="11"/>
              <w:jc w:val="both"/>
              <w:rPr>
                <w:rFonts w:ascii="宋体" w:hAnsi="宋体" w:cs="宋体" w:eastAsia="宋体" w:hint="default"/>
                <w:sz w:val="18"/>
                <w:szCs w:val="18"/>
              </w:rPr>
            </w:pPr>
            <w:r>
              <w:rPr>
                <w:rFonts w:ascii="宋体" w:hAnsi="宋体" w:cs="宋体" w:eastAsia="宋体" w:hint="default"/>
                <w:spacing w:val="7"/>
                <w:sz w:val="18"/>
                <w:szCs w:val="18"/>
              </w:rPr>
              <w:t>超募－3、对外 </w:t>
            </w:r>
            <w:r>
              <w:rPr>
                <w:rFonts w:ascii="宋体" w:hAnsi="宋体" w:cs="宋体" w:eastAsia="宋体" w:hint="default"/>
                <w:spacing w:val="13"/>
                <w:sz w:val="18"/>
                <w:szCs w:val="18"/>
              </w:rPr>
              <w:t>投资</w:t>
            </w:r>
            <w:r>
              <w:rPr>
                <w:rFonts w:ascii="宋体" w:hAnsi="宋体" w:cs="宋体" w:eastAsia="宋体" w:hint="default"/>
                <w:spacing w:val="-64"/>
                <w:sz w:val="18"/>
                <w:szCs w:val="18"/>
              </w:rPr>
              <w:t> </w:t>
            </w:r>
            <w:r>
              <w:rPr>
                <w:rFonts w:ascii="宋体" w:hAnsi="宋体" w:cs="宋体" w:eastAsia="宋体" w:hint="default"/>
                <w:spacing w:val="13"/>
                <w:sz w:val="18"/>
                <w:szCs w:val="18"/>
              </w:rPr>
              <w:t>设立</w:t>
            </w:r>
            <w:r>
              <w:rPr>
                <w:rFonts w:ascii="宋体" w:hAnsi="宋体" w:cs="宋体" w:eastAsia="宋体" w:hint="default"/>
                <w:spacing w:val="-64"/>
                <w:sz w:val="18"/>
                <w:szCs w:val="18"/>
              </w:rPr>
              <w:t> </w:t>
            </w:r>
            <w:r>
              <w:rPr>
                <w:rFonts w:ascii="宋体" w:hAnsi="宋体" w:cs="宋体" w:eastAsia="宋体" w:hint="default"/>
                <w:sz w:val="18"/>
                <w:szCs w:val="18"/>
              </w:rPr>
              <w:t>重</w:t>
            </w:r>
            <w:r>
              <w:rPr>
                <w:rFonts w:ascii="宋体" w:hAnsi="宋体" w:cs="宋体" w:eastAsia="宋体" w:hint="default"/>
                <w:spacing w:val="-64"/>
                <w:sz w:val="18"/>
                <w:szCs w:val="18"/>
              </w:rPr>
              <w:t> </w:t>
            </w:r>
            <w:r>
              <w:rPr>
                <w:rFonts w:ascii="宋体" w:hAnsi="宋体" w:cs="宋体" w:eastAsia="宋体" w:hint="default"/>
                <w:sz w:val="18"/>
                <w:szCs w:val="18"/>
              </w:rPr>
              <w:t>庆</w:t>
            </w:r>
            <w:r>
              <w:rPr>
                <w:rFonts w:ascii="宋体" w:hAnsi="宋体" w:cs="宋体" w:eastAsia="宋体" w:hint="default"/>
                <w:sz w:val="18"/>
                <w:szCs w:val="18"/>
              </w:rPr>
              <w:t> </w:t>
            </w:r>
            <w:r>
              <w:rPr>
                <w:rFonts w:ascii="宋体" w:hAnsi="宋体" w:cs="宋体" w:eastAsia="宋体" w:hint="default"/>
                <w:spacing w:val="13"/>
                <w:sz w:val="18"/>
                <w:szCs w:val="18"/>
              </w:rPr>
              <w:t>新媒</w:t>
            </w:r>
            <w:r>
              <w:rPr>
                <w:rFonts w:ascii="宋体" w:hAnsi="宋体" w:cs="宋体" w:eastAsia="宋体" w:hint="default"/>
                <w:spacing w:val="-64"/>
                <w:sz w:val="18"/>
                <w:szCs w:val="18"/>
              </w:rPr>
              <w:t> </w:t>
            </w:r>
            <w:r>
              <w:rPr>
                <w:rFonts w:ascii="宋体" w:hAnsi="宋体" w:cs="宋体" w:eastAsia="宋体" w:hint="default"/>
                <w:spacing w:val="13"/>
                <w:sz w:val="18"/>
                <w:szCs w:val="18"/>
              </w:rPr>
              <w:t>农信</w:t>
            </w:r>
            <w:r>
              <w:rPr>
                <w:rFonts w:ascii="宋体" w:hAnsi="宋体" w:cs="宋体" w:eastAsia="宋体" w:hint="default"/>
                <w:spacing w:val="-64"/>
                <w:sz w:val="18"/>
                <w:szCs w:val="18"/>
              </w:rPr>
              <w:t> </w:t>
            </w:r>
            <w:r>
              <w:rPr>
                <w:rFonts w:ascii="宋体" w:hAnsi="宋体" w:cs="宋体" w:eastAsia="宋体" w:hint="default"/>
                <w:sz w:val="18"/>
                <w:szCs w:val="18"/>
              </w:rPr>
              <w:t>科</w:t>
            </w:r>
            <w:r>
              <w:rPr>
                <w:rFonts w:ascii="宋体" w:hAnsi="宋体" w:cs="宋体" w:eastAsia="宋体" w:hint="default"/>
                <w:spacing w:val="-64"/>
                <w:sz w:val="18"/>
                <w:szCs w:val="18"/>
              </w:rPr>
              <w:t> </w:t>
            </w:r>
            <w:r>
              <w:rPr>
                <w:rFonts w:ascii="宋体" w:hAnsi="宋体" w:cs="宋体" w:eastAsia="宋体" w:hint="default"/>
                <w:sz w:val="18"/>
                <w:szCs w:val="18"/>
              </w:rPr>
              <w:t>技</w:t>
            </w:r>
            <w:r>
              <w:rPr>
                <w:rFonts w:ascii="宋体" w:hAnsi="宋体" w:cs="宋体" w:eastAsia="宋体" w:hint="default"/>
                <w:sz w:val="18"/>
                <w:szCs w:val="18"/>
              </w:rPr>
              <w:t> </w:t>
            </w:r>
            <w:r>
              <w:rPr>
                <w:rFonts w:ascii="宋体" w:hAnsi="宋体" w:cs="宋体" w:eastAsia="宋体" w:hint="default"/>
                <w:spacing w:val="-15"/>
                <w:sz w:val="18"/>
                <w:szCs w:val="18"/>
              </w:rPr>
              <w:t>有限公司（注</w:t>
            </w:r>
            <w:r>
              <w:rPr>
                <w:rFonts w:ascii="宋体" w:hAnsi="宋体" w:cs="宋体" w:eastAsia="宋体" w:hint="default"/>
                <w:spacing w:val="-46"/>
                <w:sz w:val="18"/>
                <w:szCs w:val="18"/>
              </w:rPr>
              <w:t> </w:t>
            </w:r>
            <w:r>
              <w:rPr>
                <w:rFonts w:ascii="宋体" w:hAnsi="宋体" w:cs="宋体" w:eastAsia="宋体" w:hint="default"/>
                <w:sz w:val="18"/>
                <w:szCs w:val="18"/>
              </w:rPr>
              <w:t>2）</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left="40" w:right="0"/>
              <w:jc w:val="center"/>
              <w:rPr>
                <w:rFonts w:ascii="宋体" w:hAnsi="宋体" w:cs="宋体" w:eastAsia="宋体" w:hint="default"/>
                <w:sz w:val="18"/>
                <w:szCs w:val="18"/>
              </w:rPr>
            </w:pPr>
            <w:r>
              <w:rPr>
                <w:rFonts w:ascii="宋体"/>
                <w:sz w:val="18"/>
              </w:rPr>
              <w:t>10,330.00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right="101"/>
              <w:jc w:val="right"/>
              <w:rPr>
                <w:rFonts w:ascii="宋体" w:hAnsi="宋体" w:cs="宋体" w:eastAsia="宋体" w:hint="default"/>
                <w:sz w:val="18"/>
                <w:szCs w:val="18"/>
              </w:rPr>
            </w:pPr>
            <w:r>
              <w:rPr>
                <w:rFonts w:ascii="宋体"/>
                <w:sz w:val="18"/>
              </w:rPr>
              <w:t>10,330.00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right="101"/>
              <w:jc w:val="right"/>
              <w:rPr>
                <w:rFonts w:ascii="宋体" w:hAnsi="宋体" w:cs="宋体" w:eastAsia="宋体" w:hint="default"/>
                <w:sz w:val="18"/>
                <w:szCs w:val="18"/>
              </w:rPr>
            </w:pPr>
            <w:r>
              <w:rPr>
                <w:rFonts w:ascii="宋体"/>
                <w:sz w:val="18"/>
              </w:rPr>
              <w:t>10,330.00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left="131" w:right="0"/>
              <w:jc w:val="center"/>
              <w:rPr>
                <w:rFonts w:ascii="宋体" w:hAnsi="宋体" w:cs="宋体" w:eastAsia="宋体" w:hint="default"/>
                <w:sz w:val="18"/>
                <w:szCs w:val="18"/>
              </w:rPr>
            </w:pPr>
            <w:r>
              <w:rPr>
                <w:rFonts w:ascii="宋体"/>
                <w:sz w:val="18"/>
              </w:rPr>
              <w:t>1,341.53</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right="101"/>
              <w:jc w:val="right"/>
              <w:rPr>
                <w:rFonts w:ascii="宋体" w:hAnsi="宋体" w:cs="宋体" w:eastAsia="宋体" w:hint="default"/>
                <w:sz w:val="18"/>
                <w:szCs w:val="18"/>
              </w:rPr>
            </w:pPr>
            <w:r>
              <w:rPr>
                <w:rFonts w:ascii="宋体"/>
                <w:sz w:val="18"/>
              </w:rPr>
              <w:t>1,341.53</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right="100"/>
              <w:jc w:val="right"/>
              <w:rPr>
                <w:rFonts w:ascii="宋体" w:hAnsi="宋体" w:cs="宋体" w:eastAsia="宋体" w:hint="default"/>
                <w:sz w:val="18"/>
                <w:szCs w:val="18"/>
              </w:rPr>
            </w:pPr>
            <w:r>
              <w:rPr>
                <w:rFonts w:ascii="宋体"/>
                <w:sz w:val="18"/>
              </w:rPr>
              <w:t>-8,988.47</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right="101"/>
              <w:jc w:val="right"/>
              <w:rPr>
                <w:rFonts w:ascii="宋体" w:hAnsi="宋体" w:cs="宋体" w:eastAsia="宋体" w:hint="default"/>
                <w:sz w:val="18"/>
                <w:szCs w:val="18"/>
              </w:rPr>
            </w:pPr>
            <w:r>
              <w:rPr>
                <w:rFonts w:ascii="宋体"/>
                <w:sz w:val="18"/>
              </w:rPr>
              <w:t>12.99</w:t>
            </w:r>
          </w:p>
        </w:tc>
        <w:tc>
          <w:tcPr>
            <w:tcW w:w="998" w:type="dxa"/>
            <w:tcBorders>
              <w:top w:val="single" w:sz="4" w:space="0" w:color="000000"/>
              <w:left w:val="single" w:sz="4" w:space="0" w:color="000000"/>
              <w:bottom w:val="single" w:sz="4" w:space="0" w:color="000000"/>
              <w:right w:val="single" w:sz="4" w:space="0" w:color="000000"/>
            </w:tcBorders>
          </w:tcPr>
          <w:p>
            <w:pPr/>
          </w:p>
        </w:tc>
        <w:tc>
          <w:tcPr>
            <w:tcW w:w="1057" w:type="dxa"/>
            <w:tcBorders>
              <w:top w:val="single" w:sz="4" w:space="0" w:color="000000"/>
              <w:left w:val="single" w:sz="4" w:space="0" w:color="000000"/>
              <w:bottom w:val="single" w:sz="4" w:space="0" w:color="000000"/>
              <w:right w:val="single" w:sz="4" w:space="0" w:color="000000"/>
            </w:tcBorders>
          </w:tcPr>
          <w:p>
            <w:pPr/>
          </w:p>
        </w:tc>
        <w:tc>
          <w:tcPr>
            <w:tcW w:w="1014" w:type="dxa"/>
            <w:tcBorders>
              <w:top w:val="single" w:sz="4" w:space="0" w:color="000000"/>
              <w:left w:val="single" w:sz="4" w:space="0" w:color="000000"/>
              <w:bottom w:val="single" w:sz="4" w:space="0" w:color="000000"/>
              <w:right w:val="single" w:sz="4" w:space="0" w:color="000000"/>
            </w:tcBorders>
          </w:tcPr>
          <w:p>
            <w:pPr/>
          </w:p>
        </w:tc>
        <w:tc>
          <w:tcPr>
            <w:tcW w:w="1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635" w:hRule="exact"/>
        </w:trPr>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4" w:right="95"/>
              <w:jc w:val="left"/>
              <w:rPr>
                <w:rFonts w:ascii="宋体" w:hAnsi="宋体" w:cs="宋体" w:eastAsia="宋体" w:hint="default"/>
                <w:sz w:val="18"/>
                <w:szCs w:val="18"/>
              </w:rPr>
            </w:pPr>
            <w:r>
              <w:rPr>
                <w:rFonts w:ascii="宋体" w:hAnsi="宋体" w:cs="宋体" w:eastAsia="宋体" w:hint="default"/>
                <w:spacing w:val="7"/>
                <w:sz w:val="18"/>
                <w:szCs w:val="18"/>
              </w:rPr>
              <w:t>超募－4、收购 </w:t>
            </w:r>
            <w:r>
              <w:rPr>
                <w:rFonts w:ascii="宋体" w:hAnsi="宋体" w:cs="宋体" w:eastAsia="宋体" w:hint="default"/>
                <w:sz w:val="18"/>
                <w:szCs w:val="18"/>
              </w:rPr>
              <w:t>友联创新</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30" w:right="0"/>
              <w:jc w:val="center"/>
              <w:rPr>
                <w:rFonts w:ascii="宋体" w:hAnsi="宋体" w:cs="宋体" w:eastAsia="宋体" w:hint="default"/>
                <w:sz w:val="18"/>
                <w:szCs w:val="18"/>
              </w:rPr>
            </w:pPr>
            <w:r>
              <w:rPr>
                <w:rFonts w:ascii="宋体"/>
                <w:sz w:val="18"/>
              </w:rPr>
              <w:t>5,900.00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宋体" w:hAnsi="宋体" w:cs="宋体" w:eastAsia="宋体" w:hint="default"/>
                <w:sz w:val="18"/>
                <w:szCs w:val="18"/>
              </w:rPr>
            </w:pPr>
            <w:r>
              <w:rPr>
                <w:rFonts w:ascii="宋体"/>
                <w:sz w:val="18"/>
              </w:rPr>
              <w:t>5,900.00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宋体" w:hAnsi="宋体" w:cs="宋体" w:eastAsia="宋体" w:hint="default"/>
                <w:sz w:val="18"/>
                <w:szCs w:val="18"/>
              </w:rPr>
            </w:pPr>
            <w:r>
              <w:rPr>
                <w:rFonts w:ascii="宋体"/>
                <w:sz w:val="18"/>
              </w:rPr>
              <w:t>5,900.00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31" w:right="0"/>
              <w:jc w:val="center"/>
              <w:rPr>
                <w:rFonts w:ascii="宋体" w:hAnsi="宋体" w:cs="宋体" w:eastAsia="宋体" w:hint="default"/>
                <w:sz w:val="18"/>
                <w:szCs w:val="18"/>
              </w:rPr>
            </w:pPr>
            <w:r>
              <w:rPr>
                <w:rFonts w:ascii="宋体"/>
                <w:sz w:val="18"/>
              </w:rPr>
              <w:t>5,900.00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宋体" w:hAnsi="宋体" w:cs="宋体" w:eastAsia="宋体" w:hint="default"/>
                <w:sz w:val="18"/>
                <w:szCs w:val="18"/>
              </w:rPr>
            </w:pPr>
            <w:r>
              <w:rPr>
                <w:rFonts w:ascii="宋体"/>
                <w:sz w:val="18"/>
              </w:rPr>
              <w:t>5,900.00</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0"/>
              <w:jc w:val="right"/>
              <w:rPr>
                <w:rFonts w:ascii="宋体" w:hAnsi="宋体" w:cs="宋体" w:eastAsia="宋体" w:hint="default"/>
                <w:sz w:val="18"/>
                <w:szCs w:val="18"/>
              </w:rPr>
            </w:pPr>
            <w:r>
              <w:rPr>
                <w:rFonts w:ascii="宋体"/>
                <w:sz w:val="18"/>
              </w:rPr>
              <w:t>-</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宋体" w:hAnsi="宋体" w:cs="宋体" w:eastAsia="宋体" w:hint="default"/>
                <w:sz w:val="18"/>
                <w:szCs w:val="18"/>
              </w:rPr>
            </w:pPr>
            <w:r>
              <w:rPr>
                <w:rFonts w:ascii="宋体"/>
                <w:sz w:val="18"/>
              </w:rPr>
              <w:t>100</w:t>
            </w:r>
          </w:p>
        </w:tc>
        <w:tc>
          <w:tcPr>
            <w:tcW w:w="998" w:type="dxa"/>
            <w:tcBorders>
              <w:top w:val="single" w:sz="4" w:space="0" w:color="000000"/>
              <w:left w:val="single" w:sz="4" w:space="0" w:color="000000"/>
              <w:bottom w:val="single" w:sz="4" w:space="0" w:color="000000"/>
              <w:right w:val="single" w:sz="4" w:space="0" w:color="000000"/>
            </w:tcBorders>
          </w:tcPr>
          <w:p>
            <w:pP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宋体" w:hAnsi="宋体" w:cs="宋体" w:eastAsia="宋体" w:hint="default"/>
                <w:sz w:val="18"/>
                <w:szCs w:val="18"/>
              </w:rPr>
            </w:pPr>
            <w:r>
              <w:rPr>
                <w:rFonts w:ascii="宋体"/>
                <w:sz w:val="18"/>
              </w:rPr>
              <w:t>625.18</w:t>
            </w:r>
          </w:p>
        </w:tc>
        <w:tc>
          <w:tcPr>
            <w:tcW w:w="1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是</w:t>
            </w:r>
          </w:p>
        </w:tc>
        <w:tc>
          <w:tcPr>
            <w:tcW w:w="1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634" w:hRule="exact"/>
        </w:trPr>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531" w:right="168" w:hanging="360"/>
              <w:jc w:val="left"/>
              <w:rPr>
                <w:rFonts w:ascii="宋体" w:hAnsi="宋体" w:cs="宋体" w:eastAsia="宋体" w:hint="default"/>
                <w:sz w:val="18"/>
                <w:szCs w:val="18"/>
              </w:rPr>
            </w:pPr>
            <w:r>
              <w:rPr>
                <w:rFonts w:ascii="宋体" w:hAnsi="宋体" w:cs="宋体" w:eastAsia="宋体" w:hint="default"/>
                <w:sz w:val="18"/>
                <w:szCs w:val="18"/>
              </w:rPr>
              <w:t>超募资金投向 小计</w:t>
            </w:r>
          </w:p>
        </w:tc>
        <w:tc>
          <w:tcPr>
            <w:tcW w:w="1018" w:type="dxa"/>
            <w:tcBorders>
              <w:top w:val="single" w:sz="4" w:space="0" w:color="000000"/>
              <w:left w:val="single" w:sz="4" w:space="0" w:color="000000"/>
              <w:bottom w:val="single" w:sz="4" w:space="0" w:color="000000"/>
              <w:right w:val="single" w:sz="4" w:space="0" w:color="000000"/>
            </w:tcBorders>
          </w:tcPr>
          <w:p>
            <w:pP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41" w:right="0"/>
              <w:jc w:val="center"/>
              <w:rPr>
                <w:rFonts w:ascii="宋体" w:hAnsi="宋体" w:cs="宋体" w:eastAsia="宋体" w:hint="default"/>
                <w:sz w:val="18"/>
                <w:szCs w:val="18"/>
              </w:rPr>
            </w:pPr>
            <w:r>
              <w:rPr>
                <w:rFonts w:ascii="宋体"/>
                <w:sz w:val="18"/>
              </w:rPr>
              <w:t>48,914.23</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宋体" w:hAnsi="宋体" w:cs="宋体" w:eastAsia="宋体" w:hint="default"/>
                <w:sz w:val="18"/>
                <w:szCs w:val="18"/>
              </w:rPr>
            </w:pPr>
            <w:r>
              <w:rPr>
                <w:rFonts w:ascii="宋体"/>
                <w:sz w:val="18"/>
              </w:rPr>
              <w:t>48,914.23</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宋体" w:hAnsi="宋体" w:cs="宋体" w:eastAsia="宋体" w:hint="default"/>
                <w:sz w:val="18"/>
                <w:szCs w:val="18"/>
              </w:rPr>
            </w:pPr>
            <w:r>
              <w:rPr>
                <w:rFonts w:ascii="宋体"/>
                <w:sz w:val="18"/>
              </w:rPr>
              <w:t>48,914.23</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41" w:right="0"/>
              <w:jc w:val="center"/>
              <w:rPr>
                <w:rFonts w:ascii="宋体" w:hAnsi="宋体" w:cs="宋体" w:eastAsia="宋体" w:hint="default"/>
                <w:sz w:val="18"/>
                <w:szCs w:val="18"/>
              </w:rPr>
            </w:pPr>
            <w:r>
              <w:rPr>
                <w:rFonts w:ascii="宋体"/>
                <w:sz w:val="18"/>
              </w:rPr>
              <w:t>35,468.62</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宋体" w:hAnsi="宋体" w:cs="宋体" w:eastAsia="宋体" w:hint="default"/>
                <w:sz w:val="18"/>
                <w:szCs w:val="18"/>
              </w:rPr>
            </w:pPr>
            <w:r>
              <w:rPr>
                <w:rFonts w:ascii="宋体"/>
                <w:sz w:val="18"/>
              </w:rPr>
              <w:t>35,468.62</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00"/>
              <w:jc w:val="right"/>
              <w:rPr>
                <w:rFonts w:ascii="宋体" w:hAnsi="宋体" w:cs="宋体" w:eastAsia="宋体" w:hint="default"/>
                <w:sz w:val="18"/>
                <w:szCs w:val="18"/>
              </w:rPr>
            </w:pPr>
            <w:r>
              <w:rPr>
                <w:rFonts w:ascii="宋体"/>
                <w:sz w:val="18"/>
              </w:rPr>
              <w:t>-13,445.61</w:t>
            </w:r>
          </w:p>
        </w:tc>
        <w:tc>
          <w:tcPr>
            <w:tcW w:w="1046"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宋体" w:hAnsi="宋体" w:cs="宋体" w:eastAsia="宋体" w:hint="default"/>
                <w:sz w:val="18"/>
                <w:szCs w:val="18"/>
              </w:rPr>
            </w:pPr>
            <w:r>
              <w:rPr>
                <w:rFonts w:ascii="宋体"/>
                <w:sz w:val="18"/>
              </w:rPr>
              <w:t>978.26</w:t>
            </w:r>
          </w:p>
        </w:tc>
        <w:tc>
          <w:tcPr>
            <w:tcW w:w="1014" w:type="dxa"/>
            <w:tcBorders>
              <w:top w:val="single" w:sz="4" w:space="0" w:color="000000"/>
              <w:left w:val="single" w:sz="4" w:space="0" w:color="000000"/>
              <w:bottom w:val="single" w:sz="4" w:space="0" w:color="000000"/>
              <w:right w:val="single" w:sz="4" w:space="0" w:color="000000"/>
            </w:tcBorders>
          </w:tcPr>
          <w:p>
            <w:pPr/>
          </w:p>
        </w:tc>
        <w:tc>
          <w:tcPr>
            <w:tcW w:w="1014"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51" w:footer="978" w:top="1360" w:bottom="1160" w:left="1300" w:right="1260"/>
        </w:sect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7"/>
          <w:szCs w:val="17"/>
        </w:rPr>
      </w:pPr>
    </w:p>
    <w:tbl>
      <w:tblPr>
        <w:tblW w:w="0" w:type="auto"/>
        <w:jc w:val="left"/>
        <w:tblInd w:w="119" w:type="dxa"/>
        <w:tblLayout w:type="fixed"/>
        <w:tblCellMar>
          <w:top w:w="0" w:type="dxa"/>
          <w:left w:w="0" w:type="dxa"/>
          <w:bottom w:w="0" w:type="dxa"/>
          <w:right w:w="0" w:type="dxa"/>
        </w:tblCellMar>
        <w:tblLook w:val="01E0"/>
      </w:tblPr>
      <w:tblGrid>
        <w:gridCol w:w="1432"/>
        <w:gridCol w:w="1018"/>
        <w:gridCol w:w="1067"/>
        <w:gridCol w:w="1068"/>
        <w:gridCol w:w="1068"/>
        <w:gridCol w:w="1068"/>
        <w:gridCol w:w="1068"/>
        <w:gridCol w:w="1123"/>
        <w:gridCol w:w="1046"/>
        <w:gridCol w:w="998"/>
        <w:gridCol w:w="1057"/>
        <w:gridCol w:w="1014"/>
        <w:gridCol w:w="1014"/>
      </w:tblGrid>
      <w:tr>
        <w:trPr>
          <w:trHeight w:val="322" w:hRule="exact"/>
        </w:trPr>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018" w:type="dxa"/>
            <w:tcBorders>
              <w:top w:val="single" w:sz="4" w:space="0" w:color="000000"/>
              <w:left w:val="single" w:sz="4" w:space="0" w:color="000000"/>
              <w:bottom w:val="single" w:sz="4" w:space="0" w:color="000000"/>
              <w:right w:val="single" w:sz="4" w:space="0" w:color="000000"/>
            </w:tcBorders>
          </w:tcPr>
          <w:p>
            <w:pP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36" w:right="0"/>
              <w:jc w:val="left"/>
              <w:rPr>
                <w:rFonts w:ascii="宋体" w:hAnsi="宋体" w:cs="宋体" w:eastAsia="宋体" w:hint="default"/>
                <w:sz w:val="18"/>
                <w:szCs w:val="18"/>
              </w:rPr>
            </w:pPr>
            <w:r>
              <w:rPr>
                <w:rFonts w:ascii="宋体"/>
                <w:b/>
                <w:sz w:val="18"/>
              </w:rPr>
              <w:t>99,167.03</w:t>
            </w:r>
            <w:r>
              <w:rPr>
                <w:rFonts w:ascii="宋体"/>
                <w:sz w:val="18"/>
              </w:rPr>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37" w:right="0"/>
              <w:jc w:val="left"/>
              <w:rPr>
                <w:rFonts w:ascii="宋体" w:hAnsi="宋体" w:cs="宋体" w:eastAsia="宋体" w:hint="default"/>
                <w:sz w:val="18"/>
                <w:szCs w:val="18"/>
              </w:rPr>
            </w:pPr>
            <w:r>
              <w:rPr>
                <w:rFonts w:ascii="宋体"/>
                <w:b/>
                <w:sz w:val="18"/>
              </w:rPr>
              <w:t>99,167.03</w:t>
            </w:r>
            <w:r>
              <w:rPr>
                <w:rFonts w:ascii="宋体"/>
                <w:sz w:val="18"/>
              </w:rPr>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37" w:right="0"/>
              <w:jc w:val="left"/>
              <w:rPr>
                <w:rFonts w:ascii="宋体" w:hAnsi="宋体" w:cs="宋体" w:eastAsia="宋体" w:hint="default"/>
                <w:sz w:val="18"/>
                <w:szCs w:val="18"/>
              </w:rPr>
            </w:pPr>
            <w:r>
              <w:rPr>
                <w:rFonts w:ascii="宋体"/>
                <w:b/>
                <w:sz w:val="18"/>
              </w:rPr>
              <w:t>99,167.03</w:t>
            </w:r>
            <w:r>
              <w:rPr>
                <w:rFonts w:ascii="宋体"/>
                <w:sz w:val="18"/>
              </w:rPr>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37" w:right="0"/>
              <w:jc w:val="left"/>
              <w:rPr>
                <w:rFonts w:ascii="宋体" w:hAnsi="宋体" w:cs="宋体" w:eastAsia="宋体" w:hint="default"/>
                <w:sz w:val="18"/>
                <w:szCs w:val="18"/>
              </w:rPr>
            </w:pPr>
            <w:r>
              <w:rPr>
                <w:rFonts w:ascii="宋体"/>
                <w:b/>
                <w:sz w:val="18"/>
              </w:rPr>
              <w:t>55,814.47</w:t>
            </w:r>
            <w:r>
              <w:rPr>
                <w:rFonts w:ascii="宋体"/>
                <w:sz w:val="18"/>
              </w:rPr>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37" w:right="0"/>
              <w:jc w:val="left"/>
              <w:rPr>
                <w:rFonts w:ascii="宋体" w:hAnsi="宋体" w:cs="宋体" w:eastAsia="宋体" w:hint="default"/>
                <w:sz w:val="18"/>
                <w:szCs w:val="18"/>
              </w:rPr>
            </w:pPr>
            <w:r>
              <w:rPr>
                <w:rFonts w:ascii="宋体"/>
                <w:b/>
                <w:sz w:val="18"/>
              </w:rPr>
              <w:t>58,310.13</w:t>
            </w:r>
            <w:r>
              <w:rPr>
                <w:rFonts w:ascii="宋体"/>
                <w:sz w:val="18"/>
              </w:rPr>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b/>
                <w:sz w:val="18"/>
              </w:rPr>
              <w:t>-40,856.90</w:t>
            </w:r>
            <w:r>
              <w:rPr>
                <w:rFonts w:ascii="宋体"/>
                <w:sz w:val="18"/>
              </w:rPr>
            </w:r>
          </w:p>
        </w:tc>
        <w:tc>
          <w:tcPr>
            <w:tcW w:w="1046"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16" w:right="0"/>
              <w:jc w:val="left"/>
              <w:rPr>
                <w:rFonts w:ascii="宋体" w:hAnsi="宋体" w:cs="宋体" w:eastAsia="宋体" w:hint="default"/>
                <w:sz w:val="18"/>
                <w:szCs w:val="18"/>
              </w:rPr>
            </w:pPr>
            <w:r>
              <w:rPr>
                <w:rFonts w:ascii="宋体"/>
                <w:b/>
                <w:sz w:val="18"/>
              </w:rPr>
              <w:t>5,054.90</w:t>
            </w:r>
            <w:r>
              <w:rPr>
                <w:rFonts w:ascii="宋体"/>
                <w:sz w:val="18"/>
              </w:rPr>
            </w:r>
          </w:p>
        </w:tc>
        <w:tc>
          <w:tcPr>
            <w:tcW w:w="1014" w:type="dxa"/>
            <w:tcBorders>
              <w:top w:val="single" w:sz="4" w:space="0" w:color="000000"/>
              <w:left w:val="single" w:sz="4" w:space="0" w:color="000000"/>
              <w:bottom w:val="single" w:sz="4" w:space="0" w:color="000000"/>
              <w:right w:val="single" w:sz="4" w:space="0" w:color="000000"/>
            </w:tcBorders>
          </w:tcPr>
          <w:p>
            <w:pPr/>
          </w:p>
        </w:tc>
        <w:tc>
          <w:tcPr>
            <w:tcW w:w="1014" w:type="dxa"/>
            <w:tcBorders>
              <w:top w:val="single" w:sz="4" w:space="0" w:color="000000"/>
              <w:left w:val="single" w:sz="4" w:space="0" w:color="000000"/>
              <w:bottom w:val="single" w:sz="4" w:space="0" w:color="000000"/>
              <w:right w:val="single" w:sz="4" w:space="0" w:color="000000"/>
            </w:tcBorders>
          </w:tcPr>
          <w:p>
            <w:pPr/>
          </w:p>
        </w:tc>
      </w:tr>
      <w:tr>
        <w:trPr>
          <w:trHeight w:val="946" w:hRule="exact"/>
        </w:trPr>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4" w:right="100"/>
              <w:jc w:val="left"/>
              <w:rPr>
                <w:rFonts w:ascii="宋体" w:hAnsi="宋体" w:cs="宋体" w:eastAsia="宋体" w:hint="default"/>
                <w:sz w:val="18"/>
                <w:szCs w:val="18"/>
              </w:rPr>
            </w:pPr>
            <w:r>
              <w:rPr>
                <w:rFonts w:ascii="宋体" w:hAnsi="宋体" w:cs="宋体" w:eastAsia="宋体" w:hint="default"/>
                <w:sz w:val="18"/>
                <w:szCs w:val="18"/>
              </w:rPr>
              <w:t>未达到计划进 </w:t>
            </w:r>
            <w:r>
              <w:rPr>
                <w:rFonts w:ascii="宋体" w:hAnsi="宋体" w:cs="宋体" w:eastAsia="宋体" w:hint="default"/>
                <w:spacing w:val="-7"/>
                <w:sz w:val="18"/>
                <w:szCs w:val="18"/>
              </w:rPr>
              <w:t>度原因（分具体</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项目）</w:t>
            </w:r>
          </w:p>
        </w:tc>
        <w:tc>
          <w:tcPr>
            <w:tcW w:w="12610" w:type="dxa"/>
            <w:gridSpan w:val="1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946" w:hRule="exact"/>
        </w:trPr>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4" w:right="235"/>
              <w:jc w:val="both"/>
              <w:rPr>
                <w:rFonts w:ascii="宋体" w:hAnsi="宋体" w:cs="宋体" w:eastAsia="宋体" w:hint="default"/>
                <w:sz w:val="18"/>
                <w:szCs w:val="18"/>
              </w:rPr>
            </w:pPr>
            <w:r>
              <w:rPr>
                <w:rFonts w:ascii="宋体" w:hAnsi="宋体" w:cs="宋体" w:eastAsia="宋体" w:hint="default"/>
                <w:sz w:val="18"/>
                <w:szCs w:val="18"/>
              </w:rPr>
              <w:t>项目可行性发 生重大变化的 情况说明</w:t>
            </w:r>
          </w:p>
        </w:tc>
        <w:tc>
          <w:tcPr>
            <w:tcW w:w="12610" w:type="dxa"/>
            <w:gridSpan w:val="1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947" w:hRule="exact"/>
        </w:trPr>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4" w:right="235"/>
              <w:jc w:val="both"/>
              <w:rPr>
                <w:rFonts w:ascii="宋体" w:hAnsi="宋体" w:cs="宋体" w:eastAsia="宋体" w:hint="default"/>
                <w:sz w:val="18"/>
                <w:szCs w:val="18"/>
              </w:rPr>
            </w:pPr>
            <w:r>
              <w:rPr>
                <w:rFonts w:ascii="宋体" w:hAnsi="宋体" w:cs="宋体" w:eastAsia="宋体" w:hint="default"/>
                <w:sz w:val="18"/>
                <w:szCs w:val="18"/>
              </w:rPr>
              <w:t>募集资金投资 项目实施地点 变更情况</w:t>
            </w:r>
          </w:p>
        </w:tc>
        <w:tc>
          <w:tcPr>
            <w:tcW w:w="12610" w:type="dxa"/>
            <w:gridSpan w:val="1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946" w:hRule="exact"/>
        </w:trPr>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4" w:right="235"/>
              <w:jc w:val="both"/>
              <w:rPr>
                <w:rFonts w:ascii="宋体" w:hAnsi="宋体" w:cs="宋体" w:eastAsia="宋体" w:hint="default"/>
                <w:sz w:val="18"/>
                <w:szCs w:val="18"/>
              </w:rPr>
            </w:pPr>
            <w:r>
              <w:rPr>
                <w:rFonts w:ascii="宋体" w:hAnsi="宋体" w:cs="宋体" w:eastAsia="宋体" w:hint="default"/>
                <w:sz w:val="18"/>
                <w:szCs w:val="18"/>
              </w:rPr>
              <w:t>募集资金投资 项目实施方式 调整情况</w:t>
            </w:r>
          </w:p>
        </w:tc>
        <w:tc>
          <w:tcPr>
            <w:tcW w:w="12610" w:type="dxa"/>
            <w:gridSpan w:val="1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946" w:hRule="exact"/>
        </w:trPr>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4" w:right="235"/>
              <w:jc w:val="both"/>
              <w:rPr>
                <w:rFonts w:ascii="宋体" w:hAnsi="宋体" w:cs="宋体" w:eastAsia="宋体" w:hint="default"/>
                <w:sz w:val="18"/>
                <w:szCs w:val="18"/>
              </w:rPr>
            </w:pPr>
            <w:r>
              <w:rPr>
                <w:rFonts w:ascii="宋体" w:hAnsi="宋体" w:cs="宋体" w:eastAsia="宋体" w:hint="default"/>
                <w:sz w:val="18"/>
                <w:szCs w:val="18"/>
              </w:rPr>
              <w:t>募集资金投资 项目先期投入 及置换情况</w:t>
            </w:r>
          </w:p>
        </w:tc>
        <w:tc>
          <w:tcPr>
            <w:tcW w:w="12610" w:type="dxa"/>
            <w:gridSpan w:val="1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316" w:lineRule="auto"/>
              <w:ind w:left="103" w:right="102"/>
              <w:jc w:val="left"/>
              <w:rPr>
                <w:rFonts w:ascii="宋体" w:hAnsi="宋体" w:cs="宋体" w:eastAsia="宋体" w:hint="default"/>
                <w:sz w:val="18"/>
                <w:szCs w:val="18"/>
              </w:rPr>
            </w:pPr>
            <w:r>
              <w:rPr>
                <w:rFonts w:ascii="宋体" w:hAnsi="宋体" w:cs="宋体" w:eastAsia="宋体" w:hint="default"/>
                <w:sz w:val="18"/>
                <w:szCs w:val="18"/>
              </w:rPr>
              <w:t>截至</w:t>
            </w:r>
            <w:r>
              <w:rPr>
                <w:rFonts w:ascii="宋体" w:hAnsi="宋体" w:cs="宋体" w:eastAsia="宋体" w:hint="default"/>
                <w:spacing w:val="-38"/>
                <w:sz w:val="18"/>
                <w:szCs w:val="18"/>
              </w:rPr>
              <w:t> </w:t>
            </w:r>
            <w:r>
              <w:rPr>
                <w:rFonts w:ascii="宋体" w:hAnsi="宋体" w:cs="宋体" w:eastAsia="宋体" w:hint="default"/>
                <w:spacing w:val="22"/>
                <w:sz w:val="18"/>
                <w:szCs w:val="18"/>
              </w:rPr>
              <w:t>2009年9月</w:t>
            </w:r>
            <w:r>
              <w:rPr>
                <w:rFonts w:ascii="宋体" w:hAnsi="宋体" w:cs="宋体" w:eastAsia="宋体" w:hint="default"/>
                <w:spacing w:val="-38"/>
                <w:sz w:val="18"/>
                <w:szCs w:val="18"/>
              </w:rPr>
              <w:t> </w:t>
            </w:r>
            <w:r>
              <w:rPr>
                <w:rFonts w:ascii="宋体" w:hAnsi="宋体" w:cs="宋体" w:eastAsia="宋体" w:hint="default"/>
                <w:sz w:val="18"/>
                <w:szCs w:val="18"/>
              </w:rPr>
              <w:t>30</w:t>
            </w:r>
            <w:r>
              <w:rPr>
                <w:rFonts w:ascii="宋体" w:hAnsi="宋体" w:cs="宋体" w:eastAsia="宋体" w:hint="default"/>
                <w:spacing w:val="-38"/>
                <w:sz w:val="18"/>
                <w:szCs w:val="18"/>
              </w:rPr>
              <w:t> </w:t>
            </w:r>
            <w:r>
              <w:rPr>
                <w:rFonts w:ascii="宋体" w:hAnsi="宋体" w:cs="宋体" w:eastAsia="宋体" w:hint="default"/>
                <w:sz w:val="18"/>
                <w:szCs w:val="18"/>
              </w:rPr>
              <w:t>日募集资金到账前，公司以自筹资金预先投入募集资金投资项目实际投资额</w:t>
            </w:r>
            <w:r>
              <w:rPr>
                <w:rFonts w:ascii="宋体" w:hAnsi="宋体" w:cs="宋体" w:eastAsia="宋体" w:hint="default"/>
                <w:spacing w:val="-38"/>
                <w:sz w:val="18"/>
                <w:szCs w:val="18"/>
              </w:rPr>
              <w:t> </w:t>
            </w:r>
            <w:r>
              <w:rPr>
                <w:rFonts w:ascii="宋体" w:hAnsi="宋体" w:cs="宋体" w:eastAsia="宋体" w:hint="default"/>
                <w:sz w:val="18"/>
                <w:szCs w:val="18"/>
              </w:rPr>
              <w:t>957.25</w:t>
            </w:r>
            <w:r>
              <w:rPr>
                <w:rFonts w:ascii="宋体" w:hAnsi="宋体" w:cs="宋体" w:eastAsia="宋体" w:hint="default"/>
                <w:spacing w:val="-38"/>
                <w:sz w:val="18"/>
                <w:szCs w:val="18"/>
              </w:rPr>
              <w:t> </w:t>
            </w:r>
            <w:r>
              <w:rPr>
                <w:rFonts w:ascii="宋体" w:hAnsi="宋体" w:cs="宋体" w:eastAsia="宋体" w:hint="default"/>
                <w:sz w:val="18"/>
                <w:szCs w:val="18"/>
              </w:rPr>
              <w:t>万元，业经立信会计师事务所出具信会师报字(2009)</w:t>
            </w:r>
            <w:r>
              <w:rPr>
                <w:rFonts w:ascii="宋体" w:hAnsi="宋体" w:cs="宋体" w:eastAsia="宋体" w:hint="default"/>
                <w:sz w:val="18"/>
                <w:szCs w:val="18"/>
              </w:rPr>
              <w:t> 第</w:t>
            </w:r>
            <w:r>
              <w:rPr>
                <w:rFonts w:ascii="宋体" w:hAnsi="宋体" w:cs="宋体" w:eastAsia="宋体" w:hint="default"/>
                <w:spacing w:val="-46"/>
                <w:sz w:val="18"/>
                <w:szCs w:val="18"/>
              </w:rPr>
              <w:t> </w:t>
            </w:r>
            <w:r>
              <w:rPr>
                <w:rFonts w:ascii="宋体" w:hAnsi="宋体" w:cs="宋体" w:eastAsia="宋体" w:hint="default"/>
                <w:sz w:val="18"/>
                <w:szCs w:val="18"/>
              </w:rPr>
              <w:t>11945</w:t>
            </w:r>
            <w:r>
              <w:rPr>
                <w:rFonts w:ascii="宋体" w:hAnsi="宋体" w:cs="宋体" w:eastAsia="宋体" w:hint="default"/>
                <w:spacing w:val="-46"/>
                <w:sz w:val="18"/>
                <w:szCs w:val="18"/>
              </w:rPr>
              <w:t> </w:t>
            </w:r>
            <w:r>
              <w:rPr>
                <w:rFonts w:ascii="宋体" w:hAnsi="宋体" w:cs="宋体" w:eastAsia="宋体" w:hint="default"/>
                <w:sz w:val="18"/>
                <w:szCs w:val="18"/>
              </w:rPr>
              <w:t>号《关于北京神州泰岳软件股份有限公司以自筹资金预先投入募投项目的鉴证报告》鉴证确认，置换资金已于</w:t>
            </w:r>
            <w:r>
              <w:rPr>
                <w:rFonts w:ascii="宋体" w:hAnsi="宋体" w:cs="宋体" w:eastAsia="宋体" w:hint="default"/>
                <w:spacing w:val="-46"/>
                <w:sz w:val="18"/>
                <w:szCs w:val="18"/>
              </w:rPr>
              <w:t> </w:t>
            </w: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月从募集资金专户转出。</w:t>
            </w:r>
          </w:p>
        </w:tc>
      </w:tr>
      <w:tr>
        <w:trPr>
          <w:trHeight w:val="947" w:hRule="exact"/>
        </w:trPr>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4" w:right="235"/>
              <w:jc w:val="both"/>
              <w:rPr>
                <w:rFonts w:ascii="宋体" w:hAnsi="宋体" w:cs="宋体" w:eastAsia="宋体" w:hint="default"/>
                <w:sz w:val="18"/>
                <w:szCs w:val="18"/>
              </w:rPr>
            </w:pPr>
            <w:r>
              <w:rPr>
                <w:rFonts w:ascii="宋体" w:hAnsi="宋体" w:cs="宋体" w:eastAsia="宋体" w:hint="default"/>
                <w:sz w:val="18"/>
                <w:szCs w:val="18"/>
              </w:rPr>
              <w:t>用闲置募集资 金暂时补充流 动资金情况</w:t>
            </w:r>
          </w:p>
        </w:tc>
        <w:tc>
          <w:tcPr>
            <w:tcW w:w="12610" w:type="dxa"/>
            <w:gridSpan w:val="1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946" w:hRule="exact"/>
        </w:trPr>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4" w:right="235"/>
              <w:jc w:val="both"/>
              <w:rPr>
                <w:rFonts w:ascii="宋体" w:hAnsi="宋体" w:cs="宋体" w:eastAsia="宋体" w:hint="default"/>
                <w:sz w:val="18"/>
                <w:szCs w:val="18"/>
              </w:rPr>
            </w:pPr>
            <w:r>
              <w:rPr>
                <w:rFonts w:ascii="宋体" w:hAnsi="宋体" w:cs="宋体" w:eastAsia="宋体" w:hint="default"/>
                <w:sz w:val="18"/>
                <w:szCs w:val="18"/>
              </w:rPr>
              <w:t>项目实施出现 募集资金结余 的金额及原因</w:t>
            </w:r>
          </w:p>
        </w:tc>
        <w:tc>
          <w:tcPr>
            <w:tcW w:w="12610" w:type="dxa"/>
            <w:gridSpan w:val="1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after="0" w:line="240" w:lineRule="auto"/>
        <w:jc w:val="left"/>
        <w:rPr>
          <w:rFonts w:ascii="宋体" w:hAnsi="宋体" w:cs="宋体" w:eastAsia="宋体" w:hint="default"/>
          <w:sz w:val="18"/>
          <w:szCs w:val="18"/>
        </w:rPr>
        <w:sectPr>
          <w:pgSz w:w="16840" w:h="11910" w:orient="landscape"/>
          <w:pgMar w:header="851" w:footer="978" w:top="1360" w:bottom="1160" w:left="1300" w:right="1260"/>
        </w:sect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7"/>
          <w:szCs w:val="17"/>
        </w:rPr>
      </w:pPr>
    </w:p>
    <w:tbl>
      <w:tblPr>
        <w:tblW w:w="0" w:type="auto"/>
        <w:jc w:val="left"/>
        <w:tblInd w:w="119" w:type="dxa"/>
        <w:tblLayout w:type="fixed"/>
        <w:tblCellMar>
          <w:top w:w="0" w:type="dxa"/>
          <w:left w:w="0" w:type="dxa"/>
          <w:bottom w:w="0" w:type="dxa"/>
          <w:right w:w="0" w:type="dxa"/>
        </w:tblCellMar>
        <w:tblLook w:val="01E0"/>
      </w:tblPr>
      <w:tblGrid>
        <w:gridCol w:w="1432"/>
        <w:gridCol w:w="12610"/>
      </w:tblGrid>
      <w:tr>
        <w:trPr>
          <w:trHeight w:val="1450" w:hRule="exact"/>
        </w:trPr>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6" w:lineRule="auto"/>
              <w:ind w:left="104" w:right="235"/>
              <w:jc w:val="left"/>
              <w:rPr>
                <w:rFonts w:ascii="宋体" w:hAnsi="宋体" w:cs="宋体" w:eastAsia="宋体" w:hint="default"/>
                <w:sz w:val="18"/>
                <w:szCs w:val="18"/>
              </w:rPr>
            </w:pPr>
            <w:r>
              <w:rPr>
                <w:rFonts w:ascii="宋体" w:hAnsi="宋体" w:cs="宋体" w:eastAsia="宋体" w:hint="default"/>
                <w:sz w:val="18"/>
                <w:szCs w:val="18"/>
              </w:rPr>
              <w:t>募集资金其他 使用情况</w:t>
            </w:r>
          </w:p>
        </w:tc>
        <w:tc>
          <w:tcPr>
            <w:tcW w:w="1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103" w:right="0"/>
              <w:jc w:val="left"/>
              <w:rPr>
                <w:rFonts w:ascii="宋体" w:hAnsi="宋体" w:cs="宋体" w:eastAsia="宋体" w:hint="default"/>
                <w:sz w:val="18"/>
                <w:szCs w:val="18"/>
              </w:rPr>
            </w:pPr>
            <w:r>
              <w:rPr>
                <w:rFonts w:ascii="宋体" w:hAnsi="宋体" w:cs="宋体" w:eastAsia="宋体" w:hint="default"/>
                <w:sz w:val="18"/>
                <w:szCs w:val="18"/>
              </w:rPr>
              <w:t>尚未使用的募集资金（包括超募资金）均存放在公司募集资金专户。</w:t>
            </w:r>
          </w:p>
        </w:tc>
      </w:tr>
    </w:tbl>
    <w:p>
      <w:pPr>
        <w:spacing w:after="0" w:line="240" w:lineRule="auto"/>
        <w:jc w:val="left"/>
        <w:rPr>
          <w:rFonts w:ascii="宋体" w:hAnsi="宋体" w:cs="宋体" w:eastAsia="宋体" w:hint="default"/>
          <w:sz w:val="18"/>
          <w:szCs w:val="18"/>
        </w:rPr>
        <w:sectPr>
          <w:pgSz w:w="16840" w:h="11910" w:orient="landscape"/>
          <w:pgMar w:header="851" w:footer="978" w:top="1360" w:bottom="1160" w:left="1300" w:right="1260"/>
        </w:sectPr>
      </w:pPr>
    </w:p>
    <w:p>
      <w:pPr>
        <w:spacing w:line="240" w:lineRule="auto" w:before="2"/>
        <w:rPr>
          <w:rFonts w:ascii="Times New Roman" w:hAnsi="Times New Roman" w:cs="Times New Roman" w:eastAsia="Times New Roman" w:hint="default"/>
          <w:sz w:val="16"/>
          <w:szCs w:val="16"/>
        </w:rPr>
      </w:pPr>
    </w:p>
    <w:p>
      <w:pPr>
        <w:spacing w:line="544" w:lineRule="auto" w:before="35"/>
        <w:ind w:left="557" w:right="100" w:firstLine="97"/>
        <w:jc w:val="left"/>
        <w:rPr>
          <w:rFonts w:ascii="宋体" w:hAnsi="宋体" w:cs="宋体" w:eastAsia="宋体" w:hint="default"/>
          <w:sz w:val="21"/>
          <w:szCs w:val="21"/>
        </w:rPr>
      </w:pPr>
      <w:r>
        <w:rPr>
          <w:rFonts w:ascii="宋体" w:hAnsi="宋体" w:cs="宋体" w:eastAsia="宋体" w:hint="default"/>
          <w:b/>
          <w:bCs/>
          <w:sz w:val="21"/>
          <w:szCs w:val="21"/>
        </w:rPr>
        <w:t>4、变更募集资金投资项目的资金使用情况</w:t>
      </w:r>
      <w:r>
        <w:rPr>
          <w:rFonts w:ascii="宋体" w:hAnsi="宋体" w:cs="宋体" w:eastAsia="宋体" w:hint="default"/>
          <w:b/>
          <w:bCs/>
          <w:spacing w:val="1"/>
          <w:w w:val="99"/>
          <w:sz w:val="21"/>
          <w:szCs w:val="21"/>
        </w:rPr>
        <w:t> </w:t>
      </w:r>
      <w:r>
        <w:rPr>
          <w:rFonts w:ascii="宋体" w:hAnsi="宋体" w:cs="宋体" w:eastAsia="宋体" w:hint="default"/>
          <w:sz w:val="21"/>
          <w:szCs w:val="21"/>
        </w:rPr>
        <w:t>报告期内，公司未变更募集资金投资项目的资金使用。 </w:t>
      </w:r>
      <w:r>
        <w:rPr>
          <w:rFonts w:ascii="宋体" w:hAnsi="宋体" w:cs="宋体" w:eastAsia="宋体" w:hint="default"/>
          <w:b/>
          <w:bCs/>
          <w:sz w:val="21"/>
          <w:szCs w:val="21"/>
        </w:rPr>
        <w:t>5、会计师事务所对募集资金使用情况的专项审核意见</w:t>
      </w:r>
      <w:r>
        <w:rPr>
          <w:rFonts w:ascii="宋体" w:hAnsi="宋体" w:cs="宋体" w:eastAsia="宋体" w:hint="default"/>
          <w:sz w:val="21"/>
          <w:szCs w:val="21"/>
        </w:rPr>
      </w:r>
    </w:p>
    <w:p>
      <w:pPr>
        <w:pStyle w:val="BodyText"/>
        <w:spacing w:line="408" w:lineRule="auto" w:before="82"/>
        <w:ind w:right="211" w:firstLine="420"/>
        <w:jc w:val="both"/>
      </w:pPr>
      <w:r>
        <w:rPr>
          <w:spacing w:val="-3"/>
        </w:rPr>
        <w:t>立信会计师事务所有限公司出具了《2010年度募集资金存放与使用情况鉴证报告》（信</w:t>
      </w:r>
      <w:r>
        <w:rPr/>
        <w:t> 会师报字（2011）第10814号），认为：神州泰岳公司管理层编制的2010年度募资专项报告 </w:t>
      </w:r>
      <w:r>
        <w:rPr>
          <w:spacing w:val="-3"/>
        </w:rPr>
        <w:t>符合《深圳证券交易所创业板股票上市规则》及《深圳证券交易所创业板上市公司规范运作</w:t>
      </w:r>
      <w:r>
        <w:rPr>
          <w:spacing w:val="-72"/>
        </w:rPr>
        <w:t> </w:t>
      </w:r>
      <w:r>
        <w:rPr>
          <w:spacing w:val="-72"/>
        </w:rPr>
      </w:r>
      <w:r>
        <w:rPr/>
        <w:t>指引》和《创业板信息披露业务备忘录第1号--超募资金使用（修订）》的规定，在所有重</w:t>
      </w:r>
      <w:r>
        <w:rPr>
          <w:spacing w:val="-93"/>
        </w:rPr>
        <w:t> </w:t>
      </w:r>
      <w:r>
        <w:rPr>
          <w:spacing w:val="-93"/>
        </w:rPr>
      </w:r>
      <w:r>
        <w:rPr/>
        <w:t>大方面如实反映了神州泰岳公司2010年度募集资金的存放和使用情况。</w:t>
      </w:r>
    </w:p>
    <w:p>
      <w:pPr>
        <w:spacing w:line="240" w:lineRule="auto" w:before="6"/>
        <w:rPr>
          <w:rFonts w:ascii="宋体" w:hAnsi="宋体" w:cs="宋体" w:eastAsia="宋体" w:hint="default"/>
          <w:sz w:val="15"/>
          <w:szCs w:val="15"/>
        </w:rPr>
      </w:pPr>
    </w:p>
    <w:p>
      <w:pPr>
        <w:pStyle w:val="Heading2"/>
        <w:spacing w:line="240" w:lineRule="auto"/>
        <w:ind w:left="453" w:right="100"/>
        <w:jc w:val="left"/>
        <w:rPr>
          <w:b w:val="0"/>
          <w:bCs w:val="0"/>
        </w:rPr>
      </w:pPr>
      <w:r>
        <w:rPr/>
        <w:t>（二）报告期内公司非募集资金投资情况。</w:t>
      </w:r>
      <w:r>
        <w:rPr>
          <w:b w:val="0"/>
          <w:bCs w:val="0"/>
        </w:rPr>
      </w:r>
    </w:p>
    <w:p>
      <w:pPr>
        <w:spacing w:line="240" w:lineRule="auto" w:before="9"/>
        <w:rPr>
          <w:rFonts w:ascii="宋体" w:hAnsi="宋体" w:cs="宋体" w:eastAsia="宋体" w:hint="default"/>
          <w:b/>
          <w:bCs/>
          <w:sz w:val="26"/>
          <w:szCs w:val="26"/>
        </w:rPr>
      </w:pPr>
    </w:p>
    <w:p>
      <w:pPr>
        <w:pStyle w:val="BodyText"/>
        <w:spacing w:line="408" w:lineRule="auto"/>
        <w:ind w:right="212" w:firstLine="420"/>
        <w:jc w:val="left"/>
      </w:pPr>
      <w:r>
        <w:rPr/>
        <w:t>报告期内，公司使用自有资金700万元投资设立北京泰岳千腾网络信息技术有限公司， 具体内容如下：</w:t>
      </w:r>
    </w:p>
    <w:p>
      <w:pPr>
        <w:spacing w:line="240" w:lineRule="auto" w:before="6"/>
        <w:rPr>
          <w:rFonts w:ascii="宋体" w:hAnsi="宋体" w:cs="宋体" w:eastAsia="宋体" w:hint="default"/>
          <w:sz w:val="15"/>
          <w:szCs w:val="15"/>
        </w:rPr>
      </w:pPr>
    </w:p>
    <w:p>
      <w:pPr>
        <w:pStyle w:val="BodyText"/>
        <w:spacing w:line="408" w:lineRule="auto"/>
        <w:ind w:right="100" w:firstLine="420"/>
        <w:jc w:val="left"/>
      </w:pPr>
      <w:r>
        <w:rPr>
          <w:spacing w:val="-3"/>
        </w:rPr>
        <w:t>2010年10月14日，公司第四届董事会第六次会议审议通过《关于对外投资设立控股子公</w:t>
      </w:r>
      <w:r>
        <w:rPr/>
        <w:t> 司的议案》，由公司全资子公司——新媒传信与程信阳先生、熊胜峰先生共同出资1,000万</w:t>
      </w:r>
      <w:r>
        <w:rPr>
          <w:spacing w:val="-92"/>
        </w:rPr>
        <w:t> </w:t>
      </w:r>
      <w:r>
        <w:rPr>
          <w:spacing w:val="-92"/>
        </w:rPr>
      </w:r>
      <w:r>
        <w:rPr>
          <w:spacing w:val="-6"/>
        </w:rPr>
        <w:t>元设立“北京泰岳千腾网络信息技术有限公司”，</w:t>
      </w:r>
      <w:r>
        <w:rPr>
          <w:spacing w:val="-34"/>
        </w:rPr>
        <w:t> </w:t>
      </w:r>
      <w:r>
        <w:rPr>
          <w:spacing w:val="-4"/>
        </w:rPr>
        <w:t>其中，新媒传信以自有资金出资700万元，</w:t>
      </w:r>
      <w:r>
        <w:rPr>
          <w:spacing w:val="-93"/>
        </w:rPr>
        <w:t> </w:t>
      </w:r>
      <w:r>
        <w:rPr>
          <w:spacing w:val="-93"/>
        </w:rPr>
      </w:r>
      <w:r>
        <w:rPr/>
        <w:t>占注册资本的70%。</w:t>
      </w:r>
    </w:p>
    <w:p>
      <w:pPr>
        <w:spacing w:line="240" w:lineRule="auto" w:before="6"/>
        <w:rPr>
          <w:rFonts w:ascii="宋体" w:hAnsi="宋体" w:cs="宋体" w:eastAsia="宋体" w:hint="default"/>
          <w:sz w:val="15"/>
          <w:szCs w:val="15"/>
        </w:rPr>
      </w:pPr>
    </w:p>
    <w:p>
      <w:pPr>
        <w:pStyle w:val="BodyText"/>
        <w:spacing w:line="408" w:lineRule="auto"/>
        <w:ind w:right="107" w:firstLine="420"/>
        <w:jc w:val="left"/>
      </w:pPr>
      <w:r>
        <w:rPr>
          <w:spacing w:val="-3"/>
        </w:rPr>
        <w:t>泰岳千腾定位于构建与运营国内特色产品领域的电子商务平台，通过拓展、丰富公司的</w:t>
      </w:r>
      <w:r>
        <w:rPr/>
        <w:t> 互联网业务与产品，吸引更多的互联网人才，以进一步提升公司在互联网领域的竞争优势。</w:t>
      </w:r>
    </w:p>
    <w:p>
      <w:pPr>
        <w:spacing w:line="240" w:lineRule="auto" w:before="6"/>
        <w:rPr>
          <w:rFonts w:ascii="宋体" w:hAnsi="宋体" w:cs="宋体" w:eastAsia="宋体" w:hint="default"/>
          <w:sz w:val="15"/>
          <w:szCs w:val="15"/>
        </w:rPr>
      </w:pPr>
    </w:p>
    <w:p>
      <w:pPr>
        <w:pStyle w:val="BodyText"/>
        <w:spacing w:line="408" w:lineRule="auto"/>
        <w:ind w:right="100" w:firstLine="420"/>
        <w:jc w:val="left"/>
      </w:pPr>
      <w:r>
        <w:rPr>
          <w:spacing w:val="-7"/>
        </w:rPr>
        <w:t>截至报告期末，泰岳千腾已完成工商注册等相关手续，其运营的千腾网</w:t>
      </w:r>
      <w:hyperlink r:id="rId10">
        <w:r>
          <w:rPr>
            <w:spacing w:val="-7"/>
          </w:rPr>
          <w:t>（www.specl.com</w:t>
        </w:r>
      </w:hyperlink>
      <w:r>
        <w:rPr>
          <w:spacing w:val="-7"/>
        </w:rPr>
        <w:t>）</w:t>
      </w:r>
      <w:r>
        <w:rPr/>
        <w:t> 开通进入试运行阶段。</w:t>
      </w:r>
    </w:p>
    <w:p>
      <w:pPr>
        <w:spacing w:after="0" w:line="408" w:lineRule="auto"/>
        <w:jc w:val="left"/>
        <w:sectPr>
          <w:headerReference w:type="default" r:id="rId48"/>
          <w:footerReference w:type="default" r:id="rId49"/>
          <w:pgSz w:w="11910" w:h="16840"/>
          <w:pgMar w:header="851" w:footer="982" w:top="1300" w:bottom="1180" w:left="1660" w:right="1580"/>
          <w:pgNumType w:start="35"/>
        </w:sectPr>
      </w:pPr>
    </w:p>
    <w:p>
      <w:pPr>
        <w:pStyle w:val="Heading2"/>
        <w:spacing w:line="408" w:lineRule="auto" w:before="63"/>
        <w:ind w:left="257" w:right="257" w:firstLine="315"/>
        <w:jc w:val="left"/>
        <w:rPr>
          <w:b w:val="0"/>
          <w:bCs w:val="0"/>
        </w:rPr>
      </w:pPr>
      <w:r>
        <w:rPr>
          <w:w w:val="95"/>
        </w:rPr>
        <w:t>（三）报告期内，公司没有持有其他上市公司股权、参股商业银行、证券公司、保险公</w:t>
      </w:r>
      <w:r>
        <w:rPr>
          <w:spacing w:val="-45"/>
          <w:w w:val="95"/>
        </w:rPr>
        <w:t> </w:t>
      </w:r>
      <w:r>
        <w:rPr>
          <w:spacing w:val="-45"/>
          <w:w w:val="95"/>
        </w:rPr>
      </w:r>
      <w:r>
        <w:rPr/>
        <w:t>司、信托公司和期货公司等金融企业股权，没有买卖其他上市公司股份的情况。</w:t>
      </w:r>
      <w:r>
        <w:rPr>
          <w:b w:val="0"/>
          <w:bCs w:val="0"/>
        </w:rPr>
      </w:r>
    </w:p>
    <w:p>
      <w:pPr>
        <w:spacing w:line="240" w:lineRule="auto" w:before="6"/>
        <w:rPr>
          <w:rFonts w:ascii="宋体" w:hAnsi="宋体" w:cs="宋体" w:eastAsia="宋体" w:hint="default"/>
          <w:b/>
          <w:bCs/>
          <w:sz w:val="15"/>
          <w:szCs w:val="15"/>
        </w:rPr>
      </w:pPr>
    </w:p>
    <w:p>
      <w:pPr>
        <w:spacing w:before="0"/>
        <w:ind w:left="573" w:right="257" w:firstLine="0"/>
        <w:jc w:val="left"/>
        <w:rPr>
          <w:rFonts w:ascii="宋体" w:hAnsi="宋体" w:cs="宋体" w:eastAsia="宋体" w:hint="default"/>
          <w:sz w:val="21"/>
          <w:szCs w:val="21"/>
        </w:rPr>
      </w:pPr>
      <w:r>
        <w:rPr>
          <w:rFonts w:ascii="宋体" w:hAnsi="宋体" w:cs="宋体" w:eastAsia="宋体" w:hint="default"/>
          <w:b/>
          <w:bCs/>
          <w:sz w:val="21"/>
          <w:szCs w:val="21"/>
        </w:rPr>
        <w:t>（四）报告期内无持有以公允价值计量的金融资产情况。</w:t>
      </w:r>
      <w:r>
        <w:rPr>
          <w:rFonts w:ascii="宋体" w:hAnsi="宋体" w:cs="宋体" w:eastAsia="宋体" w:hint="default"/>
          <w:sz w:val="21"/>
          <w:szCs w:val="21"/>
        </w:rPr>
      </w:r>
    </w:p>
    <w:p>
      <w:pPr>
        <w:spacing w:line="240" w:lineRule="auto" w:before="9"/>
        <w:rPr>
          <w:rFonts w:ascii="宋体" w:hAnsi="宋体" w:cs="宋体" w:eastAsia="宋体" w:hint="default"/>
          <w:b/>
          <w:bCs/>
          <w:sz w:val="20"/>
          <w:szCs w:val="20"/>
        </w:rPr>
      </w:pPr>
    </w:p>
    <w:p>
      <w:pPr>
        <w:spacing w:line="273" w:lineRule="auto" w:before="0"/>
        <w:ind w:left="257" w:right="257" w:firstLine="0"/>
        <w:jc w:val="left"/>
        <w:rPr>
          <w:rFonts w:ascii="宋体" w:hAnsi="宋体" w:cs="宋体" w:eastAsia="宋体" w:hint="default"/>
          <w:sz w:val="21"/>
          <w:szCs w:val="21"/>
        </w:rPr>
      </w:pPr>
      <w:r>
        <w:rPr>
          <w:rFonts w:ascii="宋体" w:hAnsi="宋体" w:cs="宋体" w:eastAsia="宋体" w:hint="default"/>
          <w:b/>
          <w:bCs/>
          <w:w w:val="95"/>
          <w:sz w:val="21"/>
          <w:szCs w:val="21"/>
        </w:rPr>
        <w:t>四、报告期内，公司没有发行在外的可转换为股份的各种金融工具、以公允价值计量的负  </w:t>
      </w:r>
      <w:r>
        <w:rPr>
          <w:rFonts w:ascii="宋体" w:hAnsi="宋体" w:cs="宋体" w:eastAsia="宋体" w:hint="default"/>
          <w:b/>
          <w:bCs/>
          <w:spacing w:val="88"/>
          <w:w w:val="95"/>
          <w:sz w:val="21"/>
          <w:szCs w:val="21"/>
        </w:rPr>
        <w:t> </w:t>
      </w:r>
      <w:r>
        <w:rPr>
          <w:rFonts w:ascii="宋体" w:hAnsi="宋体" w:cs="宋体" w:eastAsia="宋体" w:hint="default"/>
          <w:b/>
          <w:bCs/>
          <w:spacing w:val="88"/>
          <w:w w:val="95"/>
          <w:sz w:val="21"/>
          <w:szCs w:val="21"/>
        </w:rPr>
      </w:r>
      <w:r>
        <w:rPr>
          <w:rFonts w:ascii="宋体" w:hAnsi="宋体" w:cs="宋体" w:eastAsia="宋体" w:hint="default"/>
          <w:b/>
          <w:bCs/>
          <w:sz w:val="21"/>
          <w:szCs w:val="21"/>
        </w:rPr>
        <w:t>债。</w:t>
      </w:r>
      <w:r>
        <w:rPr>
          <w:rFonts w:ascii="宋体" w:hAnsi="宋体" w:cs="宋体" w:eastAsia="宋体" w:hint="default"/>
          <w:sz w:val="21"/>
          <w:szCs w:val="21"/>
        </w:rPr>
      </w:r>
    </w:p>
    <w:p>
      <w:pPr>
        <w:spacing w:before="164"/>
        <w:ind w:left="257" w:right="257" w:firstLine="0"/>
        <w:jc w:val="left"/>
        <w:rPr>
          <w:rFonts w:ascii="宋体" w:hAnsi="宋体" w:cs="宋体" w:eastAsia="宋体" w:hint="default"/>
          <w:sz w:val="21"/>
          <w:szCs w:val="21"/>
        </w:rPr>
      </w:pPr>
      <w:r>
        <w:rPr>
          <w:rFonts w:ascii="宋体" w:hAnsi="宋体" w:cs="宋体" w:eastAsia="宋体" w:hint="default"/>
          <w:b/>
          <w:bCs/>
          <w:sz w:val="21"/>
          <w:szCs w:val="21"/>
        </w:rPr>
        <w:t>五、报告期财务会计报告审计情况及会计政策、会计估计变更</w:t>
      </w:r>
      <w:r>
        <w:rPr>
          <w:rFonts w:ascii="宋体" w:hAnsi="宋体" w:cs="宋体" w:eastAsia="宋体" w:hint="default"/>
          <w:sz w:val="21"/>
          <w:szCs w:val="21"/>
        </w:rPr>
      </w:r>
    </w:p>
    <w:p>
      <w:pPr>
        <w:spacing w:line="624" w:lineRule="exact" w:before="17"/>
        <w:ind w:left="677" w:right="155" w:hanging="105"/>
        <w:jc w:val="left"/>
        <w:rPr>
          <w:rFonts w:ascii="宋体" w:hAnsi="宋体" w:cs="宋体" w:eastAsia="宋体" w:hint="default"/>
          <w:sz w:val="21"/>
          <w:szCs w:val="21"/>
        </w:rPr>
      </w:pPr>
      <w:r>
        <w:rPr>
          <w:rFonts w:ascii="宋体" w:hAnsi="宋体" w:cs="宋体" w:eastAsia="宋体" w:hint="default"/>
          <w:b/>
          <w:bCs/>
          <w:sz w:val="21"/>
          <w:szCs w:val="21"/>
        </w:rPr>
        <w:t>（一）报告期财务会计报告审计情况</w:t>
      </w:r>
      <w:r>
        <w:rPr>
          <w:rFonts w:ascii="宋体" w:hAnsi="宋体" w:cs="宋体" w:eastAsia="宋体" w:hint="default"/>
          <w:b/>
          <w:bCs/>
          <w:w w:val="99"/>
          <w:sz w:val="21"/>
          <w:szCs w:val="21"/>
        </w:rPr>
        <w:t> </w:t>
      </w:r>
      <w:r>
        <w:rPr>
          <w:rFonts w:ascii="宋体" w:hAnsi="宋体" w:cs="宋体" w:eastAsia="宋体" w:hint="default"/>
          <w:sz w:val="21"/>
          <w:szCs w:val="21"/>
        </w:rPr>
        <w:t>经立信会计师事务所有限公司审计，对本公司2009</w:t>
      </w:r>
      <w:r>
        <w:rPr>
          <w:rFonts w:ascii="宋体" w:hAnsi="宋体" w:cs="宋体" w:eastAsia="宋体" w:hint="default"/>
          <w:spacing w:val="11"/>
          <w:sz w:val="21"/>
          <w:szCs w:val="21"/>
        </w:rPr>
        <w:t> </w:t>
      </w:r>
      <w:r>
        <w:rPr>
          <w:rFonts w:ascii="宋体" w:hAnsi="宋体" w:cs="宋体" w:eastAsia="宋体" w:hint="default"/>
          <w:sz w:val="21"/>
          <w:szCs w:val="21"/>
        </w:rPr>
        <w:t>年度财务报告出具了标准无保留意</w:t>
      </w:r>
    </w:p>
    <w:p>
      <w:pPr>
        <w:pStyle w:val="BodyText"/>
        <w:spacing w:line="240" w:lineRule="auto" w:before="98"/>
        <w:ind w:left="257" w:right="257"/>
        <w:jc w:val="left"/>
      </w:pPr>
      <w:r>
        <w:rPr/>
        <w:t>见的审计报告。</w:t>
      </w:r>
    </w:p>
    <w:p>
      <w:pPr>
        <w:spacing w:line="240" w:lineRule="auto" w:before="9"/>
        <w:rPr>
          <w:rFonts w:ascii="宋体" w:hAnsi="宋体" w:cs="宋体" w:eastAsia="宋体" w:hint="default"/>
          <w:sz w:val="26"/>
          <w:szCs w:val="26"/>
        </w:rPr>
      </w:pPr>
    </w:p>
    <w:p>
      <w:pPr>
        <w:spacing w:line="544" w:lineRule="auto" w:before="0"/>
        <w:ind w:left="677" w:right="257" w:hanging="105"/>
        <w:jc w:val="left"/>
        <w:rPr>
          <w:rFonts w:ascii="宋体" w:hAnsi="宋体" w:cs="宋体" w:eastAsia="宋体" w:hint="default"/>
          <w:sz w:val="21"/>
          <w:szCs w:val="21"/>
        </w:rPr>
      </w:pPr>
      <w:r>
        <w:rPr>
          <w:rFonts w:ascii="宋体" w:hAnsi="宋体" w:cs="宋体" w:eastAsia="宋体" w:hint="default"/>
          <w:b/>
          <w:bCs/>
          <w:sz w:val="21"/>
          <w:szCs w:val="21"/>
        </w:rPr>
        <w:t>（二）公司会计政策、会计估计变更情况及对公司的影响说明和分析</w:t>
      </w:r>
      <w:r>
        <w:rPr>
          <w:rFonts w:ascii="宋体" w:hAnsi="宋体" w:cs="宋体" w:eastAsia="宋体" w:hint="default"/>
          <w:b/>
          <w:bCs/>
          <w:w w:val="99"/>
          <w:sz w:val="21"/>
          <w:szCs w:val="21"/>
        </w:rPr>
        <w:t> </w:t>
      </w:r>
      <w:r>
        <w:rPr>
          <w:rFonts w:ascii="宋体" w:hAnsi="宋体" w:cs="宋体" w:eastAsia="宋体" w:hint="default"/>
          <w:sz w:val="21"/>
          <w:szCs w:val="21"/>
        </w:rPr>
        <w:t>报告期内，公司没有重大会计政策变化、会计估计变更情况，未发生重大会计差错。</w:t>
      </w:r>
    </w:p>
    <w:p>
      <w:pPr>
        <w:pStyle w:val="Heading2"/>
        <w:spacing w:line="240" w:lineRule="auto" w:before="4"/>
        <w:ind w:left="257" w:right="257"/>
        <w:jc w:val="left"/>
        <w:rPr>
          <w:b w:val="0"/>
          <w:bCs w:val="0"/>
        </w:rPr>
      </w:pPr>
      <w:r>
        <w:rPr/>
        <w:t>六、董事会日常工作情况</w:t>
      </w:r>
      <w:r>
        <w:rPr>
          <w:b w:val="0"/>
          <w:bCs w:val="0"/>
        </w:rPr>
      </w:r>
    </w:p>
    <w:p>
      <w:pPr>
        <w:spacing w:line="240" w:lineRule="auto" w:before="9"/>
        <w:rPr>
          <w:rFonts w:ascii="宋体" w:hAnsi="宋体" w:cs="宋体" w:eastAsia="宋体" w:hint="default"/>
          <w:b/>
          <w:bCs/>
          <w:sz w:val="20"/>
          <w:szCs w:val="20"/>
        </w:rPr>
      </w:pPr>
    </w:p>
    <w:p>
      <w:pPr>
        <w:spacing w:line="544" w:lineRule="auto" w:before="0"/>
        <w:ind w:left="677" w:right="2357" w:hanging="105"/>
        <w:jc w:val="left"/>
        <w:rPr>
          <w:rFonts w:ascii="宋体" w:hAnsi="宋体" w:cs="宋体" w:eastAsia="宋体" w:hint="default"/>
          <w:sz w:val="21"/>
          <w:szCs w:val="21"/>
        </w:rPr>
      </w:pPr>
      <w:r>
        <w:rPr>
          <w:rFonts w:ascii="宋体" w:hAnsi="宋体" w:cs="宋体" w:eastAsia="宋体" w:hint="default"/>
          <w:b/>
          <w:bCs/>
          <w:sz w:val="21"/>
          <w:szCs w:val="21"/>
        </w:rPr>
        <w:t>（一）报告期内董事会的会议情况及决议内容</w:t>
      </w:r>
      <w:r>
        <w:rPr>
          <w:rFonts w:ascii="宋体" w:hAnsi="宋体" w:cs="宋体" w:eastAsia="宋体" w:hint="default"/>
          <w:b/>
          <w:bCs/>
          <w:w w:val="99"/>
          <w:sz w:val="21"/>
          <w:szCs w:val="21"/>
        </w:rPr>
        <w:t> </w:t>
      </w:r>
      <w:r>
        <w:rPr>
          <w:rFonts w:ascii="宋体" w:hAnsi="宋体" w:cs="宋体" w:eastAsia="宋体" w:hint="default"/>
          <w:sz w:val="21"/>
          <w:szCs w:val="21"/>
        </w:rPr>
        <w:t>报告期内，公司共召开了十二次董事会。具体召开情况如下：</w:t>
      </w:r>
    </w:p>
    <w:tbl>
      <w:tblPr>
        <w:tblW w:w="0" w:type="auto"/>
        <w:jc w:val="left"/>
        <w:tblInd w:w="111" w:type="dxa"/>
        <w:tblLayout w:type="fixed"/>
        <w:tblCellMar>
          <w:top w:w="0" w:type="dxa"/>
          <w:left w:w="0" w:type="dxa"/>
          <w:bottom w:w="0" w:type="dxa"/>
          <w:right w:w="0" w:type="dxa"/>
        </w:tblCellMar>
        <w:tblLook w:val="01E0"/>
      </w:tblPr>
      <w:tblGrid>
        <w:gridCol w:w="1660"/>
        <w:gridCol w:w="3181"/>
        <w:gridCol w:w="3595"/>
      </w:tblGrid>
      <w:tr>
        <w:trPr>
          <w:trHeight w:val="634" w:hRule="exact"/>
        </w:trPr>
        <w:tc>
          <w:tcPr>
            <w:tcW w:w="16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318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会议届次</w:t>
            </w:r>
            <w:r>
              <w:rPr>
                <w:rFonts w:ascii="宋体" w:hAnsi="宋体" w:cs="宋体" w:eastAsia="宋体" w:hint="default"/>
                <w:sz w:val="21"/>
                <w:szCs w:val="21"/>
              </w:rPr>
            </w:r>
          </w:p>
        </w:tc>
        <w:tc>
          <w:tcPr>
            <w:tcW w:w="35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召开时间</w:t>
            </w:r>
            <w:r>
              <w:rPr>
                <w:rFonts w:ascii="宋体" w:hAnsi="宋体" w:cs="宋体" w:eastAsia="宋体" w:hint="default"/>
                <w:sz w:val="21"/>
                <w:szCs w:val="21"/>
              </w:rPr>
            </w:r>
          </w:p>
        </w:tc>
      </w:tr>
      <w:tr>
        <w:trPr>
          <w:trHeight w:val="365" w:hRule="exact"/>
        </w:trPr>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
              <w:jc w:val="center"/>
              <w:rPr>
                <w:rFonts w:ascii="宋体" w:hAnsi="宋体" w:cs="宋体" w:eastAsia="宋体" w:hint="default"/>
                <w:sz w:val="21"/>
                <w:szCs w:val="21"/>
              </w:rPr>
            </w:pPr>
            <w:r>
              <w:rPr>
                <w:rFonts w:ascii="宋体"/>
                <w:sz w:val="21"/>
              </w:rPr>
              <w:t>1</w:t>
            </w:r>
          </w:p>
        </w:tc>
        <w:tc>
          <w:tcPr>
            <w:tcW w:w="3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center"/>
              <w:rPr>
                <w:rFonts w:ascii="宋体" w:hAnsi="宋体" w:cs="宋体" w:eastAsia="宋体" w:hint="default"/>
                <w:sz w:val="21"/>
                <w:szCs w:val="21"/>
              </w:rPr>
            </w:pPr>
            <w:r>
              <w:rPr>
                <w:rFonts w:ascii="宋体" w:hAnsi="宋体" w:cs="宋体" w:eastAsia="宋体" w:hint="default"/>
                <w:sz w:val="21"/>
                <w:szCs w:val="21"/>
              </w:rPr>
              <w:t>三届二十次</w:t>
            </w:r>
          </w:p>
        </w:tc>
        <w:tc>
          <w:tcPr>
            <w:tcW w:w="3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978"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日</w:t>
            </w:r>
          </w:p>
        </w:tc>
      </w:tr>
      <w:tr>
        <w:trPr>
          <w:trHeight w:val="365" w:hRule="exact"/>
        </w:trPr>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宋体" w:hAnsi="宋体" w:cs="宋体" w:eastAsia="宋体" w:hint="default"/>
                <w:sz w:val="21"/>
                <w:szCs w:val="21"/>
              </w:rPr>
            </w:pPr>
            <w:r>
              <w:rPr>
                <w:rFonts w:ascii="宋体"/>
                <w:sz w:val="21"/>
              </w:rPr>
              <w:t>2</w:t>
            </w:r>
          </w:p>
        </w:tc>
        <w:tc>
          <w:tcPr>
            <w:tcW w:w="3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hAnsi="宋体" w:cs="宋体" w:eastAsia="宋体" w:hint="default"/>
                <w:sz w:val="21"/>
                <w:szCs w:val="21"/>
              </w:rPr>
              <w:t>三届二十一次</w:t>
            </w:r>
          </w:p>
        </w:tc>
        <w:tc>
          <w:tcPr>
            <w:tcW w:w="3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978"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14</w:t>
            </w:r>
            <w:r>
              <w:rPr>
                <w:rFonts w:ascii="宋体" w:hAnsi="宋体" w:cs="宋体" w:eastAsia="宋体" w:hint="default"/>
                <w:spacing w:val="-52"/>
                <w:sz w:val="21"/>
                <w:szCs w:val="21"/>
              </w:rPr>
              <w:t> </w:t>
            </w:r>
            <w:r>
              <w:rPr>
                <w:rFonts w:ascii="宋体" w:hAnsi="宋体" w:cs="宋体" w:eastAsia="宋体" w:hint="default"/>
                <w:sz w:val="21"/>
                <w:szCs w:val="21"/>
              </w:rPr>
              <w:t>日</w:t>
            </w:r>
          </w:p>
        </w:tc>
      </w:tr>
      <w:tr>
        <w:trPr>
          <w:trHeight w:val="365" w:hRule="exact"/>
        </w:trPr>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宋体" w:hAnsi="宋体" w:cs="宋体" w:eastAsia="宋体" w:hint="default"/>
                <w:sz w:val="21"/>
                <w:szCs w:val="21"/>
              </w:rPr>
            </w:pPr>
            <w:r>
              <w:rPr>
                <w:rFonts w:ascii="宋体"/>
                <w:sz w:val="21"/>
              </w:rPr>
              <w:t>3</w:t>
            </w:r>
          </w:p>
        </w:tc>
        <w:tc>
          <w:tcPr>
            <w:tcW w:w="3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hAnsi="宋体" w:cs="宋体" w:eastAsia="宋体" w:hint="default"/>
                <w:sz w:val="21"/>
                <w:szCs w:val="21"/>
              </w:rPr>
              <w:t>三届二十二次</w:t>
            </w:r>
          </w:p>
        </w:tc>
        <w:tc>
          <w:tcPr>
            <w:tcW w:w="3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978"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18</w:t>
            </w:r>
            <w:r>
              <w:rPr>
                <w:rFonts w:ascii="宋体" w:hAnsi="宋体" w:cs="宋体" w:eastAsia="宋体" w:hint="default"/>
                <w:spacing w:val="-52"/>
                <w:sz w:val="21"/>
                <w:szCs w:val="21"/>
              </w:rPr>
              <w:t> </w:t>
            </w:r>
            <w:r>
              <w:rPr>
                <w:rFonts w:ascii="宋体" w:hAnsi="宋体" w:cs="宋体" w:eastAsia="宋体" w:hint="default"/>
                <w:sz w:val="21"/>
                <w:szCs w:val="21"/>
              </w:rPr>
              <w:t>日</w:t>
            </w:r>
          </w:p>
        </w:tc>
      </w:tr>
      <w:tr>
        <w:trPr>
          <w:trHeight w:val="365" w:hRule="exact"/>
        </w:trPr>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宋体" w:hAnsi="宋体" w:cs="宋体" w:eastAsia="宋体" w:hint="default"/>
                <w:sz w:val="21"/>
                <w:szCs w:val="21"/>
              </w:rPr>
            </w:pPr>
            <w:r>
              <w:rPr>
                <w:rFonts w:ascii="宋体"/>
                <w:sz w:val="21"/>
              </w:rPr>
              <w:t>4</w:t>
            </w:r>
          </w:p>
        </w:tc>
        <w:tc>
          <w:tcPr>
            <w:tcW w:w="3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hAnsi="宋体" w:cs="宋体" w:eastAsia="宋体" w:hint="default"/>
                <w:sz w:val="21"/>
                <w:szCs w:val="21"/>
              </w:rPr>
              <w:t>三届二十三次</w:t>
            </w:r>
          </w:p>
        </w:tc>
        <w:tc>
          <w:tcPr>
            <w:tcW w:w="3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978"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28</w:t>
            </w:r>
            <w:r>
              <w:rPr>
                <w:rFonts w:ascii="宋体" w:hAnsi="宋体" w:cs="宋体" w:eastAsia="宋体" w:hint="default"/>
                <w:spacing w:val="-52"/>
                <w:sz w:val="21"/>
                <w:szCs w:val="21"/>
              </w:rPr>
              <w:t> </w:t>
            </w:r>
            <w:r>
              <w:rPr>
                <w:rFonts w:ascii="宋体" w:hAnsi="宋体" w:cs="宋体" w:eastAsia="宋体" w:hint="default"/>
                <w:sz w:val="21"/>
                <w:szCs w:val="21"/>
              </w:rPr>
              <w:t>日</w:t>
            </w:r>
          </w:p>
        </w:tc>
      </w:tr>
      <w:tr>
        <w:trPr>
          <w:trHeight w:val="365" w:hRule="exact"/>
        </w:trPr>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宋体" w:hAnsi="宋体" w:cs="宋体" w:eastAsia="宋体" w:hint="default"/>
                <w:sz w:val="21"/>
                <w:szCs w:val="21"/>
              </w:rPr>
            </w:pPr>
            <w:r>
              <w:rPr>
                <w:rFonts w:ascii="宋体"/>
                <w:sz w:val="21"/>
              </w:rPr>
              <w:t>5</w:t>
            </w:r>
          </w:p>
        </w:tc>
        <w:tc>
          <w:tcPr>
            <w:tcW w:w="3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宋体" w:hAnsi="宋体" w:cs="宋体" w:eastAsia="宋体" w:hint="default"/>
                <w:sz w:val="21"/>
                <w:szCs w:val="21"/>
              </w:rPr>
            </w:pPr>
            <w:r>
              <w:rPr>
                <w:rFonts w:ascii="宋体" w:hAnsi="宋体" w:cs="宋体" w:eastAsia="宋体" w:hint="default"/>
                <w:sz w:val="21"/>
                <w:szCs w:val="21"/>
              </w:rPr>
              <w:t>四届一次</w:t>
            </w:r>
          </w:p>
        </w:tc>
        <w:tc>
          <w:tcPr>
            <w:tcW w:w="3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978"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6</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30</w:t>
            </w:r>
            <w:r>
              <w:rPr>
                <w:rFonts w:ascii="宋体" w:hAnsi="宋体" w:cs="宋体" w:eastAsia="宋体" w:hint="default"/>
                <w:spacing w:val="-52"/>
                <w:sz w:val="21"/>
                <w:szCs w:val="21"/>
              </w:rPr>
              <w:t> </w:t>
            </w:r>
            <w:r>
              <w:rPr>
                <w:rFonts w:ascii="宋体" w:hAnsi="宋体" w:cs="宋体" w:eastAsia="宋体" w:hint="default"/>
                <w:sz w:val="21"/>
                <w:szCs w:val="21"/>
              </w:rPr>
              <w:t>日</w:t>
            </w:r>
          </w:p>
        </w:tc>
      </w:tr>
      <w:tr>
        <w:trPr>
          <w:trHeight w:val="366" w:hRule="exact"/>
        </w:trPr>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宋体" w:hAnsi="宋体" w:cs="宋体" w:eastAsia="宋体" w:hint="default"/>
                <w:sz w:val="21"/>
                <w:szCs w:val="21"/>
              </w:rPr>
            </w:pPr>
            <w:r>
              <w:rPr>
                <w:rFonts w:ascii="宋体"/>
                <w:sz w:val="21"/>
              </w:rPr>
              <w:t>6</w:t>
            </w:r>
          </w:p>
        </w:tc>
        <w:tc>
          <w:tcPr>
            <w:tcW w:w="3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宋体" w:hAnsi="宋体" w:cs="宋体" w:eastAsia="宋体" w:hint="default"/>
                <w:sz w:val="21"/>
                <w:szCs w:val="21"/>
              </w:rPr>
            </w:pPr>
            <w:r>
              <w:rPr>
                <w:rFonts w:ascii="宋体" w:hAnsi="宋体" w:cs="宋体" w:eastAsia="宋体" w:hint="default"/>
                <w:sz w:val="21"/>
                <w:szCs w:val="21"/>
              </w:rPr>
              <w:t>四届二次</w:t>
            </w:r>
          </w:p>
        </w:tc>
        <w:tc>
          <w:tcPr>
            <w:tcW w:w="3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978"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7</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28</w:t>
            </w:r>
            <w:r>
              <w:rPr>
                <w:rFonts w:ascii="宋体" w:hAnsi="宋体" w:cs="宋体" w:eastAsia="宋体" w:hint="default"/>
                <w:spacing w:val="-52"/>
                <w:sz w:val="21"/>
                <w:szCs w:val="21"/>
              </w:rPr>
              <w:t> </w:t>
            </w:r>
            <w:r>
              <w:rPr>
                <w:rFonts w:ascii="宋体" w:hAnsi="宋体" w:cs="宋体" w:eastAsia="宋体" w:hint="default"/>
                <w:sz w:val="21"/>
                <w:szCs w:val="21"/>
              </w:rPr>
              <w:t>日</w:t>
            </w:r>
          </w:p>
        </w:tc>
      </w:tr>
      <w:tr>
        <w:trPr>
          <w:trHeight w:val="365" w:hRule="exact"/>
        </w:trPr>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宋体" w:hAnsi="宋体" w:cs="宋体" w:eastAsia="宋体" w:hint="default"/>
                <w:sz w:val="21"/>
                <w:szCs w:val="21"/>
              </w:rPr>
            </w:pPr>
            <w:r>
              <w:rPr>
                <w:rFonts w:ascii="宋体"/>
                <w:sz w:val="21"/>
              </w:rPr>
              <w:t>7</w:t>
            </w:r>
          </w:p>
        </w:tc>
        <w:tc>
          <w:tcPr>
            <w:tcW w:w="3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宋体" w:hAnsi="宋体" w:cs="宋体" w:eastAsia="宋体" w:hint="default"/>
                <w:sz w:val="21"/>
                <w:szCs w:val="21"/>
              </w:rPr>
            </w:pPr>
            <w:r>
              <w:rPr>
                <w:rFonts w:ascii="宋体" w:hAnsi="宋体" w:cs="宋体" w:eastAsia="宋体" w:hint="default"/>
                <w:sz w:val="21"/>
                <w:szCs w:val="21"/>
              </w:rPr>
              <w:t>四届三次</w:t>
            </w:r>
          </w:p>
        </w:tc>
        <w:tc>
          <w:tcPr>
            <w:tcW w:w="3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1"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2"/>
                <w:sz w:val="21"/>
                <w:szCs w:val="21"/>
              </w:rPr>
              <w:t> </w:t>
            </w:r>
            <w:r>
              <w:rPr>
                <w:rFonts w:ascii="宋体" w:hAnsi="宋体" w:cs="宋体" w:eastAsia="宋体" w:hint="default"/>
                <w:sz w:val="21"/>
                <w:szCs w:val="21"/>
              </w:rPr>
              <w:t>日</w:t>
            </w:r>
          </w:p>
        </w:tc>
      </w:tr>
      <w:tr>
        <w:trPr>
          <w:trHeight w:val="365" w:hRule="exact"/>
        </w:trPr>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宋体" w:hAnsi="宋体" w:cs="宋体" w:eastAsia="宋体" w:hint="default"/>
                <w:sz w:val="21"/>
                <w:szCs w:val="21"/>
              </w:rPr>
            </w:pPr>
            <w:r>
              <w:rPr>
                <w:rFonts w:ascii="宋体"/>
                <w:sz w:val="21"/>
              </w:rPr>
              <w:t>8</w:t>
            </w:r>
          </w:p>
        </w:tc>
        <w:tc>
          <w:tcPr>
            <w:tcW w:w="3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宋体" w:hAnsi="宋体" w:cs="宋体" w:eastAsia="宋体" w:hint="default"/>
                <w:sz w:val="21"/>
                <w:szCs w:val="21"/>
              </w:rPr>
            </w:pPr>
            <w:r>
              <w:rPr>
                <w:rFonts w:ascii="宋体" w:hAnsi="宋体" w:cs="宋体" w:eastAsia="宋体" w:hint="default"/>
                <w:sz w:val="21"/>
                <w:szCs w:val="21"/>
              </w:rPr>
              <w:t>四届四次</w:t>
            </w:r>
          </w:p>
        </w:tc>
        <w:tc>
          <w:tcPr>
            <w:tcW w:w="3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1"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日</w:t>
            </w:r>
          </w:p>
        </w:tc>
      </w:tr>
      <w:tr>
        <w:trPr>
          <w:trHeight w:val="365" w:hRule="exact"/>
        </w:trPr>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宋体" w:hAnsi="宋体" w:cs="宋体" w:eastAsia="宋体" w:hint="default"/>
                <w:sz w:val="21"/>
                <w:szCs w:val="21"/>
              </w:rPr>
            </w:pPr>
            <w:r>
              <w:rPr>
                <w:rFonts w:ascii="宋体"/>
                <w:sz w:val="21"/>
              </w:rPr>
              <w:t>9</w:t>
            </w:r>
          </w:p>
        </w:tc>
        <w:tc>
          <w:tcPr>
            <w:tcW w:w="3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宋体" w:hAnsi="宋体" w:cs="宋体" w:eastAsia="宋体" w:hint="default"/>
                <w:sz w:val="21"/>
                <w:szCs w:val="21"/>
              </w:rPr>
            </w:pPr>
            <w:r>
              <w:rPr>
                <w:rFonts w:ascii="宋体" w:hAnsi="宋体" w:cs="宋体" w:eastAsia="宋体" w:hint="default"/>
                <w:sz w:val="21"/>
                <w:szCs w:val="21"/>
              </w:rPr>
              <w:t>四届五次</w:t>
            </w:r>
          </w:p>
        </w:tc>
        <w:tc>
          <w:tcPr>
            <w:tcW w:w="3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978"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日</w:t>
            </w:r>
          </w:p>
        </w:tc>
      </w:tr>
      <w:tr>
        <w:trPr>
          <w:trHeight w:val="365" w:hRule="exact"/>
        </w:trPr>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sz w:val="21"/>
              </w:rPr>
              <w:t>10</w:t>
            </w:r>
          </w:p>
        </w:tc>
        <w:tc>
          <w:tcPr>
            <w:tcW w:w="3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hAnsi="宋体" w:cs="宋体" w:eastAsia="宋体" w:hint="default"/>
                <w:sz w:val="21"/>
                <w:szCs w:val="21"/>
              </w:rPr>
              <w:t>四届六次</w:t>
            </w:r>
          </w:p>
        </w:tc>
        <w:tc>
          <w:tcPr>
            <w:tcW w:w="3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925"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14</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365" w:hRule="exact"/>
        </w:trPr>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sz w:val="21"/>
              </w:rPr>
              <w:t>11</w:t>
            </w:r>
          </w:p>
        </w:tc>
        <w:tc>
          <w:tcPr>
            <w:tcW w:w="3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hAnsi="宋体" w:cs="宋体" w:eastAsia="宋体" w:hint="default"/>
                <w:sz w:val="21"/>
                <w:szCs w:val="21"/>
              </w:rPr>
              <w:t>四届七次</w:t>
            </w:r>
          </w:p>
        </w:tc>
        <w:tc>
          <w:tcPr>
            <w:tcW w:w="3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925"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26</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366" w:hRule="exact"/>
        </w:trPr>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sz w:val="21"/>
              </w:rPr>
              <w:t>12</w:t>
            </w:r>
          </w:p>
        </w:tc>
        <w:tc>
          <w:tcPr>
            <w:tcW w:w="3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hAnsi="宋体" w:cs="宋体" w:eastAsia="宋体" w:hint="default"/>
                <w:sz w:val="21"/>
                <w:szCs w:val="21"/>
              </w:rPr>
              <w:t>四届八次</w:t>
            </w:r>
          </w:p>
        </w:tc>
        <w:tc>
          <w:tcPr>
            <w:tcW w:w="3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925"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日</w:t>
            </w:r>
          </w:p>
        </w:tc>
      </w:tr>
    </w:tbl>
    <w:p>
      <w:pPr>
        <w:spacing w:line="240" w:lineRule="auto" w:before="6"/>
        <w:rPr>
          <w:rFonts w:ascii="宋体" w:hAnsi="宋体" w:cs="宋体" w:eastAsia="宋体" w:hint="default"/>
          <w:sz w:val="7"/>
          <w:szCs w:val="7"/>
        </w:rPr>
      </w:pPr>
    </w:p>
    <w:p>
      <w:pPr>
        <w:pStyle w:val="BodyText"/>
        <w:spacing w:line="240" w:lineRule="auto" w:before="35"/>
        <w:ind w:left="677" w:right="257"/>
        <w:jc w:val="left"/>
      </w:pPr>
      <w:r>
        <w:rPr/>
        <w:t>1、第三届董事会第二十次会议</w:t>
      </w:r>
    </w:p>
    <w:p>
      <w:pPr>
        <w:spacing w:line="240" w:lineRule="auto" w:before="7"/>
        <w:rPr>
          <w:rFonts w:ascii="宋体" w:hAnsi="宋体" w:cs="宋体" w:eastAsia="宋体" w:hint="default"/>
          <w:sz w:val="18"/>
          <w:szCs w:val="18"/>
        </w:rPr>
      </w:pPr>
    </w:p>
    <w:p>
      <w:pPr>
        <w:pStyle w:val="BodyText"/>
        <w:spacing w:line="408" w:lineRule="auto"/>
        <w:ind w:left="257" w:right="152" w:firstLine="420"/>
        <w:jc w:val="left"/>
      </w:pPr>
      <w:r>
        <w:rPr/>
        <w:t>2010年1月10日，公司第三届董事会第二十次会议在公司会议室召开，应到董事11人， </w:t>
      </w:r>
      <w:r>
        <w:rPr>
          <w:spacing w:val="-3"/>
        </w:rPr>
        <w:t>实到董事11人，会议审议通过了《关于聘任公司副总经理的议案》、《公司重大信息内部报</w:t>
      </w:r>
    </w:p>
    <w:p>
      <w:pPr>
        <w:spacing w:after="0" w:line="408" w:lineRule="auto"/>
        <w:jc w:val="left"/>
        <w:sectPr>
          <w:pgSz w:w="11910" w:h="16840"/>
          <w:pgMar w:header="851" w:footer="982" w:top="1360" w:bottom="1180" w:left="1540" w:right="1640"/>
        </w:sectPr>
      </w:pPr>
    </w:p>
    <w:p>
      <w:pPr>
        <w:pStyle w:val="BodyText"/>
        <w:spacing w:line="408" w:lineRule="auto" w:before="63"/>
        <w:ind w:right="211"/>
        <w:jc w:val="both"/>
      </w:pPr>
      <w:r>
        <w:rPr>
          <w:spacing w:val="-3"/>
        </w:rPr>
        <w:t>告制度》、《公司内幕信息知情人登记制度》、《公司突发事件处理制度》、《关于用募集</w:t>
      </w:r>
      <w:r>
        <w:rPr>
          <w:spacing w:val="-75"/>
        </w:rPr>
        <w:t> </w:t>
      </w:r>
      <w:r>
        <w:rPr>
          <w:spacing w:val="-75"/>
        </w:rPr>
      </w:r>
      <w:r>
        <w:rPr/>
        <w:t>资金置换预先投入募投项目的自筹资金的议案》。</w:t>
      </w:r>
    </w:p>
    <w:p>
      <w:pPr>
        <w:pStyle w:val="BodyText"/>
        <w:spacing w:line="240" w:lineRule="auto" w:before="96"/>
        <w:ind w:left="557" w:right="100"/>
        <w:jc w:val="left"/>
      </w:pPr>
      <w:r>
        <w:rPr/>
        <w:t>2、第三届董事会第二十一次会议</w:t>
      </w:r>
    </w:p>
    <w:p>
      <w:pPr>
        <w:spacing w:line="240" w:lineRule="auto" w:before="8"/>
        <w:rPr>
          <w:rFonts w:ascii="宋体" w:hAnsi="宋体" w:cs="宋体" w:eastAsia="宋体" w:hint="default"/>
          <w:sz w:val="18"/>
          <w:szCs w:val="18"/>
        </w:rPr>
      </w:pPr>
    </w:p>
    <w:p>
      <w:pPr>
        <w:pStyle w:val="BodyText"/>
        <w:spacing w:line="408" w:lineRule="auto"/>
        <w:ind w:right="100" w:firstLine="420"/>
        <w:jc w:val="left"/>
      </w:pPr>
      <w:r>
        <w:rPr>
          <w:spacing w:val="-3"/>
        </w:rPr>
        <w:t>2010年3月14日，公司第三届董事会第二十一次会议在公司会议室召开，应到董事11人，</w:t>
      </w:r>
      <w:r>
        <w:rPr/>
        <w:t> 实到董事11人，会议审议通过了《2009 </w:t>
      </w:r>
      <w:r>
        <w:rPr>
          <w:spacing w:val="-4"/>
        </w:rPr>
        <w:t>年度总经理工作报告》、《2009</w:t>
      </w:r>
      <w:r>
        <w:rPr>
          <w:spacing w:val="-20"/>
        </w:rPr>
        <w:t> </w:t>
      </w:r>
      <w:r>
        <w:rPr/>
        <w:t>年度董事会工作报</w:t>
      </w:r>
      <w:r>
        <w:rPr/>
        <w:t> </w:t>
      </w:r>
      <w:r>
        <w:rPr>
          <w:spacing w:val="-3"/>
        </w:rPr>
        <w:t>告》、《2009年度报告》及摘要、《2009年度财务决算报告》、《2009年度利润分配及资本</w:t>
      </w:r>
      <w:r>
        <w:rPr>
          <w:spacing w:val="-62"/>
        </w:rPr>
        <w:t> </w:t>
      </w:r>
      <w:r>
        <w:rPr>
          <w:spacing w:val="-62"/>
        </w:rPr>
      </w:r>
      <w:r>
        <w:rPr>
          <w:spacing w:val="-3"/>
        </w:rPr>
        <w:t>公积金转增股本预案》、《关于修改公司章程的议案》、《2009年度募集资金存放与使用情</w:t>
      </w:r>
      <w:r>
        <w:rPr>
          <w:spacing w:val="-71"/>
        </w:rPr>
        <w:t> </w:t>
      </w:r>
      <w:r>
        <w:rPr>
          <w:spacing w:val="-71"/>
        </w:rPr>
      </w:r>
      <w:r>
        <w:rPr/>
        <w:t>况的专项报告》、《2009 年度内部控制自我评价报告》、《关于超募资金使用计划及其实</w:t>
      </w:r>
      <w:r>
        <w:rPr>
          <w:spacing w:val="-94"/>
        </w:rPr>
        <w:t> </w:t>
      </w:r>
      <w:r>
        <w:rPr>
          <w:spacing w:val="-94"/>
        </w:rPr>
      </w:r>
      <w:r>
        <w:rPr>
          <w:spacing w:val="-3"/>
        </w:rPr>
        <w:t>施的议案》、《关于聘请公司2010年度审计机构的议案》、《关于召开2009年度股东大会的</w:t>
      </w:r>
      <w:r>
        <w:rPr>
          <w:spacing w:val="-63"/>
        </w:rPr>
        <w:t> </w:t>
      </w:r>
      <w:r>
        <w:rPr>
          <w:spacing w:val="-63"/>
        </w:rPr>
      </w:r>
      <w:r>
        <w:rPr/>
        <w:t>议案》。</w:t>
      </w:r>
    </w:p>
    <w:p>
      <w:pPr>
        <w:pStyle w:val="BodyText"/>
        <w:spacing w:line="240" w:lineRule="auto" w:before="95"/>
        <w:ind w:left="557" w:right="100"/>
        <w:jc w:val="left"/>
      </w:pPr>
      <w:r>
        <w:rPr/>
        <w:t>3、第三届董事会第二十二次会议</w:t>
      </w:r>
    </w:p>
    <w:p>
      <w:pPr>
        <w:spacing w:line="240" w:lineRule="auto" w:before="8"/>
        <w:rPr>
          <w:rFonts w:ascii="宋体" w:hAnsi="宋体" w:cs="宋体" w:eastAsia="宋体" w:hint="default"/>
          <w:sz w:val="18"/>
          <w:szCs w:val="18"/>
        </w:rPr>
      </w:pPr>
    </w:p>
    <w:p>
      <w:pPr>
        <w:pStyle w:val="BodyText"/>
        <w:spacing w:line="408" w:lineRule="auto"/>
        <w:ind w:right="100" w:firstLine="420"/>
        <w:jc w:val="left"/>
      </w:pPr>
      <w:r>
        <w:rPr>
          <w:spacing w:val="-3"/>
        </w:rPr>
        <w:t>2010年4月18日，公司第三届董事会第二十二次会议在公司会议室召开，应到董事11人，</w:t>
      </w:r>
      <w:r>
        <w:rPr/>
        <w:t> </w:t>
      </w:r>
      <w:r>
        <w:rPr>
          <w:spacing w:val="-3"/>
        </w:rPr>
        <w:t>实到董事11人，会议审议通过了《公司2010年第一季度报告全文》及正文、《董事、监事和</w:t>
      </w:r>
      <w:r>
        <w:rPr>
          <w:spacing w:val="-67"/>
        </w:rPr>
        <w:t> </w:t>
      </w:r>
      <w:r>
        <w:rPr>
          <w:spacing w:val="-67"/>
        </w:rPr>
      </w:r>
      <w:r>
        <w:rPr>
          <w:spacing w:val="-10"/>
        </w:rPr>
        <w:t>高级管理人员所持本公司股份及其变动管理制度》、《独立董事及审计委员会年报工作规程》、</w:t>
      </w:r>
    </w:p>
    <w:p>
      <w:pPr>
        <w:pStyle w:val="BodyText"/>
        <w:spacing w:line="408" w:lineRule="auto" w:before="46"/>
        <w:ind w:right="212"/>
        <w:jc w:val="both"/>
      </w:pPr>
      <w:r>
        <w:rPr>
          <w:spacing w:val="-3"/>
        </w:rPr>
        <w:t>《年报信息披露重大差错责任追究制度》、《外部信息使用人管理制度》、《关于收购北京</w:t>
      </w:r>
      <w:r>
        <w:rPr>
          <w:spacing w:val="-77"/>
        </w:rPr>
        <w:t> </w:t>
      </w:r>
      <w:r>
        <w:rPr>
          <w:spacing w:val="-77"/>
        </w:rPr>
      </w:r>
      <w:r>
        <w:rPr>
          <w:spacing w:val="-3"/>
        </w:rPr>
        <w:t>互联时代通讯科技有限公司的议案》、《关于收购微软中国投资控股有限公司持有的大连华</w:t>
      </w:r>
      <w:r>
        <w:rPr>
          <w:spacing w:val="-74"/>
        </w:rPr>
        <w:t> </w:t>
      </w:r>
      <w:r>
        <w:rPr>
          <w:spacing w:val="-74"/>
        </w:rPr>
      </w:r>
      <w:r>
        <w:rPr>
          <w:spacing w:val="-3"/>
        </w:rPr>
        <w:t>信计算机技术股份有限公司部分股权的议案》、《关于董事会换届选举并征集董事候选人的</w:t>
      </w:r>
      <w:r>
        <w:rPr>
          <w:spacing w:val="-73"/>
        </w:rPr>
        <w:t> </w:t>
      </w:r>
      <w:r>
        <w:rPr>
          <w:spacing w:val="-73"/>
        </w:rPr>
      </w:r>
      <w:r>
        <w:rPr/>
        <w:t>议案》。</w:t>
      </w:r>
    </w:p>
    <w:p>
      <w:pPr>
        <w:pStyle w:val="BodyText"/>
        <w:spacing w:line="240" w:lineRule="auto" w:before="96"/>
        <w:ind w:left="557" w:right="100"/>
        <w:jc w:val="left"/>
      </w:pPr>
      <w:r>
        <w:rPr/>
        <w:t>4、第三届董事会第二十三次会议</w:t>
      </w:r>
    </w:p>
    <w:p>
      <w:pPr>
        <w:spacing w:line="240" w:lineRule="auto" w:before="7"/>
        <w:rPr>
          <w:rFonts w:ascii="宋体" w:hAnsi="宋体" w:cs="宋体" w:eastAsia="宋体" w:hint="default"/>
          <w:sz w:val="18"/>
          <w:szCs w:val="18"/>
        </w:rPr>
      </w:pPr>
    </w:p>
    <w:p>
      <w:pPr>
        <w:pStyle w:val="BodyText"/>
        <w:spacing w:line="408" w:lineRule="auto"/>
        <w:ind w:right="100" w:firstLine="420"/>
        <w:jc w:val="left"/>
      </w:pPr>
      <w:r>
        <w:rPr>
          <w:spacing w:val="-3"/>
        </w:rPr>
        <w:t>2010年5月28日，公司第三届董事会第二十三次会议在公司会议室召开，应到董事11人，</w:t>
      </w:r>
      <w:r>
        <w:rPr/>
        <w:t> 实到董事11人，会议审议通过了《关于超募资金使用计划及其实施的议案》、《关于修改&lt; 公司章程&gt;的议案》、《累积投票制实施细则》、《关于公司董事会换届选举暨第四届董事 会董事候选人提名的议案》、《关于加强上市公司治理专项活动的自查报告和整改计划》、</w:t>
      </w:r>
    </w:p>
    <w:p>
      <w:pPr>
        <w:pStyle w:val="BodyText"/>
        <w:spacing w:line="408" w:lineRule="auto" w:before="46"/>
        <w:ind w:right="212"/>
        <w:jc w:val="both"/>
      </w:pPr>
      <w:r>
        <w:rPr>
          <w:spacing w:val="-3"/>
        </w:rPr>
        <w:t>《关于加强上市公司治理专项活动的自查事项》、《关于召开2010年第一次临时股东大会的</w:t>
      </w:r>
      <w:r>
        <w:rPr>
          <w:spacing w:val="-70"/>
        </w:rPr>
        <w:t> </w:t>
      </w:r>
      <w:r>
        <w:rPr>
          <w:spacing w:val="-70"/>
        </w:rPr>
      </w:r>
      <w:r>
        <w:rPr/>
        <w:t>议案》。</w:t>
      </w:r>
    </w:p>
    <w:p>
      <w:pPr>
        <w:pStyle w:val="BodyText"/>
        <w:spacing w:line="240" w:lineRule="auto" w:before="96"/>
        <w:ind w:left="557" w:right="100"/>
        <w:jc w:val="left"/>
      </w:pPr>
      <w:r>
        <w:rPr/>
        <w:t>5、第四届董事会第一次会议</w:t>
      </w:r>
    </w:p>
    <w:p>
      <w:pPr>
        <w:spacing w:line="240" w:lineRule="auto" w:before="7"/>
        <w:rPr>
          <w:rFonts w:ascii="宋体" w:hAnsi="宋体" w:cs="宋体" w:eastAsia="宋体" w:hint="default"/>
          <w:sz w:val="18"/>
          <w:szCs w:val="18"/>
        </w:rPr>
      </w:pPr>
    </w:p>
    <w:p>
      <w:pPr>
        <w:pStyle w:val="BodyText"/>
        <w:spacing w:line="408" w:lineRule="auto"/>
        <w:ind w:right="211" w:firstLine="420"/>
        <w:jc w:val="both"/>
      </w:pPr>
      <w:r>
        <w:rPr/>
        <w:t>2010年6月30日，公司第四届董事会第一次会议在在北京皇苑大酒店召开，应到董事11 </w:t>
      </w:r>
      <w:r>
        <w:rPr>
          <w:spacing w:val="-3"/>
        </w:rPr>
        <w:t>人，实到董事11人，会议审议通过了《关于设立第四届董事会专门委员会及其人员组成的议</w:t>
      </w:r>
      <w:r>
        <w:rPr>
          <w:spacing w:val="-71"/>
        </w:rPr>
        <w:t> </w:t>
      </w:r>
      <w:r>
        <w:rPr>
          <w:spacing w:val="-71"/>
        </w:rPr>
      </w:r>
      <w:r>
        <w:rPr>
          <w:spacing w:val="-3"/>
        </w:rPr>
        <w:t>案》、《关于选举公司第四届董事会董事长、副董事长的议案》、《关于聘任公司高级管理</w:t>
      </w:r>
    </w:p>
    <w:p>
      <w:pPr>
        <w:spacing w:after="0" w:line="408" w:lineRule="auto"/>
        <w:jc w:val="both"/>
        <w:sectPr>
          <w:pgSz w:w="11910" w:h="16840"/>
          <w:pgMar w:header="851" w:footer="982" w:top="1360" w:bottom="1180" w:left="1660" w:right="1580"/>
        </w:sectPr>
      </w:pPr>
    </w:p>
    <w:p>
      <w:pPr>
        <w:pStyle w:val="BodyText"/>
        <w:spacing w:line="453" w:lineRule="auto" w:before="63"/>
        <w:ind w:left="557" w:right="5462" w:hanging="420"/>
        <w:jc w:val="left"/>
      </w:pPr>
      <w:r>
        <w:rPr/>
        <w:t>人员的议案》。 6、第四届董事会第二次会议</w:t>
      </w:r>
    </w:p>
    <w:p>
      <w:pPr>
        <w:pStyle w:val="BodyText"/>
        <w:spacing w:line="408" w:lineRule="auto" w:before="56"/>
        <w:ind w:right="212" w:firstLine="420"/>
        <w:jc w:val="both"/>
      </w:pPr>
      <w:r>
        <w:rPr/>
        <w:t>2010年7月28日，公司第四届董事会第二次会议在公司会议室召开，应到董事11人，实 到董事8人，委托出席3人,会议审议通过了《公司2010年半年度报告》及摘要、《关于聘任 公司董事会秘书及证券事务代表的议案》。</w:t>
      </w:r>
    </w:p>
    <w:p>
      <w:pPr>
        <w:pStyle w:val="BodyText"/>
        <w:spacing w:line="240" w:lineRule="auto" w:before="95"/>
        <w:ind w:left="557" w:right="100"/>
        <w:jc w:val="left"/>
      </w:pPr>
      <w:r>
        <w:rPr/>
        <w:t>7、第四届董事会第三次会议</w:t>
      </w:r>
    </w:p>
    <w:p>
      <w:pPr>
        <w:spacing w:line="240" w:lineRule="auto" w:before="8"/>
        <w:rPr>
          <w:rFonts w:ascii="宋体" w:hAnsi="宋体" w:cs="宋体" w:eastAsia="宋体" w:hint="default"/>
          <w:sz w:val="18"/>
          <w:szCs w:val="18"/>
        </w:rPr>
      </w:pPr>
    </w:p>
    <w:p>
      <w:pPr>
        <w:pStyle w:val="BodyText"/>
        <w:spacing w:line="408" w:lineRule="auto"/>
        <w:ind w:right="210" w:firstLine="420"/>
        <w:jc w:val="both"/>
      </w:pPr>
      <w:r>
        <w:rPr>
          <w:spacing w:val="-3"/>
        </w:rPr>
        <w:t>2010年8月4日，公司第四届董事会第三次会议在公司会议室召开，应到董事11人，实到</w:t>
      </w:r>
      <w:r>
        <w:rPr/>
        <w:t> </w:t>
      </w:r>
      <w:r>
        <w:rPr>
          <w:spacing w:val="-3"/>
        </w:rPr>
        <w:t>董事11人，会议审议通过了《关于公司股票期权激励计划（草案）的议案》、《关于提请股</w:t>
      </w:r>
      <w:r>
        <w:rPr>
          <w:spacing w:val="-77"/>
        </w:rPr>
        <w:t> </w:t>
      </w:r>
      <w:r>
        <w:rPr>
          <w:spacing w:val="-77"/>
        </w:rPr>
      </w:r>
      <w:r>
        <w:rPr>
          <w:spacing w:val="-3"/>
        </w:rPr>
        <w:t>东大会授权董事会办理公司股票期权激励计划相关事宜的议案》、《关于公司〈股票期权激</w:t>
      </w:r>
      <w:r>
        <w:rPr>
          <w:spacing w:val="-75"/>
        </w:rPr>
        <w:t> </w:t>
      </w:r>
      <w:r>
        <w:rPr>
          <w:spacing w:val="-75"/>
        </w:rPr>
      </w:r>
      <w:r>
        <w:rPr/>
        <w:t>励计划考核管理办法〉的议案》。</w:t>
      </w:r>
    </w:p>
    <w:p>
      <w:pPr>
        <w:pStyle w:val="BodyText"/>
        <w:spacing w:line="240" w:lineRule="auto" w:before="96"/>
        <w:ind w:left="557" w:right="100"/>
        <w:jc w:val="left"/>
      </w:pPr>
      <w:r>
        <w:rPr/>
        <w:t>8、第四届董事会第四次会议</w:t>
      </w:r>
    </w:p>
    <w:p>
      <w:pPr>
        <w:spacing w:line="240" w:lineRule="auto" w:before="7"/>
        <w:rPr>
          <w:rFonts w:ascii="宋体" w:hAnsi="宋体" w:cs="宋体" w:eastAsia="宋体" w:hint="default"/>
          <w:sz w:val="18"/>
          <w:szCs w:val="18"/>
        </w:rPr>
      </w:pPr>
    </w:p>
    <w:p>
      <w:pPr>
        <w:pStyle w:val="BodyText"/>
        <w:spacing w:line="408" w:lineRule="auto"/>
        <w:ind w:right="100" w:firstLine="420"/>
        <w:jc w:val="left"/>
      </w:pPr>
      <w:r>
        <w:rPr>
          <w:spacing w:val="-3"/>
        </w:rPr>
        <w:t>2010年9月7日，公司第四届董事会第四次会议以通讯表决方式召开，应到董事11人，实</w:t>
      </w:r>
      <w:r>
        <w:rPr/>
        <w:t> 到董事11人，会议审议通过了《关于设立子公司募集资金专户议案》。</w:t>
      </w:r>
    </w:p>
    <w:p>
      <w:pPr>
        <w:pStyle w:val="BodyText"/>
        <w:spacing w:line="240" w:lineRule="auto" w:before="96"/>
        <w:ind w:left="557" w:right="100"/>
        <w:jc w:val="left"/>
      </w:pPr>
      <w:r>
        <w:rPr/>
        <w:t>9、第四届董事会第五次会议</w:t>
      </w:r>
    </w:p>
    <w:p>
      <w:pPr>
        <w:spacing w:line="240" w:lineRule="auto" w:before="8"/>
        <w:rPr>
          <w:rFonts w:ascii="宋体" w:hAnsi="宋体" w:cs="宋体" w:eastAsia="宋体" w:hint="default"/>
          <w:sz w:val="18"/>
          <w:szCs w:val="18"/>
        </w:rPr>
      </w:pPr>
    </w:p>
    <w:p>
      <w:pPr>
        <w:pStyle w:val="BodyText"/>
        <w:spacing w:line="408" w:lineRule="auto"/>
        <w:ind w:right="100" w:firstLine="420"/>
        <w:jc w:val="left"/>
      </w:pPr>
      <w:r>
        <w:rPr/>
        <w:t>2010年9月10日，公司第四届董事会第五次会议在公司会议室召开，应到董事11人，实 </w:t>
      </w:r>
      <w:r>
        <w:rPr>
          <w:spacing w:val="-3"/>
        </w:rPr>
        <w:t>到董事11人，会议审议通过了《关于收购北京神州泰岳通信技术有限公司30%股权的议案》。</w:t>
      </w:r>
    </w:p>
    <w:p>
      <w:pPr>
        <w:pStyle w:val="BodyText"/>
        <w:spacing w:line="240" w:lineRule="auto" w:before="95"/>
        <w:ind w:left="557" w:right="100"/>
        <w:jc w:val="left"/>
      </w:pPr>
      <w:r>
        <w:rPr/>
        <w:t>10、第四届董事会第六次会议</w:t>
      </w:r>
    </w:p>
    <w:p>
      <w:pPr>
        <w:spacing w:line="240" w:lineRule="auto" w:before="8"/>
        <w:rPr>
          <w:rFonts w:ascii="宋体" w:hAnsi="宋体" w:cs="宋体" w:eastAsia="宋体" w:hint="default"/>
          <w:sz w:val="18"/>
          <w:szCs w:val="18"/>
        </w:rPr>
      </w:pPr>
    </w:p>
    <w:p>
      <w:pPr>
        <w:pStyle w:val="BodyText"/>
        <w:spacing w:line="408" w:lineRule="auto"/>
        <w:ind w:right="107" w:firstLine="420"/>
        <w:jc w:val="left"/>
      </w:pPr>
      <w:r>
        <w:rPr/>
        <w:t>2010年10月14日，公司第四届董事会第六次会议以通讯表决方式召开，应到董事11人， 实到董事11人，会议审议通过了《关于对外投资设立控股子公司的议案》、《关于&lt;非日常</w:t>
      </w:r>
      <w:r>
        <w:rPr>
          <w:spacing w:val="-93"/>
        </w:rPr>
        <w:t> </w:t>
      </w:r>
      <w:r>
        <w:rPr>
          <w:spacing w:val="-93"/>
        </w:rPr>
      </w:r>
      <w:r>
        <w:rPr/>
        <w:t>经营决策制度（修订案）&gt;的议案》、《关于&lt;募集资金使用管理及使用制度（修订案）&gt;的</w:t>
      </w:r>
      <w:r>
        <w:rPr>
          <w:spacing w:val="-92"/>
        </w:rPr>
        <w:t> </w:t>
      </w:r>
      <w:r>
        <w:rPr>
          <w:spacing w:val="-92"/>
        </w:rPr>
      </w:r>
      <w:r>
        <w:rPr/>
        <w:t>议案》、《公司治理专项活动的整改报告》。</w:t>
      </w:r>
    </w:p>
    <w:p>
      <w:pPr>
        <w:pStyle w:val="BodyText"/>
        <w:spacing w:line="240" w:lineRule="auto" w:before="95"/>
        <w:ind w:left="557" w:right="100"/>
        <w:jc w:val="left"/>
      </w:pPr>
      <w:r>
        <w:rPr/>
        <w:t>11、第四届董事会第七次会议</w:t>
      </w:r>
    </w:p>
    <w:p>
      <w:pPr>
        <w:spacing w:line="240" w:lineRule="auto" w:before="8"/>
        <w:rPr>
          <w:rFonts w:ascii="宋体" w:hAnsi="宋体" w:cs="宋体" w:eastAsia="宋体" w:hint="default"/>
          <w:sz w:val="18"/>
          <w:szCs w:val="18"/>
        </w:rPr>
      </w:pPr>
    </w:p>
    <w:p>
      <w:pPr>
        <w:pStyle w:val="BodyText"/>
        <w:spacing w:line="408" w:lineRule="auto"/>
        <w:ind w:right="100" w:firstLine="420"/>
        <w:jc w:val="left"/>
      </w:pPr>
      <w:r>
        <w:rPr>
          <w:spacing w:val="-3"/>
        </w:rPr>
        <w:t>2010年10月26日，公司第四届董事会第七次会议在公司会议室召开，应到董事11人，实</w:t>
      </w:r>
      <w:r>
        <w:rPr/>
        <w:t> 到董事11人，会议审议通过了《公司2010年第三季度报告全文》及正文。</w:t>
      </w:r>
    </w:p>
    <w:p>
      <w:pPr>
        <w:pStyle w:val="BodyText"/>
        <w:spacing w:line="240" w:lineRule="auto" w:before="96"/>
        <w:ind w:left="557" w:right="100"/>
        <w:jc w:val="left"/>
      </w:pPr>
      <w:r>
        <w:rPr/>
        <w:t>12、第四届董事会第八次会议</w:t>
      </w:r>
    </w:p>
    <w:p>
      <w:pPr>
        <w:spacing w:line="240" w:lineRule="auto" w:before="7"/>
        <w:rPr>
          <w:rFonts w:ascii="宋体" w:hAnsi="宋体" w:cs="宋体" w:eastAsia="宋体" w:hint="default"/>
          <w:sz w:val="18"/>
          <w:szCs w:val="18"/>
        </w:rPr>
      </w:pPr>
    </w:p>
    <w:p>
      <w:pPr>
        <w:pStyle w:val="BodyText"/>
        <w:spacing w:line="408" w:lineRule="auto"/>
        <w:ind w:right="211" w:firstLine="420"/>
        <w:jc w:val="both"/>
      </w:pPr>
      <w:r>
        <w:rPr>
          <w:spacing w:val="-3"/>
        </w:rPr>
        <w:t>2010年11月23日，公司第四届董事会第八次会议在公司会议室召开，应到董事11人，实</w:t>
      </w:r>
      <w:r>
        <w:rPr/>
        <w:t> </w:t>
      </w:r>
      <w:r>
        <w:rPr>
          <w:spacing w:val="-3"/>
        </w:rPr>
        <w:t>到董事11人，会议审议通过了《关于使用部分超募资金收购北京友联创新系统集成有限公司</w:t>
      </w:r>
      <w:r>
        <w:rPr>
          <w:spacing w:val="-73"/>
        </w:rPr>
        <w:t> </w:t>
      </w:r>
      <w:r>
        <w:rPr>
          <w:spacing w:val="-73"/>
        </w:rPr>
      </w:r>
      <w:r>
        <w:rPr/>
        <w:t>的议案》。</w:t>
      </w:r>
    </w:p>
    <w:p>
      <w:pPr>
        <w:spacing w:after="0" w:line="408" w:lineRule="auto"/>
        <w:jc w:val="both"/>
        <w:sectPr>
          <w:pgSz w:w="11910" w:h="16840"/>
          <w:pgMar w:header="851" w:footer="982" w:top="1360" w:bottom="1180" w:left="1660" w:right="1580"/>
        </w:sectPr>
      </w:pPr>
    </w:p>
    <w:p>
      <w:pPr>
        <w:pStyle w:val="Heading2"/>
        <w:spacing w:line="240" w:lineRule="auto" w:before="64"/>
        <w:ind w:left="453" w:right="85"/>
        <w:jc w:val="left"/>
        <w:rPr>
          <w:b w:val="0"/>
          <w:bCs w:val="0"/>
        </w:rPr>
      </w:pPr>
      <w:r>
        <w:rPr/>
        <w:t>（二）董事会对股东大会决议执行情况</w:t>
      </w:r>
      <w:r>
        <w:rPr>
          <w:b w:val="0"/>
          <w:bCs w:val="0"/>
        </w:rPr>
      </w:r>
    </w:p>
    <w:p>
      <w:pPr>
        <w:spacing w:line="240" w:lineRule="auto" w:before="8"/>
        <w:rPr>
          <w:rFonts w:ascii="宋体" w:hAnsi="宋体" w:cs="宋体" w:eastAsia="宋体" w:hint="default"/>
          <w:b/>
          <w:bCs/>
          <w:sz w:val="26"/>
          <w:szCs w:val="26"/>
        </w:rPr>
      </w:pPr>
    </w:p>
    <w:p>
      <w:pPr>
        <w:pStyle w:val="BodyText"/>
        <w:spacing w:line="408" w:lineRule="auto"/>
        <w:ind w:right="191" w:firstLine="420"/>
        <w:jc w:val="both"/>
      </w:pPr>
      <w:r>
        <w:rPr>
          <w:spacing w:val="-3"/>
        </w:rPr>
        <w:t>报告期内，公司董事会严格按照《公司法》、《公司章程》和《董事会议事规则》等规</w:t>
      </w:r>
      <w:r>
        <w:rPr/>
        <w:t> 定和要求，认真履行职责，全面执行了公司股东大会决议的相关事项，具体如下：</w:t>
      </w:r>
    </w:p>
    <w:p>
      <w:pPr>
        <w:spacing w:line="240" w:lineRule="auto" w:before="7"/>
        <w:rPr>
          <w:rFonts w:ascii="宋体" w:hAnsi="宋体" w:cs="宋体" w:eastAsia="宋体" w:hint="default"/>
          <w:sz w:val="15"/>
          <w:szCs w:val="15"/>
        </w:rPr>
      </w:pPr>
    </w:p>
    <w:p>
      <w:pPr>
        <w:pStyle w:val="BodyText"/>
        <w:spacing w:line="408" w:lineRule="auto"/>
        <w:ind w:right="190" w:firstLine="420"/>
        <w:jc w:val="both"/>
      </w:pPr>
      <w:r>
        <w:rPr/>
        <w:t>1、2010年4月8日，公司2009年度股东大会审议通过了《2009年度利润分配及资本公积 </w:t>
      </w:r>
      <w:r>
        <w:rPr>
          <w:spacing w:val="-2"/>
        </w:rPr>
        <w:t>金转增股本方案》，以2009年12月31日公司总股本12,640万股为基数，按每10股派发现金红</w:t>
      </w:r>
      <w:r>
        <w:rPr/>
        <w:t> </w:t>
      </w:r>
      <w:r>
        <w:rPr>
          <w:spacing w:val="-3"/>
        </w:rPr>
        <w:t>利3元（含税）；同时以资本公积金向全体股东每10股转增15股。2010年4月19日公司实施了</w:t>
      </w:r>
      <w:r>
        <w:rPr>
          <w:spacing w:val="-66"/>
        </w:rPr>
        <w:t> </w:t>
      </w:r>
      <w:r>
        <w:rPr>
          <w:spacing w:val="-66"/>
        </w:rPr>
      </w:r>
      <w:r>
        <w:rPr/>
        <w:t>该方案，公司总股本增至31,600万股。</w:t>
      </w:r>
    </w:p>
    <w:p>
      <w:pPr>
        <w:spacing w:line="240" w:lineRule="auto" w:before="6"/>
        <w:rPr>
          <w:rFonts w:ascii="宋体" w:hAnsi="宋体" w:cs="宋体" w:eastAsia="宋体" w:hint="default"/>
          <w:sz w:val="15"/>
          <w:szCs w:val="15"/>
        </w:rPr>
      </w:pPr>
    </w:p>
    <w:p>
      <w:pPr>
        <w:pStyle w:val="BodyText"/>
        <w:spacing w:line="408" w:lineRule="auto"/>
        <w:ind w:right="192" w:firstLine="420"/>
        <w:jc w:val="both"/>
      </w:pPr>
      <w:r>
        <w:rPr/>
        <w:t>2、2010年4月8日，公司2009年度股东大会审议通过了《关于超募资金使用计划及实施 的议案》，计划使用超募资金25,453.85万元用于办公用房的建设，进一步提升公司的研发 技术水平、营运管理水平，截止报告期末已使用款项20,996.71万元。</w:t>
      </w:r>
    </w:p>
    <w:p>
      <w:pPr>
        <w:spacing w:line="240" w:lineRule="auto" w:before="6"/>
        <w:rPr>
          <w:rFonts w:ascii="宋体" w:hAnsi="宋体" w:cs="宋体" w:eastAsia="宋体" w:hint="default"/>
          <w:sz w:val="15"/>
          <w:szCs w:val="15"/>
        </w:rPr>
      </w:pPr>
    </w:p>
    <w:p>
      <w:pPr>
        <w:pStyle w:val="BodyText"/>
        <w:spacing w:line="408" w:lineRule="auto"/>
        <w:ind w:right="192" w:firstLine="420"/>
        <w:jc w:val="both"/>
      </w:pPr>
      <w:r>
        <w:rPr/>
        <w:t>3、关于聘请审计机构的情况。根据公司2009年度股东大会决议，董事会聘请了立信会 计师事务所有限公司为公司2010年度审计机构。</w:t>
      </w:r>
    </w:p>
    <w:p>
      <w:pPr>
        <w:spacing w:line="240" w:lineRule="auto" w:before="6"/>
        <w:rPr>
          <w:rFonts w:ascii="宋体" w:hAnsi="宋体" w:cs="宋体" w:eastAsia="宋体" w:hint="default"/>
          <w:sz w:val="15"/>
          <w:szCs w:val="15"/>
        </w:rPr>
      </w:pPr>
    </w:p>
    <w:p>
      <w:pPr>
        <w:pStyle w:val="Heading2"/>
        <w:spacing w:line="240" w:lineRule="auto"/>
        <w:ind w:left="453" w:right="85"/>
        <w:jc w:val="left"/>
        <w:rPr>
          <w:b w:val="0"/>
          <w:bCs w:val="0"/>
        </w:rPr>
      </w:pPr>
      <w:r>
        <w:rPr/>
        <w:t>（三）公司董事会专业委员会运行情况</w:t>
      </w:r>
      <w:r>
        <w:rPr>
          <w:b w:val="0"/>
          <w:bCs w:val="0"/>
        </w:rPr>
      </w:r>
    </w:p>
    <w:p>
      <w:pPr>
        <w:spacing w:line="240" w:lineRule="auto" w:before="9"/>
        <w:rPr>
          <w:rFonts w:ascii="宋体" w:hAnsi="宋体" w:cs="宋体" w:eastAsia="宋体" w:hint="default"/>
          <w:b/>
          <w:bCs/>
          <w:sz w:val="26"/>
          <w:szCs w:val="26"/>
        </w:rPr>
      </w:pPr>
    </w:p>
    <w:p>
      <w:pPr>
        <w:pStyle w:val="BodyText"/>
        <w:spacing w:line="408" w:lineRule="auto"/>
        <w:ind w:right="87" w:firstLine="420"/>
        <w:jc w:val="left"/>
      </w:pPr>
      <w:r>
        <w:rPr>
          <w:spacing w:val="-3"/>
        </w:rPr>
        <w:t>公司董事会下设战略委员会、提名委员会、审计委员会、薪酬与考核委员会等专门委员</w:t>
      </w:r>
      <w:r>
        <w:rPr/>
        <w:t> 会。各专门委员会依据公司董事会所制定《董事会专门委员会实施细则》的职权范围运作， </w:t>
      </w:r>
      <w:r>
        <w:rPr>
          <w:spacing w:val="-3"/>
        </w:rPr>
        <w:t>就专业性事项进行研究，提出意见及建议，供董事会决策参考。根据《公司章程》，专门委</w:t>
      </w:r>
      <w:r>
        <w:rPr>
          <w:spacing w:val="-75"/>
        </w:rPr>
        <w:t> </w:t>
      </w:r>
      <w:r>
        <w:rPr>
          <w:spacing w:val="-75"/>
        </w:rPr>
      </w:r>
      <w:r>
        <w:rPr/>
        <w:t>员会成员全部由董事组成。</w:t>
      </w:r>
    </w:p>
    <w:p>
      <w:pPr>
        <w:spacing w:line="240" w:lineRule="auto" w:before="6"/>
        <w:rPr>
          <w:rFonts w:ascii="宋体" w:hAnsi="宋体" w:cs="宋体" w:eastAsia="宋体" w:hint="default"/>
          <w:sz w:val="15"/>
          <w:szCs w:val="15"/>
        </w:rPr>
      </w:pPr>
    </w:p>
    <w:p>
      <w:pPr>
        <w:pStyle w:val="Heading2"/>
        <w:spacing w:line="240" w:lineRule="auto"/>
        <w:ind w:left="619" w:right="85"/>
        <w:jc w:val="left"/>
        <w:rPr>
          <w:b w:val="0"/>
          <w:bCs w:val="0"/>
        </w:rPr>
      </w:pPr>
      <w:r>
        <w:rPr/>
        <w:t>1、报告期各委员会工作情况</w:t>
      </w:r>
      <w:r>
        <w:rPr>
          <w:b w:val="0"/>
          <w:bCs w:val="0"/>
        </w:rPr>
      </w:r>
    </w:p>
    <w:p>
      <w:pPr>
        <w:spacing w:line="240" w:lineRule="auto" w:before="9"/>
        <w:rPr>
          <w:rFonts w:ascii="宋体" w:hAnsi="宋体" w:cs="宋体" w:eastAsia="宋体" w:hint="default"/>
          <w:b/>
          <w:bCs/>
          <w:sz w:val="26"/>
          <w:szCs w:val="26"/>
        </w:rPr>
      </w:pPr>
    </w:p>
    <w:p>
      <w:pPr>
        <w:spacing w:line="453" w:lineRule="auto" w:before="0"/>
        <w:ind w:left="557" w:right="4497" w:firstLine="62"/>
        <w:jc w:val="left"/>
        <w:rPr>
          <w:rFonts w:ascii="宋体" w:hAnsi="宋体" w:cs="宋体" w:eastAsia="宋体" w:hint="default"/>
          <w:sz w:val="21"/>
          <w:szCs w:val="21"/>
        </w:rPr>
      </w:pPr>
      <w:r>
        <w:rPr>
          <w:rFonts w:ascii="宋体" w:hAnsi="宋体" w:cs="宋体" w:eastAsia="宋体" w:hint="default"/>
          <w:b/>
          <w:bCs/>
          <w:sz w:val="21"/>
          <w:szCs w:val="21"/>
        </w:rPr>
        <w:t>（1）审计委员会履职情况</w:t>
      </w:r>
      <w:r>
        <w:rPr>
          <w:rFonts w:ascii="宋体" w:hAnsi="宋体" w:cs="宋体" w:eastAsia="宋体" w:hint="default"/>
          <w:b/>
          <w:bCs/>
          <w:w w:val="99"/>
          <w:sz w:val="21"/>
          <w:szCs w:val="21"/>
        </w:rPr>
        <w:t> </w:t>
      </w:r>
      <w:r>
        <w:rPr>
          <w:rFonts w:ascii="宋体" w:hAnsi="宋体" w:cs="宋体" w:eastAsia="宋体" w:hint="default"/>
          <w:sz w:val="21"/>
          <w:szCs w:val="21"/>
        </w:rPr>
        <w:t>报告期内，审计委员会履职情况如下：</w:t>
      </w:r>
    </w:p>
    <w:p>
      <w:pPr>
        <w:pStyle w:val="BodyText"/>
        <w:spacing w:line="408" w:lineRule="auto" w:before="162"/>
        <w:ind w:right="191" w:firstLine="420"/>
        <w:jc w:val="both"/>
      </w:pPr>
      <w:r>
        <w:rPr>
          <w:spacing w:val="-3"/>
        </w:rPr>
        <w:t>在对2009年度财务报告的审计过程中，2010年1月8日与会计师沟通制定审计计划，审阅</w:t>
      </w:r>
      <w:r>
        <w:rPr/>
        <w:t> 了提交事务所审计的公司财务报表；2月26日听取了会计师对年度审计情况的总结汇报，以</w:t>
      </w:r>
      <w:r>
        <w:rPr>
          <w:spacing w:val="-93"/>
        </w:rPr>
        <w:t> </w:t>
      </w:r>
      <w:r>
        <w:rPr>
          <w:spacing w:val="-93"/>
        </w:rPr>
      </w:r>
      <w:r>
        <w:rPr>
          <w:spacing w:val="2"/>
        </w:rPr>
        <w:t>及公司审计部对年度募集资金使用情况和公司财务及内控情况的审查，审议了审计部2009</w:t>
      </w:r>
      <w:r>
        <w:rPr>
          <w:spacing w:val="-86"/>
        </w:rPr>
        <w:t> </w:t>
      </w:r>
      <w:r>
        <w:rPr>
          <w:spacing w:val="-86"/>
        </w:rPr>
      </w:r>
      <w:r>
        <w:rPr/>
        <w:t>年的审计总结和2010年的审计计划；</w:t>
      </w:r>
    </w:p>
    <w:p>
      <w:pPr>
        <w:spacing w:line="240" w:lineRule="auto" w:before="6"/>
        <w:rPr>
          <w:rFonts w:ascii="宋体" w:hAnsi="宋体" w:cs="宋体" w:eastAsia="宋体" w:hint="default"/>
          <w:sz w:val="15"/>
          <w:szCs w:val="15"/>
        </w:rPr>
      </w:pPr>
    </w:p>
    <w:p>
      <w:pPr>
        <w:pStyle w:val="BodyText"/>
        <w:spacing w:line="408" w:lineRule="auto"/>
        <w:ind w:right="104" w:firstLine="420"/>
        <w:jc w:val="both"/>
      </w:pPr>
      <w:r>
        <w:rPr>
          <w:spacing w:val="-3"/>
        </w:rPr>
        <w:t>报告期内，公司审计委员会分别召开会议听取了审计部对公司一季度、半年度、三季度</w:t>
      </w:r>
      <w:r>
        <w:rPr/>
        <w:t> 的财务和经营状况的审核，重点关注审查了公司募集资金使用情况和资金占用、对外投资；</w:t>
      </w:r>
    </w:p>
    <w:p>
      <w:pPr>
        <w:spacing w:after="0" w:line="408" w:lineRule="auto"/>
        <w:jc w:val="both"/>
        <w:sectPr>
          <w:pgSz w:w="11910" w:h="16840"/>
          <w:pgMar w:header="851" w:footer="982" w:top="1360" w:bottom="1180" w:left="1660" w:right="1600"/>
        </w:sectPr>
      </w:pPr>
    </w:p>
    <w:p>
      <w:pPr>
        <w:pStyle w:val="Heading2"/>
        <w:spacing w:line="240" w:lineRule="auto" w:before="63"/>
        <w:ind w:left="620" w:right="100"/>
        <w:jc w:val="left"/>
        <w:rPr>
          <w:b w:val="0"/>
          <w:bCs w:val="0"/>
        </w:rPr>
      </w:pPr>
      <w:r>
        <w:rPr/>
        <w:t>（2）薪酬与考核委员会履职情况</w:t>
      </w:r>
      <w:r>
        <w:rPr>
          <w:b w:val="0"/>
          <w:bCs w:val="0"/>
        </w:rPr>
      </w:r>
    </w:p>
    <w:p>
      <w:pPr>
        <w:spacing w:line="240" w:lineRule="auto" w:before="9"/>
        <w:rPr>
          <w:rFonts w:ascii="宋体" w:hAnsi="宋体" w:cs="宋体" w:eastAsia="宋体" w:hint="default"/>
          <w:b/>
          <w:bCs/>
          <w:sz w:val="26"/>
          <w:szCs w:val="26"/>
        </w:rPr>
      </w:pPr>
    </w:p>
    <w:p>
      <w:pPr>
        <w:pStyle w:val="BodyText"/>
        <w:spacing w:line="408" w:lineRule="auto"/>
        <w:ind w:right="212" w:firstLine="482"/>
        <w:jc w:val="both"/>
      </w:pPr>
      <w:r>
        <w:rPr/>
        <w:t>公司薪酬与考核委员会对公司2010年度董事、监事、高级管理人员的薪酬情况进行了</w:t>
      </w:r>
      <w:r>
        <w:rPr>
          <w:spacing w:val="1"/>
        </w:rPr>
        <w:t> </w:t>
      </w:r>
      <w:r>
        <w:rPr>
          <w:spacing w:val="-3"/>
        </w:rPr>
        <w:t>审核，确认公司董事、监事、高级管理人员2010年度薪酬符合公司股东大会、董事会制定的</w:t>
      </w:r>
      <w:r>
        <w:rPr>
          <w:spacing w:val="-69"/>
        </w:rPr>
        <w:t> </w:t>
      </w:r>
      <w:r>
        <w:rPr>
          <w:spacing w:val="-69"/>
        </w:rPr>
      </w:r>
      <w:r>
        <w:rPr/>
        <w:t>相关制度和方案，符合公司的经营业绩和个人绩效。</w:t>
      </w:r>
    </w:p>
    <w:p>
      <w:pPr>
        <w:spacing w:line="240" w:lineRule="auto" w:before="6"/>
        <w:rPr>
          <w:rFonts w:ascii="宋体" w:hAnsi="宋体" w:cs="宋体" w:eastAsia="宋体" w:hint="default"/>
          <w:sz w:val="15"/>
          <w:szCs w:val="15"/>
        </w:rPr>
      </w:pPr>
    </w:p>
    <w:p>
      <w:pPr>
        <w:pStyle w:val="BodyText"/>
        <w:spacing w:line="408" w:lineRule="auto"/>
        <w:ind w:right="107" w:firstLine="482"/>
        <w:jc w:val="left"/>
      </w:pPr>
      <w:r>
        <w:rPr/>
        <w:t>公司董事会薪酬与考核委员会对股权激励计划相关事项和考核制度进行了审核，认为</w:t>
      </w:r>
      <w:r>
        <w:rPr>
          <w:spacing w:val="1"/>
        </w:rPr>
        <w:t> </w:t>
      </w:r>
      <w:r>
        <w:rPr/>
        <w:t>激励计划符合有关法律法规的要求，有利于增强公司管理团队和业务骨干对实现公司持续、</w:t>
      </w:r>
      <w:r>
        <w:rPr/>
        <w:t> 健康发展的责任感、使命感。</w:t>
      </w:r>
    </w:p>
    <w:p>
      <w:pPr>
        <w:spacing w:line="240" w:lineRule="auto" w:before="6"/>
        <w:rPr>
          <w:rFonts w:ascii="宋体" w:hAnsi="宋体" w:cs="宋体" w:eastAsia="宋体" w:hint="default"/>
          <w:sz w:val="15"/>
          <w:szCs w:val="15"/>
        </w:rPr>
      </w:pPr>
    </w:p>
    <w:p>
      <w:pPr>
        <w:pStyle w:val="Heading2"/>
        <w:spacing w:line="240" w:lineRule="auto"/>
        <w:ind w:left="620" w:right="100"/>
        <w:jc w:val="left"/>
        <w:rPr>
          <w:b w:val="0"/>
          <w:bCs w:val="0"/>
        </w:rPr>
      </w:pPr>
      <w:r>
        <w:rPr/>
        <w:t>（3）提名委员会履职情况</w:t>
      </w:r>
      <w:r>
        <w:rPr>
          <w:b w:val="0"/>
          <w:bCs w:val="0"/>
        </w:rPr>
      </w:r>
    </w:p>
    <w:p>
      <w:pPr>
        <w:spacing w:line="240" w:lineRule="auto" w:before="9"/>
        <w:rPr>
          <w:rFonts w:ascii="宋体" w:hAnsi="宋体" w:cs="宋体" w:eastAsia="宋体" w:hint="default"/>
          <w:b/>
          <w:bCs/>
          <w:sz w:val="26"/>
          <w:szCs w:val="26"/>
        </w:rPr>
      </w:pPr>
    </w:p>
    <w:p>
      <w:pPr>
        <w:pStyle w:val="BodyText"/>
        <w:spacing w:line="408" w:lineRule="auto"/>
        <w:ind w:right="100" w:firstLine="482"/>
        <w:jc w:val="left"/>
      </w:pPr>
      <w:r>
        <w:rPr/>
        <w:t>公司提名委员会勤勉尽责地履行职责，持续研究与关注高级管理人员选拔制度，认真</w:t>
      </w:r>
      <w:r>
        <w:rPr>
          <w:spacing w:val="1"/>
        </w:rPr>
        <w:t> </w:t>
      </w:r>
      <w:r>
        <w:rPr/>
        <w:t>审核与评价公司高级管理人员候选人。</w:t>
      </w:r>
    </w:p>
    <w:p>
      <w:pPr>
        <w:spacing w:line="240" w:lineRule="auto" w:before="6"/>
        <w:rPr>
          <w:rFonts w:ascii="宋体" w:hAnsi="宋体" w:cs="宋体" w:eastAsia="宋体" w:hint="default"/>
          <w:sz w:val="15"/>
          <w:szCs w:val="15"/>
        </w:rPr>
      </w:pPr>
    </w:p>
    <w:p>
      <w:pPr>
        <w:pStyle w:val="BodyText"/>
        <w:spacing w:line="408" w:lineRule="auto"/>
        <w:ind w:right="102" w:firstLine="482"/>
        <w:jc w:val="left"/>
      </w:pPr>
      <w:r>
        <w:rPr/>
        <w:t>报告期内，公司第三届董事会任期届满，进行了董事会换届选举，提名委员会经广泛</w:t>
      </w:r>
      <w:r>
        <w:rPr>
          <w:spacing w:val="1"/>
        </w:rPr>
        <w:t> </w:t>
      </w:r>
      <w:r>
        <w:rPr>
          <w:spacing w:val="-5"/>
        </w:rPr>
        <w:t>征询意见并认真审核之后，提名王宁、李力、黄松浪、王国华、万能、徐斯平、齐强、陈冲、</w:t>
      </w:r>
      <w:r>
        <w:rPr>
          <w:spacing w:val="-92"/>
        </w:rPr>
        <w:t> </w:t>
      </w:r>
      <w:r>
        <w:rPr>
          <w:spacing w:val="-92"/>
        </w:rPr>
      </w:r>
      <w:r>
        <w:rPr>
          <w:spacing w:val="-3"/>
        </w:rPr>
        <w:t>江锡如、刘凯湘、蓝伯雄为第四届董事会董事候选人，其中陈冲、江锡如、刘凯湘、蓝伯雄</w:t>
      </w:r>
      <w:r>
        <w:rPr>
          <w:spacing w:val="-75"/>
        </w:rPr>
        <w:t> </w:t>
      </w:r>
      <w:r>
        <w:rPr>
          <w:spacing w:val="-75"/>
        </w:rPr>
      </w:r>
      <w:r>
        <w:rPr/>
        <w:t>为第四届董事会独立董事候选人。</w:t>
      </w:r>
    </w:p>
    <w:p>
      <w:pPr>
        <w:spacing w:line="240" w:lineRule="auto" w:before="6"/>
        <w:rPr>
          <w:rFonts w:ascii="宋体" w:hAnsi="宋体" w:cs="宋体" w:eastAsia="宋体" w:hint="default"/>
          <w:sz w:val="15"/>
          <w:szCs w:val="15"/>
        </w:rPr>
      </w:pPr>
    </w:p>
    <w:p>
      <w:pPr>
        <w:pStyle w:val="BodyText"/>
        <w:spacing w:line="408" w:lineRule="auto"/>
        <w:ind w:right="210" w:firstLine="482"/>
        <w:jc w:val="both"/>
      </w:pPr>
      <w:r>
        <w:rPr/>
        <w:t>第四届提名委员会包括三名成员：陈冲（主席）、刘凯湘、黄松浪。公司提名委员会</w:t>
      </w:r>
      <w:r>
        <w:rPr>
          <w:spacing w:val="1"/>
        </w:rPr>
        <w:t> </w:t>
      </w:r>
      <w:r>
        <w:rPr>
          <w:spacing w:val="-3"/>
        </w:rPr>
        <w:t>勤勉尽责地履行职责，认真审核与评价公司高级管理人员候选人，提请董事会聘任李力为公</w:t>
      </w:r>
      <w:r>
        <w:rPr>
          <w:spacing w:val="-75"/>
        </w:rPr>
        <w:t> </w:t>
      </w:r>
      <w:r>
        <w:rPr>
          <w:spacing w:val="-75"/>
        </w:rPr>
      </w:r>
      <w:r>
        <w:rPr>
          <w:spacing w:val="-3"/>
        </w:rPr>
        <w:t>司总经理、王国华为公司常务副总经理、张振鹏、许芃、王志刚、刘豪、高峰、汪铖、朱健</w:t>
      </w:r>
      <w:r>
        <w:rPr>
          <w:spacing w:val="-73"/>
        </w:rPr>
        <w:t> </w:t>
      </w:r>
      <w:r>
        <w:rPr>
          <w:spacing w:val="-73"/>
        </w:rPr>
      </w:r>
      <w:r>
        <w:rPr/>
        <w:t>松、陶磊为公司副总经理、万能为公司财务总监、黄松浪为公司董事会秘书。</w:t>
      </w:r>
    </w:p>
    <w:p>
      <w:pPr>
        <w:spacing w:line="240" w:lineRule="auto" w:before="6"/>
        <w:rPr>
          <w:rFonts w:ascii="宋体" w:hAnsi="宋体" w:cs="宋体" w:eastAsia="宋体" w:hint="default"/>
          <w:sz w:val="15"/>
          <w:szCs w:val="15"/>
        </w:rPr>
      </w:pPr>
    </w:p>
    <w:p>
      <w:pPr>
        <w:spacing w:before="0"/>
        <w:ind w:left="620" w:right="100" w:firstLine="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b/>
          <w:bCs/>
          <w:sz w:val="21"/>
          <w:szCs w:val="21"/>
        </w:rPr>
        <w:t>战略委员会履职情况</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pStyle w:val="BodyText"/>
        <w:spacing w:line="408" w:lineRule="auto"/>
        <w:ind w:right="100" w:firstLine="482"/>
        <w:jc w:val="left"/>
      </w:pPr>
      <w:r>
        <w:rPr>
          <w:spacing w:val="-2"/>
        </w:rPr>
        <w:t>报告期内，公司战略委员会勤勉尽责地履行职责，对公司中长期战略规划、重大投资、</w:t>
      </w:r>
      <w:r>
        <w:rPr/>
        <w:t> </w:t>
      </w:r>
      <w:r>
        <w:rPr>
          <w:spacing w:val="-3"/>
        </w:rPr>
        <w:t>企业发行与上市方案等事项进行研究，并提请董事会审议。报告期内，战略委员会分别就收</w:t>
      </w:r>
      <w:r>
        <w:rPr>
          <w:spacing w:val="-74"/>
        </w:rPr>
        <w:t> </w:t>
      </w:r>
      <w:r>
        <w:rPr>
          <w:spacing w:val="-74"/>
        </w:rPr>
      </w:r>
      <w:r>
        <w:rPr/>
        <w:t>购大连华信部分股权、互联时代100%的股权、投资设立重庆新媒农信、收购泰岳通信30%股</w:t>
      </w:r>
      <w:r>
        <w:rPr/>
        <w:t> </w:t>
      </w:r>
      <w:r>
        <w:rPr>
          <w:spacing w:val="-3"/>
        </w:rPr>
        <w:t>权、投资设立泰岳千腾、收购友联创新100%股权进行了审核，认为：上述对外投资事项围绕</w:t>
      </w:r>
      <w:r>
        <w:rPr>
          <w:spacing w:val="-71"/>
        </w:rPr>
        <w:t> </w:t>
      </w:r>
      <w:r>
        <w:rPr>
          <w:spacing w:val="-71"/>
        </w:rPr>
      </w:r>
      <w:r>
        <w:rPr>
          <w:spacing w:val="-3"/>
        </w:rPr>
        <w:t>公司主营业务不断拓展并深化，提高公司软件研发水平，增强公司的盈利能力和市场竞争能</w:t>
      </w:r>
      <w:r>
        <w:rPr>
          <w:spacing w:val="-75"/>
        </w:rPr>
        <w:t> </w:t>
      </w:r>
      <w:r>
        <w:rPr>
          <w:spacing w:val="-75"/>
        </w:rPr>
      </w:r>
      <w:r>
        <w:rPr/>
        <w:t>力，不断促进公司市场格局拓展，为公司持续健康发展奠定了基础。</w:t>
      </w:r>
    </w:p>
    <w:p>
      <w:pPr>
        <w:spacing w:line="240" w:lineRule="auto" w:before="6"/>
        <w:rPr>
          <w:rFonts w:ascii="宋体" w:hAnsi="宋体" w:cs="宋体" w:eastAsia="宋体" w:hint="default"/>
          <w:sz w:val="15"/>
          <w:szCs w:val="15"/>
        </w:rPr>
      </w:pPr>
    </w:p>
    <w:p>
      <w:pPr>
        <w:pStyle w:val="BodyText"/>
        <w:spacing w:line="240" w:lineRule="auto"/>
        <w:ind w:left="619" w:right="100"/>
        <w:jc w:val="left"/>
      </w:pPr>
      <w:r>
        <w:rPr/>
        <w:t>对外投资情况详见第四节重要事项中的“三、收购及出售资产、企业合并事项”。</w:t>
      </w:r>
    </w:p>
    <w:p>
      <w:pPr>
        <w:spacing w:line="240" w:lineRule="auto" w:before="9"/>
        <w:rPr>
          <w:rFonts w:ascii="宋体" w:hAnsi="宋体" w:cs="宋体" w:eastAsia="宋体" w:hint="default"/>
          <w:sz w:val="26"/>
          <w:szCs w:val="26"/>
        </w:rPr>
      </w:pPr>
    </w:p>
    <w:p>
      <w:pPr>
        <w:pStyle w:val="Heading2"/>
        <w:spacing w:line="240" w:lineRule="auto"/>
        <w:ind w:left="619" w:right="100"/>
        <w:jc w:val="left"/>
        <w:rPr>
          <w:b w:val="0"/>
          <w:bCs w:val="0"/>
        </w:rPr>
      </w:pPr>
      <w:r>
        <w:rPr/>
        <w:t>2、审计委员会对2010年度审计及年报事项的工作情况</w:t>
      </w:r>
      <w:r>
        <w:rPr>
          <w:b w:val="0"/>
          <w:bCs w:val="0"/>
        </w:rPr>
      </w:r>
    </w:p>
    <w:p>
      <w:pPr>
        <w:spacing w:after="0" w:line="240" w:lineRule="auto"/>
        <w:jc w:val="left"/>
        <w:sectPr>
          <w:pgSz w:w="11910" w:h="16840"/>
          <w:pgMar w:header="851" w:footer="982" w:top="1360" w:bottom="1180" w:left="1660" w:right="1580"/>
        </w:sectPr>
      </w:pPr>
    </w:p>
    <w:p>
      <w:pPr>
        <w:pStyle w:val="BodyText"/>
        <w:spacing w:line="240" w:lineRule="auto" w:before="63"/>
        <w:ind w:left="620" w:right="100"/>
        <w:jc w:val="left"/>
      </w:pPr>
      <w:r>
        <w:rPr/>
        <w:t>根据中国证监会、深圳证券交易所有关规定及公司《董事会审计委员会工作细则》、</w:t>
      </w:r>
    </w:p>
    <w:p>
      <w:pPr>
        <w:spacing w:line="240" w:lineRule="auto" w:before="10"/>
        <w:rPr>
          <w:rFonts w:ascii="宋体" w:hAnsi="宋体" w:cs="宋体" w:eastAsia="宋体" w:hint="default"/>
          <w:sz w:val="14"/>
          <w:szCs w:val="14"/>
        </w:rPr>
      </w:pPr>
    </w:p>
    <w:p>
      <w:pPr>
        <w:pStyle w:val="BodyText"/>
        <w:spacing w:line="408" w:lineRule="auto"/>
        <w:ind w:right="212"/>
        <w:jc w:val="both"/>
      </w:pPr>
      <w:r>
        <w:rPr>
          <w:spacing w:val="-3"/>
        </w:rPr>
        <w:t>《独立董事工作制度》、《独立董事及审计委员会年报工作规则》等要求，公司董事会审计</w:t>
      </w:r>
      <w:r>
        <w:rPr>
          <w:spacing w:val="-77"/>
        </w:rPr>
        <w:t> </w:t>
      </w:r>
      <w:r>
        <w:rPr>
          <w:spacing w:val="-77"/>
        </w:rPr>
      </w:r>
      <w:r>
        <w:rPr>
          <w:spacing w:val="-3"/>
        </w:rPr>
        <w:t>委员会勤勉尽责，在2010年度财务报告编制及审计过程中认真履行了监督、核查职责。具体</w:t>
      </w:r>
      <w:r>
        <w:rPr>
          <w:spacing w:val="-68"/>
        </w:rPr>
        <w:t> </w:t>
      </w:r>
      <w:r>
        <w:rPr>
          <w:spacing w:val="-68"/>
        </w:rPr>
      </w:r>
      <w:r>
        <w:rPr/>
        <w:t>履职情况如下：</w:t>
      </w:r>
    </w:p>
    <w:p>
      <w:pPr>
        <w:spacing w:line="240" w:lineRule="auto" w:before="6"/>
        <w:rPr>
          <w:rFonts w:ascii="宋体" w:hAnsi="宋体" w:cs="宋体" w:eastAsia="宋体" w:hint="default"/>
          <w:sz w:val="15"/>
          <w:szCs w:val="15"/>
        </w:rPr>
      </w:pPr>
    </w:p>
    <w:p>
      <w:pPr>
        <w:pStyle w:val="BodyText"/>
        <w:spacing w:line="408" w:lineRule="auto"/>
        <w:ind w:right="124" w:firstLine="420"/>
        <w:jc w:val="both"/>
      </w:pPr>
      <w:r>
        <w:rPr/>
        <w:t>（1）公司董事会审计委员会认真阅读了会计师事务所人员关于公司2010年度审计工作 计划及相关资料，与会计师事务所协商确定了公司2010年度财务报告审计工作的时间安排；</w:t>
      </w:r>
    </w:p>
    <w:p>
      <w:pPr>
        <w:spacing w:line="240" w:lineRule="auto" w:before="6"/>
        <w:rPr>
          <w:rFonts w:ascii="宋体" w:hAnsi="宋体" w:cs="宋体" w:eastAsia="宋体" w:hint="default"/>
          <w:sz w:val="15"/>
          <w:szCs w:val="15"/>
        </w:rPr>
      </w:pPr>
    </w:p>
    <w:p>
      <w:pPr>
        <w:pStyle w:val="BodyText"/>
        <w:spacing w:line="408" w:lineRule="auto"/>
        <w:ind w:right="211" w:firstLine="420"/>
        <w:jc w:val="both"/>
      </w:pPr>
      <w:r>
        <w:rPr/>
        <w:t>（2）在年审注册会计师进场前，审阅了公司编制的财务会计报表，认为财务会计报表 </w:t>
      </w:r>
      <w:r>
        <w:rPr>
          <w:spacing w:val="2"/>
        </w:rPr>
        <w:t>能够反映出公司的财务状况和经营成果，并出具了《审计委员会对财务报表的初次审核意</w:t>
      </w:r>
      <w:r>
        <w:rPr>
          <w:spacing w:val="-82"/>
        </w:rPr>
        <w:t> </w:t>
      </w:r>
      <w:r>
        <w:rPr>
          <w:spacing w:val="-82"/>
        </w:rPr>
      </w:r>
      <w:r>
        <w:rPr/>
        <w:t>见》，同意提交给年审注册会计师进行审计；</w:t>
      </w:r>
    </w:p>
    <w:p>
      <w:pPr>
        <w:spacing w:line="240" w:lineRule="auto" w:before="6"/>
        <w:rPr>
          <w:rFonts w:ascii="宋体" w:hAnsi="宋体" w:cs="宋体" w:eastAsia="宋体" w:hint="default"/>
          <w:sz w:val="15"/>
          <w:szCs w:val="15"/>
        </w:rPr>
      </w:pPr>
    </w:p>
    <w:p>
      <w:pPr>
        <w:pStyle w:val="BodyText"/>
        <w:spacing w:line="240" w:lineRule="auto"/>
        <w:ind w:left="557" w:right="100"/>
        <w:jc w:val="left"/>
      </w:pPr>
      <w:r>
        <w:rPr/>
        <w:t>（3）年审注册会计师进场后，与会计师事务所就审计过程中发现的问题沟通和交流；</w:t>
      </w:r>
    </w:p>
    <w:p>
      <w:pPr>
        <w:spacing w:line="240" w:lineRule="auto" w:before="9"/>
        <w:rPr>
          <w:rFonts w:ascii="宋体" w:hAnsi="宋体" w:cs="宋体" w:eastAsia="宋体" w:hint="default"/>
          <w:sz w:val="26"/>
          <w:szCs w:val="26"/>
        </w:rPr>
      </w:pPr>
    </w:p>
    <w:p>
      <w:pPr>
        <w:pStyle w:val="BodyText"/>
        <w:spacing w:line="408" w:lineRule="auto"/>
        <w:ind w:right="102" w:firstLine="420"/>
        <w:jc w:val="left"/>
      </w:pPr>
      <w:r>
        <w:rPr/>
        <w:t>（4）在年审注册会计师出具初步审计意见后，再一次审阅了公司2010年度财务会计报 </w:t>
      </w:r>
      <w:r>
        <w:rPr>
          <w:spacing w:val="-5"/>
        </w:rPr>
        <w:t>表，出具了《审计委员会对财务报表的再次审核意见》，认为公司财务会计报表真实、准确、</w:t>
      </w:r>
      <w:r>
        <w:rPr>
          <w:spacing w:val="-95"/>
        </w:rPr>
        <w:t> </w:t>
      </w:r>
      <w:r>
        <w:rPr>
          <w:spacing w:val="-95"/>
        </w:rPr>
      </w:r>
      <w:r>
        <w:rPr/>
        <w:t>完整地反映了公司的整体情况；</w:t>
      </w:r>
    </w:p>
    <w:p>
      <w:pPr>
        <w:spacing w:line="240" w:lineRule="auto" w:before="6"/>
        <w:rPr>
          <w:rFonts w:ascii="宋体" w:hAnsi="宋体" w:cs="宋体" w:eastAsia="宋体" w:hint="default"/>
          <w:sz w:val="15"/>
          <w:szCs w:val="15"/>
        </w:rPr>
      </w:pPr>
    </w:p>
    <w:p>
      <w:pPr>
        <w:pStyle w:val="BodyText"/>
        <w:spacing w:line="408" w:lineRule="auto"/>
        <w:ind w:right="212" w:firstLine="420"/>
        <w:jc w:val="both"/>
      </w:pPr>
      <w:r>
        <w:rPr/>
        <w:t>（5）在会计师事务所出具2010年度审计报告后，对本年度审计工作进行了总结，听取 </w:t>
      </w:r>
      <w:r>
        <w:rPr>
          <w:spacing w:val="2"/>
        </w:rPr>
        <w:t>了会计师事务所的年度审计工作总结报告和公司审计部对会计师事务所年度审计工作的评</w:t>
      </w:r>
      <w:r>
        <w:rPr>
          <w:spacing w:val="-82"/>
        </w:rPr>
        <w:t> </w:t>
      </w:r>
      <w:r>
        <w:rPr>
          <w:spacing w:val="-82"/>
        </w:rPr>
      </w:r>
      <w:r>
        <w:rPr>
          <w:spacing w:val="-3"/>
        </w:rPr>
        <w:t>价总结。认为立信会计师事务所有限公司为公司出具的各期审计报告客观、公正地反映了公</w:t>
      </w:r>
      <w:r>
        <w:rPr>
          <w:spacing w:val="-75"/>
        </w:rPr>
        <w:t> </w:t>
      </w:r>
      <w:r>
        <w:rPr>
          <w:spacing w:val="-75"/>
        </w:rPr>
      </w:r>
      <w:r>
        <w:rPr/>
        <w:t>司各期的财务状况、经营成果和现金流量，并同意继续聘请其为公司2010年度审计机构。</w:t>
      </w:r>
    </w:p>
    <w:p>
      <w:pPr>
        <w:spacing w:line="240" w:lineRule="auto" w:before="6"/>
        <w:rPr>
          <w:rFonts w:ascii="宋体" w:hAnsi="宋体" w:cs="宋体" w:eastAsia="宋体" w:hint="default"/>
          <w:sz w:val="15"/>
          <w:szCs w:val="15"/>
        </w:rPr>
      </w:pPr>
    </w:p>
    <w:p>
      <w:pPr>
        <w:pStyle w:val="BodyText"/>
        <w:spacing w:line="408" w:lineRule="auto"/>
        <w:ind w:right="211" w:firstLine="420"/>
        <w:jc w:val="both"/>
      </w:pPr>
      <w:r>
        <w:rPr/>
        <w:t>（6）对公司内部控制制度检查评估后发表专项意见：公司已建立了较为完善的内部控 </w:t>
      </w:r>
      <w:r>
        <w:rPr>
          <w:spacing w:val="-3"/>
        </w:rPr>
        <w:t>制制度体系并能得到有效执行。公司关于内部控制的自我评价报告真实客观地反映了公司内</w:t>
      </w:r>
      <w:r>
        <w:rPr>
          <w:spacing w:val="-73"/>
        </w:rPr>
        <w:t> </w:t>
      </w:r>
      <w:r>
        <w:rPr>
          <w:spacing w:val="-73"/>
        </w:rPr>
      </w:r>
      <w:r>
        <w:rPr/>
        <w:t>部控制制度的建设及运行情况，同时将该自我评价报告提交董事会审议。</w:t>
      </w:r>
    </w:p>
    <w:p>
      <w:pPr>
        <w:spacing w:line="240" w:lineRule="auto" w:before="6"/>
        <w:rPr>
          <w:rFonts w:ascii="宋体" w:hAnsi="宋体" w:cs="宋体" w:eastAsia="宋体" w:hint="default"/>
          <w:sz w:val="15"/>
          <w:szCs w:val="15"/>
        </w:rPr>
      </w:pPr>
    </w:p>
    <w:p>
      <w:pPr>
        <w:pStyle w:val="Heading2"/>
        <w:spacing w:line="240" w:lineRule="auto"/>
        <w:ind w:left="137" w:right="0"/>
        <w:jc w:val="both"/>
        <w:rPr>
          <w:b w:val="0"/>
          <w:bCs w:val="0"/>
        </w:rPr>
      </w:pPr>
      <w:r>
        <w:rPr/>
        <w:t>七、利润分配或资本公积转增股本预案</w:t>
      </w:r>
      <w:r>
        <w:rPr>
          <w:b w:val="0"/>
          <w:bCs w:val="0"/>
        </w:rPr>
      </w:r>
    </w:p>
    <w:p>
      <w:pPr>
        <w:spacing w:line="620" w:lineRule="atLeast" w:before="4"/>
        <w:ind w:left="557" w:right="100" w:hanging="105"/>
        <w:jc w:val="left"/>
        <w:rPr>
          <w:rFonts w:ascii="宋体" w:hAnsi="宋体" w:cs="宋体" w:eastAsia="宋体" w:hint="default"/>
          <w:sz w:val="21"/>
          <w:szCs w:val="21"/>
        </w:rPr>
      </w:pPr>
      <w:r>
        <w:rPr>
          <w:rFonts w:ascii="宋体" w:hAnsi="宋体" w:cs="宋体" w:eastAsia="宋体" w:hint="default"/>
          <w:b/>
          <w:bCs/>
          <w:sz w:val="21"/>
          <w:szCs w:val="21"/>
        </w:rPr>
        <w:t>（一）2010</w:t>
      </w:r>
      <w:r>
        <w:rPr>
          <w:rFonts w:ascii="宋体" w:hAnsi="宋体" w:cs="宋体" w:eastAsia="宋体" w:hint="default"/>
          <w:b/>
          <w:bCs/>
          <w:spacing w:val="-54"/>
          <w:sz w:val="21"/>
          <w:szCs w:val="21"/>
        </w:rPr>
        <w:t> </w:t>
      </w:r>
      <w:r>
        <w:rPr>
          <w:rFonts w:ascii="宋体" w:hAnsi="宋体" w:cs="宋体" w:eastAsia="宋体" w:hint="default"/>
          <w:b/>
          <w:bCs/>
          <w:sz w:val="21"/>
          <w:szCs w:val="21"/>
        </w:rPr>
        <w:t>年利润分配及资本公积金转增股本的预案</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经立信会计师事务所有限公司审计，本公司2010年度实现归属于上市公司股东的净利润</w:t>
      </w:r>
    </w:p>
    <w:p>
      <w:pPr>
        <w:spacing w:line="240" w:lineRule="auto" w:before="10"/>
        <w:rPr>
          <w:rFonts w:ascii="宋体" w:hAnsi="宋体" w:cs="宋体" w:eastAsia="宋体" w:hint="default"/>
          <w:sz w:val="14"/>
          <w:szCs w:val="14"/>
        </w:rPr>
      </w:pPr>
    </w:p>
    <w:p>
      <w:pPr>
        <w:pStyle w:val="BodyText"/>
        <w:spacing w:line="408" w:lineRule="auto"/>
        <w:ind w:right="213"/>
        <w:jc w:val="both"/>
      </w:pPr>
      <w:r>
        <w:rPr>
          <w:spacing w:val="-3"/>
        </w:rPr>
        <w:t>327,915,598.64元，其中，母公司实现净利润132,648,668.64元。根据《公司法》和《公司</w:t>
      </w:r>
      <w:r>
        <w:rPr>
          <w:spacing w:val="-57"/>
        </w:rPr>
        <w:t> </w:t>
      </w:r>
      <w:r>
        <w:rPr>
          <w:spacing w:val="-57"/>
        </w:rPr>
      </w:r>
      <w:r>
        <w:rPr>
          <w:spacing w:val="-3"/>
        </w:rPr>
        <w:t>章程》的有关规定，按2010年度母公司实现净利润的10%提取法定盈余公积金13,264,866.86</w:t>
      </w:r>
      <w:r>
        <w:rPr>
          <w:spacing w:val="-63"/>
        </w:rPr>
        <w:t> </w:t>
      </w:r>
      <w:r>
        <w:rPr>
          <w:spacing w:val="-63"/>
        </w:rPr>
      </w:r>
      <w:r>
        <w:rPr/>
        <w:t>元，公司可供股东分配的利润为214,063,993.08元。</w:t>
      </w:r>
    </w:p>
    <w:p>
      <w:pPr>
        <w:spacing w:line="240" w:lineRule="auto" w:before="6"/>
        <w:rPr>
          <w:rFonts w:ascii="宋体" w:hAnsi="宋体" w:cs="宋体" w:eastAsia="宋体" w:hint="default"/>
          <w:sz w:val="15"/>
          <w:szCs w:val="15"/>
        </w:rPr>
      </w:pPr>
    </w:p>
    <w:p>
      <w:pPr>
        <w:pStyle w:val="BodyText"/>
        <w:spacing w:line="240" w:lineRule="auto"/>
        <w:ind w:left="557" w:right="100"/>
        <w:jc w:val="left"/>
      </w:pPr>
      <w:r>
        <w:rPr/>
        <w:t>公司拟以2010年12月31</w:t>
      </w:r>
      <w:r>
        <w:rPr>
          <w:spacing w:val="-2"/>
        </w:rPr>
        <w:t>日</w:t>
      </w:r>
      <w:r>
        <w:rPr/>
        <w:t>公司总股本31,600万股</w:t>
      </w:r>
      <w:r>
        <w:rPr>
          <w:spacing w:val="-2"/>
        </w:rPr>
        <w:t>为</w:t>
      </w:r>
      <w:r>
        <w:rPr/>
        <w:t>基数</w:t>
      </w:r>
      <w:r>
        <w:rPr>
          <w:spacing w:val="-96"/>
        </w:rPr>
        <w:t>，</w:t>
      </w:r>
      <w:r>
        <w:rPr/>
        <w:t>按每10股派发现金红利3</w:t>
      </w:r>
      <w:r>
        <w:rPr>
          <w:spacing w:val="-96"/>
        </w:rPr>
        <w:t>元</w:t>
      </w:r>
      <w:r>
        <w:rPr>
          <w:spacing w:val="1"/>
        </w:rPr>
        <w:t>（含</w:t>
      </w:r>
      <w:r>
        <w:rPr/>
      </w:r>
    </w:p>
    <w:p>
      <w:pPr>
        <w:spacing w:after="0" w:line="240" w:lineRule="auto"/>
        <w:jc w:val="left"/>
        <w:sectPr>
          <w:footerReference w:type="default" r:id="rId50"/>
          <w:pgSz w:w="11910" w:h="16840"/>
          <w:pgMar w:footer="982" w:header="851" w:top="1360" w:bottom="1180" w:left="1660" w:right="1580"/>
          <w:pgNumType w:start="41"/>
        </w:sectPr>
      </w:pPr>
    </w:p>
    <w:p>
      <w:pPr>
        <w:pStyle w:val="BodyText"/>
        <w:spacing w:line="240" w:lineRule="auto" w:before="63"/>
        <w:ind w:left="557" w:right="569"/>
        <w:jc w:val="left"/>
      </w:pPr>
      <w:r>
        <w:rPr/>
        <w:t>税），共分配现金股利9,480万元，剩余未分配利润结转以后年度。</w:t>
      </w:r>
    </w:p>
    <w:p>
      <w:pPr>
        <w:spacing w:line="240" w:lineRule="auto" w:before="9"/>
        <w:rPr>
          <w:rFonts w:ascii="宋体" w:hAnsi="宋体" w:cs="宋体" w:eastAsia="宋体" w:hint="default"/>
          <w:sz w:val="26"/>
          <w:szCs w:val="26"/>
        </w:rPr>
      </w:pPr>
    </w:p>
    <w:p>
      <w:pPr>
        <w:pStyle w:val="BodyText"/>
        <w:spacing w:line="408" w:lineRule="auto"/>
        <w:ind w:left="557" w:right="569" w:firstLine="420"/>
        <w:jc w:val="left"/>
      </w:pPr>
      <w:r>
        <w:rPr>
          <w:spacing w:val="-3"/>
        </w:rPr>
        <w:t>同时，拟以2010年12月31日公司总股本31,600万股为基数，由资本公积金向全体股东每</w:t>
      </w:r>
      <w:r>
        <w:rPr/>
        <w:t> 10</w:t>
      </w:r>
      <w:r>
        <w:rPr>
          <w:spacing w:val="-22"/>
        </w:rPr>
        <w:t> </w:t>
      </w:r>
      <w:r>
        <w:rPr/>
        <w:t>股转增2股，合计转增股本6,320万股。</w:t>
      </w:r>
    </w:p>
    <w:p>
      <w:pPr>
        <w:spacing w:line="240" w:lineRule="auto" w:before="6"/>
        <w:rPr>
          <w:rFonts w:ascii="宋体" w:hAnsi="宋体" w:cs="宋体" w:eastAsia="宋体" w:hint="default"/>
          <w:sz w:val="15"/>
          <w:szCs w:val="15"/>
        </w:rPr>
      </w:pPr>
    </w:p>
    <w:p>
      <w:pPr>
        <w:pStyle w:val="BodyText"/>
        <w:spacing w:line="240" w:lineRule="auto"/>
        <w:ind w:left="977" w:right="569"/>
        <w:jc w:val="left"/>
      </w:pPr>
      <w:r>
        <w:rPr/>
        <w:t>上述预案尚需提交公司2010年度股东大会审议。</w:t>
      </w:r>
    </w:p>
    <w:p>
      <w:pPr>
        <w:spacing w:line="240" w:lineRule="auto" w:before="9"/>
        <w:rPr>
          <w:rFonts w:ascii="宋体" w:hAnsi="宋体" w:cs="宋体" w:eastAsia="宋体" w:hint="default"/>
          <w:sz w:val="26"/>
          <w:szCs w:val="26"/>
        </w:rPr>
      </w:pPr>
    </w:p>
    <w:p>
      <w:pPr>
        <w:pStyle w:val="Heading2"/>
        <w:spacing w:line="240" w:lineRule="auto"/>
        <w:ind w:left="873" w:right="569"/>
        <w:jc w:val="left"/>
        <w:rPr>
          <w:b w:val="0"/>
          <w:bCs w:val="0"/>
        </w:rPr>
      </w:pPr>
      <w:r>
        <w:rPr/>
        <w:t>（二）公司前三年现金分红情况：</w:t>
      </w:r>
      <w:r>
        <w:rPr>
          <w:b w:val="0"/>
          <w:bCs w:val="0"/>
        </w:rPr>
      </w:r>
    </w:p>
    <w:p>
      <w:pPr>
        <w:spacing w:line="240" w:lineRule="auto" w:before="11"/>
        <w:rPr>
          <w:rFonts w:ascii="宋体" w:hAnsi="宋体" w:cs="宋体" w:eastAsia="宋体" w:hint="default"/>
          <w:b/>
          <w:bCs/>
          <w:sz w:val="21"/>
          <w:szCs w:val="21"/>
        </w:rPr>
      </w:pPr>
    </w:p>
    <w:tbl>
      <w:tblPr>
        <w:tblW w:w="0" w:type="auto"/>
        <w:jc w:val="left"/>
        <w:tblInd w:w="102" w:type="dxa"/>
        <w:tblLayout w:type="fixed"/>
        <w:tblCellMar>
          <w:top w:w="0" w:type="dxa"/>
          <w:left w:w="0" w:type="dxa"/>
          <w:bottom w:w="0" w:type="dxa"/>
          <w:right w:w="0" w:type="dxa"/>
        </w:tblCellMar>
        <w:tblLook w:val="01E0"/>
      </w:tblPr>
      <w:tblGrid>
        <w:gridCol w:w="2724"/>
        <w:gridCol w:w="2184"/>
        <w:gridCol w:w="2119"/>
        <w:gridCol w:w="2184"/>
      </w:tblGrid>
      <w:tr>
        <w:trPr>
          <w:trHeight w:val="635" w:hRule="exact"/>
        </w:trPr>
        <w:tc>
          <w:tcPr>
            <w:tcW w:w="2724"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41"/>
              <w:ind w:left="937" w:right="0"/>
              <w:jc w:val="left"/>
              <w:rPr>
                <w:rFonts w:ascii="宋体" w:hAnsi="宋体" w:cs="宋体" w:eastAsia="宋体" w:hint="default"/>
                <w:sz w:val="21"/>
                <w:szCs w:val="21"/>
              </w:rPr>
            </w:pPr>
            <w:r>
              <w:rPr>
                <w:rFonts w:ascii="宋体" w:hAnsi="宋体" w:cs="宋体" w:eastAsia="宋体" w:hint="default"/>
                <w:sz w:val="21"/>
                <w:szCs w:val="21"/>
              </w:rPr>
              <w:t>分红年度</w:t>
            </w:r>
          </w:p>
        </w:tc>
        <w:tc>
          <w:tcPr>
            <w:tcW w:w="2184"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60" w:lineRule="exact"/>
              <w:ind w:left="103" w:right="-2"/>
              <w:jc w:val="center"/>
              <w:rPr>
                <w:rFonts w:ascii="宋体" w:hAnsi="宋体" w:cs="宋体" w:eastAsia="宋体" w:hint="default"/>
                <w:sz w:val="21"/>
                <w:szCs w:val="21"/>
              </w:rPr>
            </w:pPr>
            <w:r>
              <w:rPr>
                <w:rFonts w:ascii="宋体" w:hAnsi="宋体" w:cs="宋体" w:eastAsia="宋体" w:hint="default"/>
                <w:spacing w:val="-3"/>
                <w:sz w:val="21"/>
                <w:szCs w:val="21"/>
              </w:rPr>
              <w:t>现金分红金额（含税）</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（元）</w:t>
            </w:r>
          </w:p>
        </w:tc>
        <w:tc>
          <w:tcPr>
            <w:tcW w:w="2119"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41"/>
              <w:ind w:left="103" w:right="-2"/>
              <w:jc w:val="left"/>
              <w:rPr>
                <w:rFonts w:ascii="宋体" w:hAnsi="宋体" w:cs="宋体" w:eastAsia="宋体" w:hint="default"/>
                <w:sz w:val="21"/>
                <w:szCs w:val="21"/>
              </w:rPr>
            </w:pPr>
            <w:r>
              <w:rPr>
                <w:rFonts w:ascii="宋体" w:hAnsi="宋体" w:cs="宋体" w:eastAsia="宋体" w:hint="default"/>
                <w:sz w:val="21"/>
                <w:szCs w:val="21"/>
              </w:rPr>
              <w:t>分红年度净利</w:t>
            </w:r>
            <w:r>
              <w:rPr>
                <w:rFonts w:ascii="宋体" w:hAnsi="宋体" w:cs="宋体" w:eastAsia="宋体" w:hint="default"/>
                <w:spacing w:val="-93"/>
                <w:sz w:val="21"/>
                <w:szCs w:val="21"/>
              </w:rPr>
              <w:t>润</w:t>
            </w:r>
            <w:r>
              <w:rPr>
                <w:rFonts w:ascii="宋体" w:hAnsi="宋体" w:cs="宋体" w:eastAsia="宋体" w:hint="default"/>
                <w:sz w:val="21"/>
                <w:szCs w:val="21"/>
              </w:rPr>
              <w:t>（元）</w:t>
            </w:r>
          </w:p>
        </w:tc>
        <w:tc>
          <w:tcPr>
            <w:tcW w:w="2184"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占分红年度净利润的</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比率</w:t>
            </w:r>
          </w:p>
        </w:tc>
      </w:tr>
      <w:tr>
        <w:trPr>
          <w:trHeight w:val="504" w:hRule="exact"/>
        </w:trPr>
        <w:tc>
          <w:tcPr>
            <w:tcW w:w="2724"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76"/>
              <w:ind w:left="909"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宋体" w:hAnsi="宋体" w:cs="宋体" w:eastAsia="宋体" w:hint="default"/>
                <w:sz w:val="21"/>
                <w:szCs w:val="21"/>
              </w:rPr>
            </w:pPr>
            <w:r>
              <w:rPr>
                <w:rFonts w:ascii="宋体"/>
                <w:sz w:val="21"/>
              </w:rPr>
              <w:t>37,920,000</w:t>
            </w:r>
          </w:p>
        </w:tc>
        <w:tc>
          <w:tcPr>
            <w:tcW w:w="2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319" w:right="0"/>
              <w:jc w:val="left"/>
              <w:rPr>
                <w:rFonts w:ascii="宋体" w:hAnsi="宋体" w:cs="宋体" w:eastAsia="宋体" w:hint="default"/>
                <w:sz w:val="21"/>
                <w:szCs w:val="21"/>
              </w:rPr>
            </w:pPr>
            <w:r>
              <w:rPr>
                <w:rFonts w:ascii="宋体"/>
                <w:sz w:val="21"/>
              </w:rPr>
              <w:t>270,372,598.73</w:t>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772" w:right="0"/>
              <w:jc w:val="left"/>
              <w:rPr>
                <w:rFonts w:ascii="宋体" w:hAnsi="宋体" w:cs="宋体" w:eastAsia="宋体" w:hint="default"/>
                <w:sz w:val="21"/>
                <w:szCs w:val="21"/>
              </w:rPr>
            </w:pPr>
            <w:r>
              <w:rPr>
                <w:rFonts w:ascii="宋体"/>
                <w:sz w:val="21"/>
              </w:rPr>
              <w:t>14.03%</w:t>
            </w:r>
          </w:p>
        </w:tc>
      </w:tr>
      <w:tr>
        <w:trPr>
          <w:trHeight w:val="505" w:hRule="exact"/>
        </w:trPr>
        <w:tc>
          <w:tcPr>
            <w:tcW w:w="2724"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76"/>
              <w:ind w:left="909"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宋体" w:hAnsi="宋体" w:cs="宋体" w:eastAsia="宋体" w:hint="default"/>
                <w:sz w:val="21"/>
                <w:szCs w:val="21"/>
              </w:rPr>
            </w:pPr>
            <w:r>
              <w:rPr>
                <w:rFonts w:ascii="宋体"/>
                <w:sz w:val="21"/>
              </w:rPr>
              <w:t>21,592,000</w:t>
            </w:r>
          </w:p>
        </w:tc>
        <w:tc>
          <w:tcPr>
            <w:tcW w:w="2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319" w:right="0"/>
              <w:jc w:val="left"/>
              <w:rPr>
                <w:rFonts w:ascii="宋体" w:hAnsi="宋体" w:cs="宋体" w:eastAsia="宋体" w:hint="default"/>
                <w:sz w:val="21"/>
                <w:szCs w:val="21"/>
              </w:rPr>
            </w:pPr>
            <w:r>
              <w:rPr>
                <w:rFonts w:ascii="宋体"/>
                <w:sz w:val="21"/>
              </w:rPr>
              <w:t>118,185,468.95</w:t>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772" w:right="0"/>
              <w:jc w:val="left"/>
              <w:rPr>
                <w:rFonts w:ascii="宋体" w:hAnsi="宋体" w:cs="宋体" w:eastAsia="宋体" w:hint="default"/>
                <w:sz w:val="21"/>
                <w:szCs w:val="21"/>
              </w:rPr>
            </w:pPr>
            <w:r>
              <w:rPr>
                <w:rFonts w:ascii="宋体"/>
                <w:sz w:val="21"/>
              </w:rPr>
              <w:t>18.27%</w:t>
            </w:r>
          </w:p>
        </w:tc>
      </w:tr>
      <w:tr>
        <w:trPr>
          <w:trHeight w:val="505" w:hRule="exact"/>
        </w:trPr>
        <w:tc>
          <w:tcPr>
            <w:tcW w:w="2724"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76"/>
              <w:ind w:left="909"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宋体" w:hAnsi="宋体" w:cs="宋体" w:eastAsia="宋体" w:hint="default"/>
                <w:sz w:val="21"/>
                <w:szCs w:val="21"/>
              </w:rPr>
            </w:pPr>
            <w:r>
              <w:rPr>
                <w:rFonts w:ascii="宋体"/>
                <w:sz w:val="21"/>
              </w:rPr>
              <w:t>21,592,000</w:t>
            </w:r>
          </w:p>
        </w:tc>
        <w:tc>
          <w:tcPr>
            <w:tcW w:w="2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372" w:right="0"/>
              <w:jc w:val="left"/>
              <w:rPr>
                <w:rFonts w:ascii="宋体" w:hAnsi="宋体" w:cs="宋体" w:eastAsia="宋体" w:hint="default"/>
                <w:sz w:val="21"/>
                <w:szCs w:val="21"/>
              </w:rPr>
            </w:pPr>
            <w:r>
              <w:rPr>
                <w:rFonts w:ascii="宋体"/>
                <w:sz w:val="21"/>
              </w:rPr>
              <w:t>88,312,193.49</w:t>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772" w:right="0"/>
              <w:jc w:val="left"/>
              <w:rPr>
                <w:rFonts w:ascii="宋体" w:hAnsi="宋体" w:cs="宋体" w:eastAsia="宋体" w:hint="default"/>
                <w:sz w:val="21"/>
                <w:szCs w:val="21"/>
              </w:rPr>
            </w:pPr>
            <w:r>
              <w:rPr>
                <w:rFonts w:ascii="宋体"/>
                <w:sz w:val="21"/>
              </w:rPr>
              <w:t>24.45%</w:t>
            </w:r>
          </w:p>
        </w:tc>
      </w:tr>
      <w:tr>
        <w:trPr>
          <w:trHeight w:val="634" w:hRule="exact"/>
        </w:trPr>
        <w:tc>
          <w:tcPr>
            <w:tcW w:w="2724" w:type="dxa"/>
            <w:tcBorders>
              <w:top w:val="single" w:sz="4" w:space="0" w:color="000000"/>
              <w:left w:val="single" w:sz="4" w:space="0" w:color="000000"/>
              <w:bottom w:val="single" w:sz="4" w:space="0" w:color="000000"/>
              <w:right w:val="single" w:sz="4" w:space="0" w:color="000000"/>
            </w:tcBorders>
            <w:shd w:val="clear" w:color="auto" w:fill="E0E0E0"/>
          </w:tcPr>
          <w:p>
            <w:pPr/>
          </w:p>
        </w:tc>
        <w:tc>
          <w:tcPr>
            <w:tcW w:w="2184"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三年累计现金分红金</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额（含税）（元）</w:t>
            </w:r>
          </w:p>
        </w:tc>
        <w:tc>
          <w:tcPr>
            <w:tcW w:w="2119"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最近三年平均年度净</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利润（元）</w:t>
            </w:r>
          </w:p>
        </w:tc>
        <w:tc>
          <w:tcPr>
            <w:tcW w:w="2184"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占最近三年平均年度</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净利润的比例</w:t>
            </w:r>
          </w:p>
        </w:tc>
      </w:tr>
      <w:tr>
        <w:trPr>
          <w:trHeight w:val="506" w:hRule="exact"/>
        </w:trPr>
        <w:tc>
          <w:tcPr>
            <w:tcW w:w="2724" w:type="dxa"/>
            <w:tcBorders>
              <w:top w:val="single" w:sz="4" w:space="0" w:color="000000"/>
              <w:left w:val="single" w:sz="4" w:space="0" w:color="000000"/>
              <w:bottom w:val="single" w:sz="4" w:space="0" w:color="000000"/>
              <w:right w:val="single" w:sz="4" w:space="0" w:color="000000"/>
            </w:tcBorders>
            <w:shd w:val="clear" w:color="auto" w:fill="E0E0E0"/>
          </w:tcPr>
          <w:p>
            <w:pP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21"/>
                <w:szCs w:val="21"/>
              </w:rPr>
            </w:pPr>
            <w:r>
              <w:rPr>
                <w:rFonts w:ascii="宋体"/>
                <w:sz w:val="21"/>
              </w:rPr>
              <w:t>81,104,000</w:t>
            </w:r>
          </w:p>
        </w:tc>
        <w:tc>
          <w:tcPr>
            <w:tcW w:w="2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77" w:right="0"/>
              <w:jc w:val="left"/>
              <w:rPr>
                <w:rFonts w:ascii="宋体" w:hAnsi="宋体" w:cs="宋体" w:eastAsia="宋体" w:hint="default"/>
                <w:sz w:val="21"/>
                <w:szCs w:val="21"/>
              </w:rPr>
            </w:pPr>
            <w:r>
              <w:rPr>
                <w:rFonts w:ascii="宋体"/>
                <w:sz w:val="21"/>
              </w:rPr>
              <w:t>158,956,754</w:t>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771" w:right="0"/>
              <w:jc w:val="left"/>
              <w:rPr>
                <w:rFonts w:ascii="宋体" w:hAnsi="宋体" w:cs="宋体" w:eastAsia="宋体" w:hint="default"/>
                <w:sz w:val="21"/>
                <w:szCs w:val="21"/>
              </w:rPr>
            </w:pPr>
            <w:r>
              <w:rPr>
                <w:rFonts w:ascii="宋体"/>
                <w:sz w:val="21"/>
              </w:rPr>
              <w:t>51.02%</w:t>
            </w:r>
          </w:p>
        </w:tc>
      </w:tr>
    </w:tbl>
    <w:p>
      <w:pPr>
        <w:spacing w:line="240" w:lineRule="auto" w:before="1"/>
        <w:rPr>
          <w:rFonts w:ascii="宋体" w:hAnsi="宋体" w:cs="宋体" w:eastAsia="宋体" w:hint="default"/>
          <w:b/>
          <w:bCs/>
          <w:sz w:val="14"/>
          <w:szCs w:val="14"/>
        </w:rPr>
      </w:pPr>
    </w:p>
    <w:p>
      <w:pPr>
        <w:spacing w:before="35"/>
        <w:ind w:left="873" w:right="569" w:firstLine="0"/>
        <w:jc w:val="left"/>
        <w:rPr>
          <w:rFonts w:ascii="宋体" w:hAnsi="宋体" w:cs="宋体" w:eastAsia="宋体" w:hint="default"/>
          <w:sz w:val="21"/>
          <w:szCs w:val="21"/>
        </w:rPr>
      </w:pPr>
      <w:r>
        <w:rPr>
          <w:rFonts w:ascii="宋体" w:hAnsi="宋体" w:cs="宋体" w:eastAsia="宋体" w:hint="default"/>
          <w:b/>
          <w:bCs/>
          <w:sz w:val="21"/>
          <w:szCs w:val="21"/>
        </w:rPr>
        <w:t>（三）公司的股利分配政策</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pStyle w:val="BodyText"/>
        <w:spacing w:line="408" w:lineRule="auto"/>
        <w:ind w:left="557" w:right="573" w:firstLine="420"/>
        <w:jc w:val="both"/>
      </w:pPr>
      <w:r>
        <w:rPr>
          <w:spacing w:val="-3"/>
        </w:rPr>
        <w:t>公司的股利分配政策为：按照股东持有的股份比例分配利润；可以采取现金或者股票方</w:t>
      </w:r>
      <w:r>
        <w:rPr/>
        <w:t> </w:t>
      </w:r>
      <w:r>
        <w:rPr>
          <w:spacing w:val="-3"/>
        </w:rPr>
        <w:t>式分配利润；重视对投资者的合理投资回报，每连续三年以现金方式累计分配的利润不少于</w:t>
      </w:r>
      <w:r>
        <w:rPr>
          <w:spacing w:val="-75"/>
        </w:rPr>
        <w:t> </w:t>
      </w:r>
      <w:r>
        <w:rPr>
          <w:spacing w:val="-75"/>
        </w:rPr>
      </w:r>
      <w:r>
        <w:rPr>
          <w:spacing w:val="-3"/>
        </w:rPr>
        <w:t>该三年实现的年均可分配利润的百分之三十；董事会未做出现金利润分配预案的，应当在定</w:t>
      </w:r>
      <w:r>
        <w:rPr>
          <w:spacing w:val="-75"/>
        </w:rPr>
        <w:t> </w:t>
      </w:r>
      <w:r>
        <w:rPr>
          <w:spacing w:val="-75"/>
        </w:rPr>
      </w:r>
      <w:r>
        <w:rPr/>
        <w:t>期报告中披露原因，独立董事应当对此发表独立意见。</w:t>
      </w:r>
    </w:p>
    <w:p>
      <w:pPr>
        <w:spacing w:line="240" w:lineRule="auto" w:before="6"/>
        <w:rPr>
          <w:rFonts w:ascii="宋体" w:hAnsi="宋体" w:cs="宋体" w:eastAsia="宋体" w:hint="default"/>
          <w:sz w:val="15"/>
          <w:szCs w:val="15"/>
        </w:rPr>
      </w:pPr>
    </w:p>
    <w:p>
      <w:pPr>
        <w:spacing w:line="544" w:lineRule="auto" w:before="0"/>
        <w:ind w:left="977" w:right="2567" w:hanging="105"/>
        <w:jc w:val="left"/>
        <w:rPr>
          <w:rFonts w:ascii="宋体" w:hAnsi="宋体" w:cs="宋体" w:eastAsia="宋体" w:hint="default"/>
          <w:sz w:val="21"/>
          <w:szCs w:val="21"/>
        </w:rPr>
      </w:pPr>
      <w:r>
        <w:rPr>
          <w:rFonts w:ascii="宋体" w:hAnsi="宋体" w:cs="宋体" w:eastAsia="宋体" w:hint="default"/>
          <w:b/>
          <w:bCs/>
          <w:sz w:val="21"/>
          <w:szCs w:val="21"/>
        </w:rPr>
        <w:t>（四）公司最近三年股本变动情况</w:t>
      </w:r>
      <w:r>
        <w:rPr>
          <w:rFonts w:ascii="宋体" w:hAnsi="宋体" w:cs="宋体" w:eastAsia="宋体" w:hint="default"/>
          <w:b/>
          <w:bCs/>
          <w:w w:val="99"/>
          <w:sz w:val="21"/>
          <w:szCs w:val="21"/>
        </w:rPr>
        <w:t> </w:t>
      </w:r>
      <w:r>
        <w:rPr>
          <w:rFonts w:ascii="宋体" w:hAnsi="宋体" w:cs="宋体" w:eastAsia="宋体" w:hint="default"/>
          <w:sz w:val="21"/>
          <w:szCs w:val="21"/>
        </w:rPr>
        <w:t>1、2008年股本未发生变化，2008年末公司股本为4,318.4万股。</w:t>
      </w:r>
    </w:p>
    <w:p>
      <w:pPr>
        <w:pStyle w:val="BodyText"/>
        <w:spacing w:line="240" w:lineRule="auto" w:before="81"/>
        <w:ind w:left="977" w:right="569"/>
        <w:jc w:val="left"/>
      </w:pPr>
      <w:r>
        <w:rPr/>
        <w:t>2、2009年股本变动情况</w:t>
      </w:r>
    </w:p>
    <w:p>
      <w:pPr>
        <w:spacing w:line="240" w:lineRule="auto" w:before="10"/>
        <w:rPr>
          <w:rFonts w:ascii="宋体" w:hAnsi="宋体" w:cs="宋体" w:eastAsia="宋体" w:hint="default"/>
          <w:sz w:val="26"/>
          <w:szCs w:val="26"/>
        </w:rPr>
      </w:pPr>
    </w:p>
    <w:p>
      <w:pPr>
        <w:pStyle w:val="BodyText"/>
        <w:spacing w:line="408" w:lineRule="auto"/>
        <w:ind w:left="557" w:right="0" w:firstLine="420"/>
        <w:jc w:val="left"/>
      </w:pPr>
      <w:r>
        <w:rPr>
          <w:spacing w:val="-9"/>
        </w:rPr>
        <w:t>（1）2009年2月17日，公司2008年度股东大会审议通过了《公司2008年度利润分配方案》，</w:t>
      </w:r>
      <w:r>
        <w:rPr/>
        <w:t> </w:t>
      </w:r>
      <w:r>
        <w:rPr>
          <w:spacing w:val="-2"/>
        </w:rPr>
        <w:t>以2008年末股本为基数，向2008年末登记在册的全体股东每10股送红股10股并派发现金红利</w:t>
      </w:r>
      <w:r>
        <w:rPr/>
        <w:t> 5元（含税），共计派送红股4,318.4万股、现金2,159.2万元（含税）。变更后，公司股本 增至人民币8,636.8万股。</w:t>
      </w:r>
    </w:p>
    <w:p>
      <w:pPr>
        <w:pStyle w:val="BodyText"/>
        <w:spacing w:line="470" w:lineRule="atLeast" w:before="7"/>
        <w:ind w:left="557" w:right="0" w:firstLine="420"/>
        <w:jc w:val="left"/>
      </w:pPr>
      <w:r>
        <w:rPr>
          <w:spacing w:val="-3"/>
        </w:rPr>
        <w:t>（2）2009年3月18日，公司2009年第一次临时股东大会审议通过了增资扩股方案，公司</w:t>
      </w:r>
      <w:r>
        <w:rPr/>
        <w:t> </w:t>
      </w:r>
      <w:r>
        <w:rPr>
          <w:spacing w:val="-3"/>
        </w:rPr>
        <w:t>中层管理团队成员、技术人员和业务骨干以现金方式认购公司股份363.2万股。增资完成后，</w:t>
      </w:r>
      <w:r>
        <w:rPr/>
        <w:t> 公司股本增至人民币9,000万股。</w:t>
      </w:r>
    </w:p>
    <w:p>
      <w:pPr>
        <w:spacing w:after="0" w:line="470" w:lineRule="atLeast"/>
        <w:jc w:val="left"/>
        <w:sectPr>
          <w:pgSz w:w="11910" w:h="16840"/>
          <w:pgMar w:header="851" w:footer="982" w:top="1360" w:bottom="1180" w:left="1240" w:right="1220"/>
        </w:sectPr>
      </w:pPr>
    </w:p>
    <w:p>
      <w:pPr>
        <w:pStyle w:val="BodyText"/>
        <w:spacing w:line="408" w:lineRule="auto" w:before="64"/>
        <w:ind w:right="100" w:firstLine="420"/>
        <w:jc w:val="left"/>
      </w:pPr>
      <w:r>
        <w:rPr/>
        <w:t>（3）2009年6月8日，公司2009年第三次临时股东大会审议通过了增资扩股方案，汇金 </w:t>
      </w:r>
      <w:r>
        <w:rPr>
          <w:spacing w:val="-5"/>
        </w:rPr>
        <w:t>立方资本管理有限公司、金石投资有限公司以现金方式分别认购公司股份270万股、210万股。</w:t>
      </w:r>
      <w:r>
        <w:rPr>
          <w:spacing w:val="-80"/>
        </w:rPr>
        <w:t> </w:t>
      </w:r>
      <w:r>
        <w:rPr>
          <w:spacing w:val="-80"/>
        </w:rPr>
      </w:r>
      <w:r>
        <w:rPr/>
        <w:t>增资完成后，公司股本增至人民币9480万股。</w:t>
      </w:r>
    </w:p>
    <w:p>
      <w:pPr>
        <w:spacing w:line="240" w:lineRule="auto" w:before="7"/>
        <w:rPr>
          <w:rFonts w:ascii="宋体" w:hAnsi="宋体" w:cs="宋体" w:eastAsia="宋体" w:hint="default"/>
          <w:sz w:val="15"/>
          <w:szCs w:val="15"/>
        </w:rPr>
      </w:pPr>
    </w:p>
    <w:p>
      <w:pPr>
        <w:pStyle w:val="BodyText"/>
        <w:spacing w:line="408" w:lineRule="auto"/>
        <w:ind w:right="100" w:firstLine="420"/>
        <w:jc w:val="left"/>
      </w:pPr>
      <w:r>
        <w:rPr>
          <w:spacing w:val="-3"/>
        </w:rPr>
        <w:t>（4）经中国证券监督管理委员会“证监许可[2009]952号”文核准，公司公开发行人民</w:t>
      </w:r>
      <w:r>
        <w:rPr/>
        <w:t> 币普通股3,160</w:t>
      </w:r>
      <w:r>
        <w:rPr>
          <w:spacing w:val="-2"/>
        </w:rPr>
        <w:t> </w:t>
      </w:r>
      <w:r>
        <w:rPr/>
        <w:t>万股，发行后股本总额为12,640万股。</w:t>
      </w:r>
    </w:p>
    <w:p>
      <w:pPr>
        <w:spacing w:line="240" w:lineRule="auto" w:before="6"/>
        <w:rPr>
          <w:rFonts w:ascii="宋体" w:hAnsi="宋体" w:cs="宋体" w:eastAsia="宋体" w:hint="default"/>
          <w:sz w:val="15"/>
          <w:szCs w:val="15"/>
        </w:rPr>
      </w:pPr>
    </w:p>
    <w:p>
      <w:pPr>
        <w:pStyle w:val="BodyText"/>
        <w:spacing w:line="240" w:lineRule="auto"/>
        <w:ind w:left="557" w:right="100"/>
        <w:jc w:val="left"/>
      </w:pPr>
      <w:r>
        <w:rPr/>
        <w:t>3、2010年股本变动情况</w:t>
      </w:r>
    </w:p>
    <w:p>
      <w:pPr>
        <w:spacing w:line="240" w:lineRule="auto" w:before="10"/>
        <w:rPr>
          <w:rFonts w:ascii="宋体" w:hAnsi="宋体" w:cs="宋体" w:eastAsia="宋体" w:hint="default"/>
          <w:sz w:val="26"/>
          <w:szCs w:val="26"/>
        </w:rPr>
      </w:pPr>
    </w:p>
    <w:p>
      <w:pPr>
        <w:pStyle w:val="BodyText"/>
        <w:spacing w:line="408" w:lineRule="auto"/>
        <w:ind w:right="213" w:firstLine="420"/>
        <w:jc w:val="both"/>
      </w:pPr>
      <w:r>
        <w:rPr>
          <w:spacing w:val="-3"/>
        </w:rPr>
        <w:t>2010年4月8日，公司2009年度股东大会审议通过了《2009年度利润分配及资本公积金转</w:t>
      </w:r>
      <w:r>
        <w:rPr/>
        <w:t> 增股本预案》，以2009年12月31日公司总股本12,640万股为基数，按每10股派发现金红利3 </w:t>
      </w:r>
      <w:r>
        <w:rPr>
          <w:spacing w:val="-3"/>
        </w:rPr>
        <w:t>元（含税）；同时以资本公积金向全体股东每10股转增15股。方案实施完成后，公司总股本</w:t>
      </w:r>
      <w:r>
        <w:rPr>
          <w:spacing w:val="-70"/>
        </w:rPr>
        <w:t> </w:t>
      </w:r>
      <w:r>
        <w:rPr>
          <w:spacing w:val="-70"/>
        </w:rPr>
      </w:r>
      <w:r>
        <w:rPr/>
        <w:t>增至31,600万股。</w:t>
      </w:r>
    </w:p>
    <w:p>
      <w:pPr>
        <w:spacing w:line="240" w:lineRule="auto" w:before="6"/>
        <w:rPr>
          <w:rFonts w:ascii="宋体" w:hAnsi="宋体" w:cs="宋体" w:eastAsia="宋体" w:hint="default"/>
          <w:sz w:val="15"/>
          <w:szCs w:val="15"/>
        </w:rPr>
      </w:pPr>
    </w:p>
    <w:p>
      <w:pPr>
        <w:pStyle w:val="Heading2"/>
        <w:spacing w:line="240" w:lineRule="auto"/>
        <w:ind w:left="137" w:right="0"/>
        <w:jc w:val="both"/>
        <w:rPr>
          <w:b w:val="0"/>
          <w:bCs w:val="0"/>
        </w:rPr>
      </w:pPr>
      <w:r>
        <w:rPr/>
        <w:t>八、其它需要披露的事项</w:t>
      </w:r>
      <w:r>
        <w:rPr>
          <w:b w:val="0"/>
          <w:bCs w:val="0"/>
        </w:rPr>
      </w:r>
    </w:p>
    <w:p>
      <w:pPr>
        <w:spacing w:line="620" w:lineRule="atLeast" w:before="4"/>
        <w:ind w:left="557" w:right="92" w:hanging="105"/>
        <w:jc w:val="left"/>
        <w:rPr>
          <w:rFonts w:ascii="宋体" w:hAnsi="宋体" w:cs="宋体" w:eastAsia="宋体" w:hint="default"/>
          <w:sz w:val="21"/>
          <w:szCs w:val="21"/>
        </w:rPr>
      </w:pPr>
      <w:r>
        <w:rPr>
          <w:rFonts w:ascii="宋体" w:hAnsi="宋体" w:cs="宋体" w:eastAsia="宋体" w:hint="default"/>
          <w:b/>
          <w:bCs/>
          <w:sz w:val="21"/>
          <w:szCs w:val="21"/>
        </w:rPr>
        <w:t>（一）公司投资者关系管理</w:t>
      </w:r>
      <w:r>
        <w:rPr>
          <w:rFonts w:ascii="宋体" w:hAnsi="宋体" w:cs="宋体" w:eastAsia="宋体" w:hint="default"/>
          <w:b/>
          <w:bCs/>
          <w:spacing w:val="1"/>
          <w:w w:val="99"/>
          <w:sz w:val="21"/>
          <w:szCs w:val="21"/>
        </w:rPr>
        <w:t> </w:t>
      </w:r>
      <w:r>
        <w:rPr>
          <w:rFonts w:ascii="宋体" w:hAnsi="宋体" w:cs="宋体" w:eastAsia="宋体" w:hint="default"/>
          <w:spacing w:val="-5"/>
          <w:sz w:val="21"/>
          <w:szCs w:val="21"/>
        </w:rPr>
        <w:t>投资者关系工作是一项长期、持续的重要工作，公司不断学习先进投资者关系管理经验，</w:t>
      </w:r>
    </w:p>
    <w:p>
      <w:pPr>
        <w:spacing w:line="240" w:lineRule="auto" w:before="10"/>
        <w:rPr>
          <w:rFonts w:ascii="宋体" w:hAnsi="宋体" w:cs="宋体" w:eastAsia="宋体" w:hint="default"/>
          <w:sz w:val="14"/>
          <w:szCs w:val="14"/>
        </w:rPr>
      </w:pPr>
    </w:p>
    <w:p>
      <w:pPr>
        <w:pStyle w:val="BodyText"/>
        <w:spacing w:line="408" w:lineRule="auto"/>
        <w:ind w:right="212"/>
        <w:jc w:val="both"/>
      </w:pPr>
      <w:r>
        <w:rPr>
          <w:spacing w:val="-3"/>
        </w:rPr>
        <w:t>以更好的方式和途径使广大投资者能够平等地获取公司经营管理、未来发展等信息，构建与</w:t>
      </w:r>
      <w:r>
        <w:rPr>
          <w:spacing w:val="-75"/>
        </w:rPr>
        <w:t> </w:t>
      </w:r>
      <w:r>
        <w:rPr>
          <w:spacing w:val="-75"/>
        </w:rPr>
      </w:r>
      <w:r>
        <w:rPr>
          <w:spacing w:val="-3"/>
        </w:rPr>
        <w:t>投资者的良好互动关系，树立公司在资本市场的良好形象。报告期内，公司严格执行《投资</w:t>
      </w:r>
      <w:r>
        <w:rPr>
          <w:spacing w:val="-74"/>
        </w:rPr>
        <w:t> </w:t>
      </w:r>
      <w:r>
        <w:rPr>
          <w:spacing w:val="-74"/>
        </w:rPr>
      </w:r>
      <w:r>
        <w:rPr/>
        <w:t>者关系工作管理制度》，认真做好投资者关系管理工作：</w:t>
      </w:r>
    </w:p>
    <w:p>
      <w:pPr>
        <w:spacing w:line="240" w:lineRule="auto" w:before="6"/>
        <w:rPr>
          <w:rFonts w:ascii="宋体" w:hAnsi="宋体" w:cs="宋体" w:eastAsia="宋体" w:hint="default"/>
          <w:sz w:val="15"/>
          <w:szCs w:val="15"/>
        </w:rPr>
      </w:pPr>
    </w:p>
    <w:p>
      <w:pPr>
        <w:pStyle w:val="BodyText"/>
        <w:spacing w:line="240" w:lineRule="auto"/>
        <w:ind w:left="557" w:right="100"/>
        <w:jc w:val="left"/>
      </w:pPr>
      <w:r>
        <w:rPr/>
        <w:t>1、日常工作</w:t>
      </w:r>
    </w:p>
    <w:p>
      <w:pPr>
        <w:spacing w:line="240" w:lineRule="auto" w:before="9"/>
        <w:rPr>
          <w:rFonts w:ascii="宋体" w:hAnsi="宋体" w:cs="宋体" w:eastAsia="宋体" w:hint="default"/>
          <w:sz w:val="26"/>
          <w:szCs w:val="26"/>
        </w:rPr>
      </w:pPr>
    </w:p>
    <w:p>
      <w:pPr>
        <w:pStyle w:val="BodyText"/>
        <w:spacing w:line="408" w:lineRule="auto"/>
        <w:ind w:right="107" w:firstLine="420"/>
        <w:jc w:val="left"/>
      </w:pPr>
      <w:r>
        <w:rPr>
          <w:spacing w:val="-3"/>
        </w:rPr>
        <w:t>（1）指定董事会秘书作为投资者关系管理负责人，安排专人负责投资者来访接待工作，</w:t>
      </w:r>
      <w:r>
        <w:rPr/>
        <w:t> </w:t>
      </w:r>
      <w:r>
        <w:rPr>
          <w:spacing w:val="-3"/>
        </w:rPr>
        <w:t>积极做好投资者关系管理工作档案的建立和保管，合理、妥善地安排个人投资者、机构投资</w:t>
      </w:r>
      <w:r>
        <w:rPr>
          <w:spacing w:val="-74"/>
        </w:rPr>
        <w:t> </w:t>
      </w:r>
      <w:r>
        <w:rPr>
          <w:spacing w:val="-74"/>
        </w:rPr>
      </w:r>
      <w:r>
        <w:rPr/>
        <w:t>者、行业分析师等相关人员到公司进行调研，并切实做好相关信息的保密工作。报告期内， 公司共接待投资者来访162人次。</w:t>
      </w:r>
    </w:p>
    <w:p>
      <w:pPr>
        <w:spacing w:line="240" w:lineRule="auto" w:before="6"/>
        <w:rPr>
          <w:rFonts w:ascii="宋体" w:hAnsi="宋体" w:cs="宋体" w:eastAsia="宋体" w:hint="default"/>
          <w:sz w:val="15"/>
          <w:szCs w:val="15"/>
        </w:rPr>
      </w:pPr>
    </w:p>
    <w:p>
      <w:pPr>
        <w:pStyle w:val="BodyText"/>
        <w:spacing w:line="408" w:lineRule="auto"/>
        <w:ind w:right="100" w:firstLine="420"/>
        <w:jc w:val="left"/>
      </w:pPr>
      <w:r>
        <w:rPr/>
        <w:t>（2）通过公司网站、投资者关系管理电话、电子信箱、互动平台等多种渠道与投资者 加强沟通，尽可能解答投资者的疑问。</w:t>
      </w:r>
    </w:p>
    <w:p>
      <w:pPr>
        <w:spacing w:line="240" w:lineRule="auto" w:before="6"/>
        <w:rPr>
          <w:rFonts w:ascii="宋体" w:hAnsi="宋体" w:cs="宋体" w:eastAsia="宋体" w:hint="default"/>
          <w:sz w:val="15"/>
          <w:szCs w:val="15"/>
        </w:rPr>
      </w:pPr>
    </w:p>
    <w:p>
      <w:pPr>
        <w:pStyle w:val="BodyText"/>
        <w:spacing w:line="408" w:lineRule="auto"/>
        <w:ind w:right="100" w:firstLine="420"/>
        <w:jc w:val="left"/>
      </w:pPr>
      <w:r>
        <w:rPr/>
        <w:t>（3）关注各类媒体关于公司的相关报道，及时澄清市场上的不实传闻，对市场舆论、 研究机构分析员的分析报告进行正确引导。</w:t>
      </w:r>
    </w:p>
    <w:p>
      <w:pPr>
        <w:spacing w:line="240" w:lineRule="auto" w:before="6"/>
        <w:rPr>
          <w:rFonts w:ascii="宋体" w:hAnsi="宋体" w:cs="宋体" w:eastAsia="宋体" w:hint="default"/>
          <w:sz w:val="15"/>
          <w:szCs w:val="15"/>
        </w:rPr>
      </w:pPr>
    </w:p>
    <w:p>
      <w:pPr>
        <w:pStyle w:val="BodyText"/>
        <w:spacing w:line="240" w:lineRule="auto"/>
        <w:ind w:left="557" w:right="100"/>
        <w:jc w:val="left"/>
      </w:pPr>
      <w:r>
        <w:rPr/>
        <w:t>2、互动交流</w:t>
      </w:r>
    </w:p>
    <w:p>
      <w:pPr>
        <w:spacing w:after="0" w:line="240" w:lineRule="auto"/>
        <w:jc w:val="left"/>
        <w:sectPr>
          <w:footerReference w:type="default" r:id="rId51"/>
          <w:pgSz w:w="11910" w:h="16840"/>
          <w:pgMar w:footer="982" w:header="851" w:top="1360" w:bottom="1180" w:left="1660" w:right="1580"/>
          <w:pgNumType w:start="43"/>
        </w:sectPr>
      </w:pPr>
    </w:p>
    <w:p>
      <w:pPr>
        <w:pStyle w:val="BodyText"/>
        <w:spacing w:line="408" w:lineRule="auto" w:before="63"/>
        <w:ind w:right="212" w:firstLine="420"/>
        <w:jc w:val="both"/>
      </w:pPr>
      <w:r>
        <w:rPr/>
        <w:t>（1）报告期内，公司召开了2009年年度股东大会以及2010年第一次临时股东大会。会 </w:t>
      </w:r>
      <w:r>
        <w:rPr>
          <w:spacing w:val="-3"/>
        </w:rPr>
        <w:t>上，公司董事、监事、高级管理人员认真听取了投资者的建议和意见，并就公司经营以及未</w:t>
      </w:r>
      <w:r>
        <w:rPr>
          <w:spacing w:val="-75"/>
        </w:rPr>
        <w:t> </w:t>
      </w:r>
      <w:r>
        <w:rPr>
          <w:spacing w:val="-75"/>
        </w:rPr>
      </w:r>
      <w:r>
        <w:rPr/>
        <w:t>来发展等问题与广大投资者进行了深入的沟通和交流。</w:t>
      </w:r>
    </w:p>
    <w:p>
      <w:pPr>
        <w:spacing w:line="240" w:lineRule="auto" w:before="6"/>
        <w:rPr>
          <w:rFonts w:ascii="宋体" w:hAnsi="宋体" w:cs="宋体" w:eastAsia="宋体" w:hint="default"/>
          <w:sz w:val="15"/>
          <w:szCs w:val="15"/>
        </w:rPr>
      </w:pPr>
    </w:p>
    <w:p>
      <w:pPr>
        <w:pStyle w:val="BodyText"/>
        <w:spacing w:line="408" w:lineRule="auto"/>
        <w:ind w:right="211" w:firstLine="420"/>
        <w:jc w:val="both"/>
      </w:pPr>
      <w:r>
        <w:rPr/>
        <w:t>（2）报告期内，公司通过投资者互动平台</w:t>
      </w:r>
      <w:hyperlink r:id="rId52">
        <w:r>
          <w:rPr/>
          <w:t>（http://irm.p5w.net</w:t>
        </w:r>
      </w:hyperlink>
      <w:r>
        <w:rPr/>
        <w:t>）举行了2009年度及</w:t>
      </w:r>
      <w:r>
        <w:rPr/>
        <w:t> </w:t>
      </w:r>
      <w:r>
        <w:rPr>
          <w:spacing w:val="-3"/>
        </w:rPr>
        <w:t>2010年第一季度业绩说明会，公司董事长王宁先生、副董事长兼董秘黄松浪先生、财务总监</w:t>
      </w:r>
      <w:r>
        <w:rPr>
          <w:spacing w:val="-68"/>
        </w:rPr>
        <w:t> </w:t>
      </w:r>
      <w:r>
        <w:rPr>
          <w:spacing w:val="-68"/>
        </w:rPr>
      </w:r>
      <w:r>
        <w:rPr>
          <w:spacing w:val="-3"/>
        </w:rPr>
        <w:t>万能先生、独立董事陈冲先生、保荐代表人樊丽莉女士参加了本次网上业绩说明会，与广大</w:t>
      </w:r>
      <w:r>
        <w:rPr>
          <w:spacing w:val="-72"/>
        </w:rPr>
        <w:t> </w:t>
      </w:r>
      <w:r>
        <w:rPr>
          <w:spacing w:val="-72"/>
        </w:rPr>
      </w:r>
      <w:r>
        <w:rPr/>
        <w:t>投资者进行坦诚的沟通和交流，使广大投资者更深入的了解公司各项情况。</w:t>
      </w:r>
    </w:p>
    <w:p>
      <w:pPr>
        <w:spacing w:line="240" w:lineRule="auto" w:before="6"/>
        <w:rPr>
          <w:rFonts w:ascii="宋体" w:hAnsi="宋体" w:cs="宋体" w:eastAsia="宋体" w:hint="default"/>
          <w:sz w:val="15"/>
          <w:szCs w:val="15"/>
        </w:rPr>
      </w:pPr>
    </w:p>
    <w:p>
      <w:pPr>
        <w:pStyle w:val="BodyText"/>
        <w:spacing w:line="240" w:lineRule="auto"/>
        <w:ind w:left="557" w:right="100"/>
        <w:jc w:val="left"/>
      </w:pPr>
      <w:r>
        <w:rPr/>
        <w:t>3、信息披露</w:t>
      </w:r>
    </w:p>
    <w:p>
      <w:pPr>
        <w:spacing w:line="240" w:lineRule="auto" w:before="9"/>
        <w:rPr>
          <w:rFonts w:ascii="宋体" w:hAnsi="宋体" w:cs="宋体" w:eastAsia="宋体" w:hint="default"/>
          <w:sz w:val="26"/>
          <w:szCs w:val="26"/>
        </w:rPr>
      </w:pPr>
    </w:p>
    <w:p>
      <w:pPr>
        <w:pStyle w:val="BodyText"/>
        <w:spacing w:line="408" w:lineRule="auto"/>
        <w:ind w:right="212" w:firstLine="420"/>
        <w:jc w:val="both"/>
      </w:pPr>
      <w:r>
        <w:rPr>
          <w:spacing w:val="-3"/>
        </w:rPr>
        <w:t>公司严格按照《信息披露管理办法》等规定，履行相关信息披露文件的报告、编制、传</w:t>
      </w:r>
      <w:r>
        <w:rPr/>
        <w:t> 递、审核、披露程序，保证信息披露的真实、准确、完整、及时、公平。</w:t>
      </w:r>
    </w:p>
    <w:p>
      <w:pPr>
        <w:spacing w:line="240" w:lineRule="auto" w:before="6"/>
        <w:rPr>
          <w:rFonts w:ascii="宋体" w:hAnsi="宋体" w:cs="宋体" w:eastAsia="宋体" w:hint="default"/>
          <w:sz w:val="15"/>
          <w:szCs w:val="15"/>
        </w:rPr>
      </w:pPr>
    </w:p>
    <w:p>
      <w:pPr>
        <w:pStyle w:val="BodyText"/>
        <w:spacing w:line="544" w:lineRule="auto"/>
        <w:ind w:left="557" w:right="100" w:hanging="105"/>
        <w:jc w:val="left"/>
      </w:pPr>
      <w:r>
        <w:rPr>
          <w:rFonts w:ascii="宋体" w:hAnsi="宋体" w:cs="宋体" w:eastAsia="宋体" w:hint="default"/>
          <w:b/>
          <w:bCs/>
        </w:rPr>
        <w:t>（二）信息披露媒体</w:t>
      </w:r>
      <w:r>
        <w:rPr>
          <w:rFonts w:ascii="宋体" w:hAnsi="宋体" w:cs="宋体" w:eastAsia="宋体" w:hint="default"/>
          <w:b/>
          <w:bCs/>
          <w:spacing w:val="1"/>
          <w:w w:val="99"/>
        </w:rPr>
        <w:t> </w:t>
      </w:r>
      <w:r>
        <w:rPr>
          <w:spacing w:val="-11"/>
        </w:rPr>
        <w:t>报告期内，公司指定信息披露媒体为《中国证券报》、巨潮资讯网</w:t>
      </w:r>
      <w:hyperlink r:id="rId9">
        <w:r>
          <w:rPr>
            <w:spacing w:val="-11"/>
          </w:rPr>
          <w:t>（w</w:t>
        </w:r>
      </w:hyperlink>
      <w:r>
        <w:rPr>
          <w:spacing w:val="-11"/>
        </w:rPr>
        <w:t>w</w:t>
      </w:r>
      <w:hyperlink r:id="rId9">
        <w:r>
          <w:rPr>
            <w:spacing w:val="-11"/>
          </w:rPr>
          <w:t>w.cninfo.com.cn</w:t>
        </w:r>
      </w:hyperlink>
      <w:r>
        <w:rPr>
          <w:spacing w:val="-11"/>
        </w:rPr>
        <w:t>）。</w:t>
      </w:r>
    </w:p>
    <w:p>
      <w:pPr>
        <w:spacing w:after="0" w:line="544" w:lineRule="auto"/>
        <w:jc w:val="left"/>
        <w:sectPr>
          <w:pgSz w:w="11910" w:h="16840"/>
          <w:pgMar w:header="851" w:footer="982" w:top="1360" w:bottom="1180" w:left="1660" w:right="1580"/>
        </w:sectPr>
      </w:pPr>
    </w:p>
    <w:p>
      <w:pPr>
        <w:spacing w:line="240" w:lineRule="auto" w:before="11"/>
        <w:rPr>
          <w:rFonts w:ascii="宋体" w:hAnsi="宋体" w:cs="宋体" w:eastAsia="宋体" w:hint="default"/>
          <w:sz w:val="2"/>
          <w:szCs w:val="2"/>
        </w:rPr>
      </w:pPr>
    </w:p>
    <w:p>
      <w:pPr>
        <w:spacing w:line="20" w:lineRule="exact"/>
        <w:ind w:left="10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pStyle w:val="Heading1"/>
        <w:tabs>
          <w:tab w:pos="964" w:val="left" w:leader="none"/>
        </w:tabs>
        <w:spacing w:line="240" w:lineRule="auto" w:before="34"/>
        <w:ind w:right="14"/>
        <w:jc w:val="center"/>
        <w:rPr>
          <w:b w:val="0"/>
          <w:bCs w:val="0"/>
        </w:rPr>
      </w:pPr>
      <w:bookmarkStart w:name="_bookmark4" w:id="5"/>
      <w:bookmarkEnd w:id="5"/>
      <w:r>
        <w:rPr>
          <w:b w:val="0"/>
          <w:bCs w:val="0"/>
        </w:rPr>
      </w:r>
      <w:r>
        <w:rPr>
          <w:w w:val="95"/>
        </w:rPr>
        <w:t>第四节</w:t>
        <w:tab/>
      </w:r>
      <w:r>
        <w:rPr/>
        <w:t>重要事项</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4"/>
          <w:szCs w:val="14"/>
        </w:rPr>
      </w:pPr>
    </w:p>
    <w:p>
      <w:pPr>
        <w:spacing w:line="544" w:lineRule="auto" w:before="35"/>
        <w:ind w:left="557" w:right="1307" w:hanging="420"/>
        <w:jc w:val="left"/>
        <w:rPr>
          <w:rFonts w:ascii="宋体" w:hAnsi="宋体" w:cs="宋体" w:eastAsia="宋体" w:hint="default"/>
          <w:sz w:val="21"/>
          <w:szCs w:val="21"/>
        </w:rPr>
      </w:pPr>
      <w:r>
        <w:rPr>
          <w:rFonts w:ascii="宋体" w:hAnsi="宋体" w:cs="宋体" w:eastAsia="宋体" w:hint="default"/>
          <w:b/>
          <w:bCs/>
          <w:sz w:val="21"/>
          <w:szCs w:val="21"/>
        </w:rPr>
        <w:t>一、重大诉讼、仲裁事项</w:t>
      </w:r>
      <w:r>
        <w:rPr>
          <w:rFonts w:ascii="宋体" w:hAnsi="宋体" w:cs="宋体" w:eastAsia="宋体" w:hint="default"/>
          <w:b/>
          <w:bCs/>
          <w:w w:val="99"/>
          <w:sz w:val="21"/>
          <w:szCs w:val="21"/>
        </w:rPr>
        <w:t> </w:t>
      </w:r>
      <w:r>
        <w:rPr>
          <w:rFonts w:ascii="宋体" w:hAnsi="宋体" w:cs="宋体" w:eastAsia="宋体" w:hint="default"/>
          <w:sz w:val="21"/>
          <w:szCs w:val="21"/>
        </w:rPr>
        <w:t>报告期内，公司不存在其他尚未了结的或可预见的重大诉讼、仲裁事项。</w:t>
      </w:r>
    </w:p>
    <w:p>
      <w:pPr>
        <w:spacing w:line="544" w:lineRule="auto" w:before="82"/>
        <w:ind w:left="557" w:right="3827" w:hanging="420"/>
        <w:jc w:val="left"/>
        <w:rPr>
          <w:rFonts w:ascii="宋体" w:hAnsi="宋体" w:cs="宋体" w:eastAsia="宋体" w:hint="default"/>
          <w:sz w:val="21"/>
          <w:szCs w:val="21"/>
        </w:rPr>
      </w:pPr>
      <w:r>
        <w:rPr>
          <w:rFonts w:ascii="宋体" w:hAnsi="宋体" w:cs="宋体" w:eastAsia="宋体" w:hint="default"/>
          <w:b/>
          <w:bCs/>
          <w:sz w:val="21"/>
          <w:szCs w:val="21"/>
        </w:rPr>
        <w:t>二、破产相关事项</w:t>
      </w:r>
      <w:r>
        <w:rPr>
          <w:rFonts w:ascii="宋体" w:hAnsi="宋体" w:cs="宋体" w:eastAsia="宋体" w:hint="default"/>
          <w:b/>
          <w:bCs/>
          <w:spacing w:val="1"/>
          <w:w w:val="99"/>
          <w:sz w:val="21"/>
          <w:szCs w:val="21"/>
        </w:rPr>
        <w:t> </w:t>
      </w:r>
      <w:r>
        <w:rPr>
          <w:rFonts w:ascii="宋体" w:hAnsi="宋体" w:cs="宋体" w:eastAsia="宋体" w:hint="default"/>
          <w:sz w:val="21"/>
          <w:szCs w:val="21"/>
        </w:rPr>
        <w:t>报告期内，公司未发生破产重组等相关事项。</w:t>
      </w:r>
    </w:p>
    <w:p>
      <w:pPr>
        <w:spacing w:line="544" w:lineRule="auto" w:before="81"/>
        <w:ind w:left="557" w:right="1807" w:hanging="420"/>
        <w:jc w:val="left"/>
        <w:rPr>
          <w:rFonts w:ascii="宋体" w:hAnsi="宋体" w:cs="宋体" w:eastAsia="宋体" w:hint="default"/>
          <w:sz w:val="21"/>
          <w:szCs w:val="21"/>
        </w:rPr>
      </w:pPr>
      <w:r>
        <w:rPr>
          <w:rFonts w:ascii="宋体" w:hAnsi="宋体" w:cs="宋体" w:eastAsia="宋体" w:hint="default"/>
          <w:b/>
          <w:bCs/>
          <w:sz w:val="21"/>
          <w:szCs w:val="21"/>
        </w:rPr>
        <w:t>三、收购及出售资产、企业合并事项</w:t>
      </w:r>
      <w:r>
        <w:rPr>
          <w:rFonts w:ascii="宋体" w:hAnsi="宋体" w:cs="宋体" w:eastAsia="宋体" w:hint="default"/>
          <w:b/>
          <w:bCs/>
          <w:w w:val="99"/>
          <w:sz w:val="21"/>
          <w:szCs w:val="21"/>
        </w:rPr>
        <w:t> </w:t>
      </w:r>
      <w:r>
        <w:rPr>
          <w:rFonts w:ascii="宋体" w:hAnsi="宋体" w:cs="宋体" w:eastAsia="宋体" w:hint="default"/>
          <w:sz w:val="21"/>
          <w:szCs w:val="21"/>
        </w:rPr>
        <w:t>报告期内，公司发生如下资产收购事项： </w:t>
      </w:r>
      <w:r>
        <w:rPr>
          <w:rFonts w:ascii="宋体" w:hAnsi="宋体" w:cs="宋体" w:eastAsia="宋体" w:hint="default"/>
          <w:b/>
          <w:bCs/>
          <w:sz w:val="21"/>
          <w:szCs w:val="21"/>
        </w:rPr>
        <w:t>1、使用超募资金收购大连华信计算机技术股份有限公司的部分股权</w:t>
      </w:r>
      <w:r>
        <w:rPr>
          <w:rFonts w:ascii="宋体" w:hAnsi="宋体" w:cs="宋体" w:eastAsia="宋体" w:hint="default"/>
          <w:sz w:val="21"/>
          <w:szCs w:val="21"/>
        </w:rPr>
      </w:r>
    </w:p>
    <w:p>
      <w:pPr>
        <w:pStyle w:val="BodyText"/>
        <w:spacing w:line="408" w:lineRule="auto" w:before="82"/>
        <w:ind w:right="151" w:firstLine="420"/>
        <w:jc w:val="both"/>
      </w:pPr>
      <w:r>
        <w:rPr/>
        <w:t>2010年4月18日，经公司第三届董事会第二十二次会议审议通过，公司与微软中国投资 </w:t>
      </w:r>
      <w:r>
        <w:rPr>
          <w:spacing w:val="-3"/>
        </w:rPr>
        <w:t>控股有限公司签订了《股权转让协议》，计划使用超募资金10,800,000美元收购其持有的大</w:t>
      </w:r>
      <w:r>
        <w:rPr>
          <w:spacing w:val="-61"/>
        </w:rPr>
        <w:t> </w:t>
      </w:r>
      <w:r>
        <w:rPr>
          <w:spacing w:val="-61"/>
        </w:rPr>
      </w:r>
      <w:r>
        <w:rPr>
          <w:spacing w:val="-3"/>
        </w:rPr>
        <w:t>连华信计算机技术股份有限公司（以下简称“大连华信”）1200万股股份（占大连华信总股</w:t>
      </w:r>
      <w:r>
        <w:rPr>
          <w:spacing w:val="-74"/>
        </w:rPr>
        <w:t> </w:t>
      </w:r>
      <w:r>
        <w:rPr>
          <w:spacing w:val="-74"/>
        </w:rPr>
      </w:r>
      <w:r>
        <w:rPr/>
        <w:t>本的8%）。具体内容详见2010年4月20日刊登于巨潮资讯网（</w:t>
      </w:r>
      <w:hyperlink r:id="rId9">
        <w:r>
          <w:rPr/>
          <w:t>http://www.cninfo.com.cn</w:t>
        </w:r>
      </w:hyperlink>
      <w:r>
        <w:rPr/>
        <w:t>）</w:t>
      </w:r>
      <w:r>
        <w:rPr/>
        <w:t> 的公司公告。</w:t>
      </w:r>
    </w:p>
    <w:p>
      <w:pPr>
        <w:spacing w:line="240" w:lineRule="auto" w:before="6"/>
        <w:rPr>
          <w:rFonts w:ascii="宋体" w:hAnsi="宋体" w:cs="宋体" w:eastAsia="宋体" w:hint="default"/>
          <w:sz w:val="15"/>
          <w:szCs w:val="15"/>
        </w:rPr>
      </w:pPr>
    </w:p>
    <w:p>
      <w:pPr>
        <w:pStyle w:val="BodyText"/>
        <w:spacing w:line="408" w:lineRule="auto"/>
        <w:ind w:right="151" w:firstLine="420"/>
        <w:jc w:val="both"/>
      </w:pPr>
      <w:r>
        <w:rPr>
          <w:spacing w:val="-3"/>
        </w:rPr>
        <w:t>截至报告期末，本次交易已全部完成。通过本次投资，公司一方面将享有软件外包市场</w:t>
      </w:r>
      <w:r>
        <w:rPr/>
        <w:t> </w:t>
      </w:r>
      <w:r>
        <w:rPr>
          <w:spacing w:val="-3"/>
        </w:rPr>
        <w:t>快速增长所带来的股权投资收益；另一方面通过与大连华信的技术协同，可以进一步提高公</w:t>
      </w:r>
      <w:r>
        <w:rPr>
          <w:spacing w:val="-75"/>
        </w:rPr>
        <w:t> </w:t>
      </w:r>
      <w:r>
        <w:rPr>
          <w:spacing w:val="-75"/>
        </w:rPr>
      </w:r>
      <w:r>
        <w:rPr>
          <w:spacing w:val="-3"/>
        </w:rPr>
        <w:t>司软件研发水平，通过与大连华信的市场协同，共享客户资源，将有利于促进公司产品与服</w:t>
      </w:r>
      <w:r>
        <w:rPr>
          <w:spacing w:val="-72"/>
        </w:rPr>
        <w:t> </w:t>
      </w:r>
      <w:r>
        <w:rPr>
          <w:spacing w:val="-72"/>
        </w:rPr>
      </w:r>
      <w:r>
        <w:rPr>
          <w:spacing w:val="-3"/>
        </w:rPr>
        <w:t>务产品的市场拓展，进一步增强了公司的盈利能力和市场竞争能力，为公司持续健康发展奠</w:t>
      </w:r>
      <w:r>
        <w:rPr>
          <w:spacing w:val="-75"/>
        </w:rPr>
        <w:t> </w:t>
      </w:r>
      <w:r>
        <w:rPr>
          <w:spacing w:val="-75"/>
        </w:rPr>
      </w:r>
      <w:r>
        <w:rPr/>
        <w:t>定了基础。</w:t>
      </w:r>
    </w:p>
    <w:p>
      <w:pPr>
        <w:spacing w:line="240" w:lineRule="auto" w:before="6"/>
        <w:rPr>
          <w:rFonts w:ascii="宋体" w:hAnsi="宋体" w:cs="宋体" w:eastAsia="宋体" w:hint="default"/>
          <w:sz w:val="15"/>
          <w:szCs w:val="15"/>
        </w:rPr>
      </w:pPr>
    </w:p>
    <w:p>
      <w:pPr>
        <w:pStyle w:val="Heading2"/>
        <w:spacing w:line="240" w:lineRule="auto"/>
        <w:ind w:left="559" w:right="1307"/>
        <w:jc w:val="left"/>
        <w:rPr>
          <w:b w:val="0"/>
          <w:bCs w:val="0"/>
        </w:rPr>
      </w:pPr>
      <w:r>
        <w:rPr/>
        <w:t>2、收购北京互联时代通讯科技有限公司100%的股权</w:t>
      </w:r>
      <w:r>
        <w:rPr>
          <w:b w:val="0"/>
          <w:bCs w:val="0"/>
        </w:rPr>
      </w:r>
    </w:p>
    <w:p>
      <w:pPr>
        <w:spacing w:line="240" w:lineRule="auto" w:before="9"/>
        <w:rPr>
          <w:rFonts w:ascii="宋体" w:hAnsi="宋体" w:cs="宋体" w:eastAsia="宋体" w:hint="default"/>
          <w:b/>
          <w:bCs/>
          <w:sz w:val="26"/>
          <w:szCs w:val="26"/>
        </w:rPr>
      </w:pPr>
    </w:p>
    <w:p>
      <w:pPr>
        <w:pStyle w:val="BodyText"/>
        <w:spacing w:line="408" w:lineRule="auto"/>
        <w:ind w:right="151" w:firstLine="420"/>
        <w:jc w:val="both"/>
      </w:pPr>
      <w:r>
        <w:rPr/>
        <w:t>2010年4月18日，公司拟以自有资金收购王宁、李力等持有的北京互联时代通讯科技有 限公司100%的股权，使其成为公司的全资子公司。具体内容见“第四节</w:t>
      </w:r>
      <w:r>
        <w:rPr>
          <w:spacing w:val="42"/>
        </w:rPr>
        <w:t> </w:t>
      </w:r>
      <w:r>
        <w:rPr>
          <w:spacing w:val="-3"/>
        </w:rPr>
        <w:t>五、重大关联交易</w:t>
      </w:r>
      <w:r>
        <w:rPr/>
        <w:t> 事项”。截至报告期末，股权转让的价款支付、工商变更、公司接管等事宜已全部完成。</w:t>
      </w:r>
    </w:p>
    <w:p>
      <w:pPr>
        <w:spacing w:line="240" w:lineRule="auto" w:before="6"/>
        <w:rPr>
          <w:rFonts w:ascii="宋体" w:hAnsi="宋体" w:cs="宋体" w:eastAsia="宋体" w:hint="default"/>
          <w:sz w:val="15"/>
          <w:szCs w:val="15"/>
        </w:rPr>
      </w:pPr>
    </w:p>
    <w:p>
      <w:pPr>
        <w:pStyle w:val="Heading2"/>
        <w:spacing w:line="240" w:lineRule="auto"/>
        <w:ind w:left="559" w:right="0"/>
        <w:jc w:val="left"/>
        <w:rPr>
          <w:b w:val="0"/>
          <w:bCs w:val="0"/>
        </w:rPr>
      </w:pPr>
      <w:r>
        <w:rPr/>
        <w:t>3、使用超募资金设立重庆新媒农信科技有限公司，开展中国移动农村信息网业务</w:t>
      </w:r>
      <w:r>
        <w:rPr>
          <w:b w:val="0"/>
          <w:bCs w:val="0"/>
        </w:rPr>
      </w:r>
    </w:p>
    <w:p>
      <w:pPr>
        <w:pStyle w:val="BodyText"/>
        <w:spacing w:line="470" w:lineRule="atLeast" w:before="154"/>
        <w:ind w:right="152" w:firstLine="420"/>
        <w:jc w:val="both"/>
      </w:pPr>
      <w:r>
        <w:rPr/>
        <w:t>2010年5月28日，公司第三届董事会第二十三次会议审议通过《关于超募资金使用计划 </w:t>
      </w:r>
      <w:r>
        <w:rPr>
          <w:spacing w:val="-3"/>
        </w:rPr>
        <w:t>及其实施的议案》，计划使用超募资金10,330万元，在重庆高新区设立全资子公司，重点围</w:t>
      </w:r>
      <w:r>
        <w:rPr>
          <w:spacing w:val="-68"/>
        </w:rPr>
        <w:t> </w:t>
      </w:r>
      <w:r>
        <w:rPr>
          <w:spacing w:val="-68"/>
        </w:rPr>
      </w:r>
      <w:r>
        <w:rPr>
          <w:spacing w:val="-3"/>
        </w:rPr>
        <w:t>绕着中国移动农村信息网，开展平台与产品的开发建设以及相关运营支撑服务工作，以进一</w:t>
      </w:r>
    </w:p>
    <w:p>
      <w:pPr>
        <w:spacing w:after="0" w:line="470" w:lineRule="atLeast"/>
        <w:jc w:val="both"/>
        <w:sectPr>
          <w:pgSz w:w="11910" w:h="16840"/>
          <w:pgMar w:header="851" w:footer="982" w:top="1300" w:bottom="1180" w:left="1660" w:right="1640"/>
        </w:sectPr>
      </w:pPr>
    </w:p>
    <w:p>
      <w:pPr>
        <w:spacing w:line="240" w:lineRule="auto" w:before="11"/>
        <w:rPr>
          <w:rFonts w:ascii="宋体" w:hAnsi="宋体" w:cs="宋体" w:eastAsia="宋体" w:hint="default"/>
          <w:sz w:val="2"/>
          <w:szCs w:val="2"/>
        </w:rPr>
      </w:pPr>
    </w:p>
    <w:p>
      <w:pPr>
        <w:spacing w:line="20" w:lineRule="exact"/>
        <w:ind w:left="10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before="57"/>
        <w:ind w:right="100"/>
        <w:jc w:val="left"/>
      </w:pPr>
      <w:r>
        <w:rPr/>
        <w:t>步提升农村信息网的开发及运营支撑水平，实现面向业务的本地化服务与快速响应。</w:t>
      </w:r>
    </w:p>
    <w:p>
      <w:pPr>
        <w:spacing w:line="240" w:lineRule="auto" w:before="9"/>
        <w:rPr>
          <w:rFonts w:ascii="宋体" w:hAnsi="宋体" w:cs="宋体" w:eastAsia="宋体" w:hint="default"/>
          <w:sz w:val="26"/>
          <w:szCs w:val="26"/>
        </w:rPr>
      </w:pPr>
    </w:p>
    <w:p>
      <w:pPr>
        <w:pStyle w:val="BodyText"/>
        <w:spacing w:line="408" w:lineRule="auto"/>
        <w:ind w:right="100" w:firstLine="420"/>
        <w:jc w:val="left"/>
      </w:pPr>
      <w:r>
        <w:rPr>
          <w:spacing w:val="-3"/>
        </w:rPr>
        <w:t>截至报告期末，该全资子公司——重庆新媒农信科技有限公司的工商注册事宜已经全部</w:t>
      </w:r>
      <w:r>
        <w:rPr/>
        <w:t> 办理完毕，进入日常经营管理阶段。</w:t>
      </w:r>
    </w:p>
    <w:p>
      <w:pPr>
        <w:spacing w:line="240" w:lineRule="auto" w:before="6"/>
        <w:rPr>
          <w:rFonts w:ascii="宋体" w:hAnsi="宋体" w:cs="宋体" w:eastAsia="宋体" w:hint="default"/>
          <w:sz w:val="15"/>
          <w:szCs w:val="15"/>
        </w:rPr>
      </w:pPr>
    </w:p>
    <w:p>
      <w:pPr>
        <w:pStyle w:val="Heading2"/>
        <w:spacing w:line="240" w:lineRule="auto"/>
        <w:ind w:left="559" w:right="100"/>
        <w:jc w:val="left"/>
        <w:rPr>
          <w:b w:val="0"/>
          <w:bCs w:val="0"/>
        </w:rPr>
      </w:pPr>
      <w:r>
        <w:rPr/>
        <w:t>4、收购北京神州泰岳通信技术有限公司30%股权，使其成为公司的全资子公司</w:t>
      </w:r>
      <w:r>
        <w:rPr>
          <w:b w:val="0"/>
          <w:bCs w:val="0"/>
        </w:rPr>
      </w:r>
    </w:p>
    <w:p>
      <w:pPr>
        <w:spacing w:line="240" w:lineRule="auto" w:before="12"/>
        <w:rPr>
          <w:rFonts w:ascii="宋体" w:hAnsi="宋体" w:cs="宋体" w:eastAsia="宋体" w:hint="default"/>
          <w:b/>
          <w:bCs/>
          <w:sz w:val="24"/>
          <w:szCs w:val="24"/>
        </w:rPr>
      </w:pPr>
    </w:p>
    <w:p>
      <w:pPr>
        <w:pStyle w:val="BodyText"/>
        <w:spacing w:line="357" w:lineRule="auto"/>
        <w:ind w:right="213" w:firstLine="419"/>
        <w:jc w:val="both"/>
      </w:pPr>
      <w:r>
        <w:rPr>
          <w:spacing w:val="-2"/>
        </w:rPr>
        <w:t>2010年9月10日</w:t>
      </w:r>
      <w:r>
        <w:rPr>
          <w:spacing w:val="-2"/>
          <w:sz w:val="24"/>
          <w:szCs w:val="24"/>
        </w:rPr>
        <w:t>，公司</w:t>
      </w:r>
      <w:r>
        <w:rPr>
          <w:spacing w:val="-2"/>
        </w:rPr>
        <w:t>第四届董事会第五次会议审议通过《关于收购北京神州泰岳通信</w:t>
      </w:r>
      <w:r>
        <w:rPr/>
        <w:t> </w:t>
      </w:r>
      <w:r>
        <w:rPr>
          <w:spacing w:val="-1"/>
        </w:rPr>
        <w:t>技术有限公司30%股权的议案》</w:t>
      </w:r>
      <w:r>
        <w:rPr>
          <w:spacing w:val="-1"/>
          <w:sz w:val="24"/>
          <w:szCs w:val="24"/>
        </w:rPr>
        <w:t>，</w:t>
      </w:r>
      <w:r>
        <w:rPr>
          <w:spacing w:val="-1"/>
        </w:rPr>
        <w:t>以</w:t>
      </w:r>
      <w:r>
        <w:rPr>
          <w:spacing w:val="-1"/>
          <w:sz w:val="24"/>
          <w:szCs w:val="24"/>
        </w:rPr>
        <w:t>自有资金</w:t>
      </w:r>
      <w:r>
        <w:rPr>
          <w:spacing w:val="-1"/>
        </w:rPr>
        <w:t>81.08万元收购汤永庆、陆殿军、叶楠、颜井</w:t>
      </w:r>
      <w:r>
        <w:rPr>
          <w:spacing w:val="-96"/>
        </w:rPr>
        <w:t> </w:t>
      </w:r>
      <w:r>
        <w:rPr>
          <w:spacing w:val="-96"/>
        </w:rPr>
      </w:r>
      <w:r>
        <w:rPr/>
        <w:t>闯持有的泰岳通信30%的股权</w:t>
      </w:r>
      <w:r>
        <w:rPr>
          <w:sz w:val="24"/>
          <w:szCs w:val="24"/>
        </w:rPr>
        <w:t>。</w:t>
      </w:r>
      <w:r>
        <w:rPr/>
        <w:t>截至</w:t>
      </w:r>
      <w:r>
        <w:rPr>
          <w:sz w:val="24"/>
          <w:szCs w:val="24"/>
        </w:rPr>
        <w:t>报告期末，本次</w:t>
      </w:r>
      <w:r>
        <w:rPr/>
        <w:t>交易</w:t>
      </w:r>
      <w:r>
        <w:rPr>
          <w:sz w:val="24"/>
          <w:szCs w:val="24"/>
        </w:rPr>
        <w:t>已全部</w:t>
      </w:r>
      <w:r>
        <w:rPr/>
        <w:t>完成后。</w:t>
      </w:r>
    </w:p>
    <w:p>
      <w:pPr>
        <w:pStyle w:val="BodyText"/>
        <w:spacing w:line="408" w:lineRule="auto" w:before="215"/>
        <w:ind w:right="107" w:firstLine="420"/>
        <w:jc w:val="left"/>
      </w:pPr>
      <w:r>
        <w:rPr>
          <w:spacing w:val="-3"/>
        </w:rPr>
        <w:t>本次交易使泰岳通信成为公司的全资子公司，将泰岳通信的技术及服务团队并入到公司</w:t>
      </w:r>
      <w:r>
        <w:rPr/>
        <w:t> 网优及信令监测事业部，有利于理顺管理体系，便于公司管理层集中管理，加强资源配置、 增强执行力，提高公司整体运营效益，增强持续发展的能力。</w:t>
      </w:r>
    </w:p>
    <w:p>
      <w:pPr>
        <w:spacing w:line="240" w:lineRule="auto" w:before="6"/>
        <w:rPr>
          <w:rFonts w:ascii="宋体" w:hAnsi="宋体" w:cs="宋体" w:eastAsia="宋体" w:hint="default"/>
          <w:sz w:val="15"/>
          <w:szCs w:val="15"/>
        </w:rPr>
      </w:pPr>
    </w:p>
    <w:p>
      <w:pPr>
        <w:pStyle w:val="Heading2"/>
        <w:spacing w:line="240" w:lineRule="auto"/>
        <w:ind w:left="559" w:right="100"/>
        <w:jc w:val="left"/>
        <w:rPr>
          <w:b w:val="0"/>
          <w:bCs w:val="0"/>
        </w:rPr>
      </w:pPr>
      <w:r>
        <w:rPr/>
        <w:t>5、使用超募资金收购北京友联创新系统集成有限公司100%股权</w:t>
      </w:r>
      <w:r>
        <w:rPr>
          <w:b w:val="0"/>
          <w:bCs w:val="0"/>
        </w:rPr>
      </w:r>
    </w:p>
    <w:p>
      <w:pPr>
        <w:spacing w:line="240" w:lineRule="auto" w:before="9"/>
        <w:rPr>
          <w:rFonts w:ascii="宋体" w:hAnsi="宋体" w:cs="宋体" w:eastAsia="宋体" w:hint="default"/>
          <w:b/>
          <w:bCs/>
          <w:sz w:val="26"/>
          <w:szCs w:val="26"/>
        </w:rPr>
      </w:pPr>
    </w:p>
    <w:p>
      <w:pPr>
        <w:pStyle w:val="BodyText"/>
        <w:spacing w:line="408" w:lineRule="auto"/>
        <w:ind w:right="107" w:firstLine="420"/>
        <w:jc w:val="left"/>
      </w:pPr>
      <w:r>
        <w:rPr>
          <w:spacing w:val="-3"/>
        </w:rPr>
        <w:t>2010年11月23日，公司第四届董事会第八次会议审议通过《关于使用部分超募资金收购</w:t>
      </w:r>
      <w:r>
        <w:rPr/>
        <w:t> 北京友联创新系统集成有限公司的议案》，拟以超募资金5,900万元收购徐伟、徐秀华、聂</w:t>
      </w:r>
      <w:r>
        <w:rPr>
          <w:spacing w:val="-95"/>
        </w:rPr>
        <w:t> </w:t>
      </w:r>
      <w:r>
        <w:rPr>
          <w:spacing w:val="-95"/>
        </w:rPr>
      </w:r>
      <w:r>
        <w:rPr/>
        <w:t>小平、赵朝华所持有的北京友联创新系统集成有限公司（以下简称友联创新）100%的股权， 使其成为公司的全资子公司。</w:t>
      </w:r>
    </w:p>
    <w:p>
      <w:pPr>
        <w:spacing w:line="240" w:lineRule="auto" w:before="6"/>
        <w:rPr>
          <w:rFonts w:ascii="宋体" w:hAnsi="宋体" w:cs="宋体" w:eastAsia="宋体" w:hint="default"/>
          <w:sz w:val="15"/>
          <w:szCs w:val="15"/>
        </w:rPr>
      </w:pPr>
    </w:p>
    <w:p>
      <w:pPr>
        <w:pStyle w:val="BodyText"/>
        <w:spacing w:line="240" w:lineRule="auto"/>
        <w:ind w:left="557" w:right="100"/>
        <w:jc w:val="left"/>
      </w:pPr>
      <w:r>
        <w:rPr/>
        <w:t>截至报告期末，本次股权转让的价款支付、工商变更、公司接管等事宜已全部完成。</w:t>
      </w:r>
    </w:p>
    <w:p>
      <w:pPr>
        <w:spacing w:line="240" w:lineRule="auto" w:before="9"/>
        <w:rPr>
          <w:rFonts w:ascii="宋体" w:hAnsi="宋体" w:cs="宋体" w:eastAsia="宋体" w:hint="default"/>
          <w:sz w:val="26"/>
          <w:szCs w:val="26"/>
        </w:rPr>
      </w:pPr>
    </w:p>
    <w:p>
      <w:pPr>
        <w:pStyle w:val="BodyText"/>
        <w:spacing w:line="408" w:lineRule="auto"/>
        <w:ind w:right="92" w:firstLine="420"/>
        <w:jc w:val="left"/>
      </w:pPr>
      <w:r>
        <w:rPr>
          <w:spacing w:val="-5"/>
        </w:rPr>
        <w:t>本次交易完成后，公司将友联创新纳入到运维管理业务的整体发展规划，在市场、技术、</w:t>
      </w:r>
      <w:r>
        <w:rPr/>
        <w:t> </w:t>
      </w:r>
      <w:r>
        <w:rPr>
          <w:spacing w:val="-3"/>
        </w:rPr>
        <w:t>产品、服务、人才等多方面实现整合，实现优势互补，对于扩大公司业务规模，尤其是在联</w:t>
      </w:r>
      <w:r>
        <w:rPr>
          <w:spacing w:val="-78"/>
        </w:rPr>
        <w:t> </w:t>
      </w:r>
      <w:r>
        <w:rPr>
          <w:spacing w:val="-78"/>
        </w:rPr>
      </w:r>
      <w:r>
        <w:rPr/>
        <w:t>通领域内的市场份额，增强公司综合竞争力，将产生积极的影响。</w:t>
      </w:r>
    </w:p>
    <w:p>
      <w:pPr>
        <w:spacing w:line="240" w:lineRule="auto" w:before="6"/>
        <w:rPr>
          <w:rFonts w:ascii="宋体" w:hAnsi="宋体" w:cs="宋体" w:eastAsia="宋体" w:hint="default"/>
          <w:sz w:val="15"/>
          <w:szCs w:val="15"/>
        </w:rPr>
      </w:pPr>
    </w:p>
    <w:p>
      <w:pPr>
        <w:pStyle w:val="Heading2"/>
        <w:spacing w:line="240" w:lineRule="auto"/>
        <w:ind w:left="137" w:right="100"/>
        <w:jc w:val="left"/>
        <w:rPr>
          <w:b w:val="0"/>
          <w:bCs w:val="0"/>
        </w:rPr>
      </w:pPr>
      <w:r>
        <w:rPr/>
        <w:t>四、股权激励计划</w:t>
      </w:r>
      <w:r>
        <w:rPr>
          <w:b w:val="0"/>
          <w:bCs w:val="0"/>
        </w:rPr>
      </w:r>
    </w:p>
    <w:p>
      <w:pPr>
        <w:spacing w:line="240" w:lineRule="auto" w:before="10"/>
        <w:rPr>
          <w:rFonts w:ascii="宋体" w:hAnsi="宋体" w:cs="宋体" w:eastAsia="宋体" w:hint="default"/>
          <w:b/>
          <w:bCs/>
          <w:sz w:val="26"/>
          <w:szCs w:val="26"/>
        </w:rPr>
      </w:pPr>
    </w:p>
    <w:p>
      <w:pPr>
        <w:pStyle w:val="BodyText"/>
        <w:spacing w:line="408" w:lineRule="auto"/>
        <w:ind w:right="210" w:firstLine="420"/>
        <w:jc w:val="both"/>
      </w:pPr>
      <w:r>
        <w:rPr>
          <w:spacing w:val="-3"/>
        </w:rPr>
        <w:t>2010年8月4日，公司第四届董事会第三次会议审议通过了《公司股票期权激励计划（草</w:t>
      </w:r>
      <w:r>
        <w:rPr/>
        <w:t> </w:t>
      </w:r>
      <w:r>
        <w:rPr>
          <w:spacing w:val="-3"/>
        </w:rPr>
        <w:t>案）》，拟向激励对象授予450万份股票期权（其中预留10%），相关材料已报送中国证券监</w:t>
      </w:r>
      <w:r>
        <w:rPr>
          <w:spacing w:val="-71"/>
        </w:rPr>
        <w:t> </w:t>
      </w:r>
      <w:r>
        <w:rPr>
          <w:spacing w:val="-71"/>
        </w:rPr>
      </w:r>
      <w:r>
        <w:rPr/>
        <w:t>督管理委员会进行备案审核。截至报告期末，激励计划草案尚在审核中。</w:t>
      </w:r>
    </w:p>
    <w:p>
      <w:pPr>
        <w:spacing w:line="240" w:lineRule="auto" w:before="6"/>
        <w:rPr>
          <w:rFonts w:ascii="宋体" w:hAnsi="宋体" w:cs="宋体" w:eastAsia="宋体" w:hint="default"/>
          <w:sz w:val="15"/>
          <w:szCs w:val="15"/>
        </w:rPr>
      </w:pPr>
    </w:p>
    <w:p>
      <w:pPr>
        <w:pStyle w:val="BodyText"/>
        <w:spacing w:line="408" w:lineRule="auto"/>
        <w:ind w:right="100" w:firstLine="420"/>
        <w:jc w:val="left"/>
      </w:pPr>
      <w:r>
        <w:rPr>
          <w:spacing w:val="-2"/>
        </w:rPr>
        <w:t>具体内容详见2010年8月5日刊登于巨潮资讯网站</w:t>
      </w:r>
      <w:hyperlink r:id="rId9">
        <w:r>
          <w:rPr>
            <w:spacing w:val="-2"/>
          </w:rPr>
          <w:t>（http://www.cninfo.com.cn</w:t>
        </w:r>
      </w:hyperlink>
      <w:r>
        <w:rPr>
          <w:spacing w:val="-2"/>
        </w:rPr>
        <w:t>）的公司</w:t>
      </w:r>
      <w:r>
        <w:rPr/>
        <w:t> 公告。</w:t>
      </w:r>
    </w:p>
    <w:p>
      <w:pPr>
        <w:spacing w:line="240" w:lineRule="auto" w:before="6"/>
        <w:rPr>
          <w:rFonts w:ascii="宋体" w:hAnsi="宋体" w:cs="宋体" w:eastAsia="宋体" w:hint="default"/>
          <w:sz w:val="15"/>
          <w:szCs w:val="15"/>
        </w:rPr>
      </w:pPr>
    </w:p>
    <w:p>
      <w:pPr>
        <w:pStyle w:val="Heading2"/>
        <w:spacing w:line="240" w:lineRule="auto"/>
        <w:ind w:left="137" w:right="100"/>
        <w:jc w:val="left"/>
        <w:rPr>
          <w:b w:val="0"/>
          <w:bCs w:val="0"/>
        </w:rPr>
      </w:pPr>
      <w:r>
        <w:rPr/>
        <w:t>五、重大关联交易事项</w:t>
      </w:r>
      <w:r>
        <w:rPr>
          <w:b w:val="0"/>
          <w:bCs w:val="0"/>
        </w:rPr>
      </w:r>
    </w:p>
    <w:p>
      <w:pPr>
        <w:spacing w:after="0" w:line="240" w:lineRule="auto"/>
        <w:jc w:val="left"/>
        <w:sectPr>
          <w:pgSz w:w="11910" w:h="16840"/>
          <w:pgMar w:header="851" w:footer="982" w:top="1300" w:bottom="1180" w:left="1660" w:right="1580"/>
        </w:sectPr>
      </w:pPr>
    </w:p>
    <w:p>
      <w:pPr>
        <w:pStyle w:val="BodyText"/>
        <w:spacing w:line="240" w:lineRule="auto" w:before="114"/>
        <w:ind w:left="557" w:right="100"/>
        <w:jc w:val="left"/>
      </w:pPr>
      <w:r>
        <w:rPr/>
        <w:t>（一）报告期内，公司与关联方之间不存在与日常经营相关的关联交易；</w:t>
      </w:r>
    </w:p>
    <w:p>
      <w:pPr>
        <w:spacing w:line="240" w:lineRule="auto" w:before="9"/>
        <w:rPr>
          <w:rFonts w:ascii="宋体" w:hAnsi="宋体" w:cs="宋体" w:eastAsia="宋体" w:hint="default"/>
          <w:sz w:val="26"/>
          <w:szCs w:val="26"/>
        </w:rPr>
      </w:pPr>
    </w:p>
    <w:p>
      <w:pPr>
        <w:pStyle w:val="BodyText"/>
        <w:spacing w:line="240" w:lineRule="auto"/>
        <w:ind w:left="557" w:right="100"/>
        <w:jc w:val="left"/>
      </w:pPr>
      <w:r>
        <w:rPr/>
        <w:t>（二）报告期内，公司与关联方之间不存在非经营性债权债务往来、担保等事项；</w:t>
      </w:r>
    </w:p>
    <w:p>
      <w:pPr>
        <w:spacing w:line="240" w:lineRule="auto" w:before="9"/>
        <w:rPr>
          <w:rFonts w:ascii="宋体" w:hAnsi="宋体" w:cs="宋体" w:eastAsia="宋体" w:hint="default"/>
          <w:sz w:val="26"/>
          <w:szCs w:val="26"/>
        </w:rPr>
      </w:pPr>
    </w:p>
    <w:p>
      <w:pPr>
        <w:pStyle w:val="BodyText"/>
        <w:spacing w:line="240" w:lineRule="auto"/>
        <w:ind w:left="557" w:right="100"/>
        <w:jc w:val="left"/>
      </w:pPr>
      <w:r>
        <w:rPr/>
        <w:t>（三）报告期内，公司不存在控股股东及其它关联方非经营性占用公司资金的情况。</w:t>
      </w:r>
    </w:p>
    <w:p>
      <w:pPr>
        <w:spacing w:line="240" w:lineRule="auto" w:before="9"/>
        <w:rPr>
          <w:rFonts w:ascii="宋体" w:hAnsi="宋体" w:cs="宋体" w:eastAsia="宋体" w:hint="default"/>
          <w:sz w:val="26"/>
          <w:szCs w:val="26"/>
        </w:rPr>
      </w:pPr>
    </w:p>
    <w:p>
      <w:pPr>
        <w:pStyle w:val="BodyText"/>
        <w:spacing w:line="240" w:lineRule="auto"/>
        <w:ind w:left="557" w:right="100"/>
        <w:jc w:val="left"/>
      </w:pPr>
      <w:r>
        <w:rPr/>
        <w:t>（四）与资产收购相关的关联交易</w:t>
      </w:r>
    </w:p>
    <w:p>
      <w:pPr>
        <w:spacing w:line="240" w:lineRule="auto" w:before="10"/>
        <w:rPr>
          <w:rFonts w:ascii="宋体" w:hAnsi="宋体" w:cs="宋体" w:eastAsia="宋体" w:hint="default"/>
          <w:sz w:val="26"/>
          <w:szCs w:val="26"/>
        </w:rPr>
      </w:pPr>
    </w:p>
    <w:p>
      <w:pPr>
        <w:pStyle w:val="BodyText"/>
        <w:spacing w:line="240" w:lineRule="auto"/>
        <w:ind w:left="557" w:right="100"/>
        <w:jc w:val="left"/>
      </w:pPr>
      <w:r>
        <w:rPr>
          <w:spacing w:val="10"/>
        </w:rPr>
        <w:t>2010年4月18日，经公司第三届董事会第二十二次会议审议，计划以自有资金合计</w:t>
      </w:r>
    </w:p>
    <w:p>
      <w:pPr>
        <w:spacing w:line="240" w:lineRule="auto" w:before="9"/>
        <w:rPr>
          <w:rFonts w:ascii="宋体" w:hAnsi="宋体" w:cs="宋体" w:eastAsia="宋体" w:hint="default"/>
          <w:sz w:val="14"/>
          <w:szCs w:val="14"/>
        </w:rPr>
      </w:pPr>
    </w:p>
    <w:p>
      <w:pPr>
        <w:pStyle w:val="BodyText"/>
        <w:spacing w:line="408" w:lineRule="auto"/>
        <w:ind w:right="213"/>
        <w:jc w:val="both"/>
      </w:pPr>
      <w:r>
        <w:rPr>
          <w:spacing w:val="-3"/>
        </w:rPr>
        <w:t>7,095,434.47元收购王宁、李力、万瀛女、汪铖、刘国兰、王国华、齐强、徐斯平持有的北</w:t>
      </w:r>
      <w:r>
        <w:rPr>
          <w:spacing w:val="-61"/>
        </w:rPr>
        <w:t> </w:t>
      </w:r>
      <w:r>
        <w:rPr>
          <w:spacing w:val="-61"/>
        </w:rPr>
      </w:r>
      <w:r>
        <w:rPr>
          <w:spacing w:val="-3"/>
        </w:rPr>
        <w:t>京互联时代通讯科技有限公司（以下简称“互联时代”）100%的股权，使其成为公司的全资</w:t>
      </w:r>
      <w:r>
        <w:rPr>
          <w:spacing w:val="-71"/>
        </w:rPr>
        <w:t> </w:t>
      </w:r>
      <w:r>
        <w:rPr>
          <w:spacing w:val="-71"/>
        </w:rPr>
      </w:r>
      <w:r>
        <w:rPr/>
        <w:t>子公司。</w:t>
      </w:r>
    </w:p>
    <w:p>
      <w:pPr>
        <w:spacing w:line="240" w:lineRule="auto" w:before="6"/>
        <w:rPr>
          <w:rFonts w:ascii="宋体" w:hAnsi="宋体" w:cs="宋体" w:eastAsia="宋体" w:hint="default"/>
          <w:sz w:val="15"/>
          <w:szCs w:val="15"/>
        </w:rPr>
      </w:pPr>
    </w:p>
    <w:p>
      <w:pPr>
        <w:pStyle w:val="BodyText"/>
        <w:spacing w:line="408" w:lineRule="auto"/>
        <w:ind w:right="102" w:firstLine="420"/>
        <w:jc w:val="left"/>
      </w:pPr>
      <w:r>
        <w:rPr/>
        <w:t>本次交易构成了关联交易，以互联时代经审计的截至2010年3月31日的净资产为股权转 </w:t>
      </w:r>
      <w:r>
        <w:rPr>
          <w:spacing w:val="-5"/>
        </w:rPr>
        <w:t>让价格。截止报告期末，本次股权转让的价款支付、工商变更、公司接管等事宜已全部完成。</w:t>
      </w:r>
    </w:p>
    <w:p>
      <w:pPr>
        <w:spacing w:line="240" w:lineRule="auto" w:before="6"/>
        <w:rPr>
          <w:rFonts w:ascii="宋体" w:hAnsi="宋体" w:cs="宋体" w:eastAsia="宋体" w:hint="default"/>
          <w:sz w:val="15"/>
          <w:szCs w:val="15"/>
        </w:rPr>
      </w:pPr>
    </w:p>
    <w:p>
      <w:pPr>
        <w:pStyle w:val="BodyText"/>
        <w:spacing w:line="408" w:lineRule="auto"/>
        <w:ind w:right="100" w:firstLine="420"/>
        <w:jc w:val="left"/>
      </w:pPr>
      <w:r>
        <w:rPr>
          <w:spacing w:val="-3"/>
        </w:rPr>
        <w:t>本次交易是公司拓展移动互联网业务的一项具体举措，有利于公司快速获得增值电信业</w:t>
      </w:r>
      <w:r>
        <w:rPr/>
        <w:t> 务经营的许可，开展移动互联网领域内相关业务。</w:t>
      </w:r>
    </w:p>
    <w:p>
      <w:pPr>
        <w:spacing w:line="240" w:lineRule="auto" w:before="6"/>
        <w:rPr>
          <w:rFonts w:ascii="宋体" w:hAnsi="宋体" w:cs="宋体" w:eastAsia="宋体" w:hint="default"/>
          <w:sz w:val="15"/>
          <w:szCs w:val="15"/>
        </w:rPr>
      </w:pPr>
    </w:p>
    <w:p>
      <w:pPr>
        <w:pStyle w:val="Heading2"/>
        <w:spacing w:line="408" w:lineRule="auto"/>
        <w:ind w:left="137" w:right="214"/>
        <w:jc w:val="both"/>
        <w:rPr>
          <w:b w:val="0"/>
          <w:bCs w:val="0"/>
        </w:rPr>
      </w:pPr>
      <w:r>
        <w:rPr>
          <w:spacing w:val="2"/>
        </w:rPr>
        <w:t>六、报告期内，公司未持有其他上市公司、参股商业银行、证券公司、保险公司、信托公</w:t>
      </w:r>
      <w:r>
        <w:rPr>
          <w:w w:val="99"/>
        </w:rPr>
        <w:t> </w:t>
      </w:r>
      <w:r>
        <w:rPr/>
        <w:t>司和期货公司等金融企业股权，也无买卖其他上市公司股份情况。</w:t>
      </w:r>
      <w:r>
        <w:rPr>
          <w:b w:val="0"/>
          <w:bCs w:val="0"/>
        </w:rPr>
      </w:r>
    </w:p>
    <w:p>
      <w:pPr>
        <w:spacing w:line="240" w:lineRule="auto" w:before="6"/>
        <w:rPr>
          <w:rFonts w:ascii="宋体" w:hAnsi="宋体" w:cs="宋体" w:eastAsia="宋体" w:hint="default"/>
          <w:b/>
          <w:bCs/>
          <w:sz w:val="15"/>
          <w:szCs w:val="15"/>
        </w:rPr>
      </w:pPr>
    </w:p>
    <w:p>
      <w:pPr>
        <w:spacing w:before="0"/>
        <w:ind w:left="137" w:right="0" w:firstLine="0"/>
        <w:jc w:val="both"/>
        <w:rPr>
          <w:rFonts w:ascii="宋体" w:hAnsi="宋体" w:cs="宋体" w:eastAsia="宋体" w:hint="default"/>
          <w:sz w:val="21"/>
          <w:szCs w:val="21"/>
        </w:rPr>
      </w:pPr>
      <w:r>
        <w:rPr>
          <w:rFonts w:ascii="宋体" w:hAnsi="宋体" w:cs="宋体" w:eastAsia="宋体" w:hint="default"/>
          <w:b/>
          <w:bCs/>
          <w:sz w:val="21"/>
          <w:szCs w:val="21"/>
        </w:rPr>
        <w:t>七、重大合同及其履行情况</w:t>
      </w:r>
      <w:r>
        <w:rPr>
          <w:rFonts w:ascii="宋体" w:hAnsi="宋体" w:cs="宋体" w:eastAsia="宋体" w:hint="default"/>
          <w:sz w:val="21"/>
          <w:szCs w:val="21"/>
        </w:rPr>
      </w:r>
    </w:p>
    <w:p>
      <w:pPr>
        <w:spacing w:line="240" w:lineRule="auto" w:before="10"/>
        <w:rPr>
          <w:rFonts w:ascii="宋体" w:hAnsi="宋体" w:cs="宋体" w:eastAsia="宋体" w:hint="default"/>
          <w:b/>
          <w:bCs/>
          <w:sz w:val="26"/>
          <w:szCs w:val="26"/>
        </w:rPr>
      </w:pPr>
    </w:p>
    <w:p>
      <w:pPr>
        <w:pStyle w:val="BodyText"/>
        <w:spacing w:line="408" w:lineRule="auto"/>
        <w:ind w:right="100" w:firstLine="420"/>
        <w:jc w:val="left"/>
      </w:pPr>
      <w:r>
        <w:rPr>
          <w:spacing w:val="-3"/>
        </w:rPr>
        <w:t>（一）报告期内，公司未发生或以前期间发生但延续到报告期的托管、承包、租赁其他</w:t>
      </w:r>
      <w:r>
        <w:rPr/>
        <w:t> 公司资产或其他公司托管、承包、租赁公司资产的重大事项。</w:t>
      </w:r>
    </w:p>
    <w:p>
      <w:pPr>
        <w:spacing w:line="240" w:lineRule="auto" w:before="6"/>
        <w:rPr>
          <w:rFonts w:ascii="宋体" w:hAnsi="宋体" w:cs="宋体" w:eastAsia="宋体" w:hint="default"/>
          <w:sz w:val="15"/>
          <w:szCs w:val="15"/>
        </w:rPr>
      </w:pPr>
    </w:p>
    <w:p>
      <w:pPr>
        <w:pStyle w:val="BodyText"/>
        <w:spacing w:line="240" w:lineRule="auto"/>
        <w:ind w:left="557" w:right="100"/>
        <w:jc w:val="left"/>
      </w:pPr>
      <w:r>
        <w:rPr/>
        <w:t>（二）报告期内，公司未发生对外担保事项</w:t>
      </w:r>
    </w:p>
    <w:p>
      <w:pPr>
        <w:spacing w:line="240" w:lineRule="auto" w:before="9"/>
        <w:rPr>
          <w:rFonts w:ascii="宋体" w:hAnsi="宋体" w:cs="宋体" w:eastAsia="宋体" w:hint="default"/>
          <w:sz w:val="26"/>
          <w:szCs w:val="26"/>
        </w:rPr>
      </w:pPr>
    </w:p>
    <w:p>
      <w:pPr>
        <w:pStyle w:val="BodyText"/>
        <w:spacing w:line="240" w:lineRule="auto"/>
        <w:ind w:left="557" w:right="100"/>
        <w:jc w:val="left"/>
      </w:pPr>
      <w:r>
        <w:rPr/>
        <w:t>（三）报告期内，公司未发生委托他人进行现金资产管理事项</w:t>
      </w:r>
    </w:p>
    <w:p>
      <w:pPr>
        <w:spacing w:line="240" w:lineRule="auto" w:before="10"/>
        <w:rPr>
          <w:rFonts w:ascii="宋体" w:hAnsi="宋体" w:cs="宋体" w:eastAsia="宋体" w:hint="default"/>
          <w:sz w:val="26"/>
          <w:szCs w:val="26"/>
        </w:rPr>
      </w:pPr>
    </w:p>
    <w:p>
      <w:pPr>
        <w:pStyle w:val="BodyText"/>
        <w:spacing w:line="544" w:lineRule="auto"/>
        <w:ind w:left="557" w:right="5042"/>
        <w:jc w:val="left"/>
      </w:pPr>
      <w:r>
        <w:rPr/>
        <w:t>（四）其他重大合同 1、延续到报告期的重大销售合同</w:t>
      </w:r>
    </w:p>
    <w:p>
      <w:pPr>
        <w:pStyle w:val="BodyText"/>
        <w:spacing w:line="408" w:lineRule="auto" w:before="82"/>
        <w:ind w:right="100" w:firstLine="420"/>
        <w:jc w:val="left"/>
      </w:pPr>
      <w:r>
        <w:rPr>
          <w:spacing w:val="-10"/>
        </w:rPr>
        <w:t>（1）2009年4月13日，新媒传信与卓望信息签署了《飞信开发、维护、运营及支撑合同》，</w:t>
      </w:r>
      <w:r>
        <w:rPr/>
        <w:t> </w:t>
      </w:r>
      <w:r>
        <w:rPr>
          <w:spacing w:val="-3"/>
        </w:rPr>
        <w:t>约定由新媒传信向卓望信息提供飞信业务的产品开发、维护、运营及支撑等服务，根据核定</w:t>
      </w:r>
      <w:r>
        <w:rPr>
          <w:spacing w:val="-72"/>
        </w:rPr>
        <w:t> </w:t>
      </w:r>
      <w:r>
        <w:rPr>
          <w:spacing w:val="-72"/>
        </w:rPr>
      </w:r>
      <w:r>
        <w:rPr/>
        <w:t>的飞信活跃用户数量及其对服务质量的考核情况结算服务费。合同有效期自2008年11月1日</w:t>
      </w:r>
      <w:r>
        <w:rPr/>
        <w:t> 起至2011年10月31日止。目前，该合同正在执行当中。</w:t>
      </w:r>
    </w:p>
    <w:p>
      <w:pPr>
        <w:spacing w:after="0" w:line="408" w:lineRule="auto"/>
        <w:jc w:val="left"/>
        <w:sectPr>
          <w:pgSz w:w="11910" w:h="16840"/>
          <w:pgMar w:header="851" w:footer="982" w:top="1300" w:bottom="1180" w:left="1660" w:right="1580"/>
        </w:sectPr>
      </w:pPr>
    </w:p>
    <w:p>
      <w:pPr>
        <w:pStyle w:val="BodyText"/>
        <w:spacing w:line="408" w:lineRule="auto" w:before="114"/>
        <w:ind w:right="107" w:firstLine="420"/>
        <w:jc w:val="left"/>
      </w:pPr>
      <w:r>
        <w:rPr>
          <w:spacing w:val="-3"/>
        </w:rPr>
        <w:t>（2）2009年8月26日，新媒传信与中国移动通信集团重庆有限公司签订《农村信息网开</w:t>
      </w:r>
      <w:r>
        <w:rPr/>
        <w:t> </w:t>
      </w:r>
      <w:r>
        <w:rPr>
          <w:spacing w:val="-3"/>
        </w:rPr>
        <w:t>发及运营支撑合作框架协议》，约定由新媒传信提供农村信息网的开发、维护、运营及支撑</w:t>
      </w:r>
      <w:r>
        <w:rPr>
          <w:spacing w:val="-77"/>
        </w:rPr>
        <w:t> </w:t>
      </w:r>
      <w:r>
        <w:rPr>
          <w:spacing w:val="-77"/>
        </w:rPr>
      </w:r>
      <w:r>
        <w:rPr/>
        <w:t>服务，本协议服务费原则上采用按有效用户数或根据农信通业务收入分成的方式进行核算， 具体核算方式以每年签订的合同为准。协议有效期为2009年1月1日至2011年12月31日。</w:t>
      </w:r>
    </w:p>
    <w:p>
      <w:pPr>
        <w:spacing w:line="240" w:lineRule="auto" w:before="6"/>
        <w:rPr>
          <w:rFonts w:ascii="宋体" w:hAnsi="宋体" w:cs="宋体" w:eastAsia="宋体" w:hint="default"/>
          <w:sz w:val="15"/>
          <w:szCs w:val="15"/>
        </w:rPr>
      </w:pPr>
    </w:p>
    <w:p>
      <w:pPr>
        <w:pStyle w:val="BodyText"/>
        <w:spacing w:line="240" w:lineRule="auto"/>
        <w:ind w:left="557" w:right="100"/>
        <w:jc w:val="left"/>
      </w:pPr>
      <w:r>
        <w:rPr/>
        <w:t>2、报告期内发生的重大销售合同</w:t>
      </w:r>
    </w:p>
    <w:p>
      <w:pPr>
        <w:spacing w:line="240" w:lineRule="auto" w:before="9"/>
        <w:rPr>
          <w:rFonts w:ascii="宋体" w:hAnsi="宋体" w:cs="宋体" w:eastAsia="宋体" w:hint="default"/>
          <w:sz w:val="26"/>
          <w:szCs w:val="26"/>
        </w:rPr>
      </w:pPr>
    </w:p>
    <w:p>
      <w:pPr>
        <w:pStyle w:val="BodyText"/>
        <w:spacing w:line="408" w:lineRule="auto"/>
        <w:ind w:right="212" w:firstLine="420"/>
        <w:jc w:val="both"/>
      </w:pPr>
      <w:r>
        <w:rPr>
          <w:spacing w:val="-3"/>
        </w:rPr>
        <w:t>2010年8月2日，新媒传信、互联时代共同与中国移动通信集团重庆有限公司围绕着农村</w:t>
      </w:r>
      <w:r>
        <w:rPr/>
        <w:t> </w:t>
      </w:r>
      <w:r>
        <w:rPr>
          <w:spacing w:val="-3"/>
        </w:rPr>
        <w:t>信息网开发及运维支撑签订了相关商务合同。该等合同是基于《农村信息网开发及运营支撑</w:t>
      </w:r>
      <w:r>
        <w:rPr>
          <w:spacing w:val="-75"/>
        </w:rPr>
        <w:t> </w:t>
      </w:r>
      <w:r>
        <w:rPr>
          <w:spacing w:val="-75"/>
        </w:rPr>
      </w:r>
      <w:r>
        <w:rPr>
          <w:spacing w:val="-3"/>
        </w:rPr>
        <w:t>合作框架协议》的基础上签订的具体执行合同。具体内容详见2010年8月3日刊登于巨潮资讯</w:t>
      </w:r>
      <w:r>
        <w:rPr>
          <w:spacing w:val="-69"/>
        </w:rPr>
        <w:t> </w:t>
      </w:r>
      <w:r>
        <w:rPr>
          <w:spacing w:val="-69"/>
        </w:rPr>
      </w:r>
      <w:hyperlink r:id="rId9">
        <w:r>
          <w:rPr/>
          <w:t>网站（http://www.cninfo.com.cn）</w:t>
        </w:r>
      </w:hyperlink>
      <w:r>
        <w:rPr/>
        <w:t>的公司公告。</w:t>
      </w:r>
    </w:p>
    <w:p>
      <w:pPr>
        <w:spacing w:line="240" w:lineRule="auto" w:before="6"/>
        <w:rPr>
          <w:rFonts w:ascii="宋体" w:hAnsi="宋体" w:cs="宋体" w:eastAsia="宋体" w:hint="default"/>
          <w:sz w:val="15"/>
          <w:szCs w:val="15"/>
        </w:rPr>
      </w:pPr>
    </w:p>
    <w:p>
      <w:pPr>
        <w:pStyle w:val="BodyText"/>
        <w:spacing w:line="240" w:lineRule="auto"/>
        <w:ind w:left="557" w:right="100"/>
        <w:jc w:val="left"/>
      </w:pPr>
      <w:r>
        <w:rPr/>
        <w:t>3、延续到报告期的重大采购合同</w:t>
      </w:r>
    </w:p>
    <w:p>
      <w:pPr>
        <w:spacing w:line="240" w:lineRule="auto" w:before="10"/>
        <w:rPr>
          <w:rFonts w:ascii="宋体" w:hAnsi="宋体" w:cs="宋体" w:eastAsia="宋体" w:hint="default"/>
          <w:sz w:val="26"/>
          <w:szCs w:val="26"/>
        </w:rPr>
      </w:pPr>
    </w:p>
    <w:p>
      <w:pPr>
        <w:pStyle w:val="BodyText"/>
        <w:spacing w:line="408" w:lineRule="auto"/>
        <w:ind w:right="96" w:firstLine="420"/>
        <w:jc w:val="left"/>
      </w:pPr>
      <w:r>
        <w:rPr/>
        <w:t>2009年1月22日，新媒传信与北京掌迅互动信息技术有限公司签署《技术服务与运营支 </w:t>
      </w:r>
      <w:r>
        <w:rPr>
          <w:spacing w:val="-2"/>
        </w:rPr>
        <w:t>撑协议》，约定由该公司向新媒传信提供技术服务。2009年2月1日至2010年1月31日的期间，</w:t>
      </w:r>
      <w:r>
        <w:rPr>
          <w:spacing w:val="-103"/>
        </w:rPr>
        <w:t> </w:t>
      </w:r>
      <w:r>
        <w:rPr>
          <w:spacing w:val="-103"/>
        </w:rPr>
      </w:r>
      <w:r>
        <w:rPr>
          <w:spacing w:val="-3"/>
        </w:rPr>
        <w:t>新媒传信每月向该公司支付475万元技术服务费；2010年2月1日至2012年1月31日的期间，新</w:t>
      </w:r>
      <w:r>
        <w:rPr>
          <w:spacing w:val="-58"/>
        </w:rPr>
        <w:t> </w:t>
      </w:r>
      <w:r>
        <w:rPr>
          <w:spacing w:val="-58"/>
        </w:rPr>
      </w:r>
      <w:r>
        <w:rPr>
          <w:spacing w:val="-3"/>
        </w:rPr>
        <w:t>媒传信按来自中国移动合作业务收入的一定比例向该公司支付技术服务费，具体比例另行协</w:t>
      </w:r>
      <w:r>
        <w:rPr>
          <w:spacing w:val="-73"/>
        </w:rPr>
        <w:t> </w:t>
      </w:r>
      <w:r>
        <w:rPr>
          <w:spacing w:val="-73"/>
        </w:rPr>
      </w:r>
      <w:r>
        <w:rPr/>
        <w:t>商约定，但月支付金额不得低于475万元。</w:t>
      </w:r>
    </w:p>
    <w:p>
      <w:pPr>
        <w:spacing w:line="240" w:lineRule="auto" w:before="6"/>
        <w:rPr>
          <w:rFonts w:ascii="宋体" w:hAnsi="宋体" w:cs="宋体" w:eastAsia="宋体" w:hint="default"/>
          <w:sz w:val="15"/>
          <w:szCs w:val="15"/>
        </w:rPr>
      </w:pPr>
    </w:p>
    <w:p>
      <w:pPr>
        <w:pStyle w:val="BodyText"/>
        <w:spacing w:line="544" w:lineRule="auto"/>
        <w:ind w:left="557" w:right="527"/>
        <w:jc w:val="left"/>
      </w:pPr>
      <w:r>
        <w:rPr/>
        <w:t>协议有效期自2009年1月22日起至2012年1月31日止。目前，该合同正在执行当中。 4、延续到报告期的购房合同</w:t>
      </w:r>
    </w:p>
    <w:p>
      <w:pPr>
        <w:pStyle w:val="BodyText"/>
        <w:spacing w:line="408" w:lineRule="auto" w:before="81"/>
        <w:ind w:right="208" w:firstLine="420"/>
        <w:jc w:val="both"/>
      </w:pPr>
      <w:r>
        <w:rPr/>
        <w:t>2009年7月16日，公司与北京北辰实业股份有限公司签定了房产《买卖协议书》，购买 </w:t>
      </w:r>
      <w:r>
        <w:rPr>
          <w:spacing w:val="-3"/>
        </w:rPr>
        <w:t>其位于北京市朝阳区北苑北辰居住区B5区的北辰首作大厦的部分房产用于办公，所购买房产</w:t>
      </w:r>
      <w:r>
        <w:rPr>
          <w:spacing w:val="-72"/>
        </w:rPr>
        <w:t> </w:t>
      </w:r>
      <w:r>
        <w:rPr>
          <w:spacing w:val="-72"/>
        </w:rPr>
      </w:r>
      <w:r>
        <w:rPr>
          <w:spacing w:val="-3"/>
        </w:rPr>
        <w:t>的建筑面积共35,050.57平方米，购房总价款为人民币420,606,840元。截至报告期末，上述</w:t>
      </w:r>
      <w:r>
        <w:rPr>
          <w:spacing w:val="-72"/>
        </w:rPr>
        <w:t> </w:t>
      </w:r>
      <w:r>
        <w:rPr>
          <w:spacing w:val="-72"/>
        </w:rPr>
      </w:r>
      <w:r>
        <w:rPr/>
        <w:t>购房价款已支付完毕。</w:t>
      </w:r>
    </w:p>
    <w:p>
      <w:pPr>
        <w:spacing w:line="240" w:lineRule="auto" w:before="7"/>
        <w:rPr>
          <w:rFonts w:ascii="宋体" w:hAnsi="宋体" w:cs="宋体" w:eastAsia="宋体" w:hint="default"/>
          <w:sz w:val="15"/>
          <w:szCs w:val="15"/>
        </w:rPr>
      </w:pPr>
    </w:p>
    <w:p>
      <w:pPr>
        <w:pStyle w:val="Heading2"/>
        <w:spacing w:line="408" w:lineRule="auto"/>
        <w:ind w:left="137" w:right="201"/>
        <w:jc w:val="left"/>
        <w:rPr>
          <w:b w:val="0"/>
          <w:bCs w:val="0"/>
        </w:rPr>
      </w:pPr>
      <w:r>
        <w:rPr>
          <w:spacing w:val="2"/>
        </w:rPr>
        <w:t>八、公司或持有公司股份5%以上（含5%）的股东在报告期内发生或持续到报告期内的承诺</w:t>
      </w:r>
      <w:r>
        <w:rPr>
          <w:spacing w:val="3"/>
          <w:w w:val="99"/>
        </w:rPr>
        <w:t> </w:t>
      </w:r>
      <w:r>
        <w:rPr/>
        <w:t>事项。</w:t>
      </w:r>
      <w:r>
        <w:rPr>
          <w:b w:val="0"/>
          <w:bCs w:val="0"/>
        </w:rPr>
      </w:r>
    </w:p>
    <w:p>
      <w:pPr>
        <w:spacing w:line="240" w:lineRule="auto" w:before="7"/>
        <w:rPr>
          <w:rFonts w:ascii="宋体" w:hAnsi="宋体" w:cs="宋体" w:eastAsia="宋体" w:hint="default"/>
          <w:b/>
          <w:bCs/>
          <w:sz w:val="15"/>
          <w:szCs w:val="15"/>
        </w:rPr>
      </w:pPr>
    </w:p>
    <w:p>
      <w:pPr>
        <w:spacing w:line="408" w:lineRule="auto" w:before="0"/>
        <w:ind w:left="137" w:right="100" w:firstLine="422"/>
        <w:jc w:val="left"/>
        <w:rPr>
          <w:rFonts w:ascii="宋体" w:hAnsi="宋体" w:cs="宋体" w:eastAsia="宋体" w:hint="default"/>
          <w:sz w:val="21"/>
          <w:szCs w:val="21"/>
        </w:rPr>
      </w:pPr>
      <w:r>
        <w:rPr>
          <w:rFonts w:ascii="宋体" w:hAnsi="宋体" w:cs="宋体" w:eastAsia="宋体" w:hint="default"/>
          <w:b/>
          <w:bCs/>
          <w:w w:val="95"/>
          <w:sz w:val="21"/>
          <w:szCs w:val="21"/>
        </w:rPr>
        <w:t>1、报告期内，公司首次公开发行股票前的全体股东均严格履行了股票上市前作出的关</w:t>
      </w:r>
      <w:r>
        <w:rPr>
          <w:rFonts w:ascii="宋体" w:hAnsi="宋体" w:cs="宋体" w:eastAsia="宋体" w:hint="default"/>
          <w:b/>
          <w:bCs/>
          <w:w w:val="99"/>
          <w:sz w:val="21"/>
          <w:szCs w:val="21"/>
        </w:rPr>
        <w:t> </w:t>
      </w:r>
      <w:r>
        <w:rPr>
          <w:rFonts w:ascii="宋体" w:hAnsi="宋体" w:cs="宋体" w:eastAsia="宋体" w:hint="default"/>
          <w:b/>
          <w:bCs/>
          <w:sz w:val="21"/>
          <w:szCs w:val="21"/>
        </w:rPr>
        <w:t>于对所持股份的流通限制和自愿锁定股份的承诺。</w:t>
      </w:r>
      <w:r>
        <w:rPr>
          <w:rFonts w:ascii="宋体" w:hAnsi="宋体" w:cs="宋体" w:eastAsia="宋体" w:hint="default"/>
          <w:sz w:val="21"/>
          <w:szCs w:val="21"/>
        </w:rPr>
      </w:r>
    </w:p>
    <w:p>
      <w:pPr>
        <w:spacing w:line="240" w:lineRule="auto" w:before="6"/>
        <w:rPr>
          <w:rFonts w:ascii="宋体" w:hAnsi="宋体" w:cs="宋体" w:eastAsia="宋体" w:hint="default"/>
          <w:b/>
          <w:bCs/>
          <w:sz w:val="15"/>
          <w:szCs w:val="15"/>
        </w:rPr>
      </w:pPr>
    </w:p>
    <w:p>
      <w:pPr>
        <w:pStyle w:val="BodyText"/>
        <w:spacing w:line="408" w:lineRule="auto"/>
        <w:ind w:right="100" w:firstLine="420"/>
        <w:jc w:val="left"/>
      </w:pPr>
      <w:r>
        <w:rPr>
          <w:spacing w:val="-3"/>
        </w:rPr>
        <w:t>公司股东甄岳宾承诺，自公司股票上市之日起十二个月内，不转让或者委托他人管理其</w:t>
      </w:r>
      <w:r>
        <w:rPr/>
        <w:t> </w:t>
      </w:r>
      <w:r>
        <w:rPr>
          <w:spacing w:val="-3"/>
        </w:rPr>
        <w:t>直接或者间接持有的公司本次发行前已发行的股份，也不由公司回购其直接或者间接持有的</w:t>
      </w:r>
    </w:p>
    <w:p>
      <w:pPr>
        <w:spacing w:after="0" w:line="408" w:lineRule="auto"/>
        <w:jc w:val="left"/>
        <w:sectPr>
          <w:pgSz w:w="11910" w:h="16840"/>
          <w:pgMar w:header="851" w:footer="982" w:top="1300" w:bottom="1180" w:left="1660" w:right="1580"/>
        </w:sectPr>
      </w:pPr>
    </w:p>
    <w:p>
      <w:pPr>
        <w:pStyle w:val="BodyText"/>
        <w:spacing w:line="408" w:lineRule="auto" w:before="114"/>
        <w:ind w:right="107"/>
        <w:jc w:val="left"/>
      </w:pPr>
      <w:r>
        <w:rPr/>
        <w:t>公司本次发行前已发行的股份。报告期内，甄岳宾将其持有股份全部过户至其妻彭洁女士， </w:t>
      </w:r>
      <w:r>
        <w:rPr>
          <w:spacing w:val="-2"/>
        </w:rPr>
        <w:t>承诺锁定期不变。报告期内，其所持有股份（7,066,475股）已经解除限售，于2010年11月1</w:t>
      </w:r>
      <w:r>
        <w:rPr>
          <w:spacing w:val="-101"/>
        </w:rPr>
        <w:t> </w:t>
      </w:r>
      <w:r>
        <w:rPr>
          <w:spacing w:val="-101"/>
        </w:rPr>
      </w:r>
      <w:r>
        <w:rPr/>
        <w:t>日开始上市流通，至此，其承诺执行完毕。</w:t>
      </w:r>
    </w:p>
    <w:p>
      <w:pPr>
        <w:spacing w:line="240" w:lineRule="auto" w:before="6"/>
        <w:rPr>
          <w:rFonts w:ascii="宋体" w:hAnsi="宋体" w:cs="宋体" w:eastAsia="宋体" w:hint="default"/>
          <w:sz w:val="15"/>
          <w:szCs w:val="15"/>
        </w:rPr>
      </w:pPr>
    </w:p>
    <w:p>
      <w:pPr>
        <w:pStyle w:val="BodyText"/>
        <w:spacing w:line="408" w:lineRule="auto"/>
        <w:ind w:right="211" w:firstLine="420"/>
        <w:jc w:val="both"/>
      </w:pPr>
      <w:r>
        <w:rPr>
          <w:spacing w:val="-3"/>
        </w:rPr>
        <w:t>除此之外，公司其他股东全部承诺，自公司股票上市之日起三十六个月内，不转让或者</w:t>
      </w:r>
      <w:r>
        <w:rPr/>
        <w:t> </w:t>
      </w:r>
      <w:r>
        <w:rPr>
          <w:spacing w:val="-3"/>
        </w:rPr>
        <w:t>委托他人管理其直接或者间接持有的公司本次发行前已发行的股份，也不由公司回购其直接</w:t>
      </w:r>
      <w:r>
        <w:rPr>
          <w:spacing w:val="-73"/>
        </w:rPr>
        <w:t> </w:t>
      </w:r>
      <w:r>
        <w:rPr>
          <w:spacing w:val="-73"/>
        </w:rPr>
      </w:r>
      <w:r>
        <w:rPr/>
        <w:t>或者间接持有的公司本次发行前已发行的股份。</w:t>
      </w:r>
    </w:p>
    <w:p>
      <w:pPr>
        <w:spacing w:line="240" w:lineRule="auto" w:before="6"/>
        <w:rPr>
          <w:rFonts w:ascii="宋体" w:hAnsi="宋体" w:cs="宋体" w:eastAsia="宋体" w:hint="default"/>
          <w:sz w:val="15"/>
          <w:szCs w:val="15"/>
        </w:rPr>
      </w:pPr>
    </w:p>
    <w:p>
      <w:pPr>
        <w:pStyle w:val="BodyText"/>
        <w:spacing w:line="408" w:lineRule="auto"/>
        <w:ind w:right="211" w:firstLine="420"/>
        <w:jc w:val="both"/>
      </w:pPr>
      <w:r>
        <w:rPr>
          <w:spacing w:val="-3"/>
        </w:rPr>
        <w:t>除前述股份锁定承诺外，公司股东在担任公司董事、监事或高级管理人员期间，每年转</w:t>
      </w:r>
      <w:r>
        <w:rPr/>
        <w:t> </w:t>
      </w:r>
      <w:r>
        <w:rPr>
          <w:spacing w:val="-3"/>
        </w:rPr>
        <w:t>让的股份不超过本人所持公司股份总数的百分之二十五；离职后半年内，不转让所持有的公</w:t>
      </w:r>
      <w:r>
        <w:rPr>
          <w:spacing w:val="-75"/>
        </w:rPr>
        <w:t> </w:t>
      </w:r>
      <w:r>
        <w:rPr>
          <w:spacing w:val="-75"/>
        </w:rPr>
      </w:r>
      <w:r>
        <w:rPr/>
        <w:t>司股份。</w:t>
      </w:r>
    </w:p>
    <w:p>
      <w:pPr>
        <w:spacing w:line="240" w:lineRule="auto" w:before="6"/>
        <w:rPr>
          <w:rFonts w:ascii="宋体" w:hAnsi="宋体" w:cs="宋体" w:eastAsia="宋体" w:hint="default"/>
          <w:sz w:val="15"/>
          <w:szCs w:val="15"/>
        </w:rPr>
      </w:pPr>
    </w:p>
    <w:p>
      <w:pPr>
        <w:pStyle w:val="BodyText"/>
        <w:spacing w:line="240" w:lineRule="auto"/>
        <w:ind w:left="557" w:right="100"/>
        <w:jc w:val="left"/>
      </w:pPr>
      <w:r>
        <w:rPr/>
        <w:t>报告期内，上述股东均遵守了所做的承诺。</w:t>
      </w:r>
    </w:p>
    <w:p>
      <w:pPr>
        <w:spacing w:line="240" w:lineRule="auto" w:before="9"/>
        <w:rPr>
          <w:rFonts w:ascii="宋体" w:hAnsi="宋体" w:cs="宋体" w:eastAsia="宋体" w:hint="default"/>
          <w:sz w:val="26"/>
          <w:szCs w:val="26"/>
        </w:rPr>
      </w:pPr>
    </w:p>
    <w:p>
      <w:pPr>
        <w:pStyle w:val="Heading2"/>
        <w:spacing w:line="408" w:lineRule="auto"/>
        <w:ind w:left="137" w:right="215" w:firstLine="422"/>
        <w:jc w:val="both"/>
        <w:rPr>
          <w:b w:val="0"/>
          <w:bCs w:val="0"/>
        </w:rPr>
      </w:pPr>
      <w:r>
        <w:rPr>
          <w:w w:val="95"/>
        </w:rPr>
        <w:t>2、报告期内，公司控股股东、实际控制人严格履行了公司上市前作出的关于避免同业</w:t>
      </w:r>
      <w:r>
        <w:rPr>
          <w:w w:val="99"/>
        </w:rPr>
        <w:t> </w:t>
      </w:r>
      <w:r>
        <w:rPr/>
        <w:t>竞争的承诺。</w:t>
      </w:r>
      <w:r>
        <w:rPr>
          <w:b w:val="0"/>
          <w:bCs w:val="0"/>
        </w:rPr>
      </w:r>
    </w:p>
    <w:p>
      <w:pPr>
        <w:spacing w:line="240" w:lineRule="auto" w:before="6"/>
        <w:rPr>
          <w:rFonts w:ascii="宋体" w:hAnsi="宋体" w:cs="宋体" w:eastAsia="宋体" w:hint="default"/>
          <w:b/>
          <w:bCs/>
          <w:sz w:val="15"/>
          <w:szCs w:val="15"/>
        </w:rPr>
      </w:pPr>
    </w:p>
    <w:p>
      <w:pPr>
        <w:pStyle w:val="BodyText"/>
        <w:spacing w:line="408" w:lineRule="auto"/>
        <w:ind w:right="212" w:firstLine="420"/>
        <w:jc w:val="both"/>
      </w:pPr>
      <w:r>
        <w:rPr>
          <w:spacing w:val="-3"/>
        </w:rPr>
        <w:t>为避免与公司及其子公司发生同业竞争，公司发行上市前，控股股东、实际控制人王宁</w:t>
      </w:r>
      <w:r>
        <w:rPr/>
        <w:t> 和李力出具避免同业竞争的承诺。</w:t>
      </w:r>
    </w:p>
    <w:p>
      <w:pPr>
        <w:spacing w:line="240" w:lineRule="auto" w:before="6"/>
        <w:rPr>
          <w:rFonts w:ascii="宋体" w:hAnsi="宋体" w:cs="宋体" w:eastAsia="宋体" w:hint="default"/>
          <w:sz w:val="15"/>
          <w:szCs w:val="15"/>
        </w:rPr>
      </w:pPr>
    </w:p>
    <w:p>
      <w:pPr>
        <w:spacing w:line="544" w:lineRule="auto" w:before="0"/>
        <w:ind w:left="557" w:right="100" w:firstLine="0"/>
        <w:jc w:val="left"/>
        <w:rPr>
          <w:rFonts w:ascii="宋体" w:hAnsi="宋体" w:cs="宋体" w:eastAsia="宋体" w:hint="default"/>
          <w:sz w:val="21"/>
          <w:szCs w:val="21"/>
        </w:rPr>
      </w:pPr>
      <w:r>
        <w:rPr>
          <w:rFonts w:ascii="宋体" w:hAnsi="宋体" w:cs="宋体" w:eastAsia="宋体" w:hint="default"/>
          <w:sz w:val="21"/>
          <w:szCs w:val="21"/>
        </w:rPr>
        <w:t>报告期内，公司控股股东和实际控制人信守承诺，没有发生与公司同业竞争的行为。 </w:t>
      </w:r>
      <w:r>
        <w:rPr>
          <w:rFonts w:ascii="宋体" w:hAnsi="宋体" w:cs="宋体" w:eastAsia="宋体" w:hint="default"/>
          <w:b/>
          <w:bCs/>
          <w:w w:val="95"/>
          <w:sz w:val="21"/>
          <w:szCs w:val="21"/>
        </w:rPr>
        <w:t>3、公司持有公司5%以上股份的股东严格履行关于房产租赁及使用存在的风险的承诺。</w:t>
      </w:r>
      <w:r>
        <w:rPr>
          <w:rFonts w:ascii="宋体" w:hAnsi="宋体" w:cs="宋体" w:eastAsia="宋体" w:hint="default"/>
          <w:sz w:val="21"/>
          <w:szCs w:val="21"/>
        </w:rPr>
      </w:r>
    </w:p>
    <w:p>
      <w:pPr>
        <w:pStyle w:val="BodyText"/>
        <w:spacing w:line="408" w:lineRule="auto" w:before="82"/>
        <w:ind w:right="212" w:firstLine="420"/>
        <w:jc w:val="both"/>
      </w:pPr>
      <w:r>
        <w:rPr>
          <w:spacing w:val="-3"/>
        </w:rPr>
        <w:t>公司发行上市前，公司及其子公司经营所用的部分房产是通过租赁取得，其中向北京市</w:t>
      </w:r>
      <w:r>
        <w:rPr/>
        <w:t> </w:t>
      </w:r>
      <w:r>
        <w:rPr>
          <w:spacing w:val="-3"/>
        </w:rPr>
        <w:t>海淀区市政园林服务中心承租其位于北京市海淀区万泉庄路28号万柳新贵大厦A座5层、B座5</w:t>
      </w:r>
      <w:r>
        <w:rPr>
          <w:spacing w:val="-70"/>
        </w:rPr>
        <w:t> </w:t>
      </w:r>
      <w:r>
        <w:rPr>
          <w:spacing w:val="-70"/>
        </w:rPr>
      </w:r>
      <w:r>
        <w:rPr/>
        <w:t>层，租赁面积为3,123.1平方米；新媒传信与北京鸿基恒业物业管理有限公司承租其位于北</w:t>
      </w:r>
      <w:r>
        <w:rPr/>
        <w:t> 京市东城区东中街46号鸿基大厦四层、六层、八层的房产用于办公，租赁面积为2,162.4平</w:t>
      </w:r>
      <w:r>
        <w:rPr>
          <w:spacing w:val="-94"/>
        </w:rPr>
        <w:t> </w:t>
      </w:r>
      <w:r>
        <w:rPr>
          <w:spacing w:val="-94"/>
        </w:rPr>
      </w:r>
      <w:r>
        <w:rPr/>
        <w:t>方米。</w:t>
      </w:r>
    </w:p>
    <w:p>
      <w:pPr>
        <w:spacing w:line="240" w:lineRule="auto" w:before="6"/>
        <w:rPr>
          <w:rFonts w:ascii="宋体" w:hAnsi="宋体" w:cs="宋体" w:eastAsia="宋体" w:hint="default"/>
          <w:sz w:val="15"/>
          <w:szCs w:val="15"/>
        </w:rPr>
      </w:pPr>
    </w:p>
    <w:p>
      <w:pPr>
        <w:pStyle w:val="BodyText"/>
        <w:spacing w:line="408" w:lineRule="auto"/>
        <w:ind w:right="212" w:firstLine="420"/>
        <w:jc w:val="both"/>
      </w:pPr>
      <w:r>
        <w:rPr>
          <w:spacing w:val="-3"/>
        </w:rPr>
        <w:t>由于上述房屋租赁的出租方未能提供出租房屋的权属证明，公司及新媒传信对上述房屋</w:t>
      </w:r>
      <w:r>
        <w:rPr/>
        <w:t> 的租赁关系存在被认定为无效的风险。</w:t>
      </w:r>
    </w:p>
    <w:p>
      <w:pPr>
        <w:spacing w:line="240" w:lineRule="auto" w:before="6"/>
        <w:rPr>
          <w:rFonts w:ascii="宋体" w:hAnsi="宋体" w:cs="宋体" w:eastAsia="宋体" w:hint="default"/>
          <w:sz w:val="15"/>
          <w:szCs w:val="15"/>
        </w:rPr>
      </w:pPr>
    </w:p>
    <w:p>
      <w:pPr>
        <w:pStyle w:val="BodyText"/>
        <w:spacing w:line="408" w:lineRule="auto"/>
        <w:ind w:right="102" w:firstLine="420"/>
        <w:jc w:val="left"/>
      </w:pPr>
      <w:r>
        <w:rPr>
          <w:spacing w:val="-3"/>
        </w:rPr>
        <w:t>持有公司5%以上股份的股东王宁、李力、齐强、黄松浪、王国华、万能、徐斯平均已出</w:t>
      </w:r>
      <w:r>
        <w:rPr/>
        <w:t> </w:t>
      </w:r>
      <w:r>
        <w:rPr>
          <w:spacing w:val="-3"/>
        </w:rPr>
        <w:t>具《承诺函》，承诺如果上述房屋的租赁关系无效或者出现任何纠纷，导致公司或新媒传信</w:t>
      </w:r>
      <w:r>
        <w:rPr>
          <w:spacing w:val="-74"/>
        </w:rPr>
        <w:t> </w:t>
      </w:r>
      <w:r>
        <w:rPr>
          <w:spacing w:val="-74"/>
        </w:rPr>
      </w:r>
      <w:r>
        <w:rPr>
          <w:spacing w:val="-5"/>
        </w:rPr>
        <w:t>需要另租其他房屋进行搬迁、被有权的政府部门罚款、或者被有关当事人追索，王宁、李力、</w:t>
      </w:r>
      <w:r>
        <w:rPr>
          <w:spacing w:val="-96"/>
        </w:rPr>
        <w:t> </w:t>
      </w:r>
      <w:r>
        <w:rPr>
          <w:spacing w:val="-96"/>
        </w:rPr>
      </w:r>
      <w:r>
        <w:rPr>
          <w:spacing w:val="-3"/>
        </w:rPr>
        <w:t>齐强、黄松浪、王国华、万能、徐斯平将对公司或新媒传信全额承担赔偿责任，使公司或新</w:t>
      </w:r>
    </w:p>
    <w:p>
      <w:pPr>
        <w:spacing w:after="0" w:line="408" w:lineRule="auto"/>
        <w:jc w:val="left"/>
        <w:sectPr>
          <w:footerReference w:type="default" r:id="rId53"/>
          <w:pgSz w:w="11910" w:h="16840"/>
          <w:pgMar w:footer="982" w:header="851" w:top="1300" w:bottom="1180" w:left="1660" w:right="1580"/>
          <w:pgNumType w:start="49"/>
        </w:sectPr>
      </w:pPr>
    </w:p>
    <w:p>
      <w:pPr>
        <w:pStyle w:val="BodyText"/>
        <w:spacing w:line="240" w:lineRule="auto" w:before="114"/>
        <w:ind w:right="0"/>
        <w:jc w:val="both"/>
      </w:pPr>
      <w:r>
        <w:rPr/>
        <w:t>媒传信不因此遭受任何损失。报告期内，上述股东严格履行了此项承诺。</w:t>
      </w:r>
    </w:p>
    <w:p>
      <w:pPr>
        <w:spacing w:line="240" w:lineRule="auto" w:before="9"/>
        <w:rPr>
          <w:rFonts w:ascii="宋体" w:hAnsi="宋体" w:cs="宋体" w:eastAsia="宋体" w:hint="default"/>
          <w:sz w:val="26"/>
          <w:szCs w:val="26"/>
        </w:rPr>
      </w:pPr>
    </w:p>
    <w:p>
      <w:pPr>
        <w:pStyle w:val="BodyText"/>
        <w:spacing w:line="408" w:lineRule="auto"/>
        <w:ind w:right="195" w:firstLine="420"/>
        <w:jc w:val="both"/>
      </w:pPr>
      <w:r>
        <w:rPr/>
        <w:t>2010年9月末，公司总部迁入新办公地址，原房屋租赁合同已履行完毕，至此，本承诺 执行完毕。</w:t>
      </w:r>
    </w:p>
    <w:p>
      <w:pPr>
        <w:spacing w:line="240" w:lineRule="auto" w:before="6"/>
        <w:rPr>
          <w:rFonts w:ascii="宋体" w:hAnsi="宋体" w:cs="宋体" w:eastAsia="宋体" w:hint="default"/>
          <w:sz w:val="15"/>
          <w:szCs w:val="15"/>
        </w:rPr>
      </w:pPr>
    </w:p>
    <w:p>
      <w:pPr>
        <w:pStyle w:val="Heading2"/>
        <w:spacing w:line="240" w:lineRule="auto"/>
        <w:ind w:left="137" w:right="0"/>
        <w:jc w:val="both"/>
        <w:rPr>
          <w:b w:val="0"/>
          <w:bCs w:val="0"/>
        </w:rPr>
      </w:pPr>
      <w:r>
        <w:rPr/>
        <w:t>九、解聘、聘任会计师事务所情况及支付报酬情况</w:t>
      </w:r>
      <w:r>
        <w:rPr>
          <w:b w:val="0"/>
          <w:bCs w:val="0"/>
        </w:rPr>
      </w:r>
    </w:p>
    <w:p>
      <w:pPr>
        <w:spacing w:line="240" w:lineRule="auto" w:before="9"/>
        <w:rPr>
          <w:rFonts w:ascii="宋体" w:hAnsi="宋体" w:cs="宋体" w:eastAsia="宋体" w:hint="default"/>
          <w:b/>
          <w:bCs/>
          <w:sz w:val="26"/>
          <w:szCs w:val="26"/>
        </w:rPr>
      </w:pPr>
    </w:p>
    <w:p>
      <w:pPr>
        <w:pStyle w:val="BodyText"/>
        <w:spacing w:line="408" w:lineRule="auto"/>
        <w:ind w:right="191" w:firstLine="420"/>
        <w:jc w:val="both"/>
      </w:pPr>
      <w:r>
        <w:rPr>
          <w:spacing w:val="-3"/>
        </w:rPr>
        <w:t>经公司2009年度股东大会审议通过，聘任立信会计师事务所有限公司为公司2010年度审</w:t>
      </w:r>
      <w:r>
        <w:rPr/>
        <w:t> 计机构，聘期一年，2010年度发生的审计费用合计为100万元。截至目前，立信会计师事务</w:t>
      </w:r>
      <w:r>
        <w:rPr>
          <w:spacing w:val="-95"/>
        </w:rPr>
        <w:t> </w:t>
      </w:r>
      <w:r>
        <w:rPr>
          <w:spacing w:val="-95"/>
        </w:rPr>
      </w:r>
      <w:r>
        <w:rPr/>
        <w:t>所有限公司已为公司提供了4年的审计服务。</w:t>
      </w:r>
    </w:p>
    <w:p>
      <w:pPr>
        <w:spacing w:line="240" w:lineRule="auto" w:before="6"/>
        <w:rPr>
          <w:rFonts w:ascii="宋体" w:hAnsi="宋体" w:cs="宋体" w:eastAsia="宋体" w:hint="default"/>
          <w:sz w:val="15"/>
          <w:szCs w:val="15"/>
        </w:rPr>
      </w:pPr>
    </w:p>
    <w:p>
      <w:pPr>
        <w:pStyle w:val="Heading2"/>
        <w:spacing w:line="240" w:lineRule="auto"/>
        <w:ind w:left="137" w:right="0"/>
        <w:jc w:val="both"/>
        <w:rPr>
          <w:b w:val="0"/>
          <w:bCs w:val="0"/>
        </w:rPr>
      </w:pPr>
      <w:r>
        <w:rPr/>
        <w:t>十、受监管部门处罚、通报批评、公开谴责等情况</w:t>
      </w:r>
      <w:r>
        <w:rPr>
          <w:b w:val="0"/>
          <w:bCs w:val="0"/>
        </w:rPr>
      </w:r>
    </w:p>
    <w:p>
      <w:pPr>
        <w:spacing w:line="240" w:lineRule="auto" w:before="9"/>
        <w:rPr>
          <w:rFonts w:ascii="宋体" w:hAnsi="宋体" w:cs="宋体" w:eastAsia="宋体" w:hint="default"/>
          <w:b/>
          <w:bCs/>
          <w:sz w:val="26"/>
          <w:szCs w:val="26"/>
        </w:rPr>
      </w:pPr>
    </w:p>
    <w:p>
      <w:pPr>
        <w:pStyle w:val="BodyText"/>
        <w:spacing w:line="408" w:lineRule="auto"/>
        <w:ind w:right="191" w:firstLine="420"/>
        <w:jc w:val="both"/>
      </w:pPr>
      <w:r>
        <w:rPr>
          <w:spacing w:val="-3"/>
        </w:rPr>
        <w:t>报告期内，公司及其董事、监事、高级管理人员、公司控股股东、实际控制人不存在受</w:t>
      </w:r>
      <w:r>
        <w:rPr/>
        <w:t> </w:t>
      </w:r>
      <w:r>
        <w:rPr>
          <w:spacing w:val="-3"/>
        </w:rPr>
        <w:t>有权机关调查、司法纪检部门采取强制措施、被移送司法机关或追究刑事责任、中国证监会</w:t>
      </w:r>
      <w:r>
        <w:rPr>
          <w:spacing w:val="-72"/>
        </w:rPr>
        <w:t> </w:t>
      </w:r>
      <w:r>
        <w:rPr>
          <w:spacing w:val="-72"/>
        </w:rPr>
      </w:r>
      <w:r>
        <w:rPr>
          <w:spacing w:val="-3"/>
        </w:rPr>
        <w:t>稽查、中国证监会行政处罚、证券市场禁入、认定为不适当人选被其他行政管理部门处罚及</w:t>
      </w:r>
      <w:r>
        <w:rPr>
          <w:spacing w:val="-72"/>
        </w:rPr>
        <w:t> </w:t>
      </w:r>
      <w:r>
        <w:rPr>
          <w:spacing w:val="-72"/>
        </w:rPr>
      </w:r>
      <w:r>
        <w:rPr/>
        <w:t>证券交易所公开谴责的情形。</w:t>
      </w:r>
    </w:p>
    <w:p>
      <w:pPr>
        <w:spacing w:line="240" w:lineRule="auto" w:before="6"/>
        <w:rPr>
          <w:rFonts w:ascii="宋体" w:hAnsi="宋体" w:cs="宋体" w:eastAsia="宋体" w:hint="default"/>
          <w:sz w:val="15"/>
          <w:szCs w:val="15"/>
        </w:rPr>
      </w:pPr>
    </w:p>
    <w:p>
      <w:pPr>
        <w:pStyle w:val="Heading2"/>
        <w:spacing w:line="240" w:lineRule="auto"/>
        <w:ind w:left="137" w:right="0"/>
        <w:jc w:val="both"/>
        <w:rPr>
          <w:b w:val="0"/>
          <w:bCs w:val="0"/>
        </w:rPr>
      </w:pPr>
      <w:r>
        <w:rPr/>
        <w:t>十一、关于中国证监会北京监管局对公司现场检查监管意见的落实情况</w:t>
      </w:r>
      <w:r>
        <w:rPr>
          <w:b w:val="0"/>
          <w:bCs w:val="0"/>
        </w:rPr>
      </w:r>
    </w:p>
    <w:p>
      <w:pPr>
        <w:spacing w:line="240" w:lineRule="auto" w:before="9"/>
        <w:rPr>
          <w:rFonts w:ascii="宋体" w:hAnsi="宋体" w:cs="宋体" w:eastAsia="宋体" w:hint="default"/>
          <w:b/>
          <w:bCs/>
          <w:sz w:val="26"/>
          <w:szCs w:val="26"/>
        </w:rPr>
      </w:pPr>
    </w:p>
    <w:p>
      <w:pPr>
        <w:pStyle w:val="BodyText"/>
        <w:spacing w:line="408" w:lineRule="auto"/>
        <w:ind w:right="104" w:firstLine="420"/>
        <w:jc w:val="both"/>
      </w:pPr>
      <w:r>
        <w:rPr/>
        <w:t>2010年8月，中国证监会北京监管局对公司进行了现场检查，并出具了《关于对北京神 州泰岳软件股份有限公司现场检查的监管意见》（京证公司发【2010】154号）。公司针对 相关问题逐条进行了检查和讨论，制定了相应落实措施，对《募集资金管理及使用制度》、</w:t>
      </w:r>
    </w:p>
    <w:p>
      <w:pPr>
        <w:pStyle w:val="BodyText"/>
        <w:spacing w:line="408" w:lineRule="auto" w:before="46"/>
        <w:ind w:right="190"/>
        <w:jc w:val="both"/>
      </w:pPr>
      <w:r>
        <w:rPr>
          <w:spacing w:val="-3"/>
        </w:rPr>
        <w:t>《非日常经营交易事项决策制度》进行了修订，根据《内部审计制度》健全内审部的人员编</w:t>
      </w:r>
      <w:r>
        <w:rPr>
          <w:spacing w:val="-75"/>
        </w:rPr>
        <w:t> </w:t>
      </w:r>
      <w:r>
        <w:rPr>
          <w:spacing w:val="-75"/>
        </w:rPr>
      </w:r>
      <w:r>
        <w:rPr>
          <w:spacing w:val="-3"/>
        </w:rPr>
        <w:t>制，有效开展内部审计工作，同时依据信息披露制度的相关要求，与各方相关人员签署保密</w:t>
      </w:r>
      <w:r>
        <w:rPr>
          <w:spacing w:val="-72"/>
        </w:rPr>
        <w:t> </w:t>
      </w:r>
      <w:r>
        <w:rPr>
          <w:spacing w:val="-72"/>
        </w:rPr>
      </w:r>
      <w:r>
        <w:rPr/>
        <w:t>协议等。</w:t>
      </w:r>
    </w:p>
    <w:p>
      <w:pPr>
        <w:spacing w:line="240" w:lineRule="auto" w:before="6"/>
        <w:rPr>
          <w:rFonts w:ascii="宋体" w:hAnsi="宋体" w:cs="宋体" w:eastAsia="宋体" w:hint="default"/>
          <w:sz w:val="15"/>
          <w:szCs w:val="15"/>
        </w:rPr>
      </w:pPr>
    </w:p>
    <w:p>
      <w:pPr>
        <w:pStyle w:val="BodyText"/>
        <w:spacing w:line="408" w:lineRule="auto"/>
        <w:ind w:right="190" w:firstLine="420"/>
        <w:jc w:val="both"/>
      </w:pPr>
      <w:r>
        <w:rPr>
          <w:spacing w:val="-3"/>
        </w:rPr>
        <w:t>此次现场检查，对促进公司的规范运作起到了积极的作用。公司将继续认真学习并严格</w:t>
      </w:r>
      <w:r>
        <w:rPr/>
        <w:t> </w:t>
      </w:r>
      <w:r>
        <w:rPr>
          <w:spacing w:val="-3"/>
        </w:rPr>
        <w:t>执行有关的法律法规和规章，进一步健全公司法人治理结构，完善内部控制制度，提高规范</w:t>
      </w:r>
      <w:r>
        <w:rPr>
          <w:spacing w:val="-72"/>
        </w:rPr>
        <w:t> </w:t>
      </w:r>
      <w:r>
        <w:rPr>
          <w:spacing w:val="-72"/>
        </w:rPr>
      </w:r>
      <w:r>
        <w:rPr>
          <w:spacing w:val="-3"/>
        </w:rPr>
        <w:t>运作水平，建立公司治理的长效机制，更好地树立自律、规范、诚信的上市公司形象，使公</w:t>
      </w:r>
      <w:r>
        <w:rPr>
          <w:spacing w:val="-79"/>
        </w:rPr>
        <w:t> </w:t>
      </w:r>
      <w:r>
        <w:rPr>
          <w:spacing w:val="-79"/>
        </w:rPr>
      </w:r>
      <w:r>
        <w:rPr/>
        <w:t>司持续、健康、稳定地向前发展。</w:t>
      </w:r>
    </w:p>
    <w:p>
      <w:pPr>
        <w:spacing w:line="240" w:lineRule="auto" w:before="6"/>
        <w:rPr>
          <w:rFonts w:ascii="宋体" w:hAnsi="宋体" w:cs="宋体" w:eastAsia="宋体" w:hint="default"/>
          <w:sz w:val="15"/>
          <w:szCs w:val="15"/>
        </w:rPr>
      </w:pPr>
    </w:p>
    <w:p>
      <w:pPr>
        <w:pStyle w:val="BodyText"/>
        <w:spacing w:line="408" w:lineRule="auto"/>
        <w:ind w:right="193" w:firstLine="465"/>
        <w:jc w:val="both"/>
      </w:pPr>
      <w:r>
        <w:rPr/>
        <w:t>具体内容详见2010年10月14日刊登于巨潮资讯网站（</w:t>
      </w:r>
      <w:hyperlink r:id="rId9">
        <w:r>
          <w:rPr/>
          <w:t>http://www.cninfo.com.cn</w:t>
        </w:r>
      </w:hyperlink>
      <w:r>
        <w:rPr/>
        <w:t>）的</w:t>
      </w:r>
      <w:r>
        <w:rPr/>
        <w:t> 公司公告。</w:t>
      </w:r>
    </w:p>
    <w:p>
      <w:pPr>
        <w:spacing w:line="240" w:lineRule="auto" w:before="6"/>
        <w:rPr>
          <w:rFonts w:ascii="宋体" w:hAnsi="宋体" w:cs="宋体" w:eastAsia="宋体" w:hint="default"/>
          <w:sz w:val="15"/>
          <w:szCs w:val="15"/>
        </w:rPr>
      </w:pPr>
    </w:p>
    <w:p>
      <w:pPr>
        <w:pStyle w:val="Heading2"/>
        <w:spacing w:line="408" w:lineRule="auto"/>
        <w:ind w:left="137" w:right="194"/>
        <w:jc w:val="both"/>
        <w:rPr>
          <w:b w:val="0"/>
          <w:bCs w:val="0"/>
        </w:rPr>
      </w:pPr>
      <w:r>
        <w:rPr>
          <w:spacing w:val="2"/>
        </w:rPr>
        <w:t>十二、报告期内，公司和子公司没有发生《证券法》第六十七条、《上市公司信息披露管</w:t>
      </w:r>
      <w:r>
        <w:rPr>
          <w:w w:val="99"/>
        </w:rPr>
        <w:t> </w:t>
      </w:r>
      <w:r>
        <w:rPr/>
        <w:t>理办法》第三十条所列的重大事件，以及公司董事会判断为重大事件的事项。</w:t>
      </w:r>
      <w:r>
        <w:rPr>
          <w:b w:val="0"/>
          <w:bCs w:val="0"/>
        </w:rPr>
      </w:r>
    </w:p>
    <w:p>
      <w:pPr>
        <w:spacing w:after="0" w:line="408" w:lineRule="auto"/>
        <w:jc w:val="both"/>
        <w:sectPr>
          <w:footerReference w:type="default" r:id="rId54"/>
          <w:pgSz w:w="11910" w:h="16840"/>
          <w:pgMar w:footer="982" w:header="851" w:top="1300" w:bottom="1180" w:left="1660" w:right="1600"/>
          <w:pgNumType w:start="50"/>
        </w:sectPr>
      </w:pPr>
    </w:p>
    <w:p>
      <w:pPr>
        <w:spacing w:before="115"/>
        <w:ind w:left="397" w:right="312" w:firstLine="0"/>
        <w:jc w:val="left"/>
        <w:rPr>
          <w:rFonts w:ascii="宋体" w:hAnsi="宋体" w:cs="宋体" w:eastAsia="宋体" w:hint="default"/>
          <w:sz w:val="21"/>
          <w:szCs w:val="21"/>
        </w:rPr>
      </w:pPr>
      <w:r>
        <w:rPr>
          <w:rFonts w:ascii="宋体" w:hAnsi="宋体" w:cs="宋体" w:eastAsia="宋体" w:hint="default"/>
          <w:b/>
          <w:bCs/>
          <w:sz w:val="21"/>
          <w:szCs w:val="21"/>
        </w:rPr>
        <w:t>十三、报告期内重大信息索引</w:t>
      </w:r>
      <w:r>
        <w:rPr>
          <w:rFonts w:ascii="宋体" w:hAnsi="宋体" w:cs="宋体" w:eastAsia="宋体" w:hint="default"/>
          <w:sz w:val="21"/>
          <w:szCs w:val="21"/>
        </w:rPr>
      </w:r>
    </w:p>
    <w:p>
      <w:pPr>
        <w:spacing w:line="240" w:lineRule="auto" w:before="11"/>
        <w:rPr>
          <w:rFonts w:ascii="宋体" w:hAnsi="宋体" w:cs="宋体" w:eastAsia="宋体" w:hint="default"/>
          <w:b/>
          <w:bCs/>
          <w:sz w:val="21"/>
          <w:szCs w:val="21"/>
        </w:rPr>
      </w:pPr>
    </w:p>
    <w:tbl>
      <w:tblPr>
        <w:tblW w:w="0" w:type="auto"/>
        <w:jc w:val="left"/>
        <w:tblInd w:w="108" w:type="dxa"/>
        <w:tblLayout w:type="fixed"/>
        <w:tblCellMar>
          <w:top w:w="0" w:type="dxa"/>
          <w:left w:w="0" w:type="dxa"/>
          <w:bottom w:w="0" w:type="dxa"/>
          <w:right w:w="0" w:type="dxa"/>
        </w:tblCellMar>
        <w:tblLook w:val="01E0"/>
      </w:tblPr>
      <w:tblGrid>
        <w:gridCol w:w="712"/>
        <w:gridCol w:w="1136"/>
        <w:gridCol w:w="1135"/>
        <w:gridCol w:w="4541"/>
        <w:gridCol w:w="1418"/>
      </w:tblGrid>
      <w:tr>
        <w:trPr>
          <w:trHeight w:val="548" w:hRule="exact"/>
        </w:trPr>
        <w:tc>
          <w:tcPr>
            <w:tcW w:w="712" w:type="dxa"/>
            <w:tcBorders>
              <w:top w:val="single" w:sz="4" w:space="0" w:color="000000"/>
              <w:left w:val="single" w:sz="4" w:space="0" w:color="000000"/>
              <w:bottom w:val="single" w:sz="4" w:space="0" w:color="000000"/>
              <w:right w:val="single" w:sz="4" w:space="0" w:color="000000"/>
            </w:tcBorders>
            <w:shd w:val="clear" w:color="auto" w:fill="DBE5F1"/>
          </w:tcPr>
          <w:p>
            <w:pPr>
              <w:pStyle w:val="TableParagraph"/>
              <w:spacing w:line="240" w:lineRule="auto" w:before="122"/>
              <w:ind w:right="1"/>
              <w:jc w:val="center"/>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shd w:val="clear" w:color="auto" w:fill="DBE5F1"/>
          </w:tcPr>
          <w:p>
            <w:pPr>
              <w:pStyle w:val="TableParagraph"/>
              <w:spacing w:line="240" w:lineRule="auto" w:before="122"/>
              <w:ind w:right="1"/>
              <w:jc w:val="center"/>
              <w:rPr>
                <w:rFonts w:ascii="宋体" w:hAnsi="宋体" w:cs="宋体" w:eastAsia="宋体" w:hint="default"/>
                <w:sz w:val="18"/>
                <w:szCs w:val="18"/>
              </w:rPr>
            </w:pPr>
            <w:r>
              <w:rPr>
                <w:rFonts w:ascii="宋体" w:hAnsi="宋体" w:cs="宋体" w:eastAsia="宋体" w:hint="default"/>
                <w:b/>
                <w:bCs/>
                <w:sz w:val="18"/>
                <w:szCs w:val="18"/>
              </w:rPr>
              <w:t>时间</w:t>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shd w:val="clear" w:color="auto" w:fill="DBE5F1"/>
          </w:tcPr>
          <w:p>
            <w:pPr>
              <w:pStyle w:val="TableParagraph"/>
              <w:spacing w:line="240" w:lineRule="auto" w:before="122"/>
              <w:ind w:left="201" w:right="0"/>
              <w:jc w:val="left"/>
              <w:rPr>
                <w:rFonts w:ascii="宋体" w:hAnsi="宋体" w:cs="宋体" w:eastAsia="宋体" w:hint="default"/>
                <w:sz w:val="18"/>
                <w:szCs w:val="18"/>
              </w:rPr>
            </w:pPr>
            <w:r>
              <w:rPr>
                <w:rFonts w:ascii="宋体" w:hAnsi="宋体" w:cs="宋体" w:eastAsia="宋体" w:hint="default"/>
                <w:b/>
                <w:bCs/>
                <w:sz w:val="18"/>
                <w:szCs w:val="18"/>
              </w:rPr>
              <w:t>公告编号</w:t>
            </w:r>
            <w:r>
              <w:rPr>
                <w:rFonts w:ascii="宋体" w:hAnsi="宋体" w:cs="宋体" w:eastAsia="宋体" w:hint="default"/>
                <w:sz w:val="18"/>
                <w:szCs w:val="18"/>
              </w:rPr>
            </w:r>
          </w:p>
        </w:tc>
        <w:tc>
          <w:tcPr>
            <w:tcW w:w="4541" w:type="dxa"/>
            <w:tcBorders>
              <w:top w:val="single" w:sz="4" w:space="0" w:color="000000"/>
              <w:left w:val="single" w:sz="4" w:space="0" w:color="000000"/>
              <w:bottom w:val="single" w:sz="4" w:space="0" w:color="000000"/>
              <w:right w:val="single" w:sz="4" w:space="0" w:color="000000"/>
            </w:tcBorders>
            <w:shd w:val="clear" w:color="auto" w:fill="DBE5F1"/>
          </w:tcPr>
          <w:p>
            <w:pPr>
              <w:pStyle w:val="TableParagraph"/>
              <w:spacing w:line="240" w:lineRule="auto" w:before="122"/>
              <w:ind w:right="0"/>
              <w:jc w:val="center"/>
              <w:rPr>
                <w:rFonts w:ascii="宋体" w:hAnsi="宋体" w:cs="宋体" w:eastAsia="宋体" w:hint="default"/>
                <w:sz w:val="18"/>
                <w:szCs w:val="18"/>
              </w:rPr>
            </w:pPr>
            <w:r>
              <w:rPr>
                <w:rFonts w:ascii="宋体" w:hAnsi="宋体" w:cs="宋体" w:eastAsia="宋体" w:hint="default"/>
                <w:b/>
                <w:bCs/>
                <w:sz w:val="18"/>
                <w:szCs w:val="18"/>
              </w:rPr>
              <w:t>公告内容</w:t>
            </w:r>
            <w:r>
              <w:rPr>
                <w:rFonts w:ascii="宋体" w:hAnsi="宋体" w:cs="宋体" w:eastAsia="宋体" w:hint="default"/>
                <w:sz w:val="18"/>
                <w:szCs w:val="18"/>
              </w:rPr>
            </w:r>
          </w:p>
        </w:tc>
        <w:tc>
          <w:tcPr>
            <w:tcW w:w="1418" w:type="dxa"/>
            <w:tcBorders>
              <w:top w:val="single" w:sz="4" w:space="0" w:color="000000"/>
              <w:left w:val="single" w:sz="4" w:space="0" w:color="000000"/>
              <w:bottom w:val="single" w:sz="4" w:space="0" w:color="000000"/>
              <w:right w:val="single" w:sz="4" w:space="0" w:color="000000"/>
            </w:tcBorders>
            <w:shd w:val="clear" w:color="auto" w:fill="DBE5F1"/>
          </w:tcPr>
          <w:p>
            <w:pPr>
              <w:pStyle w:val="TableParagraph"/>
              <w:spacing w:line="240" w:lineRule="auto" w:before="122"/>
              <w:ind w:right="2"/>
              <w:jc w:val="center"/>
              <w:rPr>
                <w:rFonts w:ascii="宋体" w:hAnsi="宋体" w:cs="宋体" w:eastAsia="宋体" w:hint="default"/>
                <w:sz w:val="18"/>
                <w:szCs w:val="18"/>
              </w:rPr>
            </w:pPr>
            <w:r>
              <w:rPr>
                <w:rFonts w:ascii="宋体" w:hAnsi="宋体" w:cs="宋体" w:eastAsia="宋体" w:hint="default"/>
                <w:b/>
                <w:bCs/>
                <w:sz w:val="18"/>
                <w:szCs w:val="18"/>
              </w:rPr>
              <w:t>刊登媒体</w:t>
            </w:r>
            <w:r>
              <w:rPr>
                <w:rFonts w:ascii="宋体" w:hAnsi="宋体" w:cs="宋体" w:eastAsia="宋体" w:hint="default"/>
                <w:sz w:val="18"/>
                <w:szCs w:val="18"/>
              </w:rPr>
            </w:r>
          </w:p>
        </w:tc>
      </w:tr>
      <w:tr>
        <w:trPr>
          <w:trHeight w:val="634"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1</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2010-1-9</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2010-001</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5"/>
              <w:jc w:val="left"/>
              <w:rPr>
                <w:rFonts w:ascii="宋体" w:hAnsi="宋体" w:cs="宋体" w:eastAsia="宋体" w:hint="default"/>
                <w:sz w:val="18"/>
                <w:szCs w:val="18"/>
              </w:rPr>
            </w:pPr>
            <w:r>
              <w:rPr>
                <w:rFonts w:ascii="宋体" w:hAnsi="宋体" w:cs="宋体" w:eastAsia="宋体" w:hint="default"/>
                <w:sz w:val="18"/>
                <w:szCs w:val="18"/>
              </w:rPr>
              <w:t>神州泰岳关于公司及子公司获得国家规划布局内重点软 件企业的公告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sz w:val="18"/>
              </w:rPr>
              <w:t>2</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2010-1-11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2010-002</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第三届二十次董事会决议公告.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sz w:val="18"/>
              </w:rPr>
              <w:t>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2010-1-11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2010-003</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三届八次监事会决议公告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634"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4</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2010-1-11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2010-004</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5"/>
              <w:jc w:val="left"/>
              <w:rPr>
                <w:rFonts w:ascii="宋体" w:hAnsi="宋体" w:cs="宋体" w:eastAsia="宋体" w:hint="default"/>
                <w:sz w:val="18"/>
                <w:szCs w:val="18"/>
              </w:rPr>
            </w:pPr>
            <w:r>
              <w:rPr>
                <w:rFonts w:ascii="宋体" w:hAnsi="宋体" w:cs="宋体" w:eastAsia="宋体" w:hint="default"/>
                <w:sz w:val="18"/>
                <w:szCs w:val="18"/>
              </w:rPr>
              <w:t>关于用募集资金置换预先投入募投项目的自筹资金的公 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sz w:val="18"/>
              </w:rPr>
              <w:t>5</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2010-1-13</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2010-005</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业绩预增公告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361"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sz w:val="18"/>
              </w:rPr>
              <w:t>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2010-1-28</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2010-006</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关于网下配售股票上市流通的提示性公告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sz w:val="18"/>
              </w:rPr>
              <w:t>7</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2010-2-5</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2010-007</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年度业绩快报</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sz w:val="18"/>
              </w:rPr>
              <w:t>8</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2010-2-9</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2010-008</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关于获得北京市高新技术成果转化项目认定的公告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634"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9</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2010-3-18</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2010-009</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神州泰岳</w:t>
            </w:r>
            <w:r>
              <w:rPr>
                <w:rFonts w:ascii="宋体" w:hAnsi="宋体" w:cs="宋体" w:eastAsia="宋体" w:hint="default"/>
                <w:spacing w:val="-46"/>
                <w:sz w:val="18"/>
                <w:szCs w:val="18"/>
              </w:rPr>
              <w:t> </w:t>
            </w:r>
            <w:r>
              <w:rPr>
                <w:rFonts w:ascii="宋体" w:hAnsi="宋体" w:cs="宋体" w:eastAsia="宋体" w:hint="default"/>
                <w:sz w:val="18"/>
                <w:szCs w:val="18"/>
              </w:rPr>
              <w:t>2009</w:t>
            </w:r>
            <w:r>
              <w:rPr>
                <w:rFonts w:ascii="宋体" w:hAnsi="宋体" w:cs="宋体" w:eastAsia="宋体" w:hint="default"/>
                <w:spacing w:val="-45"/>
                <w:sz w:val="18"/>
                <w:szCs w:val="18"/>
              </w:rPr>
              <w:t> </w:t>
            </w:r>
            <w:r>
              <w:rPr>
                <w:rFonts w:ascii="宋体" w:hAnsi="宋体" w:cs="宋体" w:eastAsia="宋体" w:hint="default"/>
                <w:sz w:val="18"/>
                <w:szCs w:val="18"/>
              </w:rPr>
              <w:t>年年报摘要</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巨潮网\中证报</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\证券时报</w:t>
            </w:r>
          </w:p>
        </w:tc>
      </w:tr>
      <w:tr>
        <w:trPr>
          <w:trHeight w:val="362"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10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2010-3-18</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2010-010</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神州泰岳第三届董事会第二十一次会议决议公告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361"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11</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2010-3-18</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2010-011</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神州泰岳三届九次监事会决议公告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12</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2010-3-18</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2010-012</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神州泰岳关于召开</w:t>
            </w:r>
            <w:r>
              <w:rPr>
                <w:rFonts w:ascii="宋体" w:hAnsi="宋体" w:cs="宋体" w:eastAsia="宋体" w:hint="default"/>
                <w:spacing w:val="-46"/>
                <w:sz w:val="18"/>
                <w:szCs w:val="18"/>
              </w:rPr>
              <w:t> </w:t>
            </w: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年度股东大会通知</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13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2010-3-18</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2010-013</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神州泰岳关于超募资金使用计划的公告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361"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14</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2010-3-18</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2010-014</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神州泰岳关于收购资产的公告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15</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2010-4-9</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2010-015</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年度股东大会决议公告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16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2010-4-9</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2010-016</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年度权益分配实施的公告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361"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17</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2010-4-21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2010-017</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三届董事会第二十二次会议决议公告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18</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2010-4-21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2010-018</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三届十次监事会决议公告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634"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19</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2010-4-20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2010-019</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神州泰岳</w:t>
            </w:r>
            <w:r>
              <w:rPr>
                <w:rFonts w:ascii="宋体" w:hAnsi="宋体" w:cs="宋体" w:eastAsia="宋体" w:hint="default"/>
                <w:spacing w:val="-46"/>
                <w:sz w:val="18"/>
                <w:szCs w:val="18"/>
              </w:rPr>
              <w:t> </w:t>
            </w: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年一季报正文</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巨潮网\中证报</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\证券时报</w:t>
            </w:r>
          </w:p>
        </w:tc>
      </w:tr>
      <w:tr>
        <w:trPr>
          <w:trHeight w:val="362"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20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2010-4-21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2010-020</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关于收购北京互联时代通讯科技有限公司股权的公告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21</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2010-4-21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2010-021</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关于收购大连华信计算机技术股份有限公司股权的公告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361"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22</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2010-4-21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2010-022</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关于董事会换届选举并征集董事候选人的公告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23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2010-4-21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2010-023</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关于监事会换届选举并征集监事候选人的公告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24</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2010-5-15</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2010-024</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年年报部分内容更正的公告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634"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25</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2010-5-20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2010-025</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97"/>
              <w:jc w:val="left"/>
              <w:rPr>
                <w:rFonts w:ascii="宋体" w:hAnsi="宋体" w:cs="宋体" w:eastAsia="宋体" w:hint="default"/>
                <w:sz w:val="18"/>
                <w:szCs w:val="18"/>
              </w:rPr>
            </w:pPr>
            <w:r>
              <w:rPr>
                <w:rFonts w:ascii="宋体" w:hAnsi="宋体" w:cs="宋体" w:eastAsia="宋体" w:hint="default"/>
                <w:sz w:val="18"/>
                <w:szCs w:val="18"/>
              </w:rPr>
              <w:t>关于举行</w:t>
            </w:r>
            <w:r>
              <w:rPr>
                <w:rFonts w:ascii="宋体" w:hAnsi="宋体" w:cs="宋体" w:eastAsia="宋体" w:hint="default"/>
                <w:spacing w:val="-46"/>
                <w:sz w:val="18"/>
                <w:szCs w:val="18"/>
              </w:rPr>
              <w:t> </w:t>
            </w:r>
            <w:r>
              <w:rPr>
                <w:rFonts w:ascii="宋体" w:hAnsi="宋体" w:cs="宋体" w:eastAsia="宋体" w:hint="default"/>
                <w:sz w:val="18"/>
                <w:szCs w:val="18"/>
              </w:rPr>
              <w:t>2009 年度及</w:t>
            </w:r>
            <w:r>
              <w:rPr>
                <w:rFonts w:ascii="宋体" w:hAnsi="宋体" w:cs="宋体" w:eastAsia="宋体" w:hint="default"/>
                <w:spacing w:val="-46"/>
                <w:sz w:val="18"/>
                <w:szCs w:val="18"/>
              </w:rPr>
              <w:t> </w:t>
            </w:r>
            <w:r>
              <w:rPr>
                <w:rFonts w:ascii="宋体" w:hAnsi="宋体" w:cs="宋体" w:eastAsia="宋体" w:hint="default"/>
                <w:sz w:val="18"/>
                <w:szCs w:val="18"/>
              </w:rPr>
              <w:t>2010 年第一季度业绩说明会的</w:t>
            </w:r>
            <w:r>
              <w:rPr>
                <w:rFonts w:ascii="宋体" w:hAnsi="宋体" w:cs="宋体" w:eastAsia="宋体" w:hint="default"/>
                <w:sz w:val="18"/>
                <w:szCs w:val="18"/>
              </w:rPr>
              <w:t> 公告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26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2010-6-1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2010-026</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三届董事会第二十三次会议决议公告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361"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27</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2010-6-1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2010-027</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三届十一次监事会决议公告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28</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2010-6-1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2010-028</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关于选举第四届职工代表监事的公告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29</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2010-6-1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2010-029</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关于超募资金使用计划及实施的公告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361"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30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2010-6-1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2010-030</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对外投资设立全资子公司的公告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r>
        <w:trPr>
          <w:trHeight w:val="635" w:hRule="exact"/>
        </w:trPr>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31</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2010-6-1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2010-031</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7"/>
              <w:jc w:val="left"/>
              <w:rPr>
                <w:rFonts w:ascii="宋体" w:hAnsi="宋体" w:cs="宋体" w:eastAsia="宋体" w:hint="default"/>
                <w:sz w:val="18"/>
                <w:szCs w:val="18"/>
              </w:rPr>
            </w:pPr>
            <w:r>
              <w:rPr>
                <w:rFonts w:ascii="宋体" w:hAnsi="宋体" w:cs="宋体" w:eastAsia="宋体" w:hint="default"/>
                <w:sz w:val="18"/>
                <w:szCs w:val="18"/>
              </w:rPr>
              <w:t>关于加强上市公司治理专项活动自查报告和整改计划公 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巨潮网</w:t>
            </w:r>
          </w:p>
        </w:tc>
      </w:tr>
    </w:tbl>
    <w:p>
      <w:pPr>
        <w:spacing w:after="0" w:line="240" w:lineRule="auto"/>
        <w:jc w:val="center"/>
        <w:rPr>
          <w:rFonts w:ascii="宋体" w:hAnsi="宋体" w:cs="宋体" w:eastAsia="宋体" w:hint="default"/>
          <w:sz w:val="18"/>
          <w:szCs w:val="18"/>
        </w:rPr>
        <w:sectPr>
          <w:pgSz w:w="11910" w:h="16840"/>
          <w:pgMar w:header="851" w:footer="982" w:top="1300" w:bottom="1180" w:left="1400" w:right="1320"/>
        </w:sectPr>
      </w:pPr>
    </w:p>
    <w:tbl>
      <w:tblPr>
        <w:tblW w:w="0" w:type="auto"/>
        <w:jc w:val="left"/>
        <w:tblInd w:w="108" w:type="dxa"/>
        <w:tblLayout w:type="fixed"/>
        <w:tblCellMar>
          <w:top w:w="0" w:type="dxa"/>
          <w:left w:w="0" w:type="dxa"/>
          <w:bottom w:w="0" w:type="dxa"/>
          <w:right w:w="0" w:type="dxa"/>
        </w:tblCellMar>
        <w:tblLook w:val="01E0"/>
      </w:tblPr>
      <w:tblGrid>
        <w:gridCol w:w="254"/>
        <w:gridCol w:w="457"/>
        <w:gridCol w:w="1136"/>
        <w:gridCol w:w="1135"/>
        <w:gridCol w:w="4541"/>
        <w:gridCol w:w="1103"/>
        <w:gridCol w:w="316"/>
      </w:tblGrid>
      <w:tr>
        <w:trPr>
          <w:trHeight w:val="365" w:hRule="exact"/>
        </w:trPr>
        <w:tc>
          <w:tcPr>
            <w:tcW w:w="254" w:type="dxa"/>
            <w:tcBorders>
              <w:top w:val="nil" w:sz="6" w:space="0" w:color="auto"/>
              <w:left w:val="single" w:sz="4" w:space="0" w:color="000000"/>
              <w:bottom w:val="single" w:sz="4" w:space="0" w:color="000000"/>
              <w:right w:val="nil" w:sz="6" w:space="0" w:color="auto"/>
            </w:tcBorders>
          </w:tcPr>
          <w:p>
            <w:pPr/>
          </w:p>
        </w:tc>
        <w:tc>
          <w:tcPr>
            <w:tcW w:w="457" w:type="dxa"/>
            <w:tcBorders>
              <w:top w:val="single" w:sz="6" w:space="0" w:color="000000"/>
              <w:left w:val="nil" w:sz="6" w:space="0" w:color="auto"/>
              <w:bottom w:val="single" w:sz="4" w:space="0" w:color="000000"/>
              <w:right w:val="single" w:sz="4" w:space="0" w:color="000000"/>
            </w:tcBorders>
          </w:tcPr>
          <w:p>
            <w:pPr>
              <w:pStyle w:val="TableParagraph"/>
              <w:spacing w:line="240" w:lineRule="auto" w:before="29"/>
              <w:ind w:left="10" w:right="0"/>
              <w:jc w:val="left"/>
              <w:rPr>
                <w:rFonts w:ascii="宋体" w:hAnsi="宋体" w:cs="宋体" w:eastAsia="宋体" w:hint="default"/>
                <w:sz w:val="18"/>
                <w:szCs w:val="18"/>
              </w:rPr>
            </w:pPr>
            <w:r>
              <w:rPr>
                <w:rFonts w:ascii="宋体"/>
                <w:sz w:val="18"/>
              </w:rPr>
              <w:t>32</w:t>
            </w:r>
          </w:p>
        </w:tc>
        <w:tc>
          <w:tcPr>
            <w:tcW w:w="113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18"/>
                <w:szCs w:val="18"/>
              </w:rPr>
            </w:pPr>
            <w:r>
              <w:rPr>
                <w:rFonts w:ascii="宋体"/>
                <w:sz w:val="18"/>
              </w:rPr>
              <w:t>2010-6-9</w:t>
            </w:r>
          </w:p>
        </w:tc>
        <w:tc>
          <w:tcPr>
            <w:tcW w:w="1135"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18"/>
                <w:szCs w:val="18"/>
              </w:rPr>
            </w:pPr>
            <w:r>
              <w:rPr>
                <w:rFonts w:ascii="宋体"/>
                <w:sz w:val="18"/>
              </w:rPr>
              <w:t>2010-032</w:t>
            </w:r>
          </w:p>
        </w:tc>
        <w:tc>
          <w:tcPr>
            <w:tcW w:w="454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18"/>
                <w:szCs w:val="18"/>
              </w:rPr>
            </w:pPr>
            <w:r>
              <w:rPr>
                <w:rFonts w:ascii="宋体" w:hAnsi="宋体" w:cs="宋体" w:eastAsia="宋体" w:hint="default"/>
                <w:sz w:val="18"/>
                <w:szCs w:val="18"/>
              </w:rPr>
              <w:t>关于召开</w:t>
            </w:r>
            <w:r>
              <w:rPr>
                <w:rFonts w:ascii="宋体" w:hAnsi="宋体" w:cs="宋体" w:eastAsia="宋体" w:hint="default"/>
                <w:spacing w:val="-46"/>
                <w:sz w:val="18"/>
                <w:szCs w:val="18"/>
              </w:rPr>
              <w:t> </w:t>
            </w: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年第一次临时股东大会的通知</w:t>
            </w:r>
          </w:p>
        </w:tc>
        <w:tc>
          <w:tcPr>
            <w:tcW w:w="1103" w:type="dxa"/>
            <w:tcBorders>
              <w:top w:val="single" w:sz="6" w:space="0" w:color="000000"/>
              <w:left w:val="single" w:sz="4" w:space="0" w:color="000000"/>
              <w:bottom w:val="single" w:sz="4" w:space="0" w:color="000000"/>
              <w:right w:val="nil" w:sz="6" w:space="0" w:color="auto"/>
            </w:tcBorders>
          </w:tcPr>
          <w:p>
            <w:pPr>
              <w:pStyle w:val="TableParagraph"/>
              <w:spacing w:line="240" w:lineRule="auto" w:before="29"/>
              <w:ind w:left="433" w:right="0"/>
              <w:jc w:val="left"/>
              <w:rPr>
                <w:rFonts w:ascii="宋体" w:hAnsi="宋体" w:cs="宋体" w:eastAsia="宋体" w:hint="default"/>
                <w:sz w:val="18"/>
                <w:szCs w:val="18"/>
              </w:rPr>
            </w:pPr>
            <w:r>
              <w:rPr>
                <w:rFonts w:ascii="宋体" w:hAnsi="宋体" w:cs="宋体" w:eastAsia="宋体" w:hint="default"/>
                <w:sz w:val="18"/>
                <w:szCs w:val="18"/>
              </w:rPr>
              <w:t>巨潮网</w:t>
            </w:r>
          </w:p>
        </w:tc>
        <w:tc>
          <w:tcPr>
            <w:tcW w:w="316" w:type="dxa"/>
            <w:tcBorders>
              <w:top w:val="nil" w:sz="6" w:space="0" w:color="auto"/>
              <w:left w:val="nil" w:sz="6" w:space="0" w:color="auto"/>
              <w:bottom w:val="single" w:sz="4" w:space="0" w:color="000000"/>
              <w:right w:val="single" w:sz="4" w:space="0" w:color="000000"/>
            </w:tcBorders>
          </w:tcPr>
          <w:p>
            <w:pPr/>
          </w:p>
        </w:tc>
      </w:tr>
      <w:tr>
        <w:trPr>
          <w:trHeight w:val="361" w:hRule="exact"/>
        </w:trPr>
        <w:tc>
          <w:tcPr>
            <w:tcW w:w="7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33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2010-6-30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2010-033</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关于获得核高基重大专项课题中央财政专项资金的公告</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433" w:right="0"/>
              <w:jc w:val="left"/>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34</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2010-7-1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2010-034</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年第一次临时股东大会决议公告</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433" w:right="0"/>
              <w:jc w:val="left"/>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35</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2010-7-1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2010-035</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四届董事会第一次会议决议公告</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433" w:right="0"/>
              <w:jc w:val="left"/>
              <w:rPr>
                <w:rFonts w:ascii="宋体" w:hAnsi="宋体" w:cs="宋体" w:eastAsia="宋体" w:hint="default"/>
                <w:sz w:val="18"/>
                <w:szCs w:val="18"/>
              </w:rPr>
            </w:pPr>
            <w:r>
              <w:rPr>
                <w:rFonts w:ascii="宋体" w:hAnsi="宋体" w:cs="宋体" w:eastAsia="宋体" w:hint="default"/>
                <w:sz w:val="18"/>
                <w:szCs w:val="18"/>
              </w:rPr>
              <w:t>巨潮网</w:t>
            </w:r>
          </w:p>
        </w:tc>
      </w:tr>
      <w:tr>
        <w:trPr>
          <w:trHeight w:val="361" w:hRule="exact"/>
        </w:trPr>
        <w:tc>
          <w:tcPr>
            <w:tcW w:w="7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36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2010-7-1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2010-036</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四届监事会第一次会议决议公告</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433" w:right="0"/>
              <w:jc w:val="left"/>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37</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2010-7-14</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2010-037</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神州泰岳关于完成工商变更登记的公告</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433" w:right="0"/>
              <w:jc w:val="left"/>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38</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2010-7-30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2010-038</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第四届董事会第二次会议决议公告</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433" w:right="0"/>
              <w:jc w:val="left"/>
              <w:rPr>
                <w:rFonts w:ascii="宋体" w:hAnsi="宋体" w:cs="宋体" w:eastAsia="宋体" w:hint="default"/>
                <w:sz w:val="18"/>
                <w:szCs w:val="18"/>
              </w:rPr>
            </w:pPr>
            <w:r>
              <w:rPr>
                <w:rFonts w:ascii="宋体" w:hAnsi="宋体" w:cs="宋体" w:eastAsia="宋体" w:hint="default"/>
                <w:sz w:val="18"/>
                <w:szCs w:val="18"/>
              </w:rPr>
              <w:t>巨潮网</w:t>
            </w:r>
          </w:p>
        </w:tc>
      </w:tr>
      <w:tr>
        <w:trPr>
          <w:trHeight w:val="634" w:hRule="exact"/>
        </w:trPr>
        <w:tc>
          <w:tcPr>
            <w:tcW w:w="7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39</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2010-7-30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2010-039</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2010 年半年度报告摘要</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巨潮网\中证报</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\证券时报</w:t>
            </w:r>
          </w:p>
        </w:tc>
      </w:tr>
      <w:tr>
        <w:trPr>
          <w:trHeight w:val="362" w:hRule="exact"/>
        </w:trPr>
        <w:tc>
          <w:tcPr>
            <w:tcW w:w="7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40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2010-8-3</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2010-040</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关于全资子公司签订商务合同的公告</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433" w:right="0"/>
              <w:jc w:val="left"/>
              <w:rPr>
                <w:rFonts w:ascii="宋体" w:hAnsi="宋体" w:cs="宋体" w:eastAsia="宋体" w:hint="default"/>
                <w:sz w:val="18"/>
                <w:szCs w:val="18"/>
              </w:rPr>
            </w:pPr>
            <w:r>
              <w:rPr>
                <w:rFonts w:ascii="宋体" w:hAnsi="宋体" w:cs="宋体" w:eastAsia="宋体" w:hint="default"/>
                <w:sz w:val="18"/>
                <w:szCs w:val="18"/>
              </w:rPr>
              <w:t>巨潮网</w:t>
            </w:r>
          </w:p>
        </w:tc>
      </w:tr>
      <w:tr>
        <w:trPr>
          <w:trHeight w:val="361" w:hRule="exact"/>
        </w:trPr>
        <w:tc>
          <w:tcPr>
            <w:tcW w:w="7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41</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2010-8-5</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2010-041</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第四届董事会第三次会议决议公告</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433" w:right="0"/>
              <w:jc w:val="left"/>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42</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2010-8-5</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2010-042</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第四届监事会第三次会议决议公告</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433" w:right="0"/>
              <w:jc w:val="left"/>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43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2010-8-19</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2010-043</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关于全资子公司完成工商注册事宜的公告</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433" w:right="0"/>
              <w:jc w:val="left"/>
              <w:rPr>
                <w:rFonts w:ascii="宋体" w:hAnsi="宋体" w:cs="宋体" w:eastAsia="宋体" w:hint="default"/>
                <w:sz w:val="18"/>
                <w:szCs w:val="18"/>
              </w:rPr>
            </w:pPr>
            <w:r>
              <w:rPr>
                <w:rFonts w:ascii="宋体" w:hAnsi="宋体" w:cs="宋体" w:eastAsia="宋体" w:hint="default"/>
                <w:sz w:val="18"/>
                <w:szCs w:val="18"/>
              </w:rPr>
              <w:t>巨潮网</w:t>
            </w:r>
          </w:p>
        </w:tc>
      </w:tr>
      <w:tr>
        <w:trPr>
          <w:trHeight w:val="361" w:hRule="exact"/>
        </w:trPr>
        <w:tc>
          <w:tcPr>
            <w:tcW w:w="7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44</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2010-9-8</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2010-044</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第四届董事会第四次会议决议公告</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433" w:right="0"/>
              <w:jc w:val="left"/>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45</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2010-9-8</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2010-045</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关于子公司签署募集资金三方监管协议的公告</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433" w:right="0"/>
              <w:jc w:val="left"/>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46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2010-9-13</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2010-046</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关于股权收购事项的进展公告</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433" w:right="0"/>
              <w:jc w:val="left"/>
              <w:rPr>
                <w:rFonts w:ascii="宋体" w:hAnsi="宋体" w:cs="宋体" w:eastAsia="宋体" w:hint="default"/>
                <w:sz w:val="18"/>
                <w:szCs w:val="18"/>
              </w:rPr>
            </w:pPr>
            <w:r>
              <w:rPr>
                <w:rFonts w:ascii="宋体" w:hAnsi="宋体" w:cs="宋体" w:eastAsia="宋体" w:hint="default"/>
                <w:sz w:val="18"/>
                <w:szCs w:val="18"/>
              </w:rPr>
              <w:t>巨潮网</w:t>
            </w:r>
          </w:p>
        </w:tc>
      </w:tr>
      <w:tr>
        <w:trPr>
          <w:trHeight w:val="361" w:hRule="exact"/>
        </w:trPr>
        <w:tc>
          <w:tcPr>
            <w:tcW w:w="7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47</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2010-9-20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2010-047</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关于迁入新办公地址的公告</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433" w:right="0"/>
              <w:jc w:val="left"/>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48</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2010-10-15</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2010-048</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四届董事会第六次会议决议公告</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433" w:right="0"/>
              <w:jc w:val="left"/>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49</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2010-10-15</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2010-049</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对外投资设立控股子公司的公告</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433" w:right="0"/>
              <w:jc w:val="left"/>
              <w:rPr>
                <w:rFonts w:ascii="宋体" w:hAnsi="宋体" w:cs="宋体" w:eastAsia="宋体" w:hint="default"/>
                <w:sz w:val="18"/>
                <w:szCs w:val="18"/>
              </w:rPr>
            </w:pPr>
            <w:r>
              <w:rPr>
                <w:rFonts w:ascii="宋体" w:hAnsi="宋体" w:cs="宋体" w:eastAsia="宋体" w:hint="default"/>
                <w:sz w:val="18"/>
                <w:szCs w:val="18"/>
              </w:rPr>
              <w:t>巨潮网</w:t>
            </w:r>
          </w:p>
        </w:tc>
      </w:tr>
      <w:tr>
        <w:trPr>
          <w:trHeight w:val="634" w:hRule="exact"/>
        </w:trPr>
        <w:tc>
          <w:tcPr>
            <w:tcW w:w="7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50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2010-10-28</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2010-050</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年第三季度报告正文</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巨潮网\中证报</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\证券时报</w:t>
            </w:r>
          </w:p>
        </w:tc>
      </w:tr>
      <w:tr>
        <w:trPr>
          <w:trHeight w:val="362" w:hRule="exact"/>
        </w:trPr>
        <w:tc>
          <w:tcPr>
            <w:tcW w:w="7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51</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2010-10-29</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2010-051</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关于首次公开发行前已发行股票上市流通的提示性公告</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433" w:right="0"/>
              <w:jc w:val="left"/>
              <w:rPr>
                <w:rFonts w:ascii="宋体" w:hAnsi="宋体" w:cs="宋体" w:eastAsia="宋体" w:hint="default"/>
                <w:sz w:val="18"/>
                <w:szCs w:val="18"/>
              </w:rPr>
            </w:pPr>
            <w:r>
              <w:rPr>
                <w:rFonts w:ascii="宋体" w:hAnsi="宋体" w:cs="宋体" w:eastAsia="宋体" w:hint="default"/>
                <w:sz w:val="18"/>
                <w:szCs w:val="18"/>
              </w:rPr>
              <w:t>巨潮网</w:t>
            </w:r>
          </w:p>
        </w:tc>
      </w:tr>
      <w:tr>
        <w:trPr>
          <w:trHeight w:val="361" w:hRule="exact"/>
        </w:trPr>
        <w:tc>
          <w:tcPr>
            <w:tcW w:w="7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52</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2010-11-2</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2010-052</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关于对外投资进展的公告</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433" w:right="0"/>
              <w:jc w:val="left"/>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53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2010-11-24</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2010-053</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第四届董事会第八次会议决议公告</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433" w:right="0"/>
              <w:jc w:val="left"/>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54</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2010-11-24</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2010-054</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关于收购北京友联创新系统集成有限公司的公告</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433" w:right="0"/>
              <w:jc w:val="left"/>
              <w:rPr>
                <w:rFonts w:ascii="宋体" w:hAnsi="宋体" w:cs="宋体" w:eastAsia="宋体" w:hint="default"/>
                <w:sz w:val="18"/>
                <w:szCs w:val="18"/>
              </w:rPr>
            </w:pPr>
            <w:r>
              <w:rPr>
                <w:rFonts w:ascii="宋体" w:hAnsi="宋体" w:cs="宋体" w:eastAsia="宋体" w:hint="default"/>
                <w:sz w:val="18"/>
                <w:szCs w:val="18"/>
              </w:rPr>
              <w:t>巨潮网</w:t>
            </w:r>
          </w:p>
        </w:tc>
      </w:tr>
      <w:tr>
        <w:trPr>
          <w:trHeight w:val="362" w:hRule="exact"/>
        </w:trPr>
        <w:tc>
          <w:tcPr>
            <w:tcW w:w="7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sz w:val="18"/>
              </w:rPr>
              <w:t>55</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2010-11-24</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sz w:val="18"/>
              </w:rPr>
              <w:t>2010-055</w:t>
            </w:r>
          </w:p>
        </w:tc>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关于超募资金使用计划及实施的公告</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433" w:right="0"/>
              <w:jc w:val="left"/>
              <w:rPr>
                <w:rFonts w:ascii="宋体" w:hAnsi="宋体" w:cs="宋体" w:eastAsia="宋体" w:hint="default"/>
                <w:sz w:val="18"/>
                <w:szCs w:val="18"/>
              </w:rPr>
            </w:pPr>
            <w:r>
              <w:rPr>
                <w:rFonts w:ascii="宋体" w:hAnsi="宋体" w:cs="宋体" w:eastAsia="宋体" w:hint="default"/>
                <w:sz w:val="18"/>
                <w:szCs w:val="18"/>
              </w:rPr>
              <w:t>巨潮网</w:t>
            </w:r>
          </w:p>
        </w:tc>
      </w:tr>
    </w:tbl>
    <w:p>
      <w:pPr>
        <w:spacing w:line="240" w:lineRule="auto" w:before="1"/>
        <w:rPr>
          <w:rFonts w:ascii="宋体" w:hAnsi="宋体" w:cs="宋体" w:eastAsia="宋体" w:hint="default"/>
          <w:b/>
          <w:bCs/>
          <w:sz w:val="14"/>
          <w:szCs w:val="14"/>
        </w:rPr>
      </w:pPr>
    </w:p>
    <w:p>
      <w:pPr>
        <w:pStyle w:val="BodyText"/>
        <w:spacing w:line="408" w:lineRule="auto" w:before="35"/>
        <w:ind w:left="397" w:right="312" w:firstLine="420"/>
        <w:jc w:val="left"/>
      </w:pPr>
      <w:r>
        <w:rPr>
          <w:spacing w:val="-3"/>
        </w:rPr>
        <w:t>公司指定信息披露报纸为《中国证券报》、《证券时报》，指定信息披露网站为巨潮资</w:t>
      </w:r>
      <w:r>
        <w:rPr/>
        <w:t> </w:t>
      </w:r>
      <w:hyperlink r:id="rId9">
        <w:r>
          <w:rPr/>
          <w:t>讯http://www.cninfo.com.c</w:t>
        </w:r>
      </w:hyperlink>
      <w:r>
        <w:rPr/>
        <w:t>n。</w:t>
      </w:r>
    </w:p>
    <w:p>
      <w:pPr>
        <w:spacing w:after="0" w:line="408" w:lineRule="auto"/>
        <w:jc w:val="left"/>
        <w:sectPr>
          <w:pgSz w:w="11910" w:h="16840"/>
          <w:pgMar w:header="851" w:footer="982" w:top="1340" w:bottom="1180" w:left="1400" w:right="1320"/>
        </w:sectPr>
      </w:pPr>
    </w:p>
    <w:p>
      <w:pPr>
        <w:spacing w:line="240" w:lineRule="auto" w:before="11"/>
        <w:rPr>
          <w:rFonts w:ascii="宋体" w:hAnsi="宋体" w:cs="宋体" w:eastAsia="宋体" w:hint="default"/>
          <w:sz w:val="2"/>
          <w:szCs w:val="2"/>
        </w:rPr>
      </w:pPr>
    </w:p>
    <w:p>
      <w:pPr>
        <w:spacing w:line="20" w:lineRule="exact"/>
        <w:ind w:left="162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12"/>
          <w:szCs w:val="12"/>
        </w:rPr>
      </w:pPr>
    </w:p>
    <w:p>
      <w:pPr>
        <w:pStyle w:val="Heading1"/>
        <w:tabs>
          <w:tab w:pos="964" w:val="left" w:leader="none"/>
        </w:tabs>
        <w:spacing w:line="240" w:lineRule="auto"/>
        <w:ind w:right="14"/>
        <w:jc w:val="center"/>
        <w:rPr>
          <w:b w:val="0"/>
          <w:bCs w:val="0"/>
        </w:rPr>
      </w:pPr>
      <w:bookmarkStart w:name="_bookmark5" w:id="6"/>
      <w:bookmarkEnd w:id="6"/>
      <w:r>
        <w:rPr>
          <w:b w:val="0"/>
          <w:bCs w:val="0"/>
        </w:rPr>
      </w:r>
      <w:r>
        <w:rPr>
          <w:w w:val="95"/>
        </w:rPr>
        <w:t>第五节</w:t>
        <w:tab/>
      </w:r>
      <w:r>
        <w:rPr/>
        <w:t>股本变动及股东情况</w:t>
      </w:r>
      <w:r>
        <w:rPr>
          <w:b w:val="0"/>
          <w:bCs w:val="0"/>
        </w:rPr>
      </w:r>
    </w:p>
    <w:p>
      <w:pPr>
        <w:spacing w:line="240" w:lineRule="auto" w:before="11"/>
        <w:rPr>
          <w:rFonts w:ascii="宋体" w:hAnsi="宋体" w:cs="宋体" w:eastAsia="宋体" w:hint="default"/>
          <w:b/>
          <w:bCs/>
          <w:sz w:val="28"/>
          <w:szCs w:val="28"/>
        </w:rPr>
      </w:pPr>
    </w:p>
    <w:p>
      <w:pPr>
        <w:pStyle w:val="Heading2"/>
        <w:spacing w:line="240" w:lineRule="auto" w:before="35"/>
        <w:ind w:left="1657" w:right="94"/>
        <w:jc w:val="left"/>
        <w:rPr>
          <w:b w:val="0"/>
          <w:bCs w:val="0"/>
        </w:rPr>
      </w:pPr>
      <w:r>
        <w:rPr/>
        <w:t>一、股份变动情况</w:t>
      </w:r>
      <w:r>
        <w:rPr>
          <w:b w:val="0"/>
          <w:bCs w:val="0"/>
        </w:rPr>
      </w:r>
    </w:p>
    <w:p>
      <w:pPr>
        <w:spacing w:line="240" w:lineRule="auto" w:before="8"/>
        <w:rPr>
          <w:rFonts w:ascii="宋体" w:hAnsi="宋体" w:cs="宋体" w:eastAsia="宋体" w:hint="default"/>
          <w:b/>
          <w:bCs/>
          <w:sz w:val="20"/>
          <w:szCs w:val="20"/>
        </w:rPr>
      </w:pPr>
    </w:p>
    <w:p>
      <w:pPr>
        <w:spacing w:before="0"/>
        <w:ind w:left="1657" w:right="94" w:firstLine="0"/>
        <w:jc w:val="left"/>
        <w:rPr>
          <w:rFonts w:ascii="宋体" w:hAnsi="宋体" w:cs="宋体" w:eastAsia="宋体" w:hint="default"/>
          <w:sz w:val="21"/>
          <w:szCs w:val="21"/>
        </w:rPr>
      </w:pPr>
      <w:r>
        <w:rPr>
          <w:rFonts w:ascii="宋体" w:hAnsi="宋体" w:cs="宋体" w:eastAsia="宋体" w:hint="default"/>
          <w:b/>
          <w:bCs/>
          <w:sz w:val="21"/>
          <w:szCs w:val="21"/>
        </w:rPr>
        <w:t>（一）股份变动情况表（截止2010年12月31日）</w:t>
      </w:r>
      <w:r>
        <w:rPr>
          <w:rFonts w:ascii="宋体" w:hAnsi="宋体" w:cs="宋体" w:eastAsia="宋体" w:hint="default"/>
          <w:sz w:val="21"/>
          <w:szCs w:val="21"/>
        </w:rPr>
      </w:r>
    </w:p>
    <w:p>
      <w:pPr>
        <w:spacing w:line="240" w:lineRule="auto" w:before="0"/>
        <w:rPr>
          <w:rFonts w:ascii="宋体" w:hAnsi="宋体" w:cs="宋体" w:eastAsia="宋体" w:hint="default"/>
          <w:b/>
          <w:bCs/>
          <w:sz w:val="18"/>
          <w:szCs w:val="18"/>
        </w:rPr>
      </w:pPr>
    </w:p>
    <w:p>
      <w:pPr>
        <w:pStyle w:val="BodyText"/>
        <w:spacing w:line="240" w:lineRule="auto" w:before="35"/>
        <w:ind w:left="0" w:right="1671"/>
        <w:jc w:val="right"/>
      </w:pPr>
      <w:r>
        <w:rPr/>
        <w:t>单位：股</w:t>
      </w:r>
    </w:p>
    <w:p>
      <w:pPr>
        <w:spacing w:line="240" w:lineRule="auto" w:before="13"/>
        <w:rPr>
          <w:rFonts w:ascii="宋体" w:hAnsi="宋体" w:cs="宋体" w:eastAsia="宋体" w:hint="default"/>
          <w:sz w:val="3"/>
          <w:szCs w:val="3"/>
        </w:rPr>
      </w:pPr>
    </w:p>
    <w:tbl>
      <w:tblPr>
        <w:tblW w:w="0" w:type="auto"/>
        <w:jc w:val="left"/>
        <w:tblInd w:w="103" w:type="dxa"/>
        <w:tblLayout w:type="fixed"/>
        <w:tblCellMar>
          <w:top w:w="0" w:type="dxa"/>
          <w:left w:w="0" w:type="dxa"/>
          <w:bottom w:w="0" w:type="dxa"/>
          <w:right w:w="0" w:type="dxa"/>
        </w:tblCellMar>
        <w:tblLook w:val="01E0"/>
      </w:tblPr>
      <w:tblGrid>
        <w:gridCol w:w="1939"/>
        <w:gridCol w:w="1386"/>
        <w:gridCol w:w="946"/>
        <w:gridCol w:w="684"/>
        <w:gridCol w:w="685"/>
        <w:gridCol w:w="1206"/>
        <w:gridCol w:w="1206"/>
        <w:gridCol w:w="1206"/>
        <w:gridCol w:w="1206"/>
        <w:gridCol w:w="946"/>
      </w:tblGrid>
      <w:tr>
        <w:trPr>
          <w:trHeight w:val="323" w:hRule="exact"/>
        </w:trPr>
        <w:tc>
          <w:tcPr>
            <w:tcW w:w="1939" w:type="dxa"/>
            <w:vMerge w:val="restart"/>
            <w:tcBorders>
              <w:top w:val="single" w:sz="4" w:space="0" w:color="000000"/>
              <w:left w:val="single" w:sz="4" w:space="0" w:color="000000"/>
              <w:right w:val="single" w:sz="4" w:space="0" w:color="000000"/>
            </w:tcBorders>
            <w:shd w:val="clear" w:color="auto" w:fill="E0E0E0"/>
          </w:tcPr>
          <w:p>
            <w:pPr/>
          </w:p>
        </w:tc>
        <w:tc>
          <w:tcPr>
            <w:tcW w:w="2332" w:type="dxa"/>
            <w:gridSpan w:val="2"/>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left="710"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987" w:type="dxa"/>
            <w:gridSpan w:val="5"/>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left="1588"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2152" w:type="dxa"/>
            <w:gridSpan w:val="2"/>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left="620"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634" w:hRule="exact"/>
        </w:trPr>
        <w:tc>
          <w:tcPr>
            <w:tcW w:w="1939" w:type="dxa"/>
            <w:vMerge/>
            <w:tcBorders>
              <w:left w:val="single" w:sz="4" w:space="0" w:color="000000"/>
              <w:bottom w:val="single" w:sz="4" w:space="0" w:color="000000"/>
              <w:right w:val="single" w:sz="4" w:space="0" w:color="000000"/>
            </w:tcBorders>
            <w:shd w:val="clear" w:color="auto" w:fill="E0E0E0"/>
          </w:tcPr>
          <w:p>
            <w:pPr/>
          </w:p>
        </w:tc>
        <w:tc>
          <w:tcPr>
            <w:tcW w:w="138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数量</w:t>
            </w:r>
          </w:p>
        </w:tc>
        <w:tc>
          <w:tcPr>
            <w:tcW w:w="94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68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16" w:lineRule="auto" w:before="10"/>
              <w:ind w:left="157" w:right="155"/>
              <w:jc w:val="left"/>
              <w:rPr>
                <w:rFonts w:ascii="宋体" w:hAnsi="宋体" w:cs="宋体" w:eastAsia="宋体" w:hint="default"/>
                <w:sz w:val="18"/>
                <w:szCs w:val="18"/>
              </w:rPr>
            </w:pPr>
            <w:r>
              <w:rPr>
                <w:rFonts w:ascii="宋体" w:hAnsi="宋体" w:cs="宋体" w:eastAsia="宋体" w:hint="default"/>
                <w:sz w:val="18"/>
                <w:szCs w:val="18"/>
              </w:rPr>
              <w:t>发行 新股</w:t>
            </w:r>
          </w:p>
        </w:tc>
        <w:tc>
          <w:tcPr>
            <w:tcW w:w="685"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57"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120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46"/>
              <w:jc w:val="right"/>
              <w:rPr>
                <w:rFonts w:ascii="宋体" w:hAnsi="宋体" w:cs="宋体" w:eastAsia="宋体" w:hint="default"/>
                <w:sz w:val="18"/>
                <w:szCs w:val="18"/>
              </w:rPr>
            </w:pPr>
            <w:r>
              <w:rPr>
                <w:rFonts w:ascii="宋体" w:hAnsi="宋体" w:cs="宋体" w:eastAsia="宋体" w:hint="default"/>
                <w:sz w:val="18"/>
                <w:szCs w:val="18"/>
              </w:rPr>
              <w:t>公积金转股</w:t>
            </w:r>
          </w:p>
        </w:tc>
        <w:tc>
          <w:tcPr>
            <w:tcW w:w="120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46"/>
              <w:jc w:val="right"/>
              <w:rPr>
                <w:rFonts w:ascii="宋体" w:hAnsi="宋体" w:cs="宋体" w:eastAsia="宋体" w:hint="default"/>
                <w:sz w:val="18"/>
                <w:szCs w:val="18"/>
              </w:rPr>
            </w:pPr>
            <w:r>
              <w:rPr>
                <w:rFonts w:ascii="宋体" w:hAnsi="宋体" w:cs="宋体" w:eastAsia="宋体" w:hint="default"/>
                <w:sz w:val="18"/>
                <w:szCs w:val="18"/>
              </w:rPr>
              <w:t>其他（注）</w:t>
            </w:r>
          </w:p>
        </w:tc>
        <w:tc>
          <w:tcPr>
            <w:tcW w:w="120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小计</w:t>
            </w:r>
          </w:p>
        </w:tc>
        <w:tc>
          <w:tcPr>
            <w:tcW w:w="120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数量</w:t>
            </w:r>
          </w:p>
        </w:tc>
        <w:tc>
          <w:tcPr>
            <w:tcW w:w="94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460" w:hRule="exact"/>
        </w:trPr>
        <w:tc>
          <w:tcPr>
            <w:tcW w:w="1939"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79"/>
              <w:ind w:left="103"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宋体" w:hAnsi="宋体" w:cs="宋体" w:eastAsia="宋体" w:hint="default"/>
                <w:sz w:val="18"/>
                <w:szCs w:val="18"/>
              </w:rPr>
            </w:pPr>
            <w:r>
              <w:rPr>
                <w:rFonts w:ascii="宋体"/>
                <w:sz w:val="18"/>
              </w:rPr>
              <w:t>101,120,000</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2"/>
              <w:jc w:val="right"/>
              <w:rPr>
                <w:rFonts w:ascii="宋体" w:hAnsi="宋体" w:cs="宋体" w:eastAsia="宋体" w:hint="default"/>
                <w:sz w:val="18"/>
                <w:szCs w:val="18"/>
              </w:rPr>
            </w:pPr>
            <w:r>
              <w:rPr>
                <w:rFonts w:ascii="宋体"/>
                <w:sz w:val="18"/>
              </w:rPr>
              <w:t>80%</w:t>
            </w:r>
          </w:p>
        </w:tc>
        <w:tc>
          <w:tcPr>
            <w:tcW w:w="684"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宋体" w:hAnsi="宋体" w:cs="宋体" w:eastAsia="宋体" w:hint="default"/>
                <w:sz w:val="18"/>
                <w:szCs w:val="18"/>
              </w:rPr>
            </w:pPr>
            <w:r>
              <w:rPr>
                <w:rFonts w:ascii="宋体"/>
                <w:sz w:val="18"/>
              </w:rPr>
              <w:t>142,200,000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宋体" w:hAnsi="宋体" w:cs="宋体" w:eastAsia="宋体" w:hint="default"/>
                <w:sz w:val="18"/>
                <w:szCs w:val="18"/>
              </w:rPr>
            </w:pPr>
            <w:r>
              <w:rPr>
                <w:rFonts w:ascii="宋体"/>
                <w:sz w:val="18"/>
              </w:rPr>
              <w:t>-13,386,475</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宋体" w:hAnsi="宋体" w:cs="宋体" w:eastAsia="宋体" w:hint="default"/>
                <w:sz w:val="18"/>
                <w:szCs w:val="18"/>
              </w:rPr>
            </w:pPr>
            <w:r>
              <w:rPr>
                <w:rFonts w:ascii="宋体"/>
                <w:sz w:val="18"/>
              </w:rPr>
              <w:t>128,813,525</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宋体" w:hAnsi="宋体" w:cs="宋体" w:eastAsia="宋体" w:hint="default"/>
                <w:sz w:val="18"/>
                <w:szCs w:val="18"/>
              </w:rPr>
            </w:pPr>
            <w:r>
              <w:rPr>
                <w:rFonts w:ascii="宋体"/>
                <w:sz w:val="18"/>
              </w:rPr>
              <w:t>229,933,525</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3"/>
              <w:jc w:val="right"/>
              <w:rPr>
                <w:rFonts w:ascii="宋体" w:hAnsi="宋体" w:cs="宋体" w:eastAsia="宋体" w:hint="default"/>
                <w:sz w:val="18"/>
                <w:szCs w:val="18"/>
              </w:rPr>
            </w:pPr>
            <w:r>
              <w:rPr>
                <w:rFonts w:ascii="宋体"/>
                <w:sz w:val="18"/>
              </w:rPr>
              <w:t>72.76%</w:t>
            </w:r>
          </w:p>
        </w:tc>
      </w:tr>
      <w:tr>
        <w:trPr>
          <w:trHeight w:val="323" w:hRule="exact"/>
        </w:trPr>
        <w:tc>
          <w:tcPr>
            <w:tcW w:w="1939"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1、国家持股</w:t>
            </w:r>
          </w:p>
        </w:tc>
        <w:tc>
          <w:tcPr>
            <w:tcW w:w="1386"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r>
      <w:tr>
        <w:trPr>
          <w:trHeight w:val="460" w:hRule="exact"/>
        </w:trPr>
        <w:tc>
          <w:tcPr>
            <w:tcW w:w="1939"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79"/>
              <w:ind w:left="103" w:right="0"/>
              <w:jc w:val="left"/>
              <w:rPr>
                <w:rFonts w:ascii="宋体" w:hAnsi="宋体" w:cs="宋体" w:eastAsia="宋体" w:hint="default"/>
                <w:sz w:val="18"/>
                <w:szCs w:val="18"/>
              </w:rPr>
            </w:pPr>
            <w:r>
              <w:rPr>
                <w:rFonts w:ascii="宋体" w:hAnsi="宋体" w:cs="宋体" w:eastAsia="宋体" w:hint="default"/>
                <w:sz w:val="18"/>
                <w:szCs w:val="18"/>
              </w:rPr>
              <w:t>2、国有法人持股</w:t>
            </w:r>
          </w:p>
        </w:tc>
        <w:tc>
          <w:tcPr>
            <w:tcW w:w="1386"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r>
      <w:tr>
        <w:trPr>
          <w:trHeight w:val="460" w:hRule="exact"/>
        </w:trPr>
        <w:tc>
          <w:tcPr>
            <w:tcW w:w="1939"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79"/>
              <w:ind w:left="103" w:right="0"/>
              <w:jc w:val="left"/>
              <w:rPr>
                <w:rFonts w:ascii="宋体" w:hAnsi="宋体" w:cs="宋体" w:eastAsia="宋体" w:hint="default"/>
                <w:sz w:val="18"/>
                <w:szCs w:val="18"/>
              </w:rPr>
            </w:pPr>
            <w:r>
              <w:rPr>
                <w:rFonts w:ascii="宋体" w:hAnsi="宋体" w:cs="宋体" w:eastAsia="宋体" w:hint="default"/>
                <w:sz w:val="18"/>
                <w:szCs w:val="18"/>
              </w:rPr>
              <w:t>3、其他内资持股</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宋体" w:hAnsi="宋体" w:cs="宋体" w:eastAsia="宋体" w:hint="default"/>
                <w:sz w:val="18"/>
                <w:szCs w:val="18"/>
              </w:rPr>
            </w:pPr>
            <w:r>
              <w:rPr>
                <w:rFonts w:ascii="宋体"/>
                <w:sz w:val="18"/>
              </w:rPr>
              <w:t>101,120,000</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2"/>
              <w:jc w:val="right"/>
              <w:rPr>
                <w:rFonts w:ascii="宋体" w:hAnsi="宋体" w:cs="宋体" w:eastAsia="宋体" w:hint="default"/>
                <w:sz w:val="18"/>
                <w:szCs w:val="18"/>
              </w:rPr>
            </w:pPr>
            <w:r>
              <w:rPr>
                <w:rFonts w:ascii="宋体"/>
                <w:sz w:val="18"/>
              </w:rPr>
              <w:t>80%</w:t>
            </w:r>
          </w:p>
        </w:tc>
        <w:tc>
          <w:tcPr>
            <w:tcW w:w="684"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宋体" w:hAnsi="宋体" w:cs="宋体" w:eastAsia="宋体" w:hint="default"/>
                <w:sz w:val="18"/>
                <w:szCs w:val="18"/>
              </w:rPr>
            </w:pPr>
            <w:r>
              <w:rPr>
                <w:rFonts w:ascii="宋体"/>
                <w:sz w:val="18"/>
              </w:rPr>
              <w:t>142,200,000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宋体" w:hAnsi="宋体" w:cs="宋体" w:eastAsia="宋体" w:hint="default"/>
                <w:sz w:val="18"/>
                <w:szCs w:val="18"/>
              </w:rPr>
            </w:pPr>
            <w:r>
              <w:rPr>
                <w:rFonts w:ascii="宋体"/>
                <w:sz w:val="18"/>
              </w:rPr>
              <w:t>-13,386,475</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宋体" w:hAnsi="宋体" w:cs="宋体" w:eastAsia="宋体" w:hint="default"/>
                <w:sz w:val="18"/>
                <w:szCs w:val="18"/>
              </w:rPr>
            </w:pPr>
            <w:r>
              <w:rPr>
                <w:rFonts w:ascii="宋体"/>
                <w:sz w:val="18"/>
              </w:rPr>
              <w:t>128,813,525</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宋体" w:hAnsi="宋体" w:cs="宋体" w:eastAsia="宋体" w:hint="default"/>
                <w:sz w:val="18"/>
                <w:szCs w:val="18"/>
              </w:rPr>
            </w:pPr>
            <w:r>
              <w:rPr>
                <w:rFonts w:ascii="宋体"/>
                <w:sz w:val="18"/>
              </w:rPr>
              <w:t>229,933,525</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3"/>
              <w:jc w:val="right"/>
              <w:rPr>
                <w:rFonts w:ascii="宋体" w:hAnsi="宋体" w:cs="宋体" w:eastAsia="宋体" w:hint="default"/>
                <w:sz w:val="18"/>
                <w:szCs w:val="18"/>
              </w:rPr>
            </w:pPr>
            <w:r>
              <w:rPr>
                <w:rFonts w:ascii="宋体"/>
                <w:sz w:val="18"/>
              </w:rPr>
              <w:t>72.76%</w:t>
            </w:r>
          </w:p>
        </w:tc>
      </w:tr>
      <w:tr>
        <w:trPr>
          <w:trHeight w:val="685" w:hRule="exact"/>
        </w:trPr>
        <w:tc>
          <w:tcPr>
            <w:tcW w:w="1939"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316" w:lineRule="auto" w:before="35"/>
              <w:ind w:left="103" w:right="114" w:firstLine="90"/>
              <w:jc w:val="left"/>
              <w:rPr>
                <w:rFonts w:ascii="宋体" w:hAnsi="宋体" w:cs="宋体" w:eastAsia="宋体" w:hint="default"/>
                <w:sz w:val="18"/>
                <w:szCs w:val="18"/>
              </w:rPr>
            </w:pPr>
            <w:r>
              <w:rPr>
                <w:rFonts w:ascii="宋体" w:hAnsi="宋体" w:cs="宋体" w:eastAsia="宋体" w:hint="default"/>
                <w:sz w:val="18"/>
                <w:szCs w:val="18"/>
              </w:rPr>
              <w:t>其中：境内非国有法 人持股</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18"/>
                <w:szCs w:val="18"/>
              </w:rPr>
            </w:pPr>
            <w:r>
              <w:rPr>
                <w:rFonts w:ascii="宋体"/>
                <w:sz w:val="18"/>
              </w:rPr>
              <w:t>11,120,000</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2"/>
              <w:jc w:val="right"/>
              <w:rPr>
                <w:rFonts w:ascii="宋体" w:hAnsi="宋体" w:cs="宋体" w:eastAsia="宋体" w:hint="default"/>
                <w:sz w:val="18"/>
                <w:szCs w:val="18"/>
              </w:rPr>
            </w:pPr>
            <w:r>
              <w:rPr>
                <w:rFonts w:ascii="宋体"/>
                <w:sz w:val="18"/>
              </w:rPr>
              <w:t>8.80%</w:t>
            </w:r>
          </w:p>
        </w:tc>
        <w:tc>
          <w:tcPr>
            <w:tcW w:w="684"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18"/>
                <w:szCs w:val="18"/>
              </w:rPr>
            </w:pPr>
            <w:r>
              <w:rPr>
                <w:rFonts w:ascii="宋体"/>
                <w:sz w:val="18"/>
              </w:rPr>
              <w:t>7,200,000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18"/>
                <w:szCs w:val="18"/>
              </w:rPr>
            </w:pPr>
            <w:r>
              <w:rPr>
                <w:rFonts w:ascii="宋体"/>
                <w:sz w:val="18"/>
              </w:rPr>
              <w:t>-6,320,000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18"/>
                <w:szCs w:val="18"/>
              </w:rPr>
            </w:pPr>
            <w:r>
              <w:rPr>
                <w:rFonts w:ascii="宋体"/>
                <w:sz w:val="18"/>
              </w:rPr>
              <w:t>880,000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89" w:right="0"/>
              <w:jc w:val="center"/>
              <w:rPr>
                <w:rFonts w:ascii="宋体" w:hAnsi="宋体" w:cs="宋体" w:eastAsia="宋体" w:hint="default"/>
                <w:sz w:val="18"/>
                <w:szCs w:val="18"/>
              </w:rPr>
            </w:pPr>
            <w:r>
              <w:rPr>
                <w:rFonts w:ascii="宋体"/>
                <w:sz w:val="18"/>
              </w:rPr>
              <w:t>12,000,000</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3"/>
              <w:jc w:val="right"/>
              <w:rPr>
                <w:rFonts w:ascii="宋体" w:hAnsi="宋体" w:cs="宋体" w:eastAsia="宋体" w:hint="default"/>
                <w:sz w:val="18"/>
                <w:szCs w:val="18"/>
              </w:rPr>
            </w:pPr>
            <w:r>
              <w:rPr>
                <w:rFonts w:ascii="宋体"/>
                <w:sz w:val="18"/>
              </w:rPr>
              <w:t>3.80%</w:t>
            </w:r>
          </w:p>
        </w:tc>
      </w:tr>
      <w:tr>
        <w:trPr>
          <w:trHeight w:val="460" w:hRule="exact"/>
        </w:trPr>
        <w:tc>
          <w:tcPr>
            <w:tcW w:w="1939"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79"/>
              <w:ind w:right="114"/>
              <w:jc w:val="right"/>
              <w:rPr>
                <w:rFonts w:ascii="宋体" w:hAnsi="宋体" w:cs="宋体" w:eastAsia="宋体" w:hint="default"/>
                <w:sz w:val="18"/>
                <w:szCs w:val="18"/>
              </w:rPr>
            </w:pPr>
            <w:r>
              <w:rPr>
                <w:rFonts w:ascii="宋体" w:hAnsi="宋体" w:cs="宋体" w:eastAsia="宋体" w:hint="default"/>
                <w:sz w:val="18"/>
                <w:szCs w:val="18"/>
              </w:rPr>
              <w:t>境内自然人持股</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宋体" w:hAnsi="宋体" w:cs="宋体" w:eastAsia="宋体" w:hint="default"/>
                <w:sz w:val="18"/>
                <w:szCs w:val="18"/>
              </w:rPr>
            </w:pPr>
            <w:r>
              <w:rPr>
                <w:rFonts w:ascii="宋体"/>
                <w:sz w:val="18"/>
              </w:rPr>
              <w:t>90,000,000</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2"/>
              <w:jc w:val="right"/>
              <w:rPr>
                <w:rFonts w:ascii="宋体" w:hAnsi="宋体" w:cs="宋体" w:eastAsia="宋体" w:hint="default"/>
                <w:sz w:val="18"/>
                <w:szCs w:val="18"/>
              </w:rPr>
            </w:pPr>
            <w:r>
              <w:rPr>
                <w:rFonts w:ascii="宋体"/>
                <w:sz w:val="18"/>
              </w:rPr>
              <w:t>71.20%</w:t>
            </w:r>
          </w:p>
        </w:tc>
        <w:tc>
          <w:tcPr>
            <w:tcW w:w="684"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宋体" w:hAnsi="宋体" w:cs="宋体" w:eastAsia="宋体" w:hint="default"/>
                <w:sz w:val="18"/>
                <w:szCs w:val="18"/>
              </w:rPr>
            </w:pPr>
            <w:r>
              <w:rPr>
                <w:rFonts w:ascii="宋体"/>
                <w:sz w:val="18"/>
              </w:rPr>
              <w:t>135,000,000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宋体" w:hAnsi="宋体" w:cs="宋体" w:eastAsia="宋体" w:hint="default"/>
                <w:sz w:val="18"/>
                <w:szCs w:val="18"/>
              </w:rPr>
            </w:pPr>
            <w:r>
              <w:rPr>
                <w:rFonts w:ascii="宋体"/>
                <w:sz w:val="18"/>
              </w:rPr>
              <w:t>-7,066,475</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宋体" w:hAnsi="宋体" w:cs="宋体" w:eastAsia="宋体" w:hint="default"/>
                <w:sz w:val="18"/>
                <w:szCs w:val="18"/>
              </w:rPr>
            </w:pPr>
            <w:r>
              <w:rPr>
                <w:rFonts w:ascii="宋体"/>
                <w:sz w:val="18"/>
              </w:rPr>
              <w:t>127,933,525</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宋体" w:hAnsi="宋体" w:cs="宋体" w:eastAsia="宋体" w:hint="default"/>
                <w:sz w:val="18"/>
                <w:szCs w:val="18"/>
              </w:rPr>
            </w:pPr>
            <w:r>
              <w:rPr>
                <w:rFonts w:ascii="宋体"/>
                <w:sz w:val="18"/>
              </w:rPr>
              <w:t>217,933,525</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3"/>
              <w:jc w:val="right"/>
              <w:rPr>
                <w:rFonts w:ascii="宋体" w:hAnsi="宋体" w:cs="宋体" w:eastAsia="宋体" w:hint="default"/>
                <w:sz w:val="18"/>
                <w:szCs w:val="18"/>
              </w:rPr>
            </w:pPr>
            <w:r>
              <w:rPr>
                <w:rFonts w:ascii="宋体"/>
                <w:sz w:val="18"/>
              </w:rPr>
              <w:t>68.96%</w:t>
            </w:r>
          </w:p>
        </w:tc>
      </w:tr>
      <w:tr>
        <w:trPr>
          <w:trHeight w:val="323" w:hRule="exact"/>
        </w:trPr>
        <w:tc>
          <w:tcPr>
            <w:tcW w:w="1939"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4、外资持股</w:t>
            </w:r>
          </w:p>
        </w:tc>
        <w:tc>
          <w:tcPr>
            <w:tcW w:w="1386"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r>
      <w:tr>
        <w:trPr>
          <w:trHeight w:val="460" w:hRule="exact"/>
        </w:trPr>
        <w:tc>
          <w:tcPr>
            <w:tcW w:w="1939"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79"/>
              <w:ind w:right="114"/>
              <w:jc w:val="righ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1386"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r>
      <w:tr>
        <w:trPr>
          <w:trHeight w:val="460" w:hRule="exact"/>
        </w:trPr>
        <w:tc>
          <w:tcPr>
            <w:tcW w:w="1939"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79"/>
              <w:ind w:right="114"/>
              <w:jc w:val="right"/>
              <w:rPr>
                <w:rFonts w:ascii="宋体" w:hAnsi="宋体" w:cs="宋体" w:eastAsia="宋体" w:hint="default"/>
                <w:sz w:val="18"/>
                <w:szCs w:val="18"/>
              </w:rPr>
            </w:pPr>
            <w:r>
              <w:rPr>
                <w:rFonts w:ascii="宋体" w:hAnsi="宋体" w:cs="宋体" w:eastAsia="宋体" w:hint="default"/>
                <w:sz w:val="18"/>
                <w:szCs w:val="18"/>
              </w:rPr>
              <w:t>境外自然人持股</w:t>
            </w:r>
          </w:p>
        </w:tc>
        <w:tc>
          <w:tcPr>
            <w:tcW w:w="1386"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939"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5、高管股份</w:t>
            </w:r>
          </w:p>
        </w:tc>
        <w:tc>
          <w:tcPr>
            <w:tcW w:w="1386"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r>
      <w:tr>
        <w:trPr>
          <w:trHeight w:val="460" w:hRule="exact"/>
        </w:trPr>
        <w:tc>
          <w:tcPr>
            <w:tcW w:w="1939"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79"/>
              <w:ind w:left="103"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宋体" w:hAnsi="宋体" w:cs="宋体" w:eastAsia="宋体" w:hint="default"/>
                <w:sz w:val="18"/>
                <w:szCs w:val="18"/>
              </w:rPr>
            </w:pPr>
            <w:r>
              <w:rPr>
                <w:rFonts w:ascii="宋体"/>
                <w:sz w:val="18"/>
              </w:rPr>
              <w:t>25,280,000</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2"/>
              <w:jc w:val="right"/>
              <w:rPr>
                <w:rFonts w:ascii="宋体" w:hAnsi="宋体" w:cs="宋体" w:eastAsia="宋体" w:hint="default"/>
                <w:sz w:val="18"/>
                <w:szCs w:val="18"/>
              </w:rPr>
            </w:pPr>
            <w:r>
              <w:rPr>
                <w:rFonts w:ascii="宋体"/>
                <w:sz w:val="18"/>
              </w:rPr>
              <w:t>20.00%</w:t>
            </w:r>
          </w:p>
        </w:tc>
        <w:tc>
          <w:tcPr>
            <w:tcW w:w="684"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宋体" w:hAnsi="宋体" w:cs="宋体" w:eastAsia="宋体" w:hint="default"/>
                <w:sz w:val="18"/>
                <w:szCs w:val="18"/>
              </w:rPr>
            </w:pPr>
            <w:r>
              <w:rPr>
                <w:rFonts w:ascii="宋体"/>
                <w:sz w:val="18"/>
              </w:rPr>
              <w:t>37,920,000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宋体" w:hAnsi="宋体" w:cs="宋体" w:eastAsia="宋体" w:hint="default"/>
                <w:sz w:val="18"/>
                <w:szCs w:val="18"/>
              </w:rPr>
            </w:pPr>
            <w:r>
              <w:rPr>
                <w:rFonts w:ascii="宋体"/>
                <w:sz w:val="18"/>
              </w:rPr>
              <w:t>22,866,475</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宋体" w:hAnsi="宋体" w:cs="宋体" w:eastAsia="宋体" w:hint="default"/>
                <w:sz w:val="18"/>
                <w:szCs w:val="18"/>
              </w:rPr>
            </w:pPr>
            <w:r>
              <w:rPr>
                <w:rFonts w:ascii="宋体"/>
                <w:sz w:val="18"/>
              </w:rPr>
              <w:t>60,786,475</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89" w:right="0"/>
              <w:jc w:val="center"/>
              <w:rPr>
                <w:rFonts w:ascii="宋体" w:hAnsi="宋体" w:cs="宋体" w:eastAsia="宋体" w:hint="default"/>
                <w:sz w:val="18"/>
                <w:szCs w:val="18"/>
              </w:rPr>
            </w:pPr>
            <w:r>
              <w:rPr>
                <w:rFonts w:ascii="宋体"/>
                <w:sz w:val="18"/>
              </w:rPr>
              <w:t>86,066,475</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3"/>
              <w:jc w:val="right"/>
              <w:rPr>
                <w:rFonts w:ascii="宋体" w:hAnsi="宋体" w:cs="宋体" w:eastAsia="宋体" w:hint="default"/>
                <w:sz w:val="18"/>
                <w:szCs w:val="18"/>
              </w:rPr>
            </w:pPr>
            <w:r>
              <w:rPr>
                <w:rFonts w:ascii="宋体"/>
                <w:sz w:val="18"/>
              </w:rPr>
              <w:t>27.24%</w:t>
            </w:r>
          </w:p>
        </w:tc>
      </w:tr>
      <w:tr>
        <w:trPr>
          <w:trHeight w:val="460" w:hRule="exact"/>
        </w:trPr>
        <w:tc>
          <w:tcPr>
            <w:tcW w:w="1939"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79"/>
              <w:ind w:left="103" w:right="0"/>
              <w:jc w:val="left"/>
              <w:rPr>
                <w:rFonts w:ascii="宋体" w:hAnsi="宋体" w:cs="宋体" w:eastAsia="宋体" w:hint="default"/>
                <w:sz w:val="18"/>
                <w:szCs w:val="18"/>
              </w:rPr>
            </w:pPr>
            <w:r>
              <w:rPr>
                <w:rFonts w:ascii="宋体" w:hAnsi="宋体" w:cs="宋体" w:eastAsia="宋体" w:hint="default"/>
                <w:sz w:val="18"/>
                <w:szCs w:val="18"/>
              </w:rPr>
              <w:t>1、人民币普通股</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宋体" w:hAnsi="宋体" w:cs="宋体" w:eastAsia="宋体" w:hint="default"/>
                <w:sz w:val="18"/>
                <w:szCs w:val="18"/>
              </w:rPr>
            </w:pPr>
            <w:r>
              <w:rPr>
                <w:rFonts w:ascii="宋体"/>
                <w:sz w:val="18"/>
              </w:rPr>
              <w:t>25,280,000</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2"/>
              <w:jc w:val="right"/>
              <w:rPr>
                <w:rFonts w:ascii="宋体" w:hAnsi="宋体" w:cs="宋体" w:eastAsia="宋体" w:hint="default"/>
                <w:sz w:val="18"/>
                <w:szCs w:val="18"/>
              </w:rPr>
            </w:pPr>
            <w:r>
              <w:rPr>
                <w:rFonts w:ascii="宋体"/>
                <w:sz w:val="18"/>
              </w:rPr>
              <w:t>20.00%</w:t>
            </w:r>
          </w:p>
        </w:tc>
        <w:tc>
          <w:tcPr>
            <w:tcW w:w="684"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宋体" w:hAnsi="宋体" w:cs="宋体" w:eastAsia="宋体" w:hint="default"/>
                <w:sz w:val="18"/>
                <w:szCs w:val="18"/>
              </w:rPr>
            </w:pPr>
            <w:r>
              <w:rPr>
                <w:rFonts w:ascii="宋体"/>
                <w:sz w:val="18"/>
              </w:rPr>
              <w:t>37,920,000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宋体" w:hAnsi="宋体" w:cs="宋体" w:eastAsia="宋体" w:hint="default"/>
                <w:sz w:val="18"/>
                <w:szCs w:val="18"/>
              </w:rPr>
            </w:pPr>
            <w:r>
              <w:rPr>
                <w:rFonts w:ascii="宋体"/>
                <w:sz w:val="18"/>
              </w:rPr>
              <w:t>22,866,475</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宋体" w:hAnsi="宋体" w:cs="宋体" w:eastAsia="宋体" w:hint="default"/>
                <w:sz w:val="18"/>
                <w:szCs w:val="18"/>
              </w:rPr>
            </w:pPr>
            <w:r>
              <w:rPr>
                <w:rFonts w:ascii="宋体"/>
                <w:sz w:val="18"/>
              </w:rPr>
              <w:t>60,786,475</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89" w:right="0"/>
              <w:jc w:val="center"/>
              <w:rPr>
                <w:rFonts w:ascii="宋体" w:hAnsi="宋体" w:cs="宋体" w:eastAsia="宋体" w:hint="default"/>
                <w:sz w:val="18"/>
                <w:szCs w:val="18"/>
              </w:rPr>
            </w:pPr>
            <w:r>
              <w:rPr>
                <w:rFonts w:ascii="宋体"/>
                <w:sz w:val="18"/>
              </w:rPr>
              <w:t>86,066,475</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3"/>
              <w:jc w:val="right"/>
              <w:rPr>
                <w:rFonts w:ascii="宋体" w:hAnsi="宋体" w:cs="宋体" w:eastAsia="宋体" w:hint="default"/>
                <w:sz w:val="18"/>
                <w:szCs w:val="18"/>
              </w:rPr>
            </w:pPr>
            <w:r>
              <w:rPr>
                <w:rFonts w:ascii="宋体"/>
                <w:sz w:val="18"/>
              </w:rPr>
              <w:t>27.24%</w:t>
            </w:r>
          </w:p>
        </w:tc>
      </w:tr>
      <w:tr>
        <w:trPr>
          <w:trHeight w:val="461" w:hRule="exact"/>
        </w:trPr>
        <w:tc>
          <w:tcPr>
            <w:tcW w:w="1939"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79"/>
              <w:ind w:left="103" w:right="0"/>
              <w:jc w:val="left"/>
              <w:rPr>
                <w:rFonts w:ascii="宋体" w:hAnsi="宋体" w:cs="宋体" w:eastAsia="宋体" w:hint="default"/>
                <w:sz w:val="18"/>
                <w:szCs w:val="18"/>
              </w:rPr>
            </w:pPr>
            <w:r>
              <w:rPr>
                <w:rFonts w:ascii="宋体" w:hAnsi="宋体" w:cs="宋体" w:eastAsia="宋体" w:hint="default"/>
                <w:sz w:val="18"/>
                <w:szCs w:val="18"/>
              </w:rPr>
              <w:t>2、境内上市的外资股</w:t>
            </w:r>
          </w:p>
        </w:tc>
        <w:tc>
          <w:tcPr>
            <w:tcW w:w="1386"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r>
      <w:tr>
        <w:trPr>
          <w:trHeight w:val="460" w:hRule="exact"/>
        </w:trPr>
        <w:tc>
          <w:tcPr>
            <w:tcW w:w="1939"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79"/>
              <w:ind w:left="103" w:right="0"/>
              <w:jc w:val="left"/>
              <w:rPr>
                <w:rFonts w:ascii="宋体" w:hAnsi="宋体" w:cs="宋体" w:eastAsia="宋体" w:hint="default"/>
                <w:sz w:val="18"/>
                <w:szCs w:val="18"/>
              </w:rPr>
            </w:pPr>
            <w:r>
              <w:rPr>
                <w:rFonts w:ascii="宋体" w:hAnsi="宋体" w:cs="宋体" w:eastAsia="宋体" w:hint="default"/>
                <w:sz w:val="18"/>
                <w:szCs w:val="18"/>
              </w:rPr>
              <w:t>3、境外上市的外资股</w:t>
            </w:r>
          </w:p>
        </w:tc>
        <w:tc>
          <w:tcPr>
            <w:tcW w:w="1386"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939"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386"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r>
      <w:tr>
        <w:trPr>
          <w:trHeight w:val="461" w:hRule="exact"/>
        </w:trPr>
        <w:tc>
          <w:tcPr>
            <w:tcW w:w="1939"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79"/>
              <w:ind w:left="103"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宋体" w:hAnsi="宋体" w:cs="宋体" w:eastAsia="宋体" w:hint="default"/>
                <w:sz w:val="18"/>
                <w:szCs w:val="18"/>
              </w:rPr>
            </w:pPr>
            <w:r>
              <w:rPr>
                <w:rFonts w:ascii="宋体"/>
                <w:sz w:val="18"/>
              </w:rPr>
              <w:t>126,400,000</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2"/>
              <w:jc w:val="right"/>
              <w:rPr>
                <w:rFonts w:ascii="宋体" w:hAnsi="宋体" w:cs="宋体" w:eastAsia="宋体" w:hint="default"/>
                <w:sz w:val="18"/>
                <w:szCs w:val="18"/>
              </w:rPr>
            </w:pPr>
            <w:r>
              <w:rPr>
                <w:rFonts w:ascii="宋体"/>
                <w:sz w:val="18"/>
              </w:rPr>
              <w:t>100.00%</w:t>
            </w:r>
          </w:p>
        </w:tc>
        <w:tc>
          <w:tcPr>
            <w:tcW w:w="684"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宋体" w:hAnsi="宋体" w:cs="宋体" w:eastAsia="宋体" w:hint="default"/>
                <w:sz w:val="18"/>
                <w:szCs w:val="18"/>
              </w:rPr>
            </w:pPr>
            <w:r>
              <w:rPr>
                <w:rFonts w:ascii="宋体"/>
                <w:sz w:val="18"/>
              </w:rPr>
              <w:t>180,120,000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宋体" w:hAnsi="宋体" w:cs="宋体" w:eastAsia="宋体" w:hint="default"/>
                <w:sz w:val="18"/>
                <w:szCs w:val="18"/>
              </w:rPr>
            </w:pPr>
            <w:r>
              <w:rPr>
                <w:rFonts w:ascii="宋体"/>
                <w:sz w:val="18"/>
              </w:rPr>
              <w:t>9,480,000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宋体" w:hAnsi="宋体" w:cs="宋体" w:eastAsia="宋体" w:hint="default"/>
                <w:sz w:val="18"/>
                <w:szCs w:val="18"/>
              </w:rPr>
            </w:pPr>
            <w:r>
              <w:rPr>
                <w:rFonts w:ascii="宋体"/>
                <w:sz w:val="18"/>
              </w:rPr>
              <w:t>189,600,000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宋体" w:hAnsi="宋体" w:cs="宋体" w:eastAsia="宋体" w:hint="default"/>
                <w:sz w:val="18"/>
                <w:szCs w:val="18"/>
              </w:rPr>
            </w:pPr>
            <w:r>
              <w:rPr>
                <w:rFonts w:ascii="宋体"/>
                <w:sz w:val="18"/>
              </w:rPr>
              <w:t>316,000,000</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3"/>
              <w:jc w:val="right"/>
              <w:rPr>
                <w:rFonts w:ascii="宋体" w:hAnsi="宋体" w:cs="宋体" w:eastAsia="宋体" w:hint="default"/>
                <w:sz w:val="18"/>
                <w:szCs w:val="18"/>
              </w:rPr>
            </w:pPr>
            <w:r>
              <w:rPr>
                <w:rFonts w:ascii="宋体"/>
                <w:sz w:val="18"/>
              </w:rPr>
              <w:t>100.00%</w:t>
            </w:r>
          </w:p>
        </w:tc>
      </w:tr>
    </w:tbl>
    <w:p>
      <w:pPr>
        <w:spacing w:line="240" w:lineRule="auto" w:before="1"/>
        <w:rPr>
          <w:rFonts w:ascii="宋体" w:hAnsi="宋体" w:cs="宋体" w:eastAsia="宋体" w:hint="default"/>
          <w:sz w:val="14"/>
          <w:szCs w:val="14"/>
        </w:rPr>
      </w:pPr>
    </w:p>
    <w:p>
      <w:pPr>
        <w:spacing w:line="432" w:lineRule="auto" w:before="35"/>
        <w:ind w:left="1657" w:right="94" w:hanging="1"/>
        <w:jc w:val="left"/>
        <w:rPr>
          <w:rFonts w:ascii="宋体" w:hAnsi="宋体" w:cs="宋体" w:eastAsia="宋体" w:hint="default"/>
          <w:sz w:val="18"/>
          <w:szCs w:val="18"/>
        </w:rPr>
      </w:pPr>
      <w:r>
        <w:rPr>
          <w:rFonts w:ascii="宋体" w:hAnsi="宋体" w:cs="宋体" w:eastAsia="宋体" w:hint="default"/>
          <w:spacing w:val="-1"/>
          <w:sz w:val="21"/>
          <w:szCs w:val="21"/>
        </w:rPr>
        <w:t>注：</w:t>
      </w:r>
      <w:r>
        <w:rPr>
          <w:rFonts w:ascii="宋体" w:hAnsi="宋体" w:cs="宋体" w:eastAsia="宋体" w:hint="default"/>
          <w:spacing w:val="-1"/>
          <w:sz w:val="18"/>
          <w:szCs w:val="18"/>
        </w:rPr>
        <w:t>“其他变动”为公司首次公开发行时网下配售股份及其所获转增股份、发行前股东锁定到期股份及其</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转增股份，已分别于</w:t>
      </w:r>
      <w:r>
        <w:rPr>
          <w:rFonts w:ascii="宋体" w:hAnsi="宋体" w:cs="宋体" w:eastAsia="宋体" w:hint="default"/>
          <w:spacing w:val="-46"/>
          <w:sz w:val="18"/>
          <w:szCs w:val="18"/>
        </w:rPr>
        <w:t> </w:t>
      </w: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日开始上市流通。。</w:t>
      </w:r>
    </w:p>
    <w:p>
      <w:pPr>
        <w:spacing w:line="240" w:lineRule="auto" w:before="10"/>
        <w:rPr>
          <w:rFonts w:ascii="宋体" w:hAnsi="宋体" w:cs="宋体" w:eastAsia="宋体" w:hint="default"/>
          <w:sz w:val="16"/>
          <w:szCs w:val="16"/>
        </w:rPr>
      </w:pPr>
    </w:p>
    <w:p>
      <w:pPr>
        <w:pStyle w:val="Heading2"/>
        <w:spacing w:line="240" w:lineRule="auto"/>
        <w:ind w:left="1657" w:right="94"/>
        <w:jc w:val="left"/>
        <w:rPr>
          <w:b w:val="0"/>
          <w:bCs w:val="0"/>
        </w:rPr>
      </w:pPr>
      <w:r>
        <w:rPr/>
        <w:t>（二）限售股份变动情况表（截止2010年12月31日）</w:t>
      </w:r>
      <w:r>
        <w:rPr>
          <w:b w:val="0"/>
          <w:bCs w:val="0"/>
        </w:rPr>
      </w:r>
    </w:p>
    <w:p>
      <w:pPr>
        <w:spacing w:line="240" w:lineRule="auto" w:before="9"/>
        <w:rPr>
          <w:rFonts w:ascii="宋体" w:hAnsi="宋体" w:cs="宋体" w:eastAsia="宋体" w:hint="default"/>
          <w:b/>
          <w:bCs/>
          <w:sz w:val="20"/>
          <w:szCs w:val="20"/>
        </w:rPr>
      </w:pPr>
    </w:p>
    <w:p>
      <w:pPr>
        <w:pStyle w:val="BodyText"/>
        <w:spacing w:line="240" w:lineRule="auto"/>
        <w:ind w:left="0" w:right="1672"/>
        <w:jc w:val="right"/>
      </w:pPr>
      <w:r>
        <w:rPr/>
        <w:t>单位：股</w:t>
      </w:r>
    </w:p>
    <w:p>
      <w:pPr>
        <w:spacing w:line="240" w:lineRule="auto" w:before="13"/>
        <w:rPr>
          <w:rFonts w:ascii="宋体" w:hAnsi="宋体" w:cs="宋体" w:eastAsia="宋体" w:hint="default"/>
          <w:sz w:val="3"/>
          <w:szCs w:val="3"/>
        </w:rPr>
      </w:pPr>
    </w:p>
    <w:tbl>
      <w:tblPr>
        <w:tblW w:w="0" w:type="auto"/>
        <w:jc w:val="left"/>
        <w:tblInd w:w="1063" w:type="dxa"/>
        <w:tblLayout w:type="fixed"/>
        <w:tblCellMar>
          <w:top w:w="0" w:type="dxa"/>
          <w:left w:w="0" w:type="dxa"/>
          <w:bottom w:w="0" w:type="dxa"/>
          <w:right w:w="0" w:type="dxa"/>
        </w:tblCellMar>
        <w:tblLook w:val="01E0"/>
      </w:tblPr>
      <w:tblGrid>
        <w:gridCol w:w="1288"/>
        <w:gridCol w:w="1428"/>
        <w:gridCol w:w="1116"/>
        <w:gridCol w:w="1320"/>
        <w:gridCol w:w="1259"/>
        <w:gridCol w:w="1412"/>
        <w:gridCol w:w="1668"/>
      </w:tblGrid>
      <w:tr>
        <w:trPr>
          <w:trHeight w:val="634" w:hRule="exact"/>
        </w:trPr>
        <w:tc>
          <w:tcPr>
            <w:tcW w:w="128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42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年初限售股数</w:t>
            </w:r>
          </w:p>
        </w:tc>
        <w:tc>
          <w:tcPr>
            <w:tcW w:w="111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16" w:lineRule="auto" w:before="10"/>
              <w:ind w:left="283" w:right="101" w:hanging="180"/>
              <w:jc w:val="left"/>
              <w:rPr>
                <w:rFonts w:ascii="宋体" w:hAnsi="宋体" w:cs="宋体" w:eastAsia="宋体" w:hint="default"/>
                <w:sz w:val="18"/>
                <w:szCs w:val="18"/>
              </w:rPr>
            </w:pPr>
            <w:r>
              <w:rPr>
                <w:rFonts w:ascii="宋体" w:hAnsi="宋体" w:cs="宋体" w:eastAsia="宋体" w:hint="default"/>
                <w:sz w:val="18"/>
                <w:szCs w:val="18"/>
              </w:rPr>
              <w:t>本期解除限 售股数</w:t>
            </w:r>
          </w:p>
        </w:tc>
        <w:tc>
          <w:tcPr>
            <w:tcW w:w="132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16" w:lineRule="auto" w:before="10"/>
              <w:ind w:left="205" w:right="113" w:hanging="90"/>
              <w:jc w:val="left"/>
              <w:rPr>
                <w:rFonts w:ascii="宋体" w:hAnsi="宋体" w:cs="宋体" w:eastAsia="宋体" w:hint="default"/>
                <w:sz w:val="18"/>
                <w:szCs w:val="18"/>
              </w:rPr>
            </w:pPr>
            <w:r>
              <w:rPr>
                <w:rFonts w:ascii="宋体" w:hAnsi="宋体" w:cs="宋体" w:eastAsia="宋体" w:hint="default"/>
                <w:sz w:val="18"/>
                <w:szCs w:val="18"/>
              </w:rPr>
              <w:t>本期增加限售 股数（注）</w:t>
            </w:r>
          </w:p>
        </w:tc>
        <w:tc>
          <w:tcPr>
            <w:tcW w:w="1259"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16" w:lineRule="auto" w:before="10"/>
              <w:ind w:left="443" w:right="263" w:hanging="180"/>
              <w:jc w:val="left"/>
              <w:rPr>
                <w:rFonts w:ascii="宋体" w:hAnsi="宋体" w:cs="宋体" w:eastAsia="宋体" w:hint="default"/>
                <w:sz w:val="18"/>
                <w:szCs w:val="18"/>
              </w:rPr>
            </w:pPr>
            <w:r>
              <w:rPr>
                <w:rFonts w:ascii="宋体" w:hAnsi="宋体" w:cs="宋体" w:eastAsia="宋体" w:hint="default"/>
                <w:sz w:val="18"/>
                <w:szCs w:val="18"/>
              </w:rPr>
              <w:t>期末限售 股数</w:t>
            </w:r>
          </w:p>
        </w:tc>
        <w:tc>
          <w:tcPr>
            <w:tcW w:w="141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限售原因</w:t>
            </w:r>
          </w:p>
        </w:tc>
        <w:tc>
          <w:tcPr>
            <w:tcW w:w="166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635"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王宁</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17,609,656</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26,414,484</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44,024,140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39"/>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322"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李力</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17,609,656</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26,414,484</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44,024,140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39"/>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2"/>
                <w:sz w:val="18"/>
                <w:szCs w:val="18"/>
              </w:rPr>
              <w:t> </w:t>
            </w:r>
            <w:r>
              <w:rPr>
                <w:rFonts w:ascii="宋体" w:hAnsi="宋体" w:cs="宋体" w:eastAsia="宋体" w:hint="default"/>
                <w:sz w:val="18"/>
                <w:szCs w:val="18"/>
              </w:rPr>
              <w:t>2009</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10</w:t>
            </w:r>
            <w:r>
              <w:rPr>
                <w:rFonts w:ascii="宋体" w:hAnsi="宋体" w:cs="宋体" w:eastAsia="宋体" w:hint="default"/>
                <w:spacing w:val="-52"/>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宋体" w:hAnsi="宋体" w:cs="宋体" w:eastAsia="宋体" w:hint="default"/>
                <w:sz w:val="18"/>
                <w:szCs w:val="18"/>
              </w:rPr>
              <w:t>30</w:t>
            </w:r>
          </w:p>
        </w:tc>
      </w:tr>
    </w:tbl>
    <w:p>
      <w:pPr>
        <w:spacing w:after="0" w:line="240" w:lineRule="auto"/>
        <w:jc w:val="center"/>
        <w:rPr>
          <w:rFonts w:ascii="宋体" w:hAnsi="宋体" w:cs="宋体" w:eastAsia="宋体" w:hint="default"/>
          <w:sz w:val="18"/>
          <w:szCs w:val="18"/>
        </w:rPr>
        <w:sectPr>
          <w:pgSz w:w="11910" w:h="16840"/>
          <w:pgMar w:header="851" w:footer="982" w:top="1300" w:bottom="1180" w:left="140" w:right="120"/>
        </w:sectPr>
      </w:pPr>
    </w:p>
    <w:tbl>
      <w:tblPr>
        <w:tblW w:w="0" w:type="auto"/>
        <w:jc w:val="left"/>
        <w:tblInd w:w="103" w:type="dxa"/>
        <w:tblLayout w:type="fixed"/>
        <w:tblCellMar>
          <w:top w:w="0" w:type="dxa"/>
          <w:left w:w="0" w:type="dxa"/>
          <w:bottom w:w="0" w:type="dxa"/>
          <w:right w:w="0" w:type="dxa"/>
        </w:tblCellMar>
        <w:tblLook w:val="01E0"/>
      </w:tblPr>
      <w:tblGrid>
        <w:gridCol w:w="559"/>
        <w:gridCol w:w="728"/>
        <w:gridCol w:w="1428"/>
        <w:gridCol w:w="1116"/>
        <w:gridCol w:w="1320"/>
        <w:gridCol w:w="1259"/>
        <w:gridCol w:w="1412"/>
        <w:gridCol w:w="1668"/>
      </w:tblGrid>
      <w:tr>
        <w:trPr>
          <w:trHeight w:val="324" w:hRule="exact"/>
        </w:trPr>
        <w:tc>
          <w:tcPr>
            <w:tcW w:w="559" w:type="dxa"/>
            <w:tcBorders>
              <w:top w:val="nil" w:sz="6" w:space="0" w:color="auto"/>
              <w:left w:val="single" w:sz="4" w:space="0" w:color="000000"/>
              <w:bottom w:val="single" w:sz="4" w:space="0" w:color="000000"/>
              <w:right w:val="nil" w:sz="6" w:space="0" w:color="auto"/>
            </w:tcBorders>
          </w:tcPr>
          <w:p>
            <w:pPr/>
          </w:p>
        </w:tc>
        <w:tc>
          <w:tcPr>
            <w:tcW w:w="728" w:type="dxa"/>
            <w:tcBorders>
              <w:top w:val="single" w:sz="6" w:space="0" w:color="000000"/>
              <w:left w:val="nil" w:sz="6" w:space="0" w:color="auto"/>
              <w:bottom w:val="single" w:sz="4" w:space="0" w:color="000000"/>
              <w:right w:val="single" w:sz="4" w:space="0" w:color="000000"/>
            </w:tcBorders>
          </w:tcPr>
          <w:p>
            <w:pPr/>
          </w:p>
        </w:tc>
        <w:tc>
          <w:tcPr>
            <w:tcW w:w="1428" w:type="dxa"/>
            <w:tcBorders>
              <w:top w:val="single" w:sz="6" w:space="0" w:color="000000"/>
              <w:left w:val="single" w:sz="4" w:space="0" w:color="000000"/>
              <w:bottom w:val="single" w:sz="4" w:space="0" w:color="000000"/>
              <w:right w:val="single" w:sz="4" w:space="0" w:color="000000"/>
            </w:tcBorders>
          </w:tcPr>
          <w:p>
            <w:pPr/>
          </w:p>
        </w:tc>
        <w:tc>
          <w:tcPr>
            <w:tcW w:w="1116" w:type="dxa"/>
            <w:tcBorders>
              <w:top w:val="single" w:sz="6" w:space="0" w:color="000000"/>
              <w:left w:val="single" w:sz="4" w:space="0" w:color="000000"/>
              <w:bottom w:val="single" w:sz="4" w:space="0" w:color="000000"/>
              <w:right w:val="single" w:sz="4" w:space="0" w:color="000000"/>
            </w:tcBorders>
          </w:tcPr>
          <w:p>
            <w:pPr/>
          </w:p>
        </w:tc>
        <w:tc>
          <w:tcPr>
            <w:tcW w:w="1320" w:type="dxa"/>
            <w:tcBorders>
              <w:top w:val="single" w:sz="6" w:space="0" w:color="000000"/>
              <w:left w:val="single" w:sz="4" w:space="0" w:color="000000"/>
              <w:bottom w:val="single" w:sz="4" w:space="0" w:color="000000"/>
              <w:right w:val="single" w:sz="4" w:space="0" w:color="000000"/>
            </w:tcBorders>
          </w:tcPr>
          <w:p>
            <w:pPr/>
          </w:p>
        </w:tc>
        <w:tc>
          <w:tcPr>
            <w:tcW w:w="1259" w:type="dxa"/>
            <w:tcBorders>
              <w:top w:val="single" w:sz="6" w:space="0" w:color="000000"/>
              <w:left w:val="single" w:sz="4" w:space="0" w:color="000000"/>
              <w:bottom w:val="single" w:sz="4" w:space="0" w:color="000000"/>
              <w:right w:val="single" w:sz="4" w:space="0" w:color="000000"/>
            </w:tcBorders>
          </w:tcPr>
          <w:p>
            <w:pPr/>
          </w:p>
        </w:tc>
        <w:tc>
          <w:tcPr>
            <w:tcW w:w="1412" w:type="dxa"/>
            <w:tcBorders>
              <w:top w:val="single" w:sz="6" w:space="0" w:color="000000"/>
              <w:left w:val="single" w:sz="4" w:space="0" w:color="000000"/>
              <w:bottom w:val="single" w:sz="4" w:space="0" w:color="000000"/>
              <w:right w:val="single" w:sz="4" w:space="0" w:color="000000"/>
            </w:tcBorders>
          </w:tcPr>
          <w:p>
            <w:pPr/>
          </w:p>
        </w:tc>
        <w:tc>
          <w:tcPr>
            <w:tcW w:w="166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
              <w:ind w:left="334" w:right="0"/>
              <w:jc w:val="left"/>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5" w:hRule="exact"/>
        </w:trPr>
        <w:tc>
          <w:tcPr>
            <w:tcW w:w="1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齐强</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9,225,130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13,837,695</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23,062,825</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4" w:hRule="exact"/>
        </w:trPr>
        <w:tc>
          <w:tcPr>
            <w:tcW w:w="1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68" w:right="0"/>
              <w:jc w:val="left"/>
              <w:rPr>
                <w:rFonts w:ascii="宋体" w:hAnsi="宋体" w:cs="宋体" w:eastAsia="宋体" w:hint="default"/>
                <w:sz w:val="18"/>
                <w:szCs w:val="18"/>
              </w:rPr>
            </w:pPr>
            <w:r>
              <w:rPr>
                <w:rFonts w:ascii="宋体" w:hAnsi="宋体" w:cs="宋体" w:eastAsia="宋体" w:hint="default"/>
                <w:sz w:val="18"/>
                <w:szCs w:val="18"/>
              </w:rPr>
              <w:t>黄松浪</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7,744,092</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11,616,138</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19,360,230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4" w:hRule="exact"/>
        </w:trPr>
        <w:tc>
          <w:tcPr>
            <w:tcW w:w="1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68" w:right="0"/>
              <w:jc w:val="left"/>
              <w:rPr>
                <w:rFonts w:ascii="宋体" w:hAnsi="宋体" w:cs="宋体" w:eastAsia="宋体" w:hint="default"/>
                <w:sz w:val="18"/>
                <w:szCs w:val="18"/>
              </w:rPr>
            </w:pPr>
            <w:r>
              <w:rPr>
                <w:rFonts w:ascii="宋体" w:hAnsi="宋体" w:cs="宋体" w:eastAsia="宋体" w:hint="default"/>
                <w:sz w:val="18"/>
                <w:szCs w:val="18"/>
              </w:rPr>
              <w:t>王国华</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7,325,908</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10,988,862</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18,314,770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5" w:hRule="exact"/>
        </w:trPr>
        <w:tc>
          <w:tcPr>
            <w:tcW w:w="1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万能</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6,195,272</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9,292,908</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15,488,180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40"/>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4" w:hRule="exact"/>
        </w:trPr>
        <w:tc>
          <w:tcPr>
            <w:tcW w:w="1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68" w:right="0"/>
              <w:jc w:val="left"/>
              <w:rPr>
                <w:rFonts w:ascii="宋体" w:hAnsi="宋体" w:cs="宋体" w:eastAsia="宋体" w:hint="default"/>
                <w:sz w:val="18"/>
                <w:szCs w:val="18"/>
              </w:rPr>
            </w:pPr>
            <w:r>
              <w:rPr>
                <w:rFonts w:ascii="宋体" w:hAnsi="宋体" w:cs="宋体" w:eastAsia="宋体" w:hint="default"/>
                <w:sz w:val="18"/>
                <w:szCs w:val="18"/>
              </w:rPr>
              <w:t>徐斯平</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5,182,080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7,773,120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12,955,200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40"/>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4" w:hRule="exact"/>
        </w:trPr>
        <w:tc>
          <w:tcPr>
            <w:tcW w:w="1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汪铖</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4,103,144</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6,154,716</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10,257,860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40"/>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5" w:hRule="exact"/>
        </w:trPr>
        <w:tc>
          <w:tcPr>
            <w:tcW w:w="1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赵林</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2,826,590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4,239,885</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7,066,475</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946" w:hRule="exact"/>
        </w:trPr>
        <w:tc>
          <w:tcPr>
            <w:tcW w:w="1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88" w:right="187"/>
              <w:jc w:val="center"/>
              <w:rPr>
                <w:rFonts w:ascii="宋体" w:hAnsi="宋体" w:cs="宋体" w:eastAsia="宋体" w:hint="default"/>
                <w:sz w:val="18"/>
                <w:szCs w:val="18"/>
              </w:rPr>
            </w:pPr>
            <w:r>
              <w:rPr>
                <w:rFonts w:ascii="宋体" w:hAnsi="宋体" w:cs="宋体" w:eastAsia="宋体" w:hint="default"/>
                <w:sz w:val="18"/>
                <w:szCs w:val="18"/>
              </w:rPr>
              <w:t>汇金立方资 本管理有限 公司</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sz w:val="18"/>
              </w:rPr>
              <w:t>2,700,000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sz w:val="18"/>
              </w:rPr>
              <w:t>4,050,000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sz w:val="18"/>
              </w:rPr>
              <w:t>6,750,000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4" w:hRule="exact"/>
        </w:trPr>
        <w:tc>
          <w:tcPr>
            <w:tcW w:w="1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368" w:right="187" w:hanging="180"/>
              <w:jc w:val="left"/>
              <w:rPr>
                <w:rFonts w:ascii="宋体" w:hAnsi="宋体" w:cs="宋体" w:eastAsia="宋体" w:hint="default"/>
                <w:sz w:val="18"/>
                <w:szCs w:val="18"/>
              </w:rPr>
            </w:pPr>
            <w:r>
              <w:rPr>
                <w:rFonts w:ascii="宋体" w:hAnsi="宋体" w:cs="宋体" w:eastAsia="宋体" w:hint="default"/>
                <w:sz w:val="18"/>
                <w:szCs w:val="18"/>
              </w:rPr>
              <w:t>金石投资有 限公司</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2,100,000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3,150,000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5,250,000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5" w:hRule="exact"/>
        </w:trPr>
        <w:tc>
          <w:tcPr>
            <w:tcW w:w="1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许芃</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1,413,294</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2,119,941</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3,533,235</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4" w:hRule="exact"/>
        </w:trPr>
        <w:tc>
          <w:tcPr>
            <w:tcW w:w="1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68" w:right="0"/>
              <w:jc w:val="left"/>
              <w:rPr>
                <w:rFonts w:ascii="宋体" w:hAnsi="宋体" w:cs="宋体" w:eastAsia="宋体" w:hint="default"/>
                <w:sz w:val="18"/>
                <w:szCs w:val="18"/>
              </w:rPr>
            </w:pPr>
            <w:r>
              <w:rPr>
                <w:rFonts w:ascii="宋体" w:hAnsi="宋体" w:cs="宋体" w:eastAsia="宋体" w:hint="default"/>
                <w:sz w:val="18"/>
                <w:szCs w:val="18"/>
              </w:rPr>
              <w:t>王志刚</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1,413,294</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2,119,941</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3,533,235</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4" w:hRule="exact"/>
        </w:trPr>
        <w:tc>
          <w:tcPr>
            <w:tcW w:w="1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68" w:right="0"/>
              <w:jc w:val="left"/>
              <w:rPr>
                <w:rFonts w:ascii="宋体" w:hAnsi="宋体" w:cs="宋体" w:eastAsia="宋体" w:hint="default"/>
                <w:sz w:val="18"/>
                <w:szCs w:val="18"/>
              </w:rPr>
            </w:pPr>
            <w:r>
              <w:rPr>
                <w:rFonts w:ascii="宋体" w:hAnsi="宋体" w:cs="宋体" w:eastAsia="宋体" w:hint="default"/>
                <w:sz w:val="18"/>
                <w:szCs w:val="18"/>
              </w:rPr>
              <w:t>张振鹏</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989,306</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1,483,959</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2,473,265</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5" w:hRule="exact"/>
        </w:trPr>
        <w:tc>
          <w:tcPr>
            <w:tcW w:w="1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高峰</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960,000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1,440,000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2,400,000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4" w:hRule="exact"/>
        </w:trPr>
        <w:tc>
          <w:tcPr>
            <w:tcW w:w="1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68" w:right="0"/>
              <w:jc w:val="left"/>
              <w:rPr>
                <w:rFonts w:ascii="宋体" w:hAnsi="宋体" w:cs="宋体" w:eastAsia="宋体" w:hint="default"/>
                <w:sz w:val="18"/>
                <w:szCs w:val="18"/>
              </w:rPr>
            </w:pPr>
            <w:r>
              <w:rPr>
                <w:rFonts w:ascii="宋体" w:hAnsi="宋体" w:cs="宋体" w:eastAsia="宋体" w:hint="default"/>
                <w:sz w:val="18"/>
                <w:szCs w:val="18"/>
              </w:rPr>
              <w:t>万瀛女</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880,000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1,320,000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2,200,000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4" w:hRule="exact"/>
        </w:trPr>
        <w:tc>
          <w:tcPr>
            <w:tcW w:w="1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68" w:right="0"/>
              <w:jc w:val="left"/>
              <w:rPr>
                <w:rFonts w:ascii="宋体" w:hAnsi="宋体" w:cs="宋体" w:eastAsia="宋体" w:hint="default"/>
                <w:sz w:val="18"/>
                <w:szCs w:val="18"/>
              </w:rPr>
            </w:pPr>
            <w:r>
              <w:rPr>
                <w:rFonts w:ascii="宋体" w:hAnsi="宋体" w:cs="宋体" w:eastAsia="宋体" w:hint="default"/>
                <w:sz w:val="18"/>
                <w:szCs w:val="18"/>
              </w:rPr>
              <w:t>张黔山</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850,000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1,275,000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2,125,000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772" w:hRule="exact"/>
        </w:trPr>
        <w:tc>
          <w:tcPr>
            <w:tcW w:w="1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曹翊</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18"/>
                <w:szCs w:val="18"/>
              </w:rPr>
            </w:pPr>
            <w:r>
              <w:rPr>
                <w:rFonts w:ascii="宋体"/>
                <w:sz w:val="18"/>
              </w:rPr>
              <w:t>423,988</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18"/>
                <w:szCs w:val="18"/>
              </w:rPr>
            </w:pPr>
            <w:r>
              <w:rPr>
                <w:rFonts w:ascii="宋体"/>
                <w:sz w:val="18"/>
              </w:rPr>
              <w:t>635,982</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sz w:val="18"/>
              </w:rPr>
              <w:t>1,059,970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4" w:hRule="exact"/>
        </w:trPr>
        <w:tc>
          <w:tcPr>
            <w:tcW w:w="1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68" w:right="0"/>
              <w:jc w:val="left"/>
              <w:rPr>
                <w:rFonts w:ascii="宋体" w:hAnsi="宋体" w:cs="宋体" w:eastAsia="宋体" w:hint="default"/>
                <w:sz w:val="18"/>
                <w:szCs w:val="18"/>
              </w:rPr>
            </w:pPr>
            <w:r>
              <w:rPr>
                <w:rFonts w:ascii="宋体" w:hAnsi="宋体" w:cs="宋体" w:eastAsia="宋体" w:hint="default"/>
                <w:sz w:val="18"/>
                <w:szCs w:val="18"/>
              </w:rPr>
              <w:t>刘国兰</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400,000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600,000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1,000,000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4" w:hRule="exact"/>
        </w:trPr>
        <w:tc>
          <w:tcPr>
            <w:tcW w:w="1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68" w:right="0"/>
              <w:jc w:val="left"/>
              <w:rPr>
                <w:rFonts w:ascii="宋体" w:hAnsi="宋体" w:cs="宋体" w:eastAsia="宋体" w:hint="default"/>
                <w:sz w:val="18"/>
                <w:szCs w:val="18"/>
              </w:rPr>
            </w:pPr>
            <w:r>
              <w:rPr>
                <w:rFonts w:ascii="宋体" w:hAnsi="宋体" w:cs="宋体" w:eastAsia="宋体" w:hint="default"/>
                <w:sz w:val="18"/>
                <w:szCs w:val="18"/>
              </w:rPr>
              <w:t>周志锋</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200,000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300,000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500,000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5" w:hRule="exact"/>
        </w:trPr>
        <w:tc>
          <w:tcPr>
            <w:tcW w:w="1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68" w:right="0"/>
              <w:jc w:val="left"/>
              <w:rPr>
                <w:rFonts w:ascii="宋体" w:hAnsi="宋体" w:cs="宋体" w:eastAsia="宋体" w:hint="default"/>
                <w:sz w:val="18"/>
                <w:szCs w:val="18"/>
              </w:rPr>
            </w:pPr>
            <w:r>
              <w:rPr>
                <w:rFonts w:ascii="宋体" w:hAnsi="宋体" w:cs="宋体" w:eastAsia="宋体" w:hint="default"/>
                <w:sz w:val="18"/>
                <w:szCs w:val="18"/>
              </w:rPr>
              <w:t>朱健松</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150,000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225,000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375,000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4" w:hRule="exact"/>
        </w:trPr>
        <w:tc>
          <w:tcPr>
            <w:tcW w:w="1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陶磊</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150,000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225,000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375,000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5" w:hRule="exact"/>
        </w:trPr>
        <w:tc>
          <w:tcPr>
            <w:tcW w:w="1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68" w:right="0"/>
              <w:jc w:val="left"/>
              <w:rPr>
                <w:rFonts w:ascii="宋体" w:hAnsi="宋体" w:cs="宋体" w:eastAsia="宋体" w:hint="default"/>
                <w:sz w:val="18"/>
                <w:szCs w:val="18"/>
              </w:rPr>
            </w:pPr>
            <w:r>
              <w:rPr>
                <w:rFonts w:ascii="宋体" w:hAnsi="宋体" w:cs="宋体" w:eastAsia="宋体" w:hint="default"/>
                <w:sz w:val="18"/>
                <w:szCs w:val="18"/>
              </w:rPr>
              <w:t>张国波</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150,000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225,000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375,000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bl>
    <w:p>
      <w:pPr>
        <w:spacing w:after="0" w:line="240" w:lineRule="auto"/>
        <w:jc w:val="center"/>
        <w:rPr>
          <w:rFonts w:ascii="宋体" w:hAnsi="宋体" w:cs="宋体" w:eastAsia="宋体" w:hint="default"/>
          <w:sz w:val="18"/>
          <w:szCs w:val="18"/>
        </w:rPr>
        <w:sectPr>
          <w:pgSz w:w="11910" w:h="16840"/>
          <w:pgMar w:header="851" w:footer="982" w:top="1340" w:bottom="1180" w:left="1100" w:right="1080"/>
        </w:sectPr>
      </w:pPr>
    </w:p>
    <w:tbl>
      <w:tblPr>
        <w:tblW w:w="0" w:type="auto"/>
        <w:jc w:val="left"/>
        <w:tblInd w:w="103" w:type="dxa"/>
        <w:tblLayout w:type="fixed"/>
        <w:tblCellMar>
          <w:top w:w="0" w:type="dxa"/>
          <w:left w:w="0" w:type="dxa"/>
          <w:bottom w:w="0" w:type="dxa"/>
          <w:right w:w="0" w:type="dxa"/>
        </w:tblCellMar>
        <w:tblLook w:val="01E0"/>
      </w:tblPr>
      <w:tblGrid>
        <w:gridCol w:w="1288"/>
        <w:gridCol w:w="1428"/>
        <w:gridCol w:w="1116"/>
        <w:gridCol w:w="1320"/>
        <w:gridCol w:w="1259"/>
        <w:gridCol w:w="1412"/>
        <w:gridCol w:w="1668"/>
      </w:tblGrid>
      <w:tr>
        <w:trPr>
          <w:trHeight w:val="636" w:hRule="exact"/>
        </w:trPr>
        <w:tc>
          <w:tcPr>
            <w:tcW w:w="128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任杰</w:t>
            </w:r>
          </w:p>
        </w:tc>
        <w:tc>
          <w:tcPr>
            <w:tcW w:w="142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150,000</w:t>
            </w:r>
          </w:p>
        </w:tc>
        <w:tc>
          <w:tcPr>
            <w:tcW w:w="1116" w:type="dxa"/>
            <w:tcBorders>
              <w:top w:val="single" w:sz="6" w:space="0" w:color="000000"/>
              <w:left w:val="single" w:sz="4" w:space="0" w:color="000000"/>
              <w:bottom w:val="single" w:sz="4" w:space="0" w:color="000000"/>
              <w:right w:val="single" w:sz="4" w:space="0" w:color="000000"/>
            </w:tcBorders>
          </w:tcPr>
          <w:p>
            <w:pPr/>
          </w:p>
        </w:tc>
        <w:tc>
          <w:tcPr>
            <w:tcW w:w="132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39" w:right="0"/>
              <w:jc w:val="left"/>
              <w:rPr>
                <w:rFonts w:ascii="宋体" w:hAnsi="宋体" w:cs="宋体" w:eastAsia="宋体" w:hint="default"/>
                <w:sz w:val="18"/>
                <w:szCs w:val="18"/>
              </w:rPr>
            </w:pPr>
            <w:r>
              <w:rPr>
                <w:rFonts w:ascii="宋体"/>
                <w:sz w:val="18"/>
              </w:rPr>
              <w:t>225,000</w:t>
            </w:r>
          </w:p>
        </w:tc>
        <w:tc>
          <w:tcPr>
            <w:tcW w:w="1259"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09" w:right="0"/>
              <w:jc w:val="left"/>
              <w:rPr>
                <w:rFonts w:ascii="宋体" w:hAnsi="宋体" w:cs="宋体" w:eastAsia="宋体" w:hint="default"/>
                <w:sz w:val="18"/>
                <w:szCs w:val="18"/>
              </w:rPr>
            </w:pPr>
            <w:r>
              <w:rPr>
                <w:rFonts w:ascii="宋体"/>
                <w:sz w:val="18"/>
              </w:rPr>
              <w:t>375,000</w:t>
            </w:r>
          </w:p>
        </w:tc>
        <w:tc>
          <w:tcPr>
            <w:tcW w:w="141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40"/>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5"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张仲书</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100,000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39" w:right="0"/>
              <w:jc w:val="left"/>
              <w:rPr>
                <w:rFonts w:ascii="宋体" w:hAnsi="宋体" w:cs="宋体" w:eastAsia="宋体" w:hint="default"/>
                <w:sz w:val="18"/>
                <w:szCs w:val="18"/>
              </w:rPr>
            </w:pPr>
            <w:r>
              <w:rPr>
                <w:rFonts w:ascii="宋体"/>
                <w:sz w:val="18"/>
              </w:rPr>
              <w:t>150,000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09" w:right="0"/>
              <w:jc w:val="left"/>
              <w:rPr>
                <w:rFonts w:ascii="宋体" w:hAnsi="宋体" w:cs="宋体" w:eastAsia="宋体" w:hint="default"/>
                <w:sz w:val="18"/>
                <w:szCs w:val="18"/>
              </w:rPr>
            </w:pPr>
            <w:r>
              <w:rPr>
                <w:rFonts w:ascii="宋体"/>
                <w:sz w:val="18"/>
              </w:rPr>
              <w:t>250,000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4"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梁德兴</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100,000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39" w:right="0"/>
              <w:jc w:val="left"/>
              <w:rPr>
                <w:rFonts w:ascii="宋体" w:hAnsi="宋体" w:cs="宋体" w:eastAsia="宋体" w:hint="default"/>
                <w:sz w:val="18"/>
                <w:szCs w:val="18"/>
              </w:rPr>
            </w:pPr>
            <w:r>
              <w:rPr>
                <w:rFonts w:ascii="宋体"/>
                <w:sz w:val="18"/>
              </w:rPr>
              <w:t>150,000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09" w:right="0"/>
              <w:jc w:val="left"/>
              <w:rPr>
                <w:rFonts w:ascii="宋体" w:hAnsi="宋体" w:cs="宋体" w:eastAsia="宋体" w:hint="default"/>
                <w:sz w:val="18"/>
                <w:szCs w:val="18"/>
              </w:rPr>
            </w:pPr>
            <w:r>
              <w:rPr>
                <w:rFonts w:ascii="宋体"/>
                <w:sz w:val="18"/>
              </w:rPr>
              <w:t>250,000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4"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谭立蓉</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100,000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39" w:right="0"/>
              <w:jc w:val="left"/>
              <w:rPr>
                <w:rFonts w:ascii="宋体" w:hAnsi="宋体" w:cs="宋体" w:eastAsia="宋体" w:hint="default"/>
                <w:sz w:val="18"/>
                <w:szCs w:val="18"/>
              </w:rPr>
            </w:pPr>
            <w:r>
              <w:rPr>
                <w:rFonts w:ascii="宋体"/>
                <w:sz w:val="18"/>
              </w:rPr>
              <w:t>150,000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09" w:right="0"/>
              <w:jc w:val="left"/>
              <w:rPr>
                <w:rFonts w:ascii="宋体" w:hAnsi="宋体" w:cs="宋体" w:eastAsia="宋体" w:hint="default"/>
                <w:sz w:val="18"/>
                <w:szCs w:val="18"/>
              </w:rPr>
            </w:pPr>
            <w:r>
              <w:rPr>
                <w:rFonts w:ascii="宋体"/>
                <w:sz w:val="18"/>
              </w:rPr>
              <w:t>250,000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5"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隋华锋</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100,000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39" w:right="0"/>
              <w:jc w:val="left"/>
              <w:rPr>
                <w:rFonts w:ascii="宋体" w:hAnsi="宋体" w:cs="宋体" w:eastAsia="宋体" w:hint="default"/>
                <w:sz w:val="18"/>
                <w:szCs w:val="18"/>
              </w:rPr>
            </w:pPr>
            <w:r>
              <w:rPr>
                <w:rFonts w:ascii="宋体"/>
                <w:sz w:val="18"/>
              </w:rPr>
              <w:t>150,000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09" w:right="0"/>
              <w:jc w:val="left"/>
              <w:rPr>
                <w:rFonts w:ascii="宋体" w:hAnsi="宋体" w:cs="宋体" w:eastAsia="宋体" w:hint="default"/>
                <w:sz w:val="18"/>
                <w:szCs w:val="18"/>
              </w:rPr>
            </w:pPr>
            <w:r>
              <w:rPr>
                <w:rFonts w:ascii="宋体"/>
                <w:sz w:val="18"/>
              </w:rPr>
              <w:t>250,000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4"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张建军</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100,000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39" w:right="0"/>
              <w:jc w:val="left"/>
              <w:rPr>
                <w:rFonts w:ascii="宋体" w:hAnsi="宋体" w:cs="宋体" w:eastAsia="宋体" w:hint="default"/>
                <w:sz w:val="18"/>
                <w:szCs w:val="18"/>
              </w:rPr>
            </w:pPr>
            <w:r>
              <w:rPr>
                <w:rFonts w:ascii="宋体"/>
                <w:sz w:val="18"/>
              </w:rPr>
              <w:t>150,000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09" w:right="0"/>
              <w:jc w:val="left"/>
              <w:rPr>
                <w:rFonts w:ascii="宋体" w:hAnsi="宋体" w:cs="宋体" w:eastAsia="宋体" w:hint="default"/>
                <w:sz w:val="18"/>
                <w:szCs w:val="18"/>
              </w:rPr>
            </w:pPr>
            <w:r>
              <w:rPr>
                <w:rFonts w:ascii="宋体"/>
                <w:sz w:val="18"/>
              </w:rPr>
              <w:t>250,000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4"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滕士勇</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100,000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39" w:right="0"/>
              <w:jc w:val="left"/>
              <w:rPr>
                <w:rFonts w:ascii="宋体" w:hAnsi="宋体" w:cs="宋体" w:eastAsia="宋体" w:hint="default"/>
                <w:sz w:val="18"/>
                <w:szCs w:val="18"/>
              </w:rPr>
            </w:pPr>
            <w:r>
              <w:rPr>
                <w:rFonts w:ascii="宋体"/>
                <w:sz w:val="18"/>
              </w:rPr>
              <w:t>150,000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09" w:right="0"/>
              <w:jc w:val="left"/>
              <w:rPr>
                <w:rFonts w:ascii="宋体" w:hAnsi="宋体" w:cs="宋体" w:eastAsia="宋体" w:hint="default"/>
                <w:sz w:val="18"/>
                <w:szCs w:val="18"/>
              </w:rPr>
            </w:pPr>
            <w:r>
              <w:rPr>
                <w:rFonts w:ascii="宋体"/>
                <w:sz w:val="18"/>
              </w:rPr>
              <w:t>250,000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5"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韩迎</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60,000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85" w:right="0"/>
              <w:jc w:val="left"/>
              <w:rPr>
                <w:rFonts w:ascii="宋体" w:hAnsi="宋体" w:cs="宋体" w:eastAsia="宋体" w:hint="default"/>
                <w:sz w:val="18"/>
                <w:szCs w:val="18"/>
              </w:rPr>
            </w:pPr>
            <w:r>
              <w:rPr>
                <w:rFonts w:ascii="宋体"/>
                <w:sz w:val="18"/>
              </w:rPr>
              <w:t>90,000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09" w:right="0"/>
              <w:jc w:val="left"/>
              <w:rPr>
                <w:rFonts w:ascii="宋体" w:hAnsi="宋体" w:cs="宋体" w:eastAsia="宋体" w:hint="default"/>
                <w:sz w:val="18"/>
                <w:szCs w:val="18"/>
              </w:rPr>
            </w:pPr>
            <w:r>
              <w:rPr>
                <w:rFonts w:ascii="宋体"/>
                <w:sz w:val="18"/>
              </w:rPr>
              <w:t>150,000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39"/>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4"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张龙春</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60,000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85" w:right="0"/>
              <w:jc w:val="left"/>
              <w:rPr>
                <w:rFonts w:ascii="宋体" w:hAnsi="宋体" w:cs="宋体" w:eastAsia="宋体" w:hint="default"/>
                <w:sz w:val="18"/>
                <w:szCs w:val="18"/>
              </w:rPr>
            </w:pPr>
            <w:r>
              <w:rPr>
                <w:rFonts w:ascii="宋体"/>
                <w:sz w:val="18"/>
              </w:rPr>
              <w:t>90,000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09" w:right="0"/>
              <w:jc w:val="left"/>
              <w:rPr>
                <w:rFonts w:ascii="宋体" w:hAnsi="宋体" w:cs="宋体" w:eastAsia="宋体" w:hint="default"/>
                <w:sz w:val="18"/>
                <w:szCs w:val="18"/>
              </w:rPr>
            </w:pPr>
            <w:r>
              <w:rPr>
                <w:rFonts w:ascii="宋体"/>
                <w:sz w:val="18"/>
              </w:rPr>
              <w:t>150,000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39"/>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4"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王雪飞</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60,000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85" w:right="0"/>
              <w:jc w:val="left"/>
              <w:rPr>
                <w:rFonts w:ascii="宋体" w:hAnsi="宋体" w:cs="宋体" w:eastAsia="宋体" w:hint="default"/>
                <w:sz w:val="18"/>
                <w:szCs w:val="18"/>
              </w:rPr>
            </w:pPr>
            <w:r>
              <w:rPr>
                <w:rFonts w:ascii="宋体"/>
                <w:sz w:val="18"/>
              </w:rPr>
              <w:t>90,000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09" w:right="0"/>
              <w:jc w:val="left"/>
              <w:rPr>
                <w:rFonts w:ascii="宋体" w:hAnsi="宋体" w:cs="宋体" w:eastAsia="宋体" w:hint="default"/>
                <w:sz w:val="18"/>
                <w:szCs w:val="18"/>
              </w:rPr>
            </w:pPr>
            <w:r>
              <w:rPr>
                <w:rFonts w:ascii="宋体"/>
                <w:sz w:val="18"/>
              </w:rPr>
              <w:t>150,000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39"/>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5"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程永全</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60,000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85" w:right="0"/>
              <w:jc w:val="left"/>
              <w:rPr>
                <w:rFonts w:ascii="宋体" w:hAnsi="宋体" w:cs="宋体" w:eastAsia="宋体" w:hint="default"/>
                <w:sz w:val="18"/>
                <w:szCs w:val="18"/>
              </w:rPr>
            </w:pPr>
            <w:r>
              <w:rPr>
                <w:rFonts w:ascii="宋体"/>
                <w:sz w:val="18"/>
              </w:rPr>
              <w:t>90,000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09" w:right="0"/>
              <w:jc w:val="left"/>
              <w:rPr>
                <w:rFonts w:ascii="宋体" w:hAnsi="宋体" w:cs="宋体" w:eastAsia="宋体" w:hint="default"/>
                <w:sz w:val="18"/>
                <w:szCs w:val="18"/>
              </w:rPr>
            </w:pPr>
            <w:r>
              <w:rPr>
                <w:rFonts w:ascii="宋体"/>
                <w:sz w:val="18"/>
              </w:rPr>
              <w:t>150,000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39"/>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4"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刘豪</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60,000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85" w:right="0"/>
              <w:jc w:val="left"/>
              <w:rPr>
                <w:rFonts w:ascii="宋体" w:hAnsi="宋体" w:cs="宋体" w:eastAsia="宋体" w:hint="default"/>
                <w:sz w:val="18"/>
                <w:szCs w:val="18"/>
              </w:rPr>
            </w:pPr>
            <w:r>
              <w:rPr>
                <w:rFonts w:ascii="宋体"/>
                <w:sz w:val="18"/>
              </w:rPr>
              <w:t>90,000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09" w:right="0"/>
              <w:jc w:val="left"/>
              <w:rPr>
                <w:rFonts w:ascii="宋体" w:hAnsi="宋体" w:cs="宋体" w:eastAsia="宋体" w:hint="default"/>
                <w:sz w:val="18"/>
                <w:szCs w:val="18"/>
              </w:rPr>
            </w:pPr>
            <w:r>
              <w:rPr>
                <w:rFonts w:ascii="宋体"/>
                <w:sz w:val="18"/>
              </w:rPr>
              <w:t>150,000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39"/>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4"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陈伟</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40,000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85" w:right="0"/>
              <w:jc w:val="left"/>
              <w:rPr>
                <w:rFonts w:ascii="宋体" w:hAnsi="宋体" w:cs="宋体" w:eastAsia="宋体" w:hint="default"/>
                <w:sz w:val="18"/>
                <w:szCs w:val="18"/>
              </w:rPr>
            </w:pPr>
            <w:r>
              <w:rPr>
                <w:rFonts w:ascii="宋体"/>
                <w:sz w:val="18"/>
              </w:rPr>
              <w:t>60,000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09" w:right="0"/>
              <w:jc w:val="left"/>
              <w:rPr>
                <w:rFonts w:ascii="宋体" w:hAnsi="宋体" w:cs="宋体" w:eastAsia="宋体" w:hint="default"/>
                <w:sz w:val="18"/>
                <w:szCs w:val="18"/>
              </w:rPr>
            </w:pPr>
            <w:r>
              <w:rPr>
                <w:rFonts w:ascii="宋体"/>
                <w:sz w:val="18"/>
              </w:rPr>
              <w:t>100,000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39"/>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743"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艾东</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sz w:val="18"/>
              </w:rPr>
              <w:t>35,000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385" w:right="0"/>
              <w:jc w:val="left"/>
              <w:rPr>
                <w:rFonts w:ascii="宋体" w:hAnsi="宋体" w:cs="宋体" w:eastAsia="宋体" w:hint="default"/>
                <w:sz w:val="18"/>
                <w:szCs w:val="18"/>
              </w:rPr>
            </w:pPr>
            <w:r>
              <w:rPr>
                <w:rFonts w:ascii="宋体"/>
                <w:sz w:val="18"/>
              </w:rPr>
              <w:t>52,500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354" w:right="0"/>
              <w:jc w:val="left"/>
              <w:rPr>
                <w:rFonts w:ascii="宋体" w:hAnsi="宋体" w:cs="宋体" w:eastAsia="宋体" w:hint="default"/>
                <w:sz w:val="18"/>
                <w:szCs w:val="18"/>
              </w:rPr>
            </w:pPr>
            <w:r>
              <w:rPr>
                <w:rFonts w:ascii="宋体"/>
                <w:sz w:val="18"/>
              </w:rPr>
              <w:t>87,500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339"/>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5"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张楠</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35,000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85" w:right="0"/>
              <w:jc w:val="left"/>
              <w:rPr>
                <w:rFonts w:ascii="宋体" w:hAnsi="宋体" w:cs="宋体" w:eastAsia="宋体" w:hint="default"/>
                <w:sz w:val="18"/>
                <w:szCs w:val="18"/>
              </w:rPr>
            </w:pPr>
            <w:r>
              <w:rPr>
                <w:rFonts w:ascii="宋体"/>
                <w:sz w:val="18"/>
              </w:rPr>
              <w:t>52,500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54" w:right="0"/>
              <w:jc w:val="left"/>
              <w:rPr>
                <w:rFonts w:ascii="宋体" w:hAnsi="宋体" w:cs="宋体" w:eastAsia="宋体" w:hint="default"/>
                <w:sz w:val="18"/>
                <w:szCs w:val="18"/>
              </w:rPr>
            </w:pPr>
            <w:r>
              <w:rPr>
                <w:rFonts w:ascii="宋体"/>
                <w:sz w:val="18"/>
              </w:rPr>
              <w:t>87,500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39"/>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4"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丁彦超</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30,000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85" w:right="0"/>
              <w:jc w:val="left"/>
              <w:rPr>
                <w:rFonts w:ascii="宋体" w:hAnsi="宋体" w:cs="宋体" w:eastAsia="宋体" w:hint="default"/>
                <w:sz w:val="18"/>
                <w:szCs w:val="18"/>
              </w:rPr>
            </w:pPr>
            <w:r>
              <w:rPr>
                <w:rFonts w:ascii="宋体"/>
                <w:sz w:val="18"/>
              </w:rPr>
              <w:t>45,000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54" w:right="0"/>
              <w:jc w:val="left"/>
              <w:rPr>
                <w:rFonts w:ascii="宋体" w:hAnsi="宋体" w:cs="宋体" w:eastAsia="宋体" w:hint="default"/>
                <w:sz w:val="18"/>
                <w:szCs w:val="18"/>
              </w:rPr>
            </w:pPr>
            <w:r>
              <w:rPr>
                <w:rFonts w:ascii="宋体"/>
                <w:sz w:val="18"/>
              </w:rPr>
              <w:t>75,000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39"/>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4"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雷益路</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30,000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85" w:right="0"/>
              <w:jc w:val="left"/>
              <w:rPr>
                <w:rFonts w:ascii="宋体" w:hAnsi="宋体" w:cs="宋体" w:eastAsia="宋体" w:hint="default"/>
                <w:sz w:val="18"/>
                <w:szCs w:val="18"/>
              </w:rPr>
            </w:pPr>
            <w:r>
              <w:rPr>
                <w:rFonts w:ascii="宋体"/>
                <w:sz w:val="18"/>
              </w:rPr>
              <w:t>45,000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54" w:right="0"/>
              <w:jc w:val="left"/>
              <w:rPr>
                <w:rFonts w:ascii="宋体" w:hAnsi="宋体" w:cs="宋体" w:eastAsia="宋体" w:hint="default"/>
                <w:sz w:val="18"/>
                <w:szCs w:val="18"/>
              </w:rPr>
            </w:pPr>
            <w:r>
              <w:rPr>
                <w:rFonts w:ascii="宋体"/>
                <w:sz w:val="18"/>
              </w:rPr>
              <w:t>75,000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39"/>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5"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朱志金</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30,000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85" w:right="0"/>
              <w:jc w:val="left"/>
              <w:rPr>
                <w:rFonts w:ascii="宋体" w:hAnsi="宋体" w:cs="宋体" w:eastAsia="宋体" w:hint="default"/>
                <w:sz w:val="18"/>
                <w:szCs w:val="18"/>
              </w:rPr>
            </w:pPr>
            <w:r>
              <w:rPr>
                <w:rFonts w:ascii="宋体"/>
                <w:sz w:val="18"/>
              </w:rPr>
              <w:t>45,000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54" w:right="0"/>
              <w:jc w:val="left"/>
              <w:rPr>
                <w:rFonts w:ascii="宋体" w:hAnsi="宋体" w:cs="宋体" w:eastAsia="宋体" w:hint="default"/>
                <w:sz w:val="18"/>
                <w:szCs w:val="18"/>
              </w:rPr>
            </w:pPr>
            <w:r>
              <w:rPr>
                <w:rFonts w:ascii="宋体"/>
                <w:sz w:val="18"/>
              </w:rPr>
              <w:t>75,000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39"/>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4"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林红</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22,000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85" w:right="0"/>
              <w:jc w:val="left"/>
              <w:rPr>
                <w:rFonts w:ascii="宋体" w:hAnsi="宋体" w:cs="宋体" w:eastAsia="宋体" w:hint="default"/>
                <w:sz w:val="18"/>
                <w:szCs w:val="18"/>
              </w:rPr>
            </w:pPr>
            <w:r>
              <w:rPr>
                <w:rFonts w:ascii="宋体"/>
                <w:sz w:val="18"/>
              </w:rPr>
              <w:t>33,000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54" w:right="0"/>
              <w:jc w:val="left"/>
              <w:rPr>
                <w:rFonts w:ascii="宋体" w:hAnsi="宋体" w:cs="宋体" w:eastAsia="宋体" w:hint="default"/>
                <w:sz w:val="18"/>
                <w:szCs w:val="18"/>
              </w:rPr>
            </w:pPr>
            <w:r>
              <w:rPr>
                <w:rFonts w:ascii="宋体"/>
                <w:sz w:val="18"/>
              </w:rPr>
              <w:t>55,000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39"/>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4"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李铭</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20,000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85" w:right="0"/>
              <w:jc w:val="left"/>
              <w:rPr>
                <w:rFonts w:ascii="宋体" w:hAnsi="宋体" w:cs="宋体" w:eastAsia="宋体" w:hint="default"/>
                <w:sz w:val="18"/>
                <w:szCs w:val="18"/>
              </w:rPr>
            </w:pPr>
            <w:r>
              <w:rPr>
                <w:rFonts w:ascii="宋体"/>
                <w:sz w:val="18"/>
              </w:rPr>
              <w:t>30,000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54" w:right="0"/>
              <w:jc w:val="left"/>
              <w:rPr>
                <w:rFonts w:ascii="宋体" w:hAnsi="宋体" w:cs="宋体" w:eastAsia="宋体" w:hint="default"/>
                <w:sz w:val="18"/>
                <w:szCs w:val="18"/>
              </w:rPr>
            </w:pPr>
            <w:r>
              <w:rPr>
                <w:rFonts w:ascii="宋体"/>
                <w:sz w:val="18"/>
              </w:rPr>
              <w:t>50,000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39"/>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5"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李万国</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20,000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85" w:right="0"/>
              <w:jc w:val="left"/>
              <w:rPr>
                <w:rFonts w:ascii="宋体" w:hAnsi="宋体" w:cs="宋体" w:eastAsia="宋体" w:hint="default"/>
                <w:sz w:val="18"/>
                <w:szCs w:val="18"/>
              </w:rPr>
            </w:pPr>
            <w:r>
              <w:rPr>
                <w:rFonts w:ascii="宋体"/>
                <w:sz w:val="18"/>
              </w:rPr>
              <w:t>30,000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54" w:right="0"/>
              <w:jc w:val="left"/>
              <w:rPr>
                <w:rFonts w:ascii="宋体" w:hAnsi="宋体" w:cs="宋体" w:eastAsia="宋体" w:hint="default"/>
                <w:sz w:val="18"/>
                <w:szCs w:val="18"/>
              </w:rPr>
            </w:pPr>
            <w:r>
              <w:rPr>
                <w:rFonts w:ascii="宋体"/>
                <w:sz w:val="18"/>
              </w:rPr>
              <w:t>50,000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39"/>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4"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辛琳</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20,000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85" w:right="0"/>
              <w:jc w:val="left"/>
              <w:rPr>
                <w:rFonts w:ascii="宋体" w:hAnsi="宋体" w:cs="宋体" w:eastAsia="宋体" w:hint="default"/>
                <w:sz w:val="18"/>
                <w:szCs w:val="18"/>
              </w:rPr>
            </w:pPr>
            <w:r>
              <w:rPr>
                <w:rFonts w:ascii="宋体"/>
                <w:sz w:val="18"/>
              </w:rPr>
              <w:t>30,000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54" w:right="0"/>
              <w:jc w:val="left"/>
              <w:rPr>
                <w:rFonts w:ascii="宋体" w:hAnsi="宋体" w:cs="宋体" w:eastAsia="宋体" w:hint="default"/>
                <w:sz w:val="18"/>
                <w:szCs w:val="18"/>
              </w:rPr>
            </w:pPr>
            <w:r>
              <w:rPr>
                <w:rFonts w:ascii="宋体"/>
                <w:sz w:val="18"/>
              </w:rPr>
              <w:t>50,000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39"/>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bl>
    <w:p>
      <w:pPr>
        <w:spacing w:after="0" w:line="240" w:lineRule="auto"/>
        <w:jc w:val="center"/>
        <w:rPr>
          <w:rFonts w:ascii="宋体" w:hAnsi="宋体" w:cs="宋体" w:eastAsia="宋体" w:hint="default"/>
          <w:sz w:val="18"/>
          <w:szCs w:val="18"/>
        </w:rPr>
        <w:sectPr>
          <w:pgSz w:w="11910" w:h="16840"/>
          <w:pgMar w:header="851" w:footer="982" w:top="1340" w:bottom="1180" w:left="1100" w:right="1080"/>
        </w:sectPr>
      </w:pPr>
    </w:p>
    <w:p>
      <w:pPr>
        <w:spacing w:line="240" w:lineRule="auto" w:before="11"/>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1288"/>
        <w:gridCol w:w="1428"/>
        <w:gridCol w:w="1116"/>
        <w:gridCol w:w="1320"/>
        <w:gridCol w:w="1259"/>
        <w:gridCol w:w="1412"/>
        <w:gridCol w:w="1668"/>
      </w:tblGrid>
      <w:tr>
        <w:trPr>
          <w:trHeight w:val="636" w:hRule="exact"/>
        </w:trPr>
        <w:tc>
          <w:tcPr>
            <w:tcW w:w="128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杨波</w:t>
            </w:r>
          </w:p>
        </w:tc>
        <w:tc>
          <w:tcPr>
            <w:tcW w:w="142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20,000</w:t>
            </w:r>
          </w:p>
        </w:tc>
        <w:tc>
          <w:tcPr>
            <w:tcW w:w="1116" w:type="dxa"/>
            <w:tcBorders>
              <w:top w:val="single" w:sz="6" w:space="0" w:color="000000"/>
              <w:left w:val="single" w:sz="4" w:space="0" w:color="000000"/>
              <w:bottom w:val="single" w:sz="4" w:space="0" w:color="000000"/>
              <w:right w:val="single" w:sz="4" w:space="0" w:color="000000"/>
            </w:tcBorders>
          </w:tcPr>
          <w:p>
            <w:pPr/>
          </w:p>
        </w:tc>
        <w:tc>
          <w:tcPr>
            <w:tcW w:w="132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30,000</w:t>
            </w:r>
          </w:p>
        </w:tc>
        <w:tc>
          <w:tcPr>
            <w:tcW w:w="1259"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50,000</w:t>
            </w:r>
          </w:p>
        </w:tc>
        <w:tc>
          <w:tcPr>
            <w:tcW w:w="141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635"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刘丁</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20,000</w:t>
            </w:r>
          </w:p>
        </w:tc>
        <w:tc>
          <w:tcPr>
            <w:tcW w:w="111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30,000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50,000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51"/>
                <w:sz w:val="18"/>
                <w:szCs w:val="18"/>
              </w:rPr>
              <w:t> </w:t>
            </w:r>
            <w:r>
              <w:rPr>
                <w:rFonts w:ascii="宋体" w:hAnsi="宋体" w:cs="宋体" w:eastAsia="宋体" w:hint="default"/>
                <w:spacing w:val="7"/>
                <w:sz w:val="18"/>
                <w:szCs w:val="18"/>
              </w:rPr>
              <w:t>2009年</w:t>
            </w:r>
            <w:r>
              <w:rPr>
                <w:rFonts w:ascii="宋体" w:hAnsi="宋体" w:cs="宋体" w:eastAsia="宋体" w:hint="default"/>
                <w:spacing w:val="-51"/>
                <w:sz w:val="18"/>
                <w:szCs w:val="18"/>
              </w:rPr>
              <w:t> </w:t>
            </w:r>
            <w:r>
              <w:rPr>
                <w:rFonts w:ascii="宋体" w:hAnsi="宋体" w:cs="宋体" w:eastAsia="宋体" w:hint="default"/>
                <w:spacing w:val="12"/>
                <w:sz w:val="18"/>
                <w:szCs w:val="18"/>
              </w:rPr>
              <w:t>10月</w:t>
            </w:r>
            <w:r>
              <w:rPr>
                <w:rFonts w:ascii="宋体" w:hAnsi="宋体" w:cs="宋体" w:eastAsia="宋体" w:hint="default"/>
                <w:spacing w:val="-51"/>
                <w:sz w:val="18"/>
                <w:szCs w:val="18"/>
              </w:rPr>
              <w:t> </w:t>
            </w:r>
            <w:r>
              <w:rPr>
                <w:rFonts w:ascii="宋体" w:hAnsi="宋体" w:cs="宋体" w:eastAsia="宋体" w:hint="default"/>
                <w:sz w:val="18"/>
                <w:szCs w:val="18"/>
              </w:rPr>
              <w:t>30</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r>
      <w:tr>
        <w:trPr>
          <w:trHeight w:val="533"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
              <w:jc w:val="center"/>
              <w:rPr>
                <w:rFonts w:ascii="宋体" w:hAnsi="宋体" w:cs="宋体" w:eastAsia="宋体" w:hint="default"/>
                <w:sz w:val="18"/>
                <w:szCs w:val="18"/>
              </w:rPr>
            </w:pPr>
            <w:r>
              <w:rPr>
                <w:rFonts w:ascii="宋体" w:hAnsi="宋体" w:cs="宋体" w:eastAsia="宋体" w:hint="default"/>
                <w:sz w:val="18"/>
                <w:szCs w:val="18"/>
              </w:rPr>
              <w:t>彭洁</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
              <w:jc w:val="center"/>
              <w:rPr>
                <w:rFonts w:ascii="宋体" w:hAnsi="宋体" w:cs="宋体" w:eastAsia="宋体" w:hint="default"/>
                <w:sz w:val="18"/>
                <w:szCs w:val="18"/>
              </w:rPr>
            </w:pPr>
            <w:r>
              <w:rPr>
                <w:rFonts w:ascii="宋体"/>
                <w:sz w:val="18"/>
              </w:rPr>
              <w:t>2,826,590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147" w:right="0"/>
              <w:jc w:val="left"/>
              <w:rPr>
                <w:rFonts w:ascii="宋体" w:hAnsi="宋体" w:cs="宋体" w:eastAsia="宋体" w:hint="default"/>
                <w:sz w:val="18"/>
                <w:szCs w:val="18"/>
              </w:rPr>
            </w:pPr>
            <w:r>
              <w:rPr>
                <w:rFonts w:ascii="宋体"/>
                <w:sz w:val="18"/>
              </w:rPr>
              <w:t>7,066,475</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
              <w:jc w:val="center"/>
              <w:rPr>
                <w:rFonts w:ascii="宋体" w:hAnsi="宋体" w:cs="宋体" w:eastAsia="宋体" w:hint="default"/>
                <w:sz w:val="18"/>
                <w:szCs w:val="18"/>
              </w:rPr>
            </w:pPr>
            <w:r>
              <w:rPr>
                <w:rFonts w:ascii="宋体"/>
                <w:sz w:val="18"/>
              </w:rPr>
              <w:t>4,239,885</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0"/>
              <w:jc w:val="center"/>
              <w:rPr>
                <w:rFonts w:ascii="宋体" w:hAnsi="宋体" w:cs="宋体" w:eastAsia="宋体" w:hint="default"/>
                <w:sz w:val="18"/>
                <w:szCs w:val="18"/>
              </w:rPr>
            </w:pPr>
            <w:r>
              <w:rPr>
                <w:rFonts w:ascii="宋体"/>
                <w:sz w:val="18"/>
              </w:rPr>
              <w:t>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0"/>
              <w:jc w:val="center"/>
              <w:rPr>
                <w:rFonts w:ascii="宋体" w:hAnsi="宋体" w:cs="宋体" w:eastAsia="宋体" w:hint="default"/>
                <w:sz w:val="18"/>
                <w:szCs w:val="18"/>
              </w:rPr>
            </w:pPr>
            <w:r>
              <w:rPr>
                <w:rFonts w:ascii="宋体" w:hAnsi="宋体" w:cs="宋体" w:eastAsia="宋体" w:hint="default"/>
                <w:sz w:val="18"/>
                <w:szCs w:val="18"/>
              </w:rPr>
              <w:t>首发承诺</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634"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458" w:right="277" w:hanging="180"/>
              <w:jc w:val="left"/>
              <w:rPr>
                <w:rFonts w:ascii="宋体" w:hAnsi="宋体" w:cs="宋体" w:eastAsia="宋体" w:hint="default"/>
                <w:sz w:val="18"/>
                <w:szCs w:val="18"/>
              </w:rPr>
            </w:pPr>
            <w:r>
              <w:rPr>
                <w:rFonts w:ascii="宋体" w:hAnsi="宋体" w:cs="宋体" w:eastAsia="宋体" w:hint="default"/>
                <w:sz w:val="18"/>
                <w:szCs w:val="18"/>
              </w:rPr>
              <w:t>网下配售 股份</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6,320,000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47" w:right="0"/>
              <w:jc w:val="left"/>
              <w:rPr>
                <w:rFonts w:ascii="宋体" w:hAnsi="宋体" w:cs="宋体" w:eastAsia="宋体" w:hint="default"/>
                <w:sz w:val="18"/>
                <w:szCs w:val="18"/>
              </w:rPr>
            </w:pPr>
            <w:r>
              <w:rPr>
                <w:rFonts w:ascii="宋体"/>
                <w:sz w:val="18"/>
              </w:rPr>
              <w:t>6,320,000</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网下配售规定</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02</w:t>
            </w:r>
            <w:r>
              <w:rPr>
                <w:rFonts w:ascii="宋体" w:hAnsi="宋体" w:cs="宋体" w:eastAsia="宋体" w:hint="default"/>
                <w:spacing w:val="-52"/>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宋体" w:hAnsi="宋体" w:cs="宋体" w:eastAsia="宋体" w:hint="default"/>
                <w:sz w:val="18"/>
                <w:szCs w:val="18"/>
              </w:rPr>
              <w:t>01</w:t>
            </w:r>
            <w:r>
              <w:rPr>
                <w:rFonts w:ascii="宋体" w:hAnsi="宋体" w:cs="宋体" w:eastAsia="宋体" w:hint="default"/>
                <w:spacing w:val="-52"/>
                <w:sz w:val="18"/>
                <w:szCs w:val="18"/>
              </w:rPr>
              <w:t> </w:t>
            </w:r>
            <w:r>
              <w:rPr>
                <w:rFonts w:ascii="宋体" w:hAnsi="宋体" w:cs="宋体" w:eastAsia="宋体" w:hint="default"/>
                <w:sz w:val="18"/>
                <w:szCs w:val="18"/>
              </w:rPr>
              <w:t>日</w:t>
            </w:r>
          </w:p>
        </w:tc>
      </w:tr>
      <w:tr>
        <w:trPr>
          <w:trHeight w:val="475" w:hRule="exact"/>
        </w:trPr>
        <w:tc>
          <w:tcPr>
            <w:tcW w:w="12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sz w:val="18"/>
              </w:rPr>
              <w:t>101,120,000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sz w:val="18"/>
              </w:rPr>
              <w:t>13,386,475</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sz w:val="18"/>
              </w:rPr>
              <w:t>142,200,000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229,933,525</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w:t>
            </w:r>
          </w:p>
        </w:tc>
      </w:tr>
    </w:tbl>
    <w:p>
      <w:pPr>
        <w:spacing w:before="88"/>
        <w:ind w:left="1057" w:right="712" w:firstLine="0"/>
        <w:jc w:val="left"/>
        <w:rPr>
          <w:rFonts w:ascii="宋体" w:hAnsi="宋体" w:cs="宋体" w:eastAsia="宋体" w:hint="default"/>
          <w:sz w:val="18"/>
          <w:szCs w:val="18"/>
        </w:rPr>
      </w:pPr>
      <w:r>
        <w:rPr>
          <w:rFonts w:ascii="宋体" w:hAnsi="宋体" w:cs="宋体" w:eastAsia="宋体" w:hint="default"/>
          <w:sz w:val="18"/>
          <w:szCs w:val="18"/>
        </w:rPr>
        <w:t>注：本年增加限售股均系报告期内实施了资本公积金转增股本方案所致。</w:t>
      </w:r>
    </w:p>
    <w:p>
      <w:pPr>
        <w:spacing w:line="620" w:lineRule="atLeast" w:before="18"/>
        <w:ind w:left="1117" w:right="712" w:firstLine="2"/>
        <w:jc w:val="left"/>
        <w:rPr>
          <w:rFonts w:ascii="宋体" w:hAnsi="宋体" w:cs="宋体" w:eastAsia="宋体" w:hint="default"/>
          <w:sz w:val="21"/>
          <w:szCs w:val="21"/>
        </w:rPr>
      </w:pPr>
      <w:r>
        <w:rPr>
          <w:rFonts w:ascii="宋体" w:hAnsi="宋体" w:cs="宋体" w:eastAsia="宋体" w:hint="default"/>
          <w:b/>
          <w:bCs/>
          <w:sz w:val="21"/>
          <w:szCs w:val="21"/>
        </w:rPr>
        <w:t>（三）证券发行与上市情况</w:t>
      </w:r>
      <w:r>
        <w:rPr>
          <w:rFonts w:ascii="宋体" w:hAnsi="宋体" w:cs="宋体" w:eastAsia="宋体" w:hint="default"/>
          <w:b/>
          <w:bCs/>
          <w:spacing w:val="1"/>
          <w:w w:val="99"/>
          <w:sz w:val="21"/>
          <w:szCs w:val="21"/>
        </w:rPr>
        <w:t> </w:t>
      </w:r>
      <w:r>
        <w:rPr>
          <w:rFonts w:ascii="宋体" w:hAnsi="宋体" w:cs="宋体" w:eastAsia="宋体" w:hint="default"/>
          <w:sz w:val="21"/>
          <w:szCs w:val="21"/>
        </w:rPr>
        <w:t>1、根据中国证券监督管理委员会证监许可【2009】952号文核准，公司于2009年9月向</w:t>
      </w:r>
    </w:p>
    <w:p>
      <w:pPr>
        <w:spacing w:line="240" w:lineRule="auto" w:before="10"/>
        <w:rPr>
          <w:rFonts w:ascii="宋体" w:hAnsi="宋体" w:cs="宋体" w:eastAsia="宋体" w:hint="default"/>
          <w:sz w:val="14"/>
          <w:szCs w:val="14"/>
        </w:rPr>
      </w:pPr>
    </w:p>
    <w:p>
      <w:pPr>
        <w:pStyle w:val="BodyText"/>
        <w:spacing w:line="408" w:lineRule="auto"/>
        <w:ind w:left="697" w:right="718"/>
        <w:jc w:val="left"/>
      </w:pPr>
      <w:r>
        <w:rPr/>
        <w:t>社会公开发行人民币普通股（A</w:t>
      </w:r>
      <w:r>
        <w:rPr>
          <w:spacing w:val="-6"/>
        </w:rPr>
        <w:t> </w:t>
      </w:r>
      <w:r>
        <w:rPr/>
        <w:t>股）3160万股，其中网下配售股份为632万股。根据《证券</w:t>
      </w:r>
      <w:r>
        <w:rPr/>
        <w:t> 发行与承销管理办法》的有关规定，网下配售股份于2010年2月1日起开始上市流通。</w:t>
      </w:r>
    </w:p>
    <w:p>
      <w:pPr>
        <w:spacing w:line="240" w:lineRule="auto" w:before="6"/>
        <w:rPr>
          <w:rFonts w:ascii="宋体" w:hAnsi="宋体" w:cs="宋体" w:eastAsia="宋体" w:hint="default"/>
          <w:sz w:val="15"/>
          <w:szCs w:val="15"/>
        </w:rPr>
      </w:pPr>
    </w:p>
    <w:p>
      <w:pPr>
        <w:pStyle w:val="BodyText"/>
        <w:spacing w:line="408" w:lineRule="auto"/>
        <w:ind w:left="697" w:right="713" w:firstLine="420"/>
        <w:jc w:val="both"/>
      </w:pPr>
      <w:r>
        <w:rPr>
          <w:spacing w:val="-3"/>
        </w:rPr>
        <w:t>2、公司首次公开发行股票前的股东甄岳宾先生持有的限售流通股计7,066,475股自公司</w:t>
      </w:r>
      <w:r>
        <w:rPr/>
        <w:t> 股票上市之日起限售一年，该等股份已于2010</w:t>
      </w:r>
      <w:r>
        <w:rPr>
          <w:spacing w:val="-4"/>
        </w:rPr>
        <w:t> </w:t>
      </w:r>
      <w:r>
        <w:rPr/>
        <w:t>年11月1日开始上市流通。</w:t>
      </w:r>
    </w:p>
    <w:p>
      <w:pPr>
        <w:spacing w:line="240" w:lineRule="auto" w:before="6"/>
        <w:rPr>
          <w:rFonts w:ascii="宋体" w:hAnsi="宋体" w:cs="宋体" w:eastAsia="宋体" w:hint="default"/>
          <w:sz w:val="15"/>
          <w:szCs w:val="15"/>
        </w:rPr>
      </w:pPr>
    </w:p>
    <w:p>
      <w:pPr>
        <w:pStyle w:val="BodyText"/>
        <w:spacing w:line="408" w:lineRule="auto"/>
        <w:ind w:left="697" w:right="710" w:firstLine="420"/>
        <w:jc w:val="both"/>
      </w:pPr>
      <w:r>
        <w:rPr/>
        <w:t>3、2010年4月8日，公司2009年度股东大会审议通过了《2009年度利润分配及资本公积 </w:t>
      </w:r>
      <w:r>
        <w:rPr>
          <w:spacing w:val="-2"/>
        </w:rPr>
        <w:t>金转增股本预案》，以2009年12月31日公司总股本12,640万股为基数，按每10股派发现金红</w:t>
      </w:r>
      <w:r>
        <w:rPr/>
        <w:t> 利3元（含税）；同时以资本公积金向全体股东每10股转增15股。利润分配及资本公积金转 增股本方案已于2010年4月内实施完毕，公司总股本增至31,600万股。</w:t>
      </w:r>
    </w:p>
    <w:p>
      <w:pPr>
        <w:pStyle w:val="Heading2"/>
        <w:spacing w:line="240" w:lineRule="auto" w:before="124"/>
        <w:ind w:left="697" w:right="712"/>
        <w:jc w:val="left"/>
        <w:rPr>
          <w:b w:val="0"/>
          <w:bCs w:val="0"/>
        </w:rPr>
      </w:pPr>
      <w:r>
        <w:rPr/>
        <w:t>二、公司前</w:t>
      </w:r>
      <w:r>
        <w:rPr>
          <w:spacing w:val="-57"/>
        </w:rPr>
        <w:t> </w:t>
      </w:r>
      <w:r>
        <w:rPr/>
        <w:t>10</w:t>
      </w:r>
      <w:r>
        <w:rPr>
          <w:spacing w:val="-56"/>
        </w:rPr>
        <w:t> </w:t>
      </w:r>
      <w:r>
        <w:rPr/>
        <w:t>名股东和前</w:t>
      </w:r>
      <w:r>
        <w:rPr>
          <w:spacing w:val="-56"/>
        </w:rPr>
        <w:t> </w:t>
      </w:r>
      <w:r>
        <w:rPr/>
        <w:t>10</w:t>
      </w:r>
      <w:r>
        <w:rPr>
          <w:spacing w:val="-56"/>
        </w:rPr>
        <w:t> </w:t>
      </w:r>
      <w:r>
        <w:rPr/>
        <w:t>名无限售条件股东情况介绍</w:t>
      </w:r>
      <w:r>
        <w:rPr>
          <w:b w:val="0"/>
          <w:bCs w:val="0"/>
        </w:rPr>
      </w:r>
    </w:p>
    <w:p>
      <w:pPr>
        <w:spacing w:line="240" w:lineRule="auto" w:before="12"/>
        <w:rPr>
          <w:rFonts w:ascii="宋体" w:hAnsi="宋体" w:cs="宋体" w:eastAsia="宋体" w:hint="default"/>
          <w:b/>
          <w:bCs/>
          <w:sz w:val="15"/>
          <w:szCs w:val="15"/>
        </w:rPr>
      </w:pPr>
    </w:p>
    <w:tbl>
      <w:tblPr>
        <w:tblW w:w="0" w:type="auto"/>
        <w:jc w:val="left"/>
        <w:tblInd w:w="377" w:type="dxa"/>
        <w:tblLayout w:type="fixed"/>
        <w:tblCellMar>
          <w:top w:w="0" w:type="dxa"/>
          <w:left w:w="0" w:type="dxa"/>
          <w:bottom w:w="0" w:type="dxa"/>
          <w:right w:w="0" w:type="dxa"/>
        </w:tblCellMar>
        <w:tblLook w:val="01E0"/>
      </w:tblPr>
      <w:tblGrid>
        <w:gridCol w:w="1640"/>
        <w:gridCol w:w="707"/>
        <w:gridCol w:w="1230"/>
        <w:gridCol w:w="1192"/>
        <w:gridCol w:w="1340"/>
        <w:gridCol w:w="1639"/>
        <w:gridCol w:w="1193"/>
      </w:tblGrid>
      <w:tr>
        <w:trPr>
          <w:trHeight w:val="502" w:hRule="exact"/>
        </w:trPr>
        <w:tc>
          <w:tcPr>
            <w:tcW w:w="2347" w:type="dxa"/>
            <w:gridSpan w:val="2"/>
            <w:tcBorders>
              <w:top w:val="single" w:sz="4" w:space="0" w:color="000000"/>
              <w:left w:val="single" w:sz="4" w:space="0" w:color="000000"/>
              <w:bottom w:val="single" w:sz="34" w:space="0" w:color="FFFFFF"/>
              <w:right w:val="single" w:sz="4" w:space="0" w:color="000000"/>
            </w:tcBorders>
            <w:shd w:val="clear" w:color="auto" w:fill="D9D9D9"/>
          </w:tcPr>
          <w:p>
            <w:pPr>
              <w:pStyle w:val="TableParagraph"/>
              <w:spacing w:line="240" w:lineRule="auto" w:before="81"/>
              <w:ind w:right="0"/>
              <w:jc w:val="center"/>
              <w:rPr>
                <w:rFonts w:ascii="宋体" w:hAnsi="宋体" w:cs="宋体" w:eastAsia="宋体" w:hint="default"/>
                <w:sz w:val="18"/>
                <w:szCs w:val="18"/>
              </w:rPr>
            </w:pPr>
            <w:r>
              <w:rPr>
                <w:rFonts w:ascii="宋体" w:hAnsi="宋体" w:cs="宋体" w:eastAsia="宋体" w:hint="default"/>
                <w:sz w:val="18"/>
                <w:szCs w:val="18"/>
              </w:rPr>
              <w:t>股东总数</w:t>
            </w:r>
          </w:p>
        </w:tc>
        <w:tc>
          <w:tcPr>
            <w:tcW w:w="6594" w:type="dxa"/>
            <w:gridSpan w:val="5"/>
            <w:tcBorders>
              <w:top w:val="single" w:sz="4" w:space="0" w:color="000000"/>
              <w:left w:val="single" w:sz="4" w:space="0" w:color="000000"/>
              <w:bottom w:val="single" w:sz="34" w:space="0" w:color="FFFFFF"/>
              <w:right w:val="single" w:sz="4" w:space="0" w:color="000000"/>
            </w:tcBorders>
            <w:shd w:val="clear" w:color="auto" w:fill="D9D9D9"/>
          </w:tcPr>
          <w:p>
            <w:pPr>
              <w:pStyle w:val="TableParagraph"/>
              <w:spacing w:line="240" w:lineRule="auto" w:before="81"/>
              <w:ind w:right="1"/>
              <w:jc w:val="center"/>
              <w:rPr>
                <w:rFonts w:ascii="宋体" w:hAnsi="宋体" w:cs="宋体" w:eastAsia="宋体" w:hint="default"/>
                <w:sz w:val="18"/>
                <w:szCs w:val="18"/>
              </w:rPr>
            </w:pPr>
            <w:r>
              <w:rPr>
                <w:rFonts w:ascii="宋体"/>
                <w:sz w:val="18"/>
              </w:rPr>
              <w:t>25,008</w:t>
            </w:r>
          </w:p>
        </w:tc>
      </w:tr>
      <w:tr>
        <w:trPr>
          <w:trHeight w:val="433" w:hRule="exact"/>
        </w:trPr>
        <w:tc>
          <w:tcPr>
            <w:tcW w:w="8941" w:type="dxa"/>
            <w:gridSpan w:val="7"/>
            <w:tcBorders>
              <w:top w:val="single" w:sz="34" w:space="0" w:color="FFFFFF"/>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名股东持股情况</w:t>
            </w:r>
          </w:p>
        </w:tc>
      </w:tr>
      <w:tr>
        <w:trPr>
          <w:trHeight w:val="635" w:hRule="exact"/>
        </w:trPr>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93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603"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304" w:right="0"/>
              <w:jc w:val="left"/>
              <w:rPr>
                <w:rFonts w:ascii="宋体" w:hAnsi="宋体" w:cs="宋体" w:eastAsia="宋体" w:hint="default"/>
                <w:sz w:val="18"/>
                <w:szCs w:val="18"/>
              </w:rPr>
            </w:pPr>
            <w:r>
              <w:rPr>
                <w:rFonts w:ascii="宋体" w:hAnsi="宋体" w:cs="宋体" w:eastAsia="宋体" w:hint="default"/>
                <w:sz w:val="18"/>
                <w:szCs w:val="18"/>
              </w:rPr>
              <w:t>持股总数</w:t>
            </w:r>
          </w:p>
        </w:tc>
        <w:tc>
          <w:tcPr>
            <w:tcW w:w="163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544" w:right="92" w:hanging="450"/>
              <w:jc w:val="left"/>
              <w:rPr>
                <w:rFonts w:ascii="宋体" w:hAnsi="宋体" w:cs="宋体" w:eastAsia="宋体" w:hint="default"/>
                <w:sz w:val="18"/>
                <w:szCs w:val="18"/>
              </w:rPr>
            </w:pPr>
            <w:r>
              <w:rPr>
                <w:rFonts w:ascii="宋体" w:hAnsi="宋体" w:cs="宋体" w:eastAsia="宋体" w:hint="default"/>
                <w:sz w:val="18"/>
                <w:szCs w:val="18"/>
              </w:rPr>
              <w:t>持有有限售条件股 份数量</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232" w:right="48" w:hanging="180"/>
              <w:jc w:val="left"/>
              <w:rPr>
                <w:rFonts w:ascii="宋体" w:hAnsi="宋体" w:cs="宋体" w:eastAsia="宋体" w:hint="default"/>
                <w:sz w:val="18"/>
                <w:szCs w:val="18"/>
              </w:rPr>
            </w:pPr>
            <w:r>
              <w:rPr>
                <w:rFonts w:ascii="宋体" w:hAnsi="宋体" w:cs="宋体" w:eastAsia="宋体" w:hint="default"/>
                <w:sz w:val="18"/>
                <w:szCs w:val="18"/>
              </w:rPr>
              <w:t>质押或冻结的 股份数量</w:t>
            </w:r>
          </w:p>
        </w:tc>
      </w:tr>
      <w:tr>
        <w:trPr>
          <w:trHeight w:val="568" w:hRule="exact"/>
        </w:trPr>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 w:right="0"/>
              <w:jc w:val="center"/>
              <w:rPr>
                <w:rFonts w:ascii="宋体" w:hAnsi="宋体" w:cs="宋体" w:eastAsia="宋体" w:hint="default"/>
                <w:sz w:val="18"/>
                <w:szCs w:val="18"/>
              </w:rPr>
            </w:pPr>
            <w:r>
              <w:rPr>
                <w:rFonts w:ascii="宋体" w:hAnsi="宋体" w:cs="宋体" w:eastAsia="宋体" w:hint="default"/>
                <w:sz w:val="18"/>
                <w:szCs w:val="18"/>
              </w:rPr>
              <w:t>李  力</w:t>
            </w:r>
          </w:p>
        </w:tc>
        <w:tc>
          <w:tcPr>
            <w:tcW w:w="193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51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20"/>
              <w:jc w:val="right"/>
              <w:rPr>
                <w:rFonts w:ascii="宋体" w:hAnsi="宋体" w:cs="宋体" w:eastAsia="宋体" w:hint="default"/>
                <w:sz w:val="18"/>
                <w:szCs w:val="18"/>
              </w:rPr>
            </w:pPr>
            <w:r>
              <w:rPr>
                <w:rFonts w:ascii="宋体"/>
                <w:sz w:val="18"/>
              </w:rPr>
              <w:t>13.93%</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20"/>
              <w:jc w:val="right"/>
              <w:rPr>
                <w:rFonts w:ascii="宋体" w:hAnsi="宋体" w:cs="宋体" w:eastAsia="宋体" w:hint="default"/>
                <w:sz w:val="18"/>
                <w:szCs w:val="18"/>
              </w:rPr>
            </w:pPr>
            <w:r>
              <w:rPr>
                <w:rFonts w:ascii="宋体"/>
                <w:sz w:val="18"/>
              </w:rPr>
              <w:t>44,024,140</w:t>
            </w:r>
          </w:p>
        </w:tc>
        <w:tc>
          <w:tcPr>
            <w:tcW w:w="1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20"/>
              <w:jc w:val="right"/>
              <w:rPr>
                <w:rFonts w:ascii="宋体" w:hAnsi="宋体" w:cs="宋体" w:eastAsia="宋体" w:hint="default"/>
                <w:sz w:val="18"/>
                <w:szCs w:val="18"/>
              </w:rPr>
            </w:pPr>
            <w:r>
              <w:rPr>
                <w:rFonts w:ascii="宋体"/>
                <w:sz w:val="18"/>
              </w:rPr>
              <w:t>44,024,140</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 w:right="0"/>
              <w:jc w:val="center"/>
              <w:rPr>
                <w:rFonts w:ascii="宋体" w:hAnsi="宋体" w:cs="宋体" w:eastAsia="宋体" w:hint="default"/>
                <w:sz w:val="18"/>
                <w:szCs w:val="18"/>
              </w:rPr>
            </w:pPr>
            <w:r>
              <w:rPr>
                <w:rFonts w:ascii="宋体"/>
                <w:sz w:val="18"/>
              </w:rPr>
              <w:t>0</w:t>
            </w:r>
          </w:p>
        </w:tc>
      </w:tr>
      <w:tr>
        <w:trPr>
          <w:trHeight w:val="568" w:hRule="exact"/>
        </w:trPr>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 w:right="0"/>
              <w:jc w:val="center"/>
              <w:rPr>
                <w:rFonts w:ascii="宋体" w:hAnsi="宋体" w:cs="宋体" w:eastAsia="宋体" w:hint="default"/>
                <w:sz w:val="18"/>
                <w:szCs w:val="18"/>
              </w:rPr>
            </w:pPr>
            <w:r>
              <w:rPr>
                <w:rFonts w:ascii="宋体" w:hAnsi="宋体" w:cs="宋体" w:eastAsia="宋体" w:hint="default"/>
                <w:sz w:val="18"/>
                <w:szCs w:val="18"/>
              </w:rPr>
              <w:t>王  宁</w:t>
            </w:r>
          </w:p>
        </w:tc>
        <w:tc>
          <w:tcPr>
            <w:tcW w:w="193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51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20"/>
              <w:jc w:val="right"/>
              <w:rPr>
                <w:rFonts w:ascii="宋体" w:hAnsi="宋体" w:cs="宋体" w:eastAsia="宋体" w:hint="default"/>
                <w:sz w:val="18"/>
                <w:szCs w:val="18"/>
              </w:rPr>
            </w:pPr>
            <w:r>
              <w:rPr>
                <w:rFonts w:ascii="宋体"/>
                <w:sz w:val="18"/>
              </w:rPr>
              <w:t>13.93%</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20"/>
              <w:jc w:val="right"/>
              <w:rPr>
                <w:rFonts w:ascii="宋体" w:hAnsi="宋体" w:cs="宋体" w:eastAsia="宋体" w:hint="default"/>
                <w:sz w:val="18"/>
                <w:szCs w:val="18"/>
              </w:rPr>
            </w:pPr>
            <w:r>
              <w:rPr>
                <w:rFonts w:ascii="宋体"/>
                <w:sz w:val="18"/>
              </w:rPr>
              <w:t>44,024,140</w:t>
            </w:r>
          </w:p>
        </w:tc>
        <w:tc>
          <w:tcPr>
            <w:tcW w:w="1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20"/>
              <w:jc w:val="right"/>
              <w:rPr>
                <w:rFonts w:ascii="宋体" w:hAnsi="宋体" w:cs="宋体" w:eastAsia="宋体" w:hint="default"/>
                <w:sz w:val="18"/>
                <w:szCs w:val="18"/>
              </w:rPr>
            </w:pPr>
            <w:r>
              <w:rPr>
                <w:rFonts w:ascii="宋体"/>
                <w:sz w:val="18"/>
              </w:rPr>
              <w:t>44,024,140</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 w:right="0"/>
              <w:jc w:val="center"/>
              <w:rPr>
                <w:rFonts w:ascii="宋体" w:hAnsi="宋体" w:cs="宋体" w:eastAsia="宋体" w:hint="default"/>
                <w:sz w:val="18"/>
                <w:szCs w:val="18"/>
              </w:rPr>
            </w:pPr>
            <w:r>
              <w:rPr>
                <w:rFonts w:ascii="宋体"/>
                <w:sz w:val="18"/>
              </w:rPr>
              <w:t>0</w:t>
            </w:r>
          </w:p>
        </w:tc>
      </w:tr>
      <w:tr>
        <w:trPr>
          <w:trHeight w:val="569" w:hRule="exact"/>
        </w:trPr>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 w:right="0"/>
              <w:jc w:val="center"/>
              <w:rPr>
                <w:rFonts w:ascii="宋体" w:hAnsi="宋体" w:cs="宋体" w:eastAsia="宋体" w:hint="default"/>
                <w:sz w:val="18"/>
                <w:szCs w:val="18"/>
              </w:rPr>
            </w:pPr>
            <w:r>
              <w:rPr>
                <w:rFonts w:ascii="宋体" w:hAnsi="宋体" w:cs="宋体" w:eastAsia="宋体" w:hint="default"/>
                <w:sz w:val="18"/>
                <w:szCs w:val="18"/>
              </w:rPr>
              <w:t>齐  强</w:t>
            </w:r>
          </w:p>
        </w:tc>
        <w:tc>
          <w:tcPr>
            <w:tcW w:w="193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51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20"/>
              <w:jc w:val="right"/>
              <w:rPr>
                <w:rFonts w:ascii="宋体" w:hAnsi="宋体" w:cs="宋体" w:eastAsia="宋体" w:hint="default"/>
                <w:sz w:val="18"/>
                <w:szCs w:val="18"/>
              </w:rPr>
            </w:pPr>
            <w:r>
              <w:rPr>
                <w:rFonts w:ascii="宋体"/>
                <w:sz w:val="18"/>
              </w:rPr>
              <w:t>7.30%</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20"/>
              <w:jc w:val="right"/>
              <w:rPr>
                <w:rFonts w:ascii="宋体" w:hAnsi="宋体" w:cs="宋体" w:eastAsia="宋体" w:hint="default"/>
                <w:sz w:val="18"/>
                <w:szCs w:val="18"/>
              </w:rPr>
            </w:pPr>
            <w:r>
              <w:rPr>
                <w:rFonts w:ascii="宋体"/>
                <w:sz w:val="18"/>
              </w:rPr>
              <w:t>23,062,825</w:t>
            </w:r>
          </w:p>
        </w:tc>
        <w:tc>
          <w:tcPr>
            <w:tcW w:w="1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20"/>
              <w:jc w:val="right"/>
              <w:rPr>
                <w:rFonts w:ascii="宋体" w:hAnsi="宋体" w:cs="宋体" w:eastAsia="宋体" w:hint="default"/>
                <w:sz w:val="18"/>
                <w:szCs w:val="18"/>
              </w:rPr>
            </w:pPr>
            <w:r>
              <w:rPr>
                <w:rFonts w:ascii="宋体"/>
                <w:sz w:val="18"/>
              </w:rPr>
              <w:t>23,062,825</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 w:right="0"/>
              <w:jc w:val="center"/>
              <w:rPr>
                <w:rFonts w:ascii="宋体" w:hAnsi="宋体" w:cs="宋体" w:eastAsia="宋体" w:hint="default"/>
                <w:sz w:val="18"/>
                <w:szCs w:val="18"/>
              </w:rPr>
            </w:pPr>
            <w:r>
              <w:rPr>
                <w:rFonts w:ascii="宋体"/>
                <w:sz w:val="18"/>
              </w:rPr>
              <w:t>0</w:t>
            </w:r>
          </w:p>
        </w:tc>
      </w:tr>
      <w:tr>
        <w:trPr>
          <w:trHeight w:val="568" w:hRule="exact"/>
        </w:trPr>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 w:right="0"/>
              <w:jc w:val="center"/>
              <w:rPr>
                <w:rFonts w:ascii="宋体" w:hAnsi="宋体" w:cs="宋体" w:eastAsia="宋体" w:hint="default"/>
                <w:sz w:val="18"/>
                <w:szCs w:val="18"/>
              </w:rPr>
            </w:pPr>
            <w:r>
              <w:rPr>
                <w:rFonts w:ascii="宋体" w:hAnsi="宋体" w:cs="宋体" w:eastAsia="宋体" w:hint="default"/>
                <w:sz w:val="18"/>
                <w:szCs w:val="18"/>
              </w:rPr>
              <w:t>黄松浪</w:t>
            </w:r>
          </w:p>
        </w:tc>
        <w:tc>
          <w:tcPr>
            <w:tcW w:w="193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51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20"/>
              <w:jc w:val="right"/>
              <w:rPr>
                <w:rFonts w:ascii="宋体" w:hAnsi="宋体" w:cs="宋体" w:eastAsia="宋体" w:hint="default"/>
                <w:sz w:val="18"/>
                <w:szCs w:val="18"/>
              </w:rPr>
            </w:pPr>
            <w:r>
              <w:rPr>
                <w:rFonts w:ascii="宋体"/>
                <w:sz w:val="18"/>
              </w:rPr>
              <w:t>6.13%</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20"/>
              <w:jc w:val="right"/>
              <w:rPr>
                <w:rFonts w:ascii="宋体" w:hAnsi="宋体" w:cs="宋体" w:eastAsia="宋体" w:hint="default"/>
                <w:sz w:val="18"/>
                <w:szCs w:val="18"/>
              </w:rPr>
            </w:pPr>
            <w:r>
              <w:rPr>
                <w:rFonts w:ascii="宋体"/>
                <w:sz w:val="18"/>
              </w:rPr>
              <w:t>19,360,230</w:t>
            </w:r>
          </w:p>
        </w:tc>
        <w:tc>
          <w:tcPr>
            <w:tcW w:w="1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20"/>
              <w:jc w:val="right"/>
              <w:rPr>
                <w:rFonts w:ascii="宋体" w:hAnsi="宋体" w:cs="宋体" w:eastAsia="宋体" w:hint="default"/>
                <w:sz w:val="18"/>
                <w:szCs w:val="18"/>
              </w:rPr>
            </w:pPr>
            <w:r>
              <w:rPr>
                <w:rFonts w:ascii="宋体"/>
                <w:sz w:val="18"/>
              </w:rPr>
              <w:t>19,360,230</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 w:right="0"/>
              <w:jc w:val="center"/>
              <w:rPr>
                <w:rFonts w:ascii="宋体" w:hAnsi="宋体" w:cs="宋体" w:eastAsia="宋体" w:hint="default"/>
                <w:sz w:val="18"/>
                <w:szCs w:val="18"/>
              </w:rPr>
            </w:pPr>
            <w:r>
              <w:rPr>
                <w:rFonts w:ascii="宋体"/>
                <w:sz w:val="18"/>
              </w:rPr>
              <w:t>0</w:t>
            </w:r>
          </w:p>
        </w:tc>
      </w:tr>
      <w:tr>
        <w:trPr>
          <w:trHeight w:val="569" w:hRule="exact"/>
        </w:trPr>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 w:right="0"/>
              <w:jc w:val="center"/>
              <w:rPr>
                <w:rFonts w:ascii="宋体" w:hAnsi="宋体" w:cs="宋体" w:eastAsia="宋体" w:hint="default"/>
                <w:sz w:val="18"/>
                <w:szCs w:val="18"/>
              </w:rPr>
            </w:pPr>
            <w:r>
              <w:rPr>
                <w:rFonts w:ascii="宋体" w:hAnsi="宋体" w:cs="宋体" w:eastAsia="宋体" w:hint="default"/>
                <w:sz w:val="18"/>
                <w:szCs w:val="18"/>
              </w:rPr>
              <w:t>王国华</w:t>
            </w:r>
          </w:p>
        </w:tc>
        <w:tc>
          <w:tcPr>
            <w:tcW w:w="193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51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20"/>
              <w:jc w:val="right"/>
              <w:rPr>
                <w:rFonts w:ascii="宋体" w:hAnsi="宋体" w:cs="宋体" w:eastAsia="宋体" w:hint="default"/>
                <w:sz w:val="18"/>
                <w:szCs w:val="18"/>
              </w:rPr>
            </w:pPr>
            <w:r>
              <w:rPr>
                <w:rFonts w:ascii="宋体"/>
                <w:sz w:val="18"/>
              </w:rPr>
              <w:t>5.80%</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20"/>
              <w:jc w:val="right"/>
              <w:rPr>
                <w:rFonts w:ascii="宋体" w:hAnsi="宋体" w:cs="宋体" w:eastAsia="宋体" w:hint="default"/>
                <w:sz w:val="18"/>
                <w:szCs w:val="18"/>
              </w:rPr>
            </w:pPr>
            <w:r>
              <w:rPr>
                <w:rFonts w:ascii="宋体"/>
                <w:sz w:val="18"/>
              </w:rPr>
              <w:t>18,314,770</w:t>
            </w:r>
          </w:p>
        </w:tc>
        <w:tc>
          <w:tcPr>
            <w:tcW w:w="1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20"/>
              <w:jc w:val="right"/>
              <w:rPr>
                <w:rFonts w:ascii="宋体" w:hAnsi="宋体" w:cs="宋体" w:eastAsia="宋体" w:hint="default"/>
                <w:sz w:val="18"/>
                <w:szCs w:val="18"/>
              </w:rPr>
            </w:pPr>
            <w:r>
              <w:rPr>
                <w:rFonts w:ascii="宋体"/>
                <w:sz w:val="18"/>
              </w:rPr>
              <w:t>18,314,770</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 w:right="0"/>
              <w:jc w:val="center"/>
              <w:rPr>
                <w:rFonts w:ascii="宋体" w:hAnsi="宋体" w:cs="宋体" w:eastAsia="宋体" w:hint="default"/>
                <w:sz w:val="18"/>
                <w:szCs w:val="18"/>
              </w:rPr>
            </w:pPr>
            <w:r>
              <w:rPr>
                <w:rFonts w:ascii="宋体"/>
                <w:sz w:val="18"/>
              </w:rPr>
              <w:t>0</w:t>
            </w:r>
          </w:p>
        </w:tc>
      </w:tr>
    </w:tbl>
    <w:p>
      <w:pPr>
        <w:spacing w:after="0" w:line="240" w:lineRule="auto"/>
        <w:jc w:val="center"/>
        <w:rPr>
          <w:rFonts w:ascii="宋体" w:hAnsi="宋体" w:cs="宋体" w:eastAsia="宋体" w:hint="default"/>
          <w:sz w:val="18"/>
          <w:szCs w:val="18"/>
        </w:rPr>
        <w:sectPr>
          <w:pgSz w:w="11910" w:h="16840"/>
          <w:pgMar w:header="851" w:footer="982" w:top="1300" w:bottom="1180" w:left="1100" w:right="1080"/>
        </w:sectPr>
      </w:pPr>
    </w:p>
    <w:tbl>
      <w:tblPr>
        <w:tblW w:w="0" w:type="auto"/>
        <w:jc w:val="left"/>
        <w:tblInd w:w="117" w:type="dxa"/>
        <w:tblLayout w:type="fixed"/>
        <w:tblCellMar>
          <w:top w:w="0" w:type="dxa"/>
          <w:left w:w="0" w:type="dxa"/>
          <w:bottom w:w="0" w:type="dxa"/>
          <w:right w:w="0" w:type="dxa"/>
        </w:tblCellMar>
        <w:tblLook w:val="01E0"/>
      </w:tblPr>
      <w:tblGrid>
        <w:gridCol w:w="1640"/>
        <w:gridCol w:w="707"/>
        <w:gridCol w:w="1230"/>
        <w:gridCol w:w="1192"/>
        <w:gridCol w:w="1340"/>
        <w:gridCol w:w="1639"/>
        <w:gridCol w:w="1193"/>
      </w:tblGrid>
      <w:tr>
        <w:trPr>
          <w:trHeight w:val="576" w:hRule="exact"/>
        </w:trPr>
        <w:tc>
          <w:tcPr>
            <w:tcW w:w="164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33"/>
              <w:ind w:left="546" w:right="0"/>
              <w:jc w:val="left"/>
              <w:rPr>
                <w:rFonts w:ascii="宋体" w:hAnsi="宋体" w:cs="宋体" w:eastAsia="宋体" w:hint="default"/>
                <w:sz w:val="18"/>
                <w:szCs w:val="18"/>
              </w:rPr>
            </w:pPr>
            <w:r>
              <w:rPr>
                <w:rFonts w:ascii="宋体" w:hAnsi="宋体" w:cs="宋体" w:eastAsia="宋体" w:hint="default"/>
                <w:sz w:val="18"/>
                <w:szCs w:val="18"/>
              </w:rPr>
              <w:t>万  能</w:t>
            </w:r>
          </w:p>
        </w:tc>
        <w:tc>
          <w:tcPr>
            <w:tcW w:w="1937" w:type="dxa"/>
            <w:gridSpan w:val="2"/>
            <w:tcBorders>
              <w:top w:val="single" w:sz="10" w:space="0" w:color="000000"/>
              <w:left w:val="single" w:sz="4" w:space="0" w:color="000000"/>
              <w:bottom w:val="single" w:sz="4" w:space="0" w:color="000000"/>
              <w:right w:val="single" w:sz="4" w:space="0" w:color="000000"/>
            </w:tcBorders>
          </w:tcPr>
          <w:p>
            <w:pPr>
              <w:pStyle w:val="TableParagraph"/>
              <w:spacing w:line="240" w:lineRule="auto" w:before="133"/>
              <w:ind w:left="51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19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33"/>
              <w:ind w:right="20"/>
              <w:jc w:val="right"/>
              <w:rPr>
                <w:rFonts w:ascii="宋体" w:hAnsi="宋体" w:cs="宋体" w:eastAsia="宋体" w:hint="default"/>
                <w:sz w:val="18"/>
                <w:szCs w:val="18"/>
              </w:rPr>
            </w:pPr>
            <w:r>
              <w:rPr>
                <w:rFonts w:ascii="宋体"/>
                <w:sz w:val="18"/>
              </w:rPr>
              <w:t>4.90%</w:t>
            </w:r>
          </w:p>
        </w:tc>
        <w:tc>
          <w:tcPr>
            <w:tcW w:w="134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33"/>
              <w:ind w:right="20"/>
              <w:jc w:val="right"/>
              <w:rPr>
                <w:rFonts w:ascii="宋体" w:hAnsi="宋体" w:cs="宋体" w:eastAsia="宋体" w:hint="default"/>
                <w:sz w:val="18"/>
                <w:szCs w:val="18"/>
              </w:rPr>
            </w:pPr>
            <w:r>
              <w:rPr>
                <w:rFonts w:ascii="宋体"/>
                <w:sz w:val="18"/>
              </w:rPr>
              <w:t>15,488,180</w:t>
            </w:r>
          </w:p>
        </w:tc>
        <w:tc>
          <w:tcPr>
            <w:tcW w:w="163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33"/>
              <w:ind w:right="20"/>
              <w:jc w:val="right"/>
              <w:rPr>
                <w:rFonts w:ascii="宋体" w:hAnsi="宋体" w:cs="宋体" w:eastAsia="宋体" w:hint="default"/>
                <w:sz w:val="18"/>
                <w:szCs w:val="18"/>
              </w:rPr>
            </w:pPr>
            <w:r>
              <w:rPr>
                <w:rFonts w:ascii="宋体"/>
                <w:sz w:val="18"/>
              </w:rPr>
              <w:t>15,488,180</w:t>
            </w:r>
          </w:p>
        </w:tc>
        <w:tc>
          <w:tcPr>
            <w:tcW w:w="119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33"/>
              <w:ind w:left="1" w:right="0"/>
              <w:jc w:val="center"/>
              <w:rPr>
                <w:rFonts w:ascii="宋体" w:hAnsi="宋体" w:cs="宋体" w:eastAsia="宋体" w:hint="default"/>
                <w:sz w:val="18"/>
                <w:szCs w:val="18"/>
              </w:rPr>
            </w:pPr>
            <w:r>
              <w:rPr>
                <w:rFonts w:ascii="宋体"/>
                <w:sz w:val="18"/>
              </w:rPr>
              <w:t>0</w:t>
            </w:r>
          </w:p>
        </w:tc>
      </w:tr>
      <w:tr>
        <w:trPr>
          <w:trHeight w:val="568" w:hRule="exact"/>
        </w:trPr>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545" w:right="0"/>
              <w:jc w:val="left"/>
              <w:rPr>
                <w:rFonts w:ascii="宋体" w:hAnsi="宋体" w:cs="宋体" w:eastAsia="宋体" w:hint="default"/>
                <w:sz w:val="18"/>
                <w:szCs w:val="18"/>
              </w:rPr>
            </w:pPr>
            <w:r>
              <w:rPr>
                <w:rFonts w:ascii="宋体" w:hAnsi="宋体" w:cs="宋体" w:eastAsia="宋体" w:hint="default"/>
                <w:sz w:val="18"/>
                <w:szCs w:val="18"/>
              </w:rPr>
              <w:t>徐斯平</w:t>
            </w:r>
          </w:p>
        </w:tc>
        <w:tc>
          <w:tcPr>
            <w:tcW w:w="193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51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20"/>
              <w:jc w:val="right"/>
              <w:rPr>
                <w:rFonts w:ascii="宋体" w:hAnsi="宋体" w:cs="宋体" w:eastAsia="宋体" w:hint="default"/>
                <w:sz w:val="18"/>
                <w:szCs w:val="18"/>
              </w:rPr>
            </w:pPr>
            <w:r>
              <w:rPr>
                <w:rFonts w:ascii="宋体"/>
                <w:sz w:val="18"/>
              </w:rPr>
              <w:t>4.10%</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20"/>
              <w:jc w:val="right"/>
              <w:rPr>
                <w:rFonts w:ascii="宋体" w:hAnsi="宋体" w:cs="宋体" w:eastAsia="宋体" w:hint="default"/>
                <w:sz w:val="18"/>
                <w:szCs w:val="18"/>
              </w:rPr>
            </w:pPr>
            <w:r>
              <w:rPr>
                <w:rFonts w:ascii="宋体"/>
                <w:sz w:val="18"/>
              </w:rPr>
              <w:t>12,955,200</w:t>
            </w:r>
          </w:p>
        </w:tc>
        <w:tc>
          <w:tcPr>
            <w:tcW w:w="1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20"/>
              <w:jc w:val="right"/>
              <w:rPr>
                <w:rFonts w:ascii="宋体" w:hAnsi="宋体" w:cs="宋体" w:eastAsia="宋体" w:hint="default"/>
                <w:sz w:val="18"/>
                <w:szCs w:val="18"/>
              </w:rPr>
            </w:pPr>
            <w:r>
              <w:rPr>
                <w:rFonts w:ascii="宋体"/>
                <w:sz w:val="18"/>
              </w:rPr>
              <w:t>12,955,200</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 w:right="0"/>
              <w:jc w:val="center"/>
              <w:rPr>
                <w:rFonts w:ascii="宋体" w:hAnsi="宋体" w:cs="宋体" w:eastAsia="宋体" w:hint="default"/>
                <w:sz w:val="18"/>
                <w:szCs w:val="18"/>
              </w:rPr>
            </w:pPr>
            <w:r>
              <w:rPr>
                <w:rFonts w:ascii="宋体"/>
                <w:sz w:val="18"/>
              </w:rPr>
              <w:t>0</w:t>
            </w:r>
          </w:p>
        </w:tc>
      </w:tr>
      <w:tr>
        <w:trPr>
          <w:trHeight w:val="568" w:hRule="exact"/>
        </w:trPr>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545" w:right="0"/>
              <w:jc w:val="left"/>
              <w:rPr>
                <w:rFonts w:ascii="宋体" w:hAnsi="宋体" w:cs="宋体" w:eastAsia="宋体" w:hint="default"/>
                <w:sz w:val="18"/>
                <w:szCs w:val="18"/>
              </w:rPr>
            </w:pPr>
            <w:r>
              <w:rPr>
                <w:rFonts w:ascii="宋体" w:hAnsi="宋体" w:cs="宋体" w:eastAsia="宋体" w:hint="default"/>
                <w:sz w:val="18"/>
                <w:szCs w:val="18"/>
              </w:rPr>
              <w:t>汪  铖</w:t>
            </w:r>
          </w:p>
        </w:tc>
        <w:tc>
          <w:tcPr>
            <w:tcW w:w="193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51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20"/>
              <w:jc w:val="right"/>
              <w:rPr>
                <w:rFonts w:ascii="宋体" w:hAnsi="宋体" w:cs="宋体" w:eastAsia="宋体" w:hint="default"/>
                <w:sz w:val="18"/>
                <w:szCs w:val="18"/>
              </w:rPr>
            </w:pPr>
            <w:r>
              <w:rPr>
                <w:rFonts w:ascii="宋体"/>
                <w:sz w:val="18"/>
              </w:rPr>
              <w:t>3.25%</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20"/>
              <w:jc w:val="right"/>
              <w:rPr>
                <w:rFonts w:ascii="宋体" w:hAnsi="宋体" w:cs="宋体" w:eastAsia="宋体" w:hint="default"/>
                <w:sz w:val="18"/>
                <w:szCs w:val="18"/>
              </w:rPr>
            </w:pPr>
            <w:r>
              <w:rPr>
                <w:rFonts w:ascii="宋体"/>
                <w:sz w:val="18"/>
              </w:rPr>
              <w:t>10,257,860</w:t>
            </w:r>
          </w:p>
        </w:tc>
        <w:tc>
          <w:tcPr>
            <w:tcW w:w="1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20"/>
              <w:jc w:val="right"/>
              <w:rPr>
                <w:rFonts w:ascii="宋体" w:hAnsi="宋体" w:cs="宋体" w:eastAsia="宋体" w:hint="default"/>
                <w:sz w:val="18"/>
                <w:szCs w:val="18"/>
              </w:rPr>
            </w:pPr>
            <w:r>
              <w:rPr>
                <w:rFonts w:ascii="宋体"/>
                <w:sz w:val="18"/>
              </w:rPr>
              <w:t>10,257,860</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 w:right="0"/>
              <w:jc w:val="center"/>
              <w:rPr>
                <w:rFonts w:ascii="宋体" w:hAnsi="宋体" w:cs="宋体" w:eastAsia="宋体" w:hint="default"/>
                <w:sz w:val="18"/>
                <w:szCs w:val="18"/>
              </w:rPr>
            </w:pPr>
            <w:r>
              <w:rPr>
                <w:rFonts w:ascii="宋体"/>
                <w:sz w:val="18"/>
              </w:rPr>
              <w:t>0</w:t>
            </w:r>
          </w:p>
        </w:tc>
      </w:tr>
      <w:tr>
        <w:trPr>
          <w:trHeight w:val="569" w:hRule="exact"/>
        </w:trPr>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545" w:right="0"/>
              <w:jc w:val="left"/>
              <w:rPr>
                <w:rFonts w:ascii="宋体" w:hAnsi="宋体" w:cs="宋体" w:eastAsia="宋体" w:hint="default"/>
                <w:sz w:val="18"/>
                <w:szCs w:val="18"/>
              </w:rPr>
            </w:pPr>
            <w:r>
              <w:rPr>
                <w:rFonts w:ascii="宋体" w:hAnsi="宋体" w:cs="宋体" w:eastAsia="宋体" w:hint="default"/>
                <w:sz w:val="18"/>
                <w:szCs w:val="18"/>
              </w:rPr>
              <w:t>赵  林</w:t>
            </w:r>
          </w:p>
        </w:tc>
        <w:tc>
          <w:tcPr>
            <w:tcW w:w="193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51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20"/>
              <w:jc w:val="right"/>
              <w:rPr>
                <w:rFonts w:ascii="宋体" w:hAnsi="宋体" w:cs="宋体" w:eastAsia="宋体" w:hint="default"/>
                <w:sz w:val="18"/>
                <w:szCs w:val="18"/>
              </w:rPr>
            </w:pPr>
            <w:r>
              <w:rPr>
                <w:rFonts w:ascii="宋体"/>
                <w:sz w:val="18"/>
              </w:rPr>
              <w:t>2.24%</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20"/>
              <w:jc w:val="right"/>
              <w:rPr>
                <w:rFonts w:ascii="宋体" w:hAnsi="宋体" w:cs="宋体" w:eastAsia="宋体" w:hint="default"/>
                <w:sz w:val="18"/>
                <w:szCs w:val="18"/>
              </w:rPr>
            </w:pPr>
            <w:r>
              <w:rPr>
                <w:rFonts w:ascii="宋体"/>
                <w:sz w:val="18"/>
              </w:rPr>
              <w:t>7,066,475</w:t>
            </w:r>
          </w:p>
        </w:tc>
        <w:tc>
          <w:tcPr>
            <w:tcW w:w="1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20"/>
              <w:jc w:val="right"/>
              <w:rPr>
                <w:rFonts w:ascii="宋体" w:hAnsi="宋体" w:cs="宋体" w:eastAsia="宋体" w:hint="default"/>
                <w:sz w:val="18"/>
                <w:szCs w:val="18"/>
              </w:rPr>
            </w:pPr>
            <w:r>
              <w:rPr>
                <w:rFonts w:ascii="宋体"/>
                <w:sz w:val="18"/>
              </w:rPr>
              <w:t>7,066,475</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 w:right="0"/>
              <w:jc w:val="center"/>
              <w:rPr>
                <w:rFonts w:ascii="宋体" w:hAnsi="宋体" w:cs="宋体" w:eastAsia="宋体" w:hint="default"/>
                <w:sz w:val="18"/>
                <w:szCs w:val="18"/>
              </w:rPr>
            </w:pPr>
            <w:r>
              <w:rPr>
                <w:rFonts w:ascii="宋体"/>
                <w:sz w:val="18"/>
              </w:rPr>
              <w:t>0</w:t>
            </w:r>
          </w:p>
        </w:tc>
      </w:tr>
      <w:tr>
        <w:trPr>
          <w:trHeight w:val="695" w:hRule="exact"/>
        </w:trPr>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0"/>
              <w:ind w:left="455" w:right="92" w:hanging="360"/>
              <w:jc w:val="left"/>
              <w:rPr>
                <w:rFonts w:ascii="宋体" w:hAnsi="宋体" w:cs="宋体" w:eastAsia="宋体" w:hint="default"/>
                <w:sz w:val="18"/>
                <w:szCs w:val="18"/>
              </w:rPr>
            </w:pPr>
            <w:r>
              <w:rPr>
                <w:rFonts w:ascii="宋体" w:hAnsi="宋体" w:cs="宋体" w:eastAsia="宋体" w:hint="default"/>
                <w:sz w:val="18"/>
                <w:szCs w:val="18"/>
              </w:rPr>
              <w:t>汇金立方资本管理 有限公司</w:t>
            </w:r>
          </w:p>
        </w:tc>
        <w:tc>
          <w:tcPr>
            <w:tcW w:w="193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0" w:lineRule="auto"/>
              <w:ind w:left="423" w:right="0"/>
              <w:jc w:val="left"/>
              <w:rPr>
                <w:rFonts w:ascii="宋体" w:hAnsi="宋体" w:cs="宋体" w:eastAsia="宋体" w:hint="default"/>
                <w:sz w:val="18"/>
                <w:szCs w:val="18"/>
              </w:rPr>
            </w:pPr>
            <w:r>
              <w:rPr>
                <w:rFonts w:ascii="宋体" w:hAnsi="宋体" w:cs="宋体" w:eastAsia="宋体" w:hint="default"/>
                <w:sz w:val="18"/>
                <w:szCs w:val="18"/>
              </w:rPr>
              <w:t>境内一般法人</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2.14%</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6,750,000</w:t>
            </w:r>
          </w:p>
        </w:tc>
        <w:tc>
          <w:tcPr>
            <w:tcW w:w="1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6,750,000</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sz w:val="18"/>
              </w:rPr>
              <w:t>0</w:t>
            </w:r>
          </w:p>
        </w:tc>
      </w:tr>
      <w:tr>
        <w:trPr>
          <w:trHeight w:val="511" w:hRule="exact"/>
        </w:trPr>
        <w:tc>
          <w:tcPr>
            <w:tcW w:w="8941" w:type="dxa"/>
            <w:gridSpan w:val="7"/>
            <w:tcBorders>
              <w:top w:val="single" w:sz="4" w:space="0" w:color="000000"/>
              <w:left w:val="single" w:sz="4" w:space="0" w:color="000000"/>
              <w:bottom w:val="single" w:sz="33" w:space="0" w:color="FFFFFF"/>
              <w:right w:val="single" w:sz="4" w:space="0" w:color="000000"/>
            </w:tcBorders>
            <w:shd w:val="clear" w:color="auto" w:fill="D9D9D9"/>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名无限售条件股东持股情况</w:t>
            </w:r>
          </w:p>
        </w:tc>
      </w:tr>
      <w:tr>
        <w:trPr>
          <w:trHeight w:val="431" w:hRule="exact"/>
        </w:trPr>
        <w:tc>
          <w:tcPr>
            <w:tcW w:w="3577" w:type="dxa"/>
            <w:gridSpan w:val="3"/>
            <w:tcBorders>
              <w:top w:val="single" w:sz="33" w:space="0" w:color="FFFFFF"/>
              <w:left w:val="single" w:sz="4" w:space="0" w:color="000000"/>
              <w:bottom w:val="single" w:sz="4" w:space="0" w:color="000000"/>
              <w:right w:val="single" w:sz="4" w:space="0" w:color="000000"/>
            </w:tcBorders>
            <w:shd w:val="clear" w:color="auto" w:fill="D9D9D9"/>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2532" w:type="dxa"/>
            <w:gridSpan w:val="2"/>
            <w:tcBorders>
              <w:top w:val="single" w:sz="33" w:space="0" w:color="FFFFFF"/>
              <w:left w:val="single" w:sz="4" w:space="0" w:color="000000"/>
              <w:bottom w:val="single" w:sz="4" w:space="0" w:color="000000"/>
              <w:right w:val="single" w:sz="4" w:space="0" w:color="000000"/>
            </w:tcBorders>
            <w:shd w:val="clear" w:color="auto" w:fill="D9D9D9"/>
          </w:tcPr>
          <w:p>
            <w:pPr>
              <w:pStyle w:val="TableParagraph"/>
              <w:spacing w:line="240" w:lineRule="auto" w:before="10"/>
              <w:ind w:left="271" w:right="0"/>
              <w:jc w:val="left"/>
              <w:rPr>
                <w:rFonts w:ascii="宋体" w:hAnsi="宋体" w:cs="宋体" w:eastAsia="宋体" w:hint="default"/>
                <w:sz w:val="18"/>
                <w:szCs w:val="18"/>
              </w:rPr>
            </w:pPr>
            <w:r>
              <w:rPr>
                <w:rFonts w:ascii="宋体" w:hAnsi="宋体" w:cs="宋体" w:eastAsia="宋体" w:hint="default"/>
                <w:sz w:val="18"/>
                <w:szCs w:val="18"/>
              </w:rPr>
              <w:t>持有无限售条件股份数量</w:t>
            </w:r>
          </w:p>
        </w:tc>
        <w:tc>
          <w:tcPr>
            <w:tcW w:w="2832" w:type="dxa"/>
            <w:gridSpan w:val="2"/>
            <w:tcBorders>
              <w:top w:val="single" w:sz="33" w:space="0" w:color="FFFFFF"/>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634" w:hRule="exact"/>
        </w:trPr>
        <w:tc>
          <w:tcPr>
            <w:tcW w:w="3577" w:type="dxa"/>
            <w:gridSpan w:val="3"/>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4" w:right="21"/>
              <w:jc w:val="left"/>
              <w:rPr>
                <w:rFonts w:ascii="宋体" w:hAnsi="宋体" w:cs="宋体" w:eastAsia="宋体" w:hint="default"/>
                <w:sz w:val="18"/>
                <w:szCs w:val="18"/>
              </w:rPr>
            </w:pPr>
            <w:r>
              <w:rPr>
                <w:rFonts w:ascii="宋体" w:hAnsi="宋体" w:cs="宋体" w:eastAsia="宋体" w:hint="default"/>
                <w:spacing w:val="5"/>
                <w:sz w:val="18"/>
                <w:szCs w:val="18"/>
              </w:rPr>
              <w:t>中国建设银行－银华核心价值优选股票型证</w:t>
            </w:r>
            <w:r>
              <w:rPr>
                <w:rFonts w:ascii="宋体" w:hAnsi="宋体" w:cs="宋体" w:eastAsia="宋体" w:hint="default"/>
                <w:sz w:val="18"/>
                <w:szCs w:val="18"/>
              </w:rPr>
              <w:t> 券投资基金</w:t>
            </w:r>
          </w:p>
        </w:tc>
        <w:tc>
          <w:tcPr>
            <w:tcW w:w="253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6,509,788</w:t>
            </w:r>
          </w:p>
        </w:tc>
        <w:tc>
          <w:tcPr>
            <w:tcW w:w="283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87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2" w:hRule="exact"/>
        </w:trPr>
        <w:tc>
          <w:tcPr>
            <w:tcW w:w="357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刘赛琦</w:t>
            </w:r>
          </w:p>
        </w:tc>
        <w:tc>
          <w:tcPr>
            <w:tcW w:w="253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6,150,000</w:t>
            </w:r>
          </w:p>
        </w:tc>
        <w:tc>
          <w:tcPr>
            <w:tcW w:w="283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7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635" w:hRule="exact"/>
        </w:trPr>
        <w:tc>
          <w:tcPr>
            <w:tcW w:w="3577" w:type="dxa"/>
            <w:gridSpan w:val="3"/>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4" w:right="21"/>
              <w:jc w:val="left"/>
              <w:rPr>
                <w:rFonts w:ascii="宋体" w:hAnsi="宋体" w:cs="宋体" w:eastAsia="宋体" w:hint="default"/>
                <w:sz w:val="18"/>
                <w:szCs w:val="18"/>
              </w:rPr>
            </w:pPr>
            <w:r>
              <w:rPr>
                <w:rFonts w:ascii="宋体" w:hAnsi="宋体" w:cs="宋体" w:eastAsia="宋体" w:hint="default"/>
                <w:spacing w:val="5"/>
                <w:sz w:val="18"/>
                <w:szCs w:val="18"/>
              </w:rPr>
              <w:t>中国银行－银华优质增长股票型证券投资基</w:t>
            </w:r>
            <w:r>
              <w:rPr>
                <w:rFonts w:ascii="宋体" w:hAnsi="宋体" w:cs="宋体" w:eastAsia="宋体" w:hint="default"/>
                <w:sz w:val="18"/>
                <w:szCs w:val="18"/>
              </w:rPr>
              <w:t> 金</w:t>
            </w:r>
          </w:p>
        </w:tc>
        <w:tc>
          <w:tcPr>
            <w:tcW w:w="253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5,230,000</w:t>
            </w:r>
          </w:p>
        </w:tc>
        <w:tc>
          <w:tcPr>
            <w:tcW w:w="283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87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634" w:hRule="exact"/>
        </w:trPr>
        <w:tc>
          <w:tcPr>
            <w:tcW w:w="3577" w:type="dxa"/>
            <w:gridSpan w:val="3"/>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4" w:right="21"/>
              <w:jc w:val="left"/>
              <w:rPr>
                <w:rFonts w:ascii="宋体" w:hAnsi="宋体" w:cs="宋体" w:eastAsia="宋体" w:hint="default"/>
                <w:sz w:val="18"/>
                <w:szCs w:val="18"/>
              </w:rPr>
            </w:pPr>
            <w:r>
              <w:rPr>
                <w:rFonts w:ascii="宋体" w:hAnsi="宋体" w:cs="宋体" w:eastAsia="宋体" w:hint="default"/>
                <w:spacing w:val="5"/>
                <w:sz w:val="18"/>
                <w:szCs w:val="18"/>
              </w:rPr>
              <w:t>中国建设银行－交银施罗德稳健配置混合型</w:t>
            </w:r>
            <w:r>
              <w:rPr>
                <w:rFonts w:ascii="宋体" w:hAnsi="宋体" w:cs="宋体" w:eastAsia="宋体" w:hint="default"/>
                <w:sz w:val="18"/>
                <w:szCs w:val="18"/>
              </w:rPr>
              <w:t> 证券投资基金</w:t>
            </w:r>
          </w:p>
        </w:tc>
        <w:tc>
          <w:tcPr>
            <w:tcW w:w="253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2,999,921</w:t>
            </w:r>
          </w:p>
        </w:tc>
        <w:tc>
          <w:tcPr>
            <w:tcW w:w="283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87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634" w:hRule="exact"/>
        </w:trPr>
        <w:tc>
          <w:tcPr>
            <w:tcW w:w="3577" w:type="dxa"/>
            <w:gridSpan w:val="3"/>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4" w:right="21"/>
              <w:jc w:val="left"/>
              <w:rPr>
                <w:rFonts w:ascii="宋体" w:hAnsi="宋体" w:cs="宋体" w:eastAsia="宋体" w:hint="default"/>
                <w:sz w:val="18"/>
                <w:szCs w:val="18"/>
              </w:rPr>
            </w:pPr>
            <w:r>
              <w:rPr>
                <w:rFonts w:ascii="宋体" w:hAnsi="宋体" w:cs="宋体" w:eastAsia="宋体" w:hint="default"/>
                <w:spacing w:val="5"/>
                <w:sz w:val="18"/>
                <w:szCs w:val="18"/>
              </w:rPr>
              <w:t>中国工商银行－融通动力先锋股票型证券投</w:t>
            </w:r>
            <w:r>
              <w:rPr>
                <w:rFonts w:ascii="宋体" w:hAnsi="宋体" w:cs="宋体" w:eastAsia="宋体" w:hint="default"/>
                <w:sz w:val="18"/>
                <w:szCs w:val="18"/>
              </w:rPr>
              <w:t> 资基金</w:t>
            </w:r>
          </w:p>
        </w:tc>
        <w:tc>
          <w:tcPr>
            <w:tcW w:w="253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2,850,463</w:t>
            </w:r>
          </w:p>
        </w:tc>
        <w:tc>
          <w:tcPr>
            <w:tcW w:w="283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87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635" w:hRule="exact"/>
        </w:trPr>
        <w:tc>
          <w:tcPr>
            <w:tcW w:w="3577" w:type="dxa"/>
            <w:gridSpan w:val="3"/>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4" w:right="21"/>
              <w:jc w:val="left"/>
              <w:rPr>
                <w:rFonts w:ascii="宋体" w:hAnsi="宋体" w:cs="宋体" w:eastAsia="宋体" w:hint="default"/>
                <w:sz w:val="18"/>
                <w:szCs w:val="18"/>
              </w:rPr>
            </w:pPr>
            <w:r>
              <w:rPr>
                <w:rFonts w:ascii="宋体" w:hAnsi="宋体" w:cs="宋体" w:eastAsia="宋体" w:hint="default"/>
                <w:spacing w:val="5"/>
                <w:sz w:val="18"/>
                <w:szCs w:val="18"/>
              </w:rPr>
              <w:t>中国建设银行－银华富裕主题股票型证券投</w:t>
            </w:r>
            <w:r>
              <w:rPr>
                <w:rFonts w:ascii="宋体" w:hAnsi="宋体" w:cs="宋体" w:eastAsia="宋体" w:hint="default"/>
                <w:sz w:val="18"/>
                <w:szCs w:val="18"/>
              </w:rPr>
              <w:t> 资基金</w:t>
            </w:r>
          </w:p>
        </w:tc>
        <w:tc>
          <w:tcPr>
            <w:tcW w:w="253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2,287,467</w:t>
            </w:r>
          </w:p>
        </w:tc>
        <w:tc>
          <w:tcPr>
            <w:tcW w:w="283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87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634" w:hRule="exact"/>
        </w:trPr>
        <w:tc>
          <w:tcPr>
            <w:tcW w:w="3577" w:type="dxa"/>
            <w:gridSpan w:val="3"/>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4" w:right="21"/>
              <w:jc w:val="left"/>
              <w:rPr>
                <w:rFonts w:ascii="宋体" w:hAnsi="宋体" w:cs="宋体" w:eastAsia="宋体" w:hint="default"/>
                <w:sz w:val="18"/>
                <w:szCs w:val="18"/>
              </w:rPr>
            </w:pPr>
            <w:r>
              <w:rPr>
                <w:rFonts w:ascii="宋体" w:hAnsi="宋体" w:cs="宋体" w:eastAsia="宋体" w:hint="default"/>
                <w:spacing w:val="5"/>
                <w:sz w:val="18"/>
                <w:szCs w:val="18"/>
              </w:rPr>
              <w:t>中国建设银行－交银施罗德蓝筹股票证券投</w:t>
            </w:r>
            <w:r>
              <w:rPr>
                <w:rFonts w:ascii="宋体" w:hAnsi="宋体" w:cs="宋体" w:eastAsia="宋体" w:hint="default"/>
                <w:sz w:val="18"/>
                <w:szCs w:val="18"/>
              </w:rPr>
              <w:t> 资基金</w:t>
            </w:r>
          </w:p>
        </w:tc>
        <w:tc>
          <w:tcPr>
            <w:tcW w:w="253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1,500,000</w:t>
            </w:r>
          </w:p>
        </w:tc>
        <w:tc>
          <w:tcPr>
            <w:tcW w:w="283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87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634" w:hRule="exact"/>
        </w:trPr>
        <w:tc>
          <w:tcPr>
            <w:tcW w:w="3577" w:type="dxa"/>
            <w:gridSpan w:val="3"/>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4" w:right="20"/>
              <w:jc w:val="left"/>
              <w:rPr>
                <w:rFonts w:ascii="宋体" w:hAnsi="宋体" w:cs="宋体" w:eastAsia="宋体" w:hint="default"/>
                <w:sz w:val="18"/>
                <w:szCs w:val="18"/>
              </w:rPr>
            </w:pPr>
            <w:r>
              <w:rPr>
                <w:rFonts w:ascii="宋体" w:hAnsi="宋体" w:cs="宋体" w:eastAsia="宋体" w:hint="default"/>
                <w:sz w:val="18"/>
                <w:szCs w:val="18"/>
              </w:rPr>
              <w:t>中国工商银行-银华和谐主题灵活配置混合型</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证券投资基金</w:t>
            </w:r>
          </w:p>
        </w:tc>
        <w:tc>
          <w:tcPr>
            <w:tcW w:w="253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1,387,108</w:t>
            </w:r>
          </w:p>
        </w:tc>
        <w:tc>
          <w:tcPr>
            <w:tcW w:w="283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87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635" w:hRule="exact"/>
        </w:trPr>
        <w:tc>
          <w:tcPr>
            <w:tcW w:w="3577" w:type="dxa"/>
            <w:gridSpan w:val="3"/>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4" w:right="20"/>
              <w:jc w:val="left"/>
              <w:rPr>
                <w:rFonts w:ascii="宋体" w:hAnsi="宋体" w:cs="宋体" w:eastAsia="宋体" w:hint="default"/>
                <w:sz w:val="18"/>
                <w:szCs w:val="18"/>
              </w:rPr>
            </w:pPr>
            <w:r>
              <w:rPr>
                <w:rFonts w:ascii="宋体" w:hAnsi="宋体" w:cs="宋体" w:eastAsia="宋体" w:hint="default"/>
                <w:sz w:val="18"/>
                <w:szCs w:val="18"/>
              </w:rPr>
              <w:t>中国农业银行-银华内需精选股票型证券投资</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基金</w:t>
            </w:r>
          </w:p>
        </w:tc>
        <w:tc>
          <w:tcPr>
            <w:tcW w:w="253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1,250,300</w:t>
            </w:r>
          </w:p>
        </w:tc>
        <w:tc>
          <w:tcPr>
            <w:tcW w:w="283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87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2" w:hRule="exact"/>
        </w:trPr>
        <w:tc>
          <w:tcPr>
            <w:tcW w:w="357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吴广来</w:t>
            </w:r>
          </w:p>
        </w:tc>
        <w:tc>
          <w:tcPr>
            <w:tcW w:w="253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1,181,900</w:t>
            </w:r>
          </w:p>
        </w:tc>
        <w:tc>
          <w:tcPr>
            <w:tcW w:w="283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7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635" w:hRule="exact"/>
        </w:trPr>
        <w:tc>
          <w:tcPr>
            <w:tcW w:w="2347"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808" w:right="86" w:hanging="720"/>
              <w:jc w:val="left"/>
              <w:rPr>
                <w:rFonts w:ascii="宋体" w:hAnsi="宋体" w:cs="宋体" w:eastAsia="宋体" w:hint="default"/>
                <w:sz w:val="18"/>
                <w:szCs w:val="18"/>
              </w:rPr>
            </w:pPr>
            <w:r>
              <w:rPr>
                <w:rFonts w:ascii="宋体" w:hAnsi="宋体" w:cs="宋体" w:eastAsia="宋体" w:hint="default"/>
                <w:sz w:val="18"/>
                <w:szCs w:val="18"/>
              </w:rPr>
              <w:t>上述股东关联关系或一致行 动的说明</w:t>
            </w:r>
          </w:p>
        </w:tc>
        <w:tc>
          <w:tcPr>
            <w:tcW w:w="6594" w:type="dxa"/>
            <w:gridSpan w:val="5"/>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 w:right="19" w:firstLine="360"/>
              <w:jc w:val="left"/>
              <w:rPr>
                <w:rFonts w:ascii="宋体" w:hAnsi="宋体" w:cs="宋体" w:eastAsia="宋体" w:hint="default"/>
                <w:sz w:val="18"/>
                <w:szCs w:val="18"/>
              </w:rPr>
            </w:pPr>
            <w:r>
              <w:rPr>
                <w:rFonts w:ascii="宋体" w:hAnsi="宋体" w:cs="宋体" w:eastAsia="宋体" w:hint="default"/>
                <w:sz w:val="18"/>
                <w:szCs w:val="18"/>
              </w:rPr>
              <w:t>未发现公司股东之间存在关联关系或属于《上市公司股东持股变动信息披露管</w:t>
            </w:r>
            <w:r>
              <w:rPr>
                <w:rFonts w:ascii="宋体" w:hAnsi="宋体" w:cs="宋体" w:eastAsia="宋体" w:hint="default"/>
                <w:spacing w:val="1"/>
                <w:sz w:val="18"/>
                <w:szCs w:val="18"/>
              </w:rPr>
              <w:t> </w:t>
            </w:r>
            <w:r>
              <w:rPr>
                <w:rFonts w:ascii="宋体" w:hAnsi="宋体" w:cs="宋体" w:eastAsia="宋体" w:hint="default"/>
                <w:sz w:val="18"/>
                <w:szCs w:val="18"/>
              </w:rPr>
              <w:t>理办法》规定的一致行动人。</w:t>
            </w:r>
          </w:p>
        </w:tc>
      </w:tr>
    </w:tbl>
    <w:p>
      <w:pPr>
        <w:spacing w:line="240" w:lineRule="auto" w:before="1"/>
        <w:rPr>
          <w:rFonts w:ascii="宋体" w:hAnsi="宋体" w:cs="宋体" w:eastAsia="宋体" w:hint="default"/>
          <w:b/>
          <w:bCs/>
          <w:sz w:val="8"/>
          <w:szCs w:val="8"/>
        </w:rPr>
      </w:pPr>
    </w:p>
    <w:p>
      <w:pPr>
        <w:spacing w:line="477" w:lineRule="auto" w:before="35"/>
        <w:ind w:left="857" w:right="312" w:hanging="420"/>
        <w:jc w:val="left"/>
        <w:rPr>
          <w:rFonts w:ascii="宋体" w:hAnsi="宋体" w:cs="宋体" w:eastAsia="宋体" w:hint="default"/>
          <w:sz w:val="21"/>
          <w:szCs w:val="21"/>
        </w:rPr>
      </w:pPr>
      <w:r>
        <w:rPr>
          <w:rFonts w:ascii="宋体" w:hAnsi="宋体" w:cs="宋体" w:eastAsia="宋体" w:hint="default"/>
          <w:b/>
          <w:bCs/>
          <w:sz w:val="21"/>
          <w:szCs w:val="21"/>
        </w:rPr>
        <w:t>三、控股股东及实际控制人情况</w:t>
      </w:r>
      <w:r>
        <w:rPr>
          <w:rFonts w:ascii="宋体" w:hAnsi="宋体" w:cs="宋体" w:eastAsia="宋体" w:hint="default"/>
          <w:b/>
          <w:bCs/>
          <w:spacing w:val="1"/>
          <w:w w:val="99"/>
          <w:sz w:val="21"/>
          <w:szCs w:val="21"/>
        </w:rPr>
        <w:t> </w:t>
      </w:r>
      <w:r>
        <w:rPr>
          <w:rFonts w:ascii="宋体" w:hAnsi="宋体" w:cs="宋体" w:eastAsia="宋体" w:hint="default"/>
          <w:spacing w:val="-5"/>
          <w:sz w:val="21"/>
          <w:szCs w:val="21"/>
        </w:rPr>
        <w:t>报告期内，公司控股股东及实际控制人未发生变化，为王宁和李力先生，相关情况如下：</w:t>
      </w:r>
    </w:p>
    <w:p>
      <w:pPr>
        <w:pStyle w:val="BodyText"/>
        <w:spacing w:line="468" w:lineRule="exact" w:before="12"/>
        <w:ind w:left="437" w:right="430" w:firstLine="420"/>
        <w:jc w:val="both"/>
      </w:pPr>
      <w:r>
        <w:rPr>
          <w:spacing w:val="-3"/>
        </w:rPr>
        <w:t>王宁先生，男，1961年出生，毕业于河北大学，理学、法学双学士，荣获2006年“中国</w:t>
      </w:r>
      <w:r>
        <w:rPr/>
        <w:t> </w:t>
      </w:r>
      <w:r>
        <w:rPr>
          <w:spacing w:val="-3"/>
        </w:rPr>
        <w:t>软件企业十大领军人物”、2009年“中国软件产业发展功勋人物”及“中国软件产业杰出企</w:t>
      </w:r>
      <w:r>
        <w:rPr>
          <w:spacing w:val="-72"/>
        </w:rPr>
        <w:t> </w:t>
      </w:r>
      <w:r>
        <w:rPr>
          <w:spacing w:val="-72"/>
        </w:rPr>
      </w:r>
      <w:r>
        <w:rPr>
          <w:spacing w:val="-3"/>
        </w:rPr>
        <w:t>业家”。曾任河北大学校团委书记、河北大学出版社社长、联想集团工控公司电脑部经理、</w:t>
      </w:r>
      <w:r>
        <w:rPr>
          <w:spacing w:val="-77"/>
        </w:rPr>
        <w:t> </w:t>
      </w:r>
      <w:r>
        <w:rPr>
          <w:spacing w:val="-77"/>
        </w:rPr>
      </w:r>
      <w:r>
        <w:rPr/>
        <w:t>北京新海拓科技公司总经理，北京神州泰岳科技有限公司副总经理、总经理。2001年5月至 </w:t>
      </w:r>
      <w:r>
        <w:rPr>
          <w:spacing w:val="-3"/>
        </w:rPr>
        <w:t>今担任公司董事长，其中，2001年5月至2007年7月，曾任公司财务负责人、总经理。兼任北</w:t>
      </w:r>
      <w:r>
        <w:rPr>
          <w:spacing w:val="-61"/>
        </w:rPr>
        <w:t> </w:t>
      </w:r>
      <w:r>
        <w:rPr>
          <w:spacing w:val="-61"/>
        </w:rPr>
      </w:r>
      <w:r>
        <w:rPr/>
        <w:t>京启天同信科技有限公司董事。</w:t>
      </w:r>
    </w:p>
    <w:p>
      <w:pPr>
        <w:spacing w:after="0" w:line="468" w:lineRule="exact"/>
        <w:jc w:val="both"/>
        <w:sectPr>
          <w:pgSz w:w="11910" w:h="16840"/>
          <w:pgMar w:header="851" w:footer="982" w:top="1340" w:bottom="1180" w:left="1360" w:right="1360"/>
        </w:sectPr>
      </w:pPr>
    </w:p>
    <w:p>
      <w:pPr>
        <w:spacing w:line="240" w:lineRule="auto" w:before="11"/>
        <w:rPr>
          <w:rFonts w:ascii="宋体" w:hAnsi="宋体" w:cs="宋体" w:eastAsia="宋体" w:hint="default"/>
          <w:sz w:val="2"/>
          <w:szCs w:val="2"/>
        </w:rPr>
      </w:pPr>
    </w:p>
    <w:p>
      <w:pPr>
        <w:spacing w:line="20" w:lineRule="exact"/>
        <w:ind w:left="10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pStyle w:val="BodyText"/>
        <w:spacing w:line="408" w:lineRule="auto" w:before="57"/>
        <w:ind w:right="100" w:firstLine="420"/>
        <w:jc w:val="left"/>
      </w:pPr>
      <w:r>
        <w:rPr>
          <w:spacing w:val="-3"/>
        </w:rPr>
        <w:t>李力先生，男，1971年出生，毕业于首都经贸大学；曾任北京力霸科技有限公司副总经</w:t>
      </w:r>
      <w:r>
        <w:rPr/>
        <w:t> </w:t>
      </w:r>
      <w:r>
        <w:rPr>
          <w:spacing w:val="-5"/>
        </w:rPr>
        <w:t>理。李力先生作为公司主要创始人，2001年10月至今历任公司董事、常务副总经理、总经理。</w:t>
      </w:r>
      <w:r>
        <w:rPr>
          <w:spacing w:val="-85"/>
        </w:rPr>
        <w:t> </w:t>
      </w:r>
      <w:r>
        <w:rPr>
          <w:spacing w:val="-85"/>
        </w:rPr>
      </w:r>
      <w:r>
        <w:rPr/>
        <w:t>兼任北京启天同信科技有限公司董事。</w:t>
      </w:r>
    </w:p>
    <w:p>
      <w:pPr>
        <w:spacing w:line="240" w:lineRule="auto" w:before="1"/>
        <w:rPr>
          <w:rFonts w:ascii="宋体" w:hAnsi="宋体" w:cs="宋体" w:eastAsia="宋体" w:hint="default"/>
          <w:sz w:val="14"/>
          <w:szCs w:val="14"/>
        </w:rPr>
      </w:pPr>
    </w:p>
    <w:p>
      <w:pPr>
        <w:spacing w:line="3617" w:lineRule="exact"/>
        <w:ind w:left="1118" w:right="0" w:firstLine="0"/>
        <w:rPr>
          <w:rFonts w:ascii="宋体" w:hAnsi="宋体" w:cs="宋体" w:eastAsia="宋体" w:hint="default"/>
          <w:sz w:val="20"/>
          <w:szCs w:val="20"/>
        </w:rPr>
      </w:pPr>
      <w:r>
        <w:rPr>
          <w:rFonts w:ascii="宋体" w:hAnsi="宋体" w:cs="宋体" w:eastAsia="宋体" w:hint="default"/>
          <w:position w:val="-71"/>
          <w:sz w:val="20"/>
          <w:szCs w:val="20"/>
        </w:rPr>
        <w:drawing>
          <wp:inline distT="0" distB="0" distL="0" distR="0">
            <wp:extent cx="4257425" cy="2297334"/>
            <wp:effectExtent l="0" t="0" r="0" b="0"/>
            <wp:docPr id="23" name="image34.jpeg" descr=""/>
            <wp:cNvGraphicFramePr>
              <a:graphicFrameLocks noChangeAspect="1"/>
            </wp:cNvGraphicFramePr>
            <a:graphic>
              <a:graphicData uri="http://schemas.openxmlformats.org/drawingml/2006/picture">
                <pic:pic>
                  <pic:nvPicPr>
                    <pic:cNvPr id="24" name="image34.jpeg"/>
                    <pic:cNvPicPr/>
                  </pic:nvPicPr>
                  <pic:blipFill>
                    <a:blip r:embed="rId55" cstate="print"/>
                    <a:stretch>
                      <a:fillRect/>
                    </a:stretch>
                  </pic:blipFill>
                  <pic:spPr>
                    <a:xfrm>
                      <a:off x="0" y="0"/>
                      <a:ext cx="4257425" cy="2297334"/>
                    </a:xfrm>
                    <a:prstGeom prst="rect">
                      <a:avLst/>
                    </a:prstGeom>
                  </pic:spPr>
                </pic:pic>
              </a:graphicData>
            </a:graphic>
          </wp:inline>
        </w:drawing>
      </w:r>
      <w:r>
        <w:rPr>
          <w:rFonts w:ascii="宋体" w:hAnsi="宋体" w:cs="宋体" w:eastAsia="宋体" w:hint="default"/>
          <w:position w:val="-71"/>
          <w:sz w:val="20"/>
          <w:szCs w:val="20"/>
        </w:rPr>
      </w:r>
    </w:p>
    <w:p>
      <w:pPr>
        <w:spacing w:after="0" w:line="3617" w:lineRule="exact"/>
        <w:rPr>
          <w:rFonts w:ascii="宋体" w:hAnsi="宋体" w:cs="宋体" w:eastAsia="宋体" w:hint="default"/>
          <w:sz w:val="20"/>
          <w:szCs w:val="20"/>
        </w:rPr>
        <w:sectPr>
          <w:pgSz w:w="11910" w:h="16840"/>
          <w:pgMar w:header="851" w:footer="982" w:top="1300" w:bottom="1180" w:left="1660" w:right="1580"/>
        </w:sectPr>
      </w:pPr>
    </w:p>
    <w:p>
      <w:pPr>
        <w:spacing w:line="240" w:lineRule="auto" w:before="11"/>
        <w:rPr>
          <w:rFonts w:ascii="宋体" w:hAnsi="宋体" w:cs="宋体" w:eastAsia="宋体" w:hint="default"/>
          <w:sz w:val="28"/>
          <w:szCs w:val="28"/>
        </w:rPr>
      </w:pPr>
    </w:p>
    <w:p>
      <w:pPr>
        <w:pStyle w:val="Heading1"/>
        <w:tabs>
          <w:tab w:pos="4108" w:val="left" w:leader="none"/>
        </w:tabs>
        <w:spacing w:line="240" w:lineRule="auto"/>
        <w:ind w:left="3143" w:right="1520"/>
        <w:jc w:val="left"/>
        <w:rPr>
          <w:b w:val="0"/>
          <w:bCs w:val="0"/>
        </w:rPr>
      </w:pPr>
      <w:bookmarkStart w:name="_bookmark6" w:id="7"/>
      <w:bookmarkEnd w:id="7"/>
      <w:r>
        <w:rPr>
          <w:b w:val="0"/>
          <w:bCs w:val="0"/>
        </w:rPr>
      </w:r>
      <w:r>
        <w:rPr>
          <w:w w:val="95"/>
        </w:rPr>
        <w:t>第六节</w:t>
        <w:tab/>
      </w:r>
      <w:r>
        <w:rPr/>
        <w:t>董事、监事、高级管理人员和员工情况</w:t>
      </w:r>
      <w:r>
        <w:rPr>
          <w:b w:val="0"/>
          <w:bCs w:val="0"/>
        </w:rPr>
      </w:r>
    </w:p>
    <w:p>
      <w:pPr>
        <w:spacing w:line="240" w:lineRule="auto" w:before="7"/>
        <w:rPr>
          <w:rFonts w:ascii="宋体" w:hAnsi="宋体" w:cs="宋体" w:eastAsia="宋体" w:hint="default"/>
          <w:b/>
          <w:bCs/>
          <w:sz w:val="31"/>
          <w:szCs w:val="31"/>
        </w:rPr>
      </w:pPr>
    </w:p>
    <w:p>
      <w:pPr>
        <w:pStyle w:val="Heading2"/>
        <w:spacing w:line="240" w:lineRule="auto"/>
        <w:ind w:left="1517" w:right="1520"/>
        <w:jc w:val="left"/>
        <w:rPr>
          <w:b w:val="0"/>
          <w:bCs w:val="0"/>
        </w:rPr>
      </w:pPr>
      <w:r>
        <w:rPr/>
        <w:t>一、董事、监事和高级管理人员的情况</w:t>
      </w:r>
      <w:r>
        <w:rPr>
          <w:b w:val="0"/>
          <w:bCs w:val="0"/>
        </w:rPr>
      </w:r>
    </w:p>
    <w:p>
      <w:pPr>
        <w:spacing w:line="240" w:lineRule="auto" w:before="8"/>
        <w:rPr>
          <w:rFonts w:ascii="宋体" w:hAnsi="宋体" w:cs="宋体" w:eastAsia="宋体" w:hint="default"/>
          <w:b/>
          <w:bCs/>
          <w:sz w:val="20"/>
          <w:szCs w:val="20"/>
        </w:rPr>
      </w:pPr>
    </w:p>
    <w:p>
      <w:pPr>
        <w:spacing w:before="0"/>
        <w:ind w:left="1833" w:right="1520" w:firstLine="0"/>
        <w:jc w:val="left"/>
        <w:rPr>
          <w:rFonts w:ascii="宋体" w:hAnsi="宋体" w:cs="宋体" w:eastAsia="宋体" w:hint="default"/>
          <w:sz w:val="21"/>
          <w:szCs w:val="21"/>
        </w:rPr>
      </w:pPr>
      <w:r>
        <w:rPr>
          <w:rFonts w:ascii="宋体" w:hAnsi="宋体" w:cs="宋体" w:eastAsia="宋体" w:hint="default"/>
          <w:b/>
          <w:bCs/>
          <w:sz w:val="21"/>
          <w:szCs w:val="21"/>
        </w:rPr>
        <w:t>（一）董事、监事和高级管理人员持股变动及报酬情况</w:t>
      </w:r>
      <w:r>
        <w:rPr>
          <w:rFonts w:ascii="宋体" w:hAnsi="宋体" w:cs="宋体" w:eastAsia="宋体" w:hint="default"/>
          <w:sz w:val="21"/>
          <w:szCs w:val="21"/>
        </w:rPr>
      </w:r>
    </w:p>
    <w:p>
      <w:pPr>
        <w:spacing w:line="240" w:lineRule="auto" w:before="12"/>
        <w:rPr>
          <w:rFonts w:ascii="宋体" w:hAnsi="宋体" w:cs="宋体" w:eastAsia="宋体" w:hint="default"/>
          <w:b/>
          <w:bCs/>
          <w:sz w:val="21"/>
          <w:szCs w:val="21"/>
        </w:rPr>
      </w:pPr>
    </w:p>
    <w:tbl>
      <w:tblPr>
        <w:tblW w:w="0" w:type="auto"/>
        <w:jc w:val="left"/>
        <w:tblInd w:w="106" w:type="dxa"/>
        <w:tblLayout w:type="fixed"/>
        <w:tblCellMar>
          <w:top w:w="0" w:type="dxa"/>
          <w:left w:w="0" w:type="dxa"/>
          <w:bottom w:w="0" w:type="dxa"/>
          <w:right w:w="0" w:type="dxa"/>
        </w:tblCellMar>
        <w:tblLook w:val="01E0"/>
      </w:tblPr>
      <w:tblGrid>
        <w:gridCol w:w="1078"/>
        <w:gridCol w:w="998"/>
        <w:gridCol w:w="683"/>
        <w:gridCol w:w="664"/>
        <w:gridCol w:w="1145"/>
        <w:gridCol w:w="1091"/>
        <w:gridCol w:w="1266"/>
        <w:gridCol w:w="1206"/>
        <w:gridCol w:w="997"/>
        <w:gridCol w:w="998"/>
        <w:gridCol w:w="998"/>
      </w:tblGrid>
      <w:tr>
        <w:trPr>
          <w:trHeight w:val="1882" w:hRule="exact"/>
        </w:trPr>
        <w:tc>
          <w:tcPr>
            <w:tcW w:w="107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99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683"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性别</w:t>
            </w:r>
          </w:p>
        </w:tc>
        <w:tc>
          <w:tcPr>
            <w:tcW w:w="66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年龄</w:t>
            </w:r>
          </w:p>
        </w:tc>
        <w:tc>
          <w:tcPr>
            <w:tcW w:w="1145"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2"/>
                <w:szCs w:val="12"/>
              </w:rPr>
            </w:pPr>
          </w:p>
          <w:p>
            <w:pPr>
              <w:pStyle w:val="TableParagraph"/>
              <w:spacing w:line="316" w:lineRule="auto"/>
              <w:ind w:left="477" w:right="115" w:hanging="360"/>
              <w:jc w:val="left"/>
              <w:rPr>
                <w:rFonts w:ascii="宋体" w:hAnsi="宋体" w:cs="宋体" w:eastAsia="宋体" w:hint="default"/>
                <w:sz w:val="18"/>
                <w:szCs w:val="18"/>
              </w:rPr>
            </w:pPr>
            <w:r>
              <w:rPr>
                <w:rFonts w:ascii="宋体" w:hAnsi="宋体" w:cs="宋体" w:eastAsia="宋体" w:hint="default"/>
                <w:sz w:val="18"/>
                <w:szCs w:val="18"/>
              </w:rPr>
              <w:t>任期起始日 期</w:t>
            </w:r>
          </w:p>
        </w:tc>
        <w:tc>
          <w:tcPr>
            <w:tcW w:w="109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2"/>
                <w:szCs w:val="12"/>
              </w:rPr>
            </w:pPr>
          </w:p>
          <w:p>
            <w:pPr>
              <w:pStyle w:val="TableParagraph"/>
              <w:spacing w:line="316" w:lineRule="auto"/>
              <w:ind w:left="360" w:right="179"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126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年初持股数</w:t>
            </w:r>
          </w:p>
        </w:tc>
        <w:tc>
          <w:tcPr>
            <w:tcW w:w="120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年末持股数</w:t>
            </w:r>
          </w:p>
        </w:tc>
        <w:tc>
          <w:tcPr>
            <w:tcW w:w="99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left="134" w:right="0"/>
              <w:jc w:val="left"/>
              <w:rPr>
                <w:rFonts w:ascii="宋体" w:hAnsi="宋体" w:cs="宋体" w:eastAsia="宋体" w:hint="default"/>
                <w:sz w:val="18"/>
                <w:szCs w:val="18"/>
              </w:rPr>
            </w:pPr>
            <w:r>
              <w:rPr>
                <w:rFonts w:ascii="宋体" w:hAnsi="宋体" w:cs="宋体" w:eastAsia="宋体" w:hint="default"/>
                <w:sz w:val="18"/>
                <w:szCs w:val="18"/>
              </w:rPr>
              <w:t>变动原因</w:t>
            </w:r>
          </w:p>
        </w:tc>
        <w:tc>
          <w:tcPr>
            <w:tcW w:w="99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16" w:lineRule="auto" w:before="9"/>
              <w:ind w:left="134" w:right="132"/>
              <w:jc w:val="center"/>
              <w:rPr>
                <w:rFonts w:ascii="宋体" w:hAnsi="宋体" w:cs="宋体" w:eastAsia="宋体" w:hint="default"/>
                <w:sz w:val="18"/>
                <w:szCs w:val="18"/>
              </w:rPr>
            </w:pPr>
            <w:r>
              <w:rPr>
                <w:rFonts w:ascii="宋体" w:hAnsi="宋体" w:cs="宋体" w:eastAsia="宋体" w:hint="default"/>
                <w:sz w:val="18"/>
                <w:szCs w:val="18"/>
              </w:rPr>
              <w:t>报告期内 从公司领 取的报酬 总额（万 元）（税 前）</w:t>
            </w:r>
          </w:p>
        </w:tc>
        <w:tc>
          <w:tcPr>
            <w:tcW w:w="99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316" w:lineRule="auto"/>
              <w:ind w:left="134" w:right="132"/>
              <w:jc w:val="center"/>
              <w:rPr>
                <w:rFonts w:ascii="宋体" w:hAnsi="宋体" w:cs="宋体" w:eastAsia="宋体" w:hint="default"/>
                <w:sz w:val="18"/>
                <w:szCs w:val="18"/>
              </w:rPr>
            </w:pPr>
            <w:r>
              <w:rPr>
                <w:rFonts w:ascii="宋体" w:hAnsi="宋体" w:cs="宋体" w:eastAsia="宋体" w:hint="default"/>
                <w:sz w:val="18"/>
                <w:szCs w:val="18"/>
              </w:rPr>
              <w:t>是否在股 东单位或 其他关联 单位领取 薪酬</w:t>
            </w:r>
          </w:p>
        </w:tc>
      </w:tr>
      <w:tr>
        <w:trPr>
          <w:trHeight w:val="678" w:hRule="exact"/>
        </w:trPr>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49</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9" w:right="0"/>
              <w:jc w:val="center"/>
              <w:rPr>
                <w:rFonts w:ascii="宋体" w:hAnsi="宋体" w:cs="宋体" w:eastAsia="宋体" w:hint="default"/>
                <w:sz w:val="18"/>
                <w:szCs w:val="18"/>
              </w:rPr>
            </w:pPr>
            <w:r>
              <w:rPr>
                <w:rFonts w:ascii="宋体" w:hAnsi="宋体" w:cs="宋体" w:eastAsia="宋体" w:hint="default"/>
                <w:spacing w:val="16"/>
                <w:sz w:val="18"/>
                <w:szCs w:val="18"/>
              </w:rPr>
              <w:t>2010年7月</w:t>
            </w:r>
            <w:r>
              <w:rPr>
                <w:rFonts w:ascii="宋体" w:hAnsi="宋体" w:cs="宋体" w:eastAsia="宋体" w:hint="default"/>
                <w:spacing w:val="-51"/>
                <w:sz w:val="18"/>
                <w:szCs w:val="18"/>
              </w:rPr>
              <w:t> </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p>
          <w:p>
            <w:pPr>
              <w:pStyle w:val="TableParagraph"/>
              <w:spacing w:line="240" w:lineRule="auto" w:before="76"/>
              <w:ind w:left="27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17,609,656</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44,024,140</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3"/>
              <w:ind w:left="224" w:right="130" w:hanging="90"/>
              <w:jc w:val="left"/>
              <w:rPr>
                <w:rFonts w:ascii="宋体" w:hAnsi="宋体" w:cs="宋体" w:eastAsia="宋体" w:hint="default"/>
                <w:sz w:val="18"/>
                <w:szCs w:val="18"/>
              </w:rPr>
            </w:pPr>
            <w:r>
              <w:rPr>
                <w:rFonts w:ascii="宋体" w:hAnsi="宋体" w:cs="宋体" w:eastAsia="宋体" w:hint="default"/>
                <w:sz w:val="18"/>
                <w:szCs w:val="18"/>
              </w:rPr>
              <w:t>资本公积 金转增</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15.98</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40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679" w:hRule="exact"/>
        </w:trPr>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李力</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3"/>
              <w:ind w:left="314" w:right="132" w:hanging="180"/>
              <w:jc w:val="left"/>
              <w:rPr>
                <w:rFonts w:ascii="宋体" w:hAnsi="宋体" w:cs="宋体" w:eastAsia="宋体" w:hint="default"/>
                <w:sz w:val="18"/>
                <w:szCs w:val="18"/>
              </w:rPr>
            </w:pPr>
            <w:r>
              <w:rPr>
                <w:rFonts w:ascii="宋体" w:hAnsi="宋体" w:cs="宋体" w:eastAsia="宋体" w:hint="default"/>
                <w:sz w:val="18"/>
                <w:szCs w:val="18"/>
              </w:rPr>
              <w:t>董事、总 经理</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39</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9" w:right="0"/>
              <w:jc w:val="center"/>
              <w:rPr>
                <w:rFonts w:ascii="宋体" w:hAnsi="宋体" w:cs="宋体" w:eastAsia="宋体" w:hint="default"/>
                <w:sz w:val="18"/>
                <w:szCs w:val="18"/>
              </w:rPr>
            </w:pPr>
            <w:r>
              <w:rPr>
                <w:rFonts w:ascii="宋体" w:hAnsi="宋体" w:cs="宋体" w:eastAsia="宋体" w:hint="default"/>
                <w:spacing w:val="16"/>
                <w:sz w:val="18"/>
                <w:szCs w:val="18"/>
              </w:rPr>
              <w:t>2010年7月</w:t>
            </w:r>
            <w:r>
              <w:rPr>
                <w:rFonts w:ascii="宋体" w:hAnsi="宋体" w:cs="宋体" w:eastAsia="宋体" w:hint="default"/>
                <w:spacing w:val="-51"/>
                <w:sz w:val="18"/>
                <w:szCs w:val="18"/>
              </w:rPr>
              <w:t> </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p>
          <w:p>
            <w:pPr>
              <w:pStyle w:val="TableParagraph"/>
              <w:spacing w:line="240" w:lineRule="auto" w:before="76"/>
              <w:ind w:left="27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17,609,656</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44,024,140</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3"/>
              <w:ind w:left="224" w:right="130" w:hanging="90"/>
              <w:jc w:val="left"/>
              <w:rPr>
                <w:rFonts w:ascii="宋体" w:hAnsi="宋体" w:cs="宋体" w:eastAsia="宋体" w:hint="default"/>
                <w:sz w:val="18"/>
                <w:szCs w:val="18"/>
              </w:rPr>
            </w:pPr>
            <w:r>
              <w:rPr>
                <w:rFonts w:ascii="宋体" w:hAnsi="宋体" w:cs="宋体" w:eastAsia="宋体" w:hint="default"/>
                <w:sz w:val="18"/>
                <w:szCs w:val="18"/>
              </w:rPr>
              <w:t>资本公积 金转增</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15.98</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40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947" w:hRule="exact"/>
        </w:trPr>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黄松浪</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34" w:right="132"/>
              <w:jc w:val="center"/>
              <w:rPr>
                <w:rFonts w:ascii="宋体" w:hAnsi="宋体" w:cs="宋体" w:eastAsia="宋体" w:hint="default"/>
                <w:sz w:val="18"/>
                <w:szCs w:val="18"/>
              </w:rPr>
            </w:pPr>
            <w:r>
              <w:rPr>
                <w:rFonts w:ascii="宋体" w:hAnsi="宋体" w:cs="宋体" w:eastAsia="宋体" w:hint="default"/>
                <w:sz w:val="18"/>
                <w:szCs w:val="18"/>
              </w:rPr>
              <w:t>副董事 长、董事 会秘书</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sz w:val="18"/>
              </w:rPr>
              <w:t>42</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39" w:right="0"/>
              <w:jc w:val="center"/>
              <w:rPr>
                <w:rFonts w:ascii="宋体" w:hAnsi="宋体" w:cs="宋体" w:eastAsia="宋体" w:hint="default"/>
                <w:sz w:val="18"/>
                <w:szCs w:val="18"/>
              </w:rPr>
            </w:pPr>
            <w:r>
              <w:rPr>
                <w:rFonts w:ascii="宋体" w:hAnsi="宋体" w:cs="宋体" w:eastAsia="宋体" w:hint="default"/>
                <w:spacing w:val="16"/>
                <w:sz w:val="18"/>
                <w:szCs w:val="18"/>
              </w:rPr>
              <w:t>2010年7月</w:t>
            </w:r>
            <w:r>
              <w:rPr>
                <w:rFonts w:ascii="宋体" w:hAnsi="宋体" w:cs="宋体" w:eastAsia="宋体" w:hint="default"/>
                <w:spacing w:val="-51"/>
                <w:sz w:val="18"/>
                <w:szCs w:val="18"/>
              </w:rPr>
              <w:t> </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180"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p>
          <w:p>
            <w:pPr>
              <w:pStyle w:val="TableParagraph"/>
              <w:spacing w:line="240" w:lineRule="auto" w:before="76"/>
              <w:ind w:left="27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sz w:val="18"/>
              </w:rPr>
              <w:t>7,744,092</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sz w:val="18"/>
              </w:rPr>
              <w:t>19,360,230</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316" w:lineRule="auto"/>
              <w:ind w:left="224" w:right="130" w:hanging="90"/>
              <w:jc w:val="left"/>
              <w:rPr>
                <w:rFonts w:ascii="宋体" w:hAnsi="宋体" w:cs="宋体" w:eastAsia="宋体" w:hint="default"/>
                <w:sz w:val="18"/>
                <w:szCs w:val="18"/>
              </w:rPr>
            </w:pPr>
            <w:r>
              <w:rPr>
                <w:rFonts w:ascii="宋体" w:hAnsi="宋体" w:cs="宋体" w:eastAsia="宋体" w:hint="default"/>
                <w:sz w:val="18"/>
                <w:szCs w:val="18"/>
              </w:rPr>
              <w:t>资本公积 金转增</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6"/>
                <w:szCs w:val="26"/>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14.95</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right="40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946" w:hRule="exact"/>
        </w:trPr>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王国华</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34" w:right="132"/>
              <w:jc w:val="center"/>
              <w:rPr>
                <w:rFonts w:ascii="宋体" w:hAnsi="宋体" w:cs="宋体" w:eastAsia="宋体" w:hint="default"/>
                <w:sz w:val="18"/>
                <w:szCs w:val="18"/>
              </w:rPr>
            </w:pPr>
            <w:r>
              <w:rPr>
                <w:rFonts w:ascii="宋体" w:hAnsi="宋体" w:cs="宋体" w:eastAsia="宋体" w:hint="default"/>
                <w:sz w:val="18"/>
                <w:szCs w:val="18"/>
              </w:rPr>
              <w:t>董事、常 务副总经 理</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sz w:val="18"/>
              </w:rPr>
              <w:t>47</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39" w:right="0"/>
              <w:jc w:val="center"/>
              <w:rPr>
                <w:rFonts w:ascii="宋体" w:hAnsi="宋体" w:cs="宋体" w:eastAsia="宋体" w:hint="default"/>
                <w:sz w:val="18"/>
                <w:szCs w:val="18"/>
              </w:rPr>
            </w:pPr>
            <w:r>
              <w:rPr>
                <w:rFonts w:ascii="宋体" w:hAnsi="宋体" w:cs="宋体" w:eastAsia="宋体" w:hint="default"/>
                <w:spacing w:val="16"/>
                <w:sz w:val="18"/>
                <w:szCs w:val="18"/>
              </w:rPr>
              <w:t>2010年7月</w:t>
            </w:r>
            <w:r>
              <w:rPr>
                <w:rFonts w:ascii="宋体" w:hAnsi="宋体" w:cs="宋体" w:eastAsia="宋体" w:hint="default"/>
                <w:spacing w:val="-51"/>
                <w:sz w:val="18"/>
                <w:szCs w:val="18"/>
              </w:rPr>
              <w:t> </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180"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p>
          <w:p>
            <w:pPr>
              <w:pStyle w:val="TableParagraph"/>
              <w:spacing w:line="240" w:lineRule="auto" w:before="76"/>
              <w:ind w:left="27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sz w:val="18"/>
              </w:rPr>
              <w:t>7,325,908</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sz w:val="18"/>
              </w:rPr>
              <w:t>18,314,770</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316" w:lineRule="auto"/>
              <w:ind w:left="224" w:right="130" w:hanging="90"/>
              <w:jc w:val="left"/>
              <w:rPr>
                <w:rFonts w:ascii="宋体" w:hAnsi="宋体" w:cs="宋体" w:eastAsia="宋体" w:hint="default"/>
                <w:sz w:val="18"/>
                <w:szCs w:val="18"/>
              </w:rPr>
            </w:pPr>
            <w:r>
              <w:rPr>
                <w:rFonts w:ascii="宋体" w:hAnsi="宋体" w:cs="宋体" w:eastAsia="宋体" w:hint="default"/>
                <w:sz w:val="18"/>
                <w:szCs w:val="18"/>
              </w:rPr>
              <w:t>资本公积 金转增</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6"/>
                <w:szCs w:val="26"/>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15.48</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right="40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679" w:hRule="exact"/>
        </w:trPr>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万能</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3"/>
              <w:ind w:left="224" w:right="132" w:hanging="90"/>
              <w:jc w:val="left"/>
              <w:rPr>
                <w:rFonts w:ascii="宋体" w:hAnsi="宋体" w:cs="宋体" w:eastAsia="宋体" w:hint="default"/>
                <w:sz w:val="18"/>
                <w:szCs w:val="18"/>
              </w:rPr>
            </w:pPr>
            <w:r>
              <w:rPr>
                <w:rFonts w:ascii="宋体" w:hAnsi="宋体" w:cs="宋体" w:eastAsia="宋体" w:hint="default"/>
                <w:sz w:val="18"/>
                <w:szCs w:val="18"/>
              </w:rPr>
              <w:t>董事、财 务总监</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39</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9" w:right="0"/>
              <w:jc w:val="center"/>
              <w:rPr>
                <w:rFonts w:ascii="宋体" w:hAnsi="宋体" w:cs="宋体" w:eastAsia="宋体" w:hint="default"/>
                <w:sz w:val="18"/>
                <w:szCs w:val="18"/>
              </w:rPr>
            </w:pPr>
            <w:r>
              <w:rPr>
                <w:rFonts w:ascii="宋体" w:hAnsi="宋体" w:cs="宋体" w:eastAsia="宋体" w:hint="default"/>
                <w:spacing w:val="16"/>
                <w:sz w:val="18"/>
                <w:szCs w:val="18"/>
              </w:rPr>
              <w:t>2010年7月</w:t>
            </w:r>
            <w:r>
              <w:rPr>
                <w:rFonts w:ascii="宋体" w:hAnsi="宋体" w:cs="宋体" w:eastAsia="宋体" w:hint="default"/>
                <w:spacing w:val="-51"/>
                <w:sz w:val="18"/>
                <w:szCs w:val="18"/>
              </w:rPr>
              <w:t> </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p>
          <w:p>
            <w:pPr>
              <w:pStyle w:val="TableParagraph"/>
              <w:spacing w:line="240" w:lineRule="auto" w:before="76"/>
              <w:ind w:left="27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6,195,272</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15,488,180</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3"/>
              <w:ind w:left="224" w:right="130" w:hanging="90"/>
              <w:jc w:val="left"/>
              <w:rPr>
                <w:rFonts w:ascii="宋体" w:hAnsi="宋体" w:cs="宋体" w:eastAsia="宋体" w:hint="default"/>
                <w:sz w:val="18"/>
                <w:szCs w:val="18"/>
              </w:rPr>
            </w:pPr>
            <w:r>
              <w:rPr>
                <w:rFonts w:ascii="宋体" w:hAnsi="宋体" w:cs="宋体" w:eastAsia="宋体" w:hint="default"/>
                <w:sz w:val="18"/>
                <w:szCs w:val="18"/>
              </w:rPr>
              <w:t>资本公积 金转增</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14.91</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40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679" w:hRule="exact"/>
        </w:trPr>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徐斯平</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52</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9" w:right="0"/>
              <w:jc w:val="center"/>
              <w:rPr>
                <w:rFonts w:ascii="宋体" w:hAnsi="宋体" w:cs="宋体" w:eastAsia="宋体" w:hint="default"/>
                <w:sz w:val="18"/>
                <w:szCs w:val="18"/>
              </w:rPr>
            </w:pPr>
            <w:r>
              <w:rPr>
                <w:rFonts w:ascii="宋体" w:hAnsi="宋体" w:cs="宋体" w:eastAsia="宋体" w:hint="default"/>
                <w:spacing w:val="16"/>
                <w:sz w:val="18"/>
                <w:szCs w:val="18"/>
              </w:rPr>
              <w:t>2010年7月</w:t>
            </w:r>
            <w:r>
              <w:rPr>
                <w:rFonts w:ascii="宋体" w:hAnsi="宋体" w:cs="宋体" w:eastAsia="宋体" w:hint="default"/>
                <w:spacing w:val="-51"/>
                <w:sz w:val="18"/>
                <w:szCs w:val="18"/>
              </w:rPr>
              <w:t> </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p>
          <w:p>
            <w:pPr>
              <w:pStyle w:val="TableParagraph"/>
              <w:spacing w:line="240" w:lineRule="auto" w:before="76"/>
              <w:ind w:left="27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5,182,080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12,955,200</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3"/>
              <w:ind w:left="224" w:right="130" w:hanging="90"/>
              <w:jc w:val="left"/>
              <w:rPr>
                <w:rFonts w:ascii="宋体" w:hAnsi="宋体" w:cs="宋体" w:eastAsia="宋体" w:hint="default"/>
                <w:sz w:val="18"/>
                <w:szCs w:val="18"/>
              </w:rPr>
            </w:pPr>
            <w:r>
              <w:rPr>
                <w:rFonts w:ascii="宋体" w:hAnsi="宋体" w:cs="宋体" w:eastAsia="宋体" w:hint="default"/>
                <w:sz w:val="18"/>
                <w:szCs w:val="18"/>
              </w:rPr>
              <w:t>资本公积 金转增</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7"/>
              <w:ind w:left="193" w:right="191" w:firstLine="1"/>
              <w:jc w:val="left"/>
              <w:rPr>
                <w:rFonts w:ascii="宋体" w:hAnsi="宋体" w:cs="宋体" w:eastAsia="宋体" w:hint="default"/>
                <w:sz w:val="20"/>
                <w:szCs w:val="20"/>
              </w:rPr>
            </w:pPr>
            <w:r>
              <w:rPr>
                <w:rFonts w:ascii="宋体" w:hAnsi="宋体" w:cs="宋体" w:eastAsia="宋体" w:hint="default"/>
                <w:sz w:val="20"/>
                <w:szCs w:val="20"/>
              </w:rPr>
              <w:t>未在公</w:t>
            </w:r>
            <w:r>
              <w:rPr>
                <w:rFonts w:ascii="宋体" w:hAnsi="宋体" w:cs="宋体" w:eastAsia="宋体" w:hint="default"/>
                <w:w w:val="100"/>
                <w:sz w:val="20"/>
                <w:szCs w:val="20"/>
              </w:rPr>
              <w:t> </w:t>
            </w:r>
            <w:r>
              <w:rPr>
                <w:rFonts w:ascii="宋体" w:hAnsi="宋体" w:cs="宋体" w:eastAsia="宋体" w:hint="default"/>
                <w:sz w:val="20"/>
                <w:szCs w:val="20"/>
              </w:rPr>
              <w:t>司领薪</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402"/>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678" w:hRule="exact"/>
        </w:trPr>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齐强</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40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9" w:right="0"/>
              <w:jc w:val="center"/>
              <w:rPr>
                <w:rFonts w:ascii="宋体" w:hAnsi="宋体" w:cs="宋体" w:eastAsia="宋体" w:hint="default"/>
                <w:sz w:val="18"/>
                <w:szCs w:val="18"/>
              </w:rPr>
            </w:pPr>
            <w:r>
              <w:rPr>
                <w:rFonts w:ascii="宋体" w:hAnsi="宋体" w:cs="宋体" w:eastAsia="宋体" w:hint="default"/>
                <w:spacing w:val="16"/>
                <w:sz w:val="18"/>
                <w:szCs w:val="18"/>
              </w:rPr>
              <w:t>2010年7月</w:t>
            </w:r>
            <w:r>
              <w:rPr>
                <w:rFonts w:ascii="宋体" w:hAnsi="宋体" w:cs="宋体" w:eastAsia="宋体" w:hint="default"/>
                <w:spacing w:val="-51"/>
                <w:sz w:val="18"/>
                <w:szCs w:val="18"/>
              </w:rPr>
              <w:t> </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p>
          <w:p>
            <w:pPr>
              <w:pStyle w:val="TableParagraph"/>
              <w:spacing w:line="240" w:lineRule="auto" w:before="76"/>
              <w:ind w:left="27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9,225,130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23,062,825</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3"/>
              <w:ind w:left="224" w:right="130" w:hanging="90"/>
              <w:jc w:val="left"/>
              <w:rPr>
                <w:rFonts w:ascii="宋体" w:hAnsi="宋体" w:cs="宋体" w:eastAsia="宋体" w:hint="default"/>
                <w:sz w:val="18"/>
                <w:szCs w:val="18"/>
              </w:rPr>
            </w:pPr>
            <w:r>
              <w:rPr>
                <w:rFonts w:ascii="宋体" w:hAnsi="宋体" w:cs="宋体" w:eastAsia="宋体" w:hint="default"/>
                <w:sz w:val="18"/>
                <w:szCs w:val="18"/>
              </w:rPr>
              <w:t>资本公积 金转增</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7"/>
              <w:ind w:left="193" w:right="191" w:firstLine="1"/>
              <w:jc w:val="left"/>
              <w:rPr>
                <w:rFonts w:ascii="宋体" w:hAnsi="宋体" w:cs="宋体" w:eastAsia="宋体" w:hint="default"/>
                <w:sz w:val="20"/>
                <w:szCs w:val="20"/>
              </w:rPr>
            </w:pPr>
            <w:r>
              <w:rPr>
                <w:rFonts w:ascii="宋体" w:hAnsi="宋体" w:cs="宋体" w:eastAsia="宋体" w:hint="default"/>
                <w:sz w:val="20"/>
                <w:szCs w:val="20"/>
              </w:rPr>
              <w:t>未在公</w:t>
            </w:r>
            <w:r>
              <w:rPr>
                <w:rFonts w:ascii="宋体" w:hAnsi="宋体" w:cs="宋体" w:eastAsia="宋体" w:hint="default"/>
                <w:w w:val="100"/>
                <w:sz w:val="20"/>
                <w:szCs w:val="20"/>
              </w:rPr>
              <w:t> </w:t>
            </w:r>
            <w:r>
              <w:rPr>
                <w:rFonts w:ascii="宋体" w:hAnsi="宋体" w:cs="宋体" w:eastAsia="宋体" w:hint="default"/>
                <w:sz w:val="20"/>
                <w:szCs w:val="20"/>
              </w:rPr>
              <w:t>司领薪</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402"/>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679" w:hRule="exact"/>
        </w:trPr>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陈冲</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66</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9" w:right="0"/>
              <w:jc w:val="center"/>
              <w:rPr>
                <w:rFonts w:ascii="宋体" w:hAnsi="宋体" w:cs="宋体" w:eastAsia="宋体" w:hint="default"/>
                <w:sz w:val="18"/>
                <w:szCs w:val="18"/>
              </w:rPr>
            </w:pPr>
            <w:r>
              <w:rPr>
                <w:rFonts w:ascii="宋体" w:hAnsi="宋体" w:cs="宋体" w:eastAsia="宋体" w:hint="default"/>
                <w:spacing w:val="16"/>
                <w:sz w:val="18"/>
                <w:szCs w:val="18"/>
              </w:rPr>
              <w:t>2010年7月</w:t>
            </w:r>
            <w:r>
              <w:rPr>
                <w:rFonts w:ascii="宋体" w:hAnsi="宋体" w:cs="宋体" w:eastAsia="宋体" w:hint="default"/>
                <w:spacing w:val="-51"/>
                <w:sz w:val="18"/>
                <w:szCs w:val="18"/>
              </w:rPr>
              <w:t> </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p>
          <w:p>
            <w:pPr>
              <w:pStyle w:val="TableParagraph"/>
              <w:spacing w:line="240" w:lineRule="auto" w:before="76"/>
              <w:ind w:left="27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997"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left="1" w:right="0"/>
              <w:jc w:val="center"/>
              <w:rPr>
                <w:rFonts w:ascii="Times New Roman" w:hAnsi="Times New Roman" w:cs="Times New Roman" w:eastAsia="Times New Roman" w:hint="default"/>
                <w:sz w:val="20"/>
                <w:szCs w:val="20"/>
              </w:rPr>
            </w:pPr>
            <w:r>
              <w:rPr>
                <w:rFonts w:ascii="Times New Roman"/>
                <w:sz w:val="20"/>
              </w:rPr>
              <w:t>7.20</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40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679" w:hRule="exact"/>
        </w:trPr>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right="1"/>
              <w:jc w:val="center"/>
              <w:rPr>
                <w:rFonts w:ascii="宋体" w:hAnsi="宋体" w:cs="宋体" w:eastAsia="宋体" w:hint="default"/>
                <w:sz w:val="20"/>
                <w:szCs w:val="20"/>
              </w:rPr>
            </w:pPr>
            <w:r>
              <w:rPr>
                <w:rFonts w:ascii="宋体" w:hAnsi="宋体" w:cs="宋体" w:eastAsia="宋体" w:hint="default"/>
                <w:sz w:val="20"/>
                <w:szCs w:val="20"/>
              </w:rPr>
              <w:t>王克明</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47</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9" w:right="0"/>
              <w:jc w:val="center"/>
              <w:rPr>
                <w:rFonts w:ascii="宋体" w:hAnsi="宋体" w:cs="宋体" w:eastAsia="宋体" w:hint="default"/>
                <w:sz w:val="18"/>
                <w:szCs w:val="18"/>
              </w:rPr>
            </w:pPr>
            <w:r>
              <w:rPr>
                <w:rFonts w:ascii="宋体" w:hAnsi="宋体" w:cs="宋体" w:eastAsia="宋体" w:hint="default"/>
                <w:spacing w:val="16"/>
                <w:sz w:val="18"/>
                <w:szCs w:val="18"/>
              </w:rPr>
              <w:t>2007年7月</w:t>
            </w:r>
            <w:r>
              <w:rPr>
                <w:rFonts w:ascii="宋体" w:hAnsi="宋体" w:cs="宋体" w:eastAsia="宋体" w:hint="default"/>
                <w:spacing w:val="-51"/>
                <w:sz w:val="18"/>
                <w:szCs w:val="18"/>
              </w:rPr>
              <w:t> </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p>
          <w:p>
            <w:pPr>
              <w:pStyle w:val="TableParagraph"/>
              <w:spacing w:line="240" w:lineRule="auto" w:before="76"/>
              <w:ind w:left="27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997"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3.60</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40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679" w:hRule="exact"/>
        </w:trPr>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right="1"/>
              <w:jc w:val="center"/>
              <w:rPr>
                <w:rFonts w:ascii="宋体" w:hAnsi="宋体" w:cs="宋体" w:eastAsia="宋体" w:hint="default"/>
                <w:sz w:val="20"/>
                <w:szCs w:val="20"/>
              </w:rPr>
            </w:pPr>
            <w:r>
              <w:rPr>
                <w:rFonts w:ascii="宋体" w:hAnsi="宋体" w:cs="宋体" w:eastAsia="宋体" w:hint="default"/>
                <w:sz w:val="20"/>
                <w:szCs w:val="20"/>
              </w:rPr>
              <w:t>夏冬林</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50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9" w:right="0"/>
              <w:jc w:val="center"/>
              <w:rPr>
                <w:rFonts w:ascii="宋体" w:hAnsi="宋体" w:cs="宋体" w:eastAsia="宋体" w:hint="default"/>
                <w:sz w:val="18"/>
                <w:szCs w:val="18"/>
              </w:rPr>
            </w:pPr>
            <w:r>
              <w:rPr>
                <w:rFonts w:ascii="宋体" w:hAnsi="宋体" w:cs="宋体" w:eastAsia="宋体" w:hint="default"/>
                <w:spacing w:val="16"/>
                <w:sz w:val="18"/>
                <w:szCs w:val="18"/>
              </w:rPr>
              <w:t>2007年7月</w:t>
            </w:r>
            <w:r>
              <w:rPr>
                <w:rFonts w:ascii="宋体" w:hAnsi="宋体" w:cs="宋体" w:eastAsia="宋体" w:hint="default"/>
                <w:spacing w:val="-51"/>
                <w:sz w:val="18"/>
                <w:szCs w:val="18"/>
              </w:rPr>
              <w:t> </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p>
          <w:p>
            <w:pPr>
              <w:pStyle w:val="TableParagraph"/>
              <w:spacing w:line="240" w:lineRule="auto" w:before="76"/>
              <w:ind w:left="27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997"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3.60</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40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679" w:hRule="exact"/>
        </w:trPr>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right="0"/>
              <w:jc w:val="center"/>
              <w:rPr>
                <w:rFonts w:ascii="宋体" w:hAnsi="宋体" w:cs="宋体" w:eastAsia="宋体" w:hint="default"/>
                <w:sz w:val="20"/>
                <w:szCs w:val="20"/>
              </w:rPr>
            </w:pPr>
            <w:r>
              <w:rPr>
                <w:rFonts w:ascii="宋体" w:hAnsi="宋体" w:cs="宋体" w:eastAsia="宋体" w:hint="default"/>
                <w:sz w:val="20"/>
                <w:szCs w:val="20"/>
              </w:rPr>
              <w:t>黄涛</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45</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9" w:right="0"/>
              <w:jc w:val="center"/>
              <w:rPr>
                <w:rFonts w:ascii="宋体" w:hAnsi="宋体" w:cs="宋体" w:eastAsia="宋体" w:hint="default"/>
                <w:sz w:val="18"/>
                <w:szCs w:val="18"/>
              </w:rPr>
            </w:pPr>
            <w:r>
              <w:rPr>
                <w:rFonts w:ascii="宋体" w:hAnsi="宋体" w:cs="宋体" w:eastAsia="宋体" w:hint="default"/>
                <w:spacing w:val="16"/>
                <w:sz w:val="18"/>
                <w:szCs w:val="18"/>
              </w:rPr>
              <w:t>2007年7月</w:t>
            </w:r>
            <w:r>
              <w:rPr>
                <w:rFonts w:ascii="宋体" w:hAnsi="宋体" w:cs="宋体" w:eastAsia="宋体" w:hint="default"/>
                <w:spacing w:val="-51"/>
                <w:sz w:val="18"/>
                <w:szCs w:val="18"/>
              </w:rPr>
              <w:t> </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p>
          <w:p>
            <w:pPr>
              <w:pStyle w:val="TableParagraph"/>
              <w:spacing w:line="240" w:lineRule="auto" w:before="76"/>
              <w:ind w:left="27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997"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3.60</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40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679" w:hRule="exact"/>
        </w:trPr>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63" w:right="0"/>
              <w:jc w:val="left"/>
              <w:rPr>
                <w:rFonts w:ascii="宋体" w:hAnsi="宋体" w:cs="宋体" w:eastAsia="宋体" w:hint="default"/>
                <w:sz w:val="18"/>
                <w:szCs w:val="18"/>
              </w:rPr>
            </w:pPr>
            <w:r>
              <w:rPr>
                <w:rFonts w:ascii="宋体" w:hAnsi="宋体" w:cs="宋体" w:eastAsia="宋体" w:hint="default"/>
                <w:sz w:val="18"/>
                <w:szCs w:val="18"/>
              </w:rPr>
              <w:t>蓝伯雄</w:t>
            </w:r>
          </w:p>
          <w:p>
            <w:pPr>
              <w:pStyle w:val="TableParagraph"/>
              <w:spacing w:line="240" w:lineRule="auto" w:before="76"/>
              <w:ind w:left="263" w:right="0"/>
              <w:jc w:val="left"/>
              <w:rPr>
                <w:rFonts w:ascii="宋体" w:hAnsi="宋体" w:cs="宋体" w:eastAsia="宋体" w:hint="default"/>
                <w:sz w:val="18"/>
                <w:szCs w:val="18"/>
              </w:rPr>
            </w:pPr>
            <w:r>
              <w:rPr>
                <w:rFonts w:ascii="宋体" w:hAnsi="宋体" w:cs="宋体" w:eastAsia="宋体" w:hint="default"/>
                <w:sz w:val="18"/>
                <w:szCs w:val="18"/>
              </w:rPr>
              <w:t>（注）</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60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9" w:right="0"/>
              <w:jc w:val="center"/>
              <w:rPr>
                <w:rFonts w:ascii="宋体" w:hAnsi="宋体" w:cs="宋体" w:eastAsia="宋体" w:hint="default"/>
                <w:sz w:val="18"/>
                <w:szCs w:val="18"/>
              </w:rPr>
            </w:pPr>
            <w:r>
              <w:rPr>
                <w:rFonts w:ascii="宋体" w:hAnsi="宋体" w:cs="宋体" w:eastAsia="宋体" w:hint="default"/>
                <w:spacing w:val="16"/>
                <w:sz w:val="18"/>
                <w:szCs w:val="18"/>
              </w:rPr>
              <w:t>2010年7月</w:t>
            </w:r>
            <w:r>
              <w:rPr>
                <w:rFonts w:ascii="宋体" w:hAnsi="宋体" w:cs="宋体" w:eastAsia="宋体" w:hint="default"/>
                <w:spacing w:val="-51"/>
                <w:sz w:val="18"/>
                <w:szCs w:val="18"/>
              </w:rPr>
              <w:t> </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p>
          <w:p>
            <w:pPr>
              <w:pStyle w:val="TableParagraph"/>
              <w:spacing w:line="240" w:lineRule="auto" w:before="76"/>
              <w:ind w:left="27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997"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3.60</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40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678" w:hRule="exact"/>
        </w:trPr>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63" w:right="0"/>
              <w:jc w:val="left"/>
              <w:rPr>
                <w:rFonts w:ascii="宋体" w:hAnsi="宋体" w:cs="宋体" w:eastAsia="宋体" w:hint="default"/>
                <w:sz w:val="18"/>
                <w:szCs w:val="18"/>
              </w:rPr>
            </w:pPr>
            <w:r>
              <w:rPr>
                <w:rFonts w:ascii="宋体" w:hAnsi="宋体" w:cs="宋体" w:eastAsia="宋体" w:hint="default"/>
                <w:sz w:val="18"/>
                <w:szCs w:val="18"/>
              </w:rPr>
              <w:t>江锡如</w:t>
            </w:r>
          </w:p>
          <w:p>
            <w:pPr>
              <w:pStyle w:val="TableParagraph"/>
              <w:spacing w:line="240" w:lineRule="auto" w:before="76"/>
              <w:ind w:left="263" w:right="0"/>
              <w:jc w:val="left"/>
              <w:rPr>
                <w:rFonts w:ascii="宋体" w:hAnsi="宋体" w:cs="宋体" w:eastAsia="宋体" w:hint="default"/>
                <w:sz w:val="18"/>
                <w:szCs w:val="18"/>
              </w:rPr>
            </w:pPr>
            <w:r>
              <w:rPr>
                <w:rFonts w:ascii="宋体" w:hAnsi="宋体" w:cs="宋体" w:eastAsia="宋体" w:hint="default"/>
                <w:sz w:val="18"/>
                <w:szCs w:val="18"/>
              </w:rPr>
              <w:t>（注）</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45</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9" w:right="0"/>
              <w:jc w:val="center"/>
              <w:rPr>
                <w:rFonts w:ascii="宋体" w:hAnsi="宋体" w:cs="宋体" w:eastAsia="宋体" w:hint="default"/>
                <w:sz w:val="18"/>
                <w:szCs w:val="18"/>
              </w:rPr>
            </w:pPr>
            <w:r>
              <w:rPr>
                <w:rFonts w:ascii="宋体" w:hAnsi="宋体" w:cs="宋体" w:eastAsia="宋体" w:hint="default"/>
                <w:spacing w:val="16"/>
                <w:sz w:val="18"/>
                <w:szCs w:val="18"/>
              </w:rPr>
              <w:t>2010年7月</w:t>
            </w:r>
            <w:r>
              <w:rPr>
                <w:rFonts w:ascii="宋体" w:hAnsi="宋体" w:cs="宋体" w:eastAsia="宋体" w:hint="default"/>
                <w:spacing w:val="-51"/>
                <w:sz w:val="18"/>
                <w:szCs w:val="18"/>
              </w:rPr>
              <w:t> </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p>
          <w:p>
            <w:pPr>
              <w:pStyle w:val="TableParagraph"/>
              <w:spacing w:line="240" w:lineRule="auto" w:before="76"/>
              <w:ind w:left="27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997"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3.60</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40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680" w:hRule="exact"/>
        </w:trPr>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63" w:right="0"/>
              <w:jc w:val="left"/>
              <w:rPr>
                <w:rFonts w:ascii="宋体" w:hAnsi="宋体" w:cs="宋体" w:eastAsia="宋体" w:hint="default"/>
                <w:sz w:val="18"/>
                <w:szCs w:val="18"/>
              </w:rPr>
            </w:pPr>
            <w:r>
              <w:rPr>
                <w:rFonts w:ascii="宋体" w:hAnsi="宋体" w:cs="宋体" w:eastAsia="宋体" w:hint="default"/>
                <w:sz w:val="18"/>
                <w:szCs w:val="18"/>
              </w:rPr>
              <w:t>刘凯湘</w:t>
            </w:r>
          </w:p>
          <w:p>
            <w:pPr>
              <w:pStyle w:val="TableParagraph"/>
              <w:spacing w:line="240" w:lineRule="auto" w:before="76"/>
              <w:ind w:left="263" w:right="0"/>
              <w:jc w:val="left"/>
              <w:rPr>
                <w:rFonts w:ascii="宋体" w:hAnsi="宋体" w:cs="宋体" w:eastAsia="宋体" w:hint="default"/>
                <w:sz w:val="18"/>
                <w:szCs w:val="18"/>
              </w:rPr>
            </w:pPr>
            <w:r>
              <w:rPr>
                <w:rFonts w:ascii="宋体" w:hAnsi="宋体" w:cs="宋体" w:eastAsia="宋体" w:hint="default"/>
                <w:sz w:val="18"/>
                <w:szCs w:val="18"/>
              </w:rPr>
              <w:t>（注）</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46</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9" w:right="0"/>
              <w:jc w:val="center"/>
              <w:rPr>
                <w:rFonts w:ascii="宋体" w:hAnsi="宋体" w:cs="宋体" w:eastAsia="宋体" w:hint="default"/>
                <w:sz w:val="18"/>
                <w:szCs w:val="18"/>
              </w:rPr>
            </w:pPr>
            <w:r>
              <w:rPr>
                <w:rFonts w:ascii="宋体" w:hAnsi="宋体" w:cs="宋体" w:eastAsia="宋体" w:hint="default"/>
                <w:spacing w:val="16"/>
                <w:sz w:val="18"/>
                <w:szCs w:val="18"/>
              </w:rPr>
              <w:t>2010年7月</w:t>
            </w:r>
            <w:r>
              <w:rPr>
                <w:rFonts w:ascii="宋体" w:hAnsi="宋体" w:cs="宋体" w:eastAsia="宋体" w:hint="default"/>
                <w:spacing w:val="-51"/>
                <w:sz w:val="18"/>
                <w:szCs w:val="18"/>
              </w:rPr>
              <w:t> </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p>
          <w:p>
            <w:pPr>
              <w:pStyle w:val="TableParagraph"/>
              <w:spacing w:line="240" w:lineRule="auto" w:before="76"/>
              <w:ind w:left="27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997"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3.60</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402"/>
              <w:jc w:val="righ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right"/>
        <w:rPr>
          <w:rFonts w:ascii="宋体" w:hAnsi="宋体" w:cs="宋体" w:eastAsia="宋体" w:hint="default"/>
          <w:sz w:val="18"/>
          <w:szCs w:val="18"/>
        </w:rPr>
        <w:sectPr>
          <w:pgSz w:w="11910" w:h="16840"/>
          <w:pgMar w:header="851" w:footer="982" w:top="1300" w:bottom="1180" w:left="280" w:right="260"/>
        </w:sectPr>
      </w:pPr>
    </w:p>
    <w:p>
      <w:pPr>
        <w:spacing w:line="240" w:lineRule="auto" w:before="11"/>
        <w:rPr>
          <w:rFonts w:ascii="宋体" w:hAnsi="宋体" w:cs="宋体" w:eastAsia="宋体" w:hint="default"/>
          <w:b/>
          <w:bCs/>
          <w:sz w:val="2"/>
          <w:szCs w:val="2"/>
        </w:rPr>
      </w:pPr>
    </w:p>
    <w:tbl>
      <w:tblPr>
        <w:tblW w:w="0" w:type="auto"/>
        <w:jc w:val="left"/>
        <w:tblInd w:w="106" w:type="dxa"/>
        <w:tblLayout w:type="fixed"/>
        <w:tblCellMar>
          <w:top w:w="0" w:type="dxa"/>
          <w:left w:w="0" w:type="dxa"/>
          <w:bottom w:w="0" w:type="dxa"/>
          <w:right w:w="0" w:type="dxa"/>
        </w:tblCellMar>
        <w:tblLook w:val="01E0"/>
      </w:tblPr>
      <w:tblGrid>
        <w:gridCol w:w="1078"/>
        <w:gridCol w:w="998"/>
        <w:gridCol w:w="683"/>
        <w:gridCol w:w="664"/>
        <w:gridCol w:w="1145"/>
        <w:gridCol w:w="1091"/>
        <w:gridCol w:w="1266"/>
        <w:gridCol w:w="1206"/>
        <w:gridCol w:w="997"/>
        <w:gridCol w:w="998"/>
        <w:gridCol w:w="998"/>
      </w:tblGrid>
      <w:tr>
        <w:trPr>
          <w:trHeight w:val="682" w:hRule="exact"/>
        </w:trPr>
        <w:tc>
          <w:tcPr>
            <w:tcW w:w="107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李广刚</w:t>
            </w:r>
          </w:p>
        </w:tc>
        <w:tc>
          <w:tcPr>
            <w:tcW w:w="998" w:type="dxa"/>
            <w:tcBorders>
              <w:top w:val="single" w:sz="6" w:space="0" w:color="000000"/>
              <w:left w:val="single" w:sz="4" w:space="0" w:color="000000"/>
              <w:bottom w:val="single" w:sz="4" w:space="0" w:color="000000"/>
              <w:right w:val="single" w:sz="4" w:space="0" w:color="000000"/>
            </w:tcBorders>
          </w:tcPr>
          <w:p>
            <w:pPr>
              <w:pStyle w:val="TableParagraph"/>
              <w:spacing w:line="316" w:lineRule="auto" w:before="32"/>
              <w:ind w:left="314" w:right="222" w:hanging="90"/>
              <w:jc w:val="left"/>
              <w:rPr>
                <w:rFonts w:ascii="宋体" w:hAnsi="宋体" w:cs="宋体" w:eastAsia="宋体" w:hint="default"/>
                <w:sz w:val="18"/>
                <w:szCs w:val="18"/>
              </w:rPr>
            </w:pPr>
            <w:r>
              <w:rPr>
                <w:rFonts w:ascii="宋体" w:hAnsi="宋体" w:cs="宋体" w:eastAsia="宋体" w:hint="default"/>
                <w:sz w:val="18"/>
                <w:szCs w:val="18"/>
              </w:rPr>
              <w:t>监事会 主席</w:t>
            </w:r>
          </w:p>
        </w:tc>
        <w:tc>
          <w:tcPr>
            <w:tcW w:w="68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6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32</w:t>
            </w:r>
          </w:p>
        </w:tc>
        <w:tc>
          <w:tcPr>
            <w:tcW w:w="1145"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2"/>
              <w:ind w:left="39" w:right="0"/>
              <w:jc w:val="center"/>
              <w:rPr>
                <w:rFonts w:ascii="宋体" w:hAnsi="宋体" w:cs="宋体" w:eastAsia="宋体" w:hint="default"/>
                <w:sz w:val="18"/>
                <w:szCs w:val="18"/>
              </w:rPr>
            </w:pPr>
            <w:r>
              <w:rPr>
                <w:rFonts w:ascii="宋体" w:hAnsi="宋体" w:cs="宋体" w:eastAsia="宋体" w:hint="default"/>
                <w:spacing w:val="16"/>
                <w:sz w:val="18"/>
                <w:szCs w:val="18"/>
              </w:rPr>
              <w:t>2010年7月</w:t>
            </w:r>
            <w:r>
              <w:rPr>
                <w:rFonts w:ascii="宋体" w:hAnsi="宋体" w:cs="宋体" w:eastAsia="宋体" w:hint="default"/>
                <w:spacing w:val="-51"/>
                <w:sz w:val="18"/>
                <w:szCs w:val="18"/>
              </w:rPr>
              <w:t> </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9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2"/>
              <w:ind w:left="180"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p>
          <w:p>
            <w:pPr>
              <w:pStyle w:val="TableParagraph"/>
              <w:spacing w:line="240" w:lineRule="auto" w:before="76"/>
              <w:ind w:left="27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26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120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997" w:type="dxa"/>
            <w:tcBorders>
              <w:top w:val="single" w:sz="6" w:space="0" w:color="000000"/>
              <w:left w:val="single" w:sz="4" w:space="0" w:color="000000"/>
              <w:bottom w:val="single" w:sz="4" w:space="0" w:color="000000"/>
              <w:right w:val="single" w:sz="4" w:space="0" w:color="000000"/>
            </w:tcBorders>
          </w:tcPr>
          <w:p>
            <w:pPr/>
          </w:p>
        </w:tc>
        <w:tc>
          <w:tcPr>
            <w:tcW w:w="99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27.38</w:t>
            </w:r>
          </w:p>
        </w:tc>
        <w:tc>
          <w:tcPr>
            <w:tcW w:w="99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40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679" w:hRule="exact"/>
        </w:trPr>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丁彦超</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42</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9" w:right="0"/>
              <w:jc w:val="center"/>
              <w:rPr>
                <w:rFonts w:ascii="宋体" w:hAnsi="宋体" w:cs="宋体" w:eastAsia="宋体" w:hint="default"/>
                <w:sz w:val="18"/>
                <w:szCs w:val="18"/>
              </w:rPr>
            </w:pPr>
            <w:r>
              <w:rPr>
                <w:rFonts w:ascii="宋体" w:hAnsi="宋体" w:cs="宋体" w:eastAsia="宋体" w:hint="default"/>
                <w:spacing w:val="16"/>
                <w:sz w:val="18"/>
                <w:szCs w:val="18"/>
              </w:rPr>
              <w:t>2010年7月</w:t>
            </w:r>
            <w:r>
              <w:rPr>
                <w:rFonts w:ascii="宋体" w:hAnsi="宋体" w:cs="宋体" w:eastAsia="宋体" w:hint="default"/>
                <w:spacing w:val="-51"/>
                <w:sz w:val="18"/>
                <w:szCs w:val="18"/>
              </w:rPr>
              <w:t> </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p>
          <w:p>
            <w:pPr>
              <w:pStyle w:val="TableParagraph"/>
              <w:spacing w:line="240" w:lineRule="auto" w:before="76"/>
              <w:ind w:left="27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30,000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75,000</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3"/>
              <w:ind w:left="224" w:right="130" w:hanging="90"/>
              <w:jc w:val="left"/>
              <w:rPr>
                <w:rFonts w:ascii="宋体" w:hAnsi="宋体" w:cs="宋体" w:eastAsia="宋体" w:hint="default"/>
                <w:sz w:val="18"/>
                <w:szCs w:val="18"/>
              </w:rPr>
            </w:pPr>
            <w:r>
              <w:rPr>
                <w:rFonts w:ascii="宋体" w:hAnsi="宋体" w:cs="宋体" w:eastAsia="宋体" w:hint="default"/>
                <w:sz w:val="18"/>
                <w:szCs w:val="18"/>
              </w:rPr>
              <w:t>资本公积 金转增</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25.70</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40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678" w:hRule="exact"/>
        </w:trPr>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郝岩</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职工监事</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30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9" w:right="0"/>
              <w:jc w:val="center"/>
              <w:rPr>
                <w:rFonts w:ascii="宋体" w:hAnsi="宋体" w:cs="宋体" w:eastAsia="宋体" w:hint="default"/>
                <w:sz w:val="18"/>
                <w:szCs w:val="18"/>
              </w:rPr>
            </w:pPr>
            <w:r>
              <w:rPr>
                <w:rFonts w:ascii="宋体" w:hAnsi="宋体" w:cs="宋体" w:eastAsia="宋体" w:hint="default"/>
                <w:spacing w:val="16"/>
                <w:sz w:val="18"/>
                <w:szCs w:val="18"/>
              </w:rPr>
              <w:t>2010年7月</w:t>
            </w:r>
            <w:r>
              <w:rPr>
                <w:rFonts w:ascii="宋体" w:hAnsi="宋体" w:cs="宋体" w:eastAsia="宋体" w:hint="default"/>
                <w:spacing w:val="-51"/>
                <w:sz w:val="18"/>
                <w:szCs w:val="18"/>
              </w:rPr>
              <w:t> </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p>
          <w:p>
            <w:pPr>
              <w:pStyle w:val="TableParagraph"/>
              <w:spacing w:line="240" w:lineRule="auto" w:before="76"/>
              <w:ind w:left="27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997"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left="1" w:right="0"/>
              <w:jc w:val="center"/>
              <w:rPr>
                <w:rFonts w:ascii="Times New Roman" w:hAnsi="Times New Roman" w:cs="Times New Roman" w:eastAsia="Times New Roman" w:hint="default"/>
                <w:sz w:val="20"/>
                <w:szCs w:val="20"/>
              </w:rPr>
            </w:pPr>
            <w:r>
              <w:rPr>
                <w:rFonts w:ascii="Times New Roman"/>
                <w:sz w:val="20"/>
              </w:rPr>
              <w:t>9.49</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40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679" w:hRule="exact"/>
        </w:trPr>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汪铖</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36</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9" w:right="0"/>
              <w:jc w:val="center"/>
              <w:rPr>
                <w:rFonts w:ascii="宋体" w:hAnsi="宋体" w:cs="宋体" w:eastAsia="宋体" w:hint="default"/>
                <w:sz w:val="18"/>
                <w:szCs w:val="18"/>
              </w:rPr>
            </w:pPr>
            <w:r>
              <w:rPr>
                <w:rFonts w:ascii="宋体" w:hAnsi="宋体" w:cs="宋体" w:eastAsia="宋体" w:hint="default"/>
                <w:spacing w:val="16"/>
                <w:sz w:val="18"/>
                <w:szCs w:val="18"/>
              </w:rPr>
              <w:t>2010年7月</w:t>
            </w:r>
            <w:r>
              <w:rPr>
                <w:rFonts w:ascii="宋体" w:hAnsi="宋体" w:cs="宋体" w:eastAsia="宋体" w:hint="default"/>
                <w:spacing w:val="-51"/>
                <w:sz w:val="18"/>
                <w:szCs w:val="18"/>
              </w:rPr>
              <w:t> </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p>
          <w:p>
            <w:pPr>
              <w:pStyle w:val="TableParagraph"/>
              <w:spacing w:line="240" w:lineRule="auto" w:before="76"/>
              <w:ind w:left="27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4,103,144</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10,257,860</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4" w:right="131" w:hanging="90"/>
              <w:jc w:val="left"/>
              <w:rPr>
                <w:rFonts w:ascii="宋体" w:hAnsi="宋体" w:cs="宋体" w:eastAsia="宋体" w:hint="default"/>
                <w:sz w:val="18"/>
                <w:szCs w:val="18"/>
              </w:rPr>
            </w:pPr>
            <w:r>
              <w:rPr>
                <w:rFonts w:ascii="宋体" w:hAnsi="宋体" w:cs="宋体" w:eastAsia="宋体" w:hint="default"/>
                <w:sz w:val="18"/>
                <w:szCs w:val="18"/>
              </w:rPr>
              <w:t>资本公积 金转增</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36.25</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40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679" w:hRule="exact"/>
        </w:trPr>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朱健松</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43</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9" w:right="0"/>
              <w:jc w:val="center"/>
              <w:rPr>
                <w:rFonts w:ascii="宋体" w:hAnsi="宋体" w:cs="宋体" w:eastAsia="宋体" w:hint="default"/>
                <w:sz w:val="18"/>
                <w:szCs w:val="18"/>
              </w:rPr>
            </w:pPr>
            <w:r>
              <w:rPr>
                <w:rFonts w:ascii="宋体" w:hAnsi="宋体" w:cs="宋体" w:eastAsia="宋体" w:hint="default"/>
                <w:spacing w:val="16"/>
                <w:sz w:val="18"/>
                <w:szCs w:val="18"/>
              </w:rPr>
              <w:t>2010年7月</w:t>
            </w:r>
            <w:r>
              <w:rPr>
                <w:rFonts w:ascii="宋体" w:hAnsi="宋体" w:cs="宋体" w:eastAsia="宋体" w:hint="default"/>
                <w:spacing w:val="-51"/>
                <w:sz w:val="18"/>
                <w:szCs w:val="18"/>
              </w:rPr>
              <w:t> </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p>
          <w:p>
            <w:pPr>
              <w:pStyle w:val="TableParagraph"/>
              <w:spacing w:line="240" w:lineRule="auto" w:before="76"/>
              <w:ind w:left="27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150,000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375,000</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4" w:right="131" w:hanging="90"/>
              <w:jc w:val="left"/>
              <w:rPr>
                <w:rFonts w:ascii="宋体" w:hAnsi="宋体" w:cs="宋体" w:eastAsia="宋体" w:hint="default"/>
                <w:sz w:val="18"/>
                <w:szCs w:val="18"/>
              </w:rPr>
            </w:pPr>
            <w:r>
              <w:rPr>
                <w:rFonts w:ascii="宋体" w:hAnsi="宋体" w:cs="宋体" w:eastAsia="宋体" w:hint="default"/>
                <w:sz w:val="18"/>
                <w:szCs w:val="18"/>
              </w:rPr>
              <w:t>资本公积 金转增</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44.82</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40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679" w:hRule="exact"/>
        </w:trPr>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陶磊</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38</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9" w:right="0"/>
              <w:jc w:val="center"/>
              <w:rPr>
                <w:rFonts w:ascii="宋体" w:hAnsi="宋体" w:cs="宋体" w:eastAsia="宋体" w:hint="default"/>
                <w:sz w:val="18"/>
                <w:szCs w:val="18"/>
              </w:rPr>
            </w:pPr>
            <w:r>
              <w:rPr>
                <w:rFonts w:ascii="宋体" w:hAnsi="宋体" w:cs="宋体" w:eastAsia="宋体" w:hint="default"/>
                <w:spacing w:val="16"/>
                <w:sz w:val="18"/>
                <w:szCs w:val="18"/>
              </w:rPr>
              <w:t>2010年7月</w:t>
            </w:r>
            <w:r>
              <w:rPr>
                <w:rFonts w:ascii="宋体" w:hAnsi="宋体" w:cs="宋体" w:eastAsia="宋体" w:hint="default"/>
                <w:spacing w:val="-51"/>
                <w:sz w:val="18"/>
                <w:szCs w:val="18"/>
              </w:rPr>
              <w:t> </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p>
          <w:p>
            <w:pPr>
              <w:pStyle w:val="TableParagraph"/>
              <w:spacing w:line="240" w:lineRule="auto" w:before="76"/>
              <w:ind w:left="27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150,000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375,000</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4" w:right="131" w:hanging="90"/>
              <w:jc w:val="left"/>
              <w:rPr>
                <w:rFonts w:ascii="宋体" w:hAnsi="宋体" w:cs="宋体" w:eastAsia="宋体" w:hint="default"/>
                <w:sz w:val="18"/>
                <w:szCs w:val="18"/>
              </w:rPr>
            </w:pPr>
            <w:r>
              <w:rPr>
                <w:rFonts w:ascii="宋体" w:hAnsi="宋体" w:cs="宋体" w:eastAsia="宋体" w:hint="default"/>
                <w:sz w:val="18"/>
                <w:szCs w:val="18"/>
              </w:rPr>
              <w:t>资本公积 金转增</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20.30</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40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679" w:hRule="exact"/>
        </w:trPr>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高峰</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34</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9" w:right="0"/>
              <w:jc w:val="center"/>
              <w:rPr>
                <w:rFonts w:ascii="宋体" w:hAnsi="宋体" w:cs="宋体" w:eastAsia="宋体" w:hint="default"/>
                <w:sz w:val="18"/>
                <w:szCs w:val="18"/>
              </w:rPr>
            </w:pPr>
            <w:r>
              <w:rPr>
                <w:rFonts w:ascii="宋体" w:hAnsi="宋体" w:cs="宋体" w:eastAsia="宋体" w:hint="default"/>
                <w:spacing w:val="16"/>
                <w:sz w:val="18"/>
                <w:szCs w:val="18"/>
              </w:rPr>
              <w:t>2010年7月</w:t>
            </w:r>
            <w:r>
              <w:rPr>
                <w:rFonts w:ascii="宋体" w:hAnsi="宋体" w:cs="宋体" w:eastAsia="宋体" w:hint="default"/>
                <w:spacing w:val="-51"/>
                <w:sz w:val="18"/>
                <w:szCs w:val="18"/>
              </w:rPr>
              <w:t> </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p>
          <w:p>
            <w:pPr>
              <w:pStyle w:val="TableParagraph"/>
              <w:spacing w:line="240" w:lineRule="auto" w:before="76"/>
              <w:ind w:left="27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960,000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2,400,000</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4" w:right="130" w:hanging="90"/>
              <w:jc w:val="left"/>
              <w:rPr>
                <w:rFonts w:ascii="宋体" w:hAnsi="宋体" w:cs="宋体" w:eastAsia="宋体" w:hint="default"/>
                <w:sz w:val="18"/>
                <w:szCs w:val="18"/>
              </w:rPr>
            </w:pPr>
            <w:r>
              <w:rPr>
                <w:rFonts w:ascii="宋体" w:hAnsi="宋体" w:cs="宋体" w:eastAsia="宋体" w:hint="default"/>
                <w:sz w:val="18"/>
                <w:szCs w:val="18"/>
              </w:rPr>
              <w:t>资本公积 金转增</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20.21</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40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679" w:hRule="exact"/>
        </w:trPr>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张振鹏</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49</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9" w:right="0"/>
              <w:jc w:val="center"/>
              <w:rPr>
                <w:rFonts w:ascii="宋体" w:hAnsi="宋体" w:cs="宋体" w:eastAsia="宋体" w:hint="default"/>
                <w:sz w:val="18"/>
                <w:szCs w:val="18"/>
              </w:rPr>
            </w:pPr>
            <w:r>
              <w:rPr>
                <w:rFonts w:ascii="宋体" w:hAnsi="宋体" w:cs="宋体" w:eastAsia="宋体" w:hint="default"/>
                <w:spacing w:val="16"/>
                <w:sz w:val="18"/>
                <w:szCs w:val="18"/>
              </w:rPr>
              <w:t>2010年7月</w:t>
            </w:r>
            <w:r>
              <w:rPr>
                <w:rFonts w:ascii="宋体" w:hAnsi="宋体" w:cs="宋体" w:eastAsia="宋体" w:hint="default"/>
                <w:spacing w:val="-51"/>
                <w:sz w:val="18"/>
                <w:szCs w:val="18"/>
              </w:rPr>
              <w:t> </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p>
          <w:p>
            <w:pPr>
              <w:pStyle w:val="TableParagraph"/>
              <w:spacing w:line="240" w:lineRule="auto" w:before="76"/>
              <w:ind w:left="27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989,306</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2,473,265</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4" w:right="130" w:hanging="90"/>
              <w:jc w:val="left"/>
              <w:rPr>
                <w:rFonts w:ascii="宋体" w:hAnsi="宋体" w:cs="宋体" w:eastAsia="宋体" w:hint="default"/>
                <w:sz w:val="18"/>
                <w:szCs w:val="18"/>
              </w:rPr>
            </w:pPr>
            <w:r>
              <w:rPr>
                <w:rFonts w:ascii="宋体" w:hAnsi="宋体" w:cs="宋体" w:eastAsia="宋体" w:hint="default"/>
                <w:sz w:val="18"/>
                <w:szCs w:val="18"/>
              </w:rPr>
              <w:t>资本公积 金转增</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25.19</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40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678" w:hRule="exact"/>
        </w:trPr>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刘豪</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38</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9" w:right="0"/>
              <w:jc w:val="center"/>
              <w:rPr>
                <w:rFonts w:ascii="宋体" w:hAnsi="宋体" w:cs="宋体" w:eastAsia="宋体" w:hint="default"/>
                <w:sz w:val="18"/>
                <w:szCs w:val="18"/>
              </w:rPr>
            </w:pPr>
            <w:r>
              <w:rPr>
                <w:rFonts w:ascii="宋体" w:hAnsi="宋体" w:cs="宋体" w:eastAsia="宋体" w:hint="default"/>
                <w:spacing w:val="16"/>
                <w:sz w:val="18"/>
                <w:szCs w:val="18"/>
              </w:rPr>
              <w:t>2010年7月</w:t>
            </w:r>
            <w:r>
              <w:rPr>
                <w:rFonts w:ascii="宋体" w:hAnsi="宋体" w:cs="宋体" w:eastAsia="宋体" w:hint="default"/>
                <w:spacing w:val="-51"/>
                <w:sz w:val="18"/>
                <w:szCs w:val="18"/>
              </w:rPr>
              <w:t> </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p>
          <w:p>
            <w:pPr>
              <w:pStyle w:val="TableParagraph"/>
              <w:spacing w:line="240" w:lineRule="auto" w:before="76"/>
              <w:ind w:left="27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60,000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150,000</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4" w:right="130" w:hanging="90"/>
              <w:jc w:val="left"/>
              <w:rPr>
                <w:rFonts w:ascii="宋体" w:hAnsi="宋体" w:cs="宋体" w:eastAsia="宋体" w:hint="default"/>
                <w:sz w:val="18"/>
                <w:szCs w:val="18"/>
              </w:rPr>
            </w:pPr>
            <w:r>
              <w:rPr>
                <w:rFonts w:ascii="宋体" w:hAnsi="宋体" w:cs="宋体" w:eastAsia="宋体" w:hint="default"/>
                <w:sz w:val="18"/>
                <w:szCs w:val="18"/>
              </w:rPr>
              <w:t>资本公积 金转增</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26.86</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40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679" w:hRule="exact"/>
        </w:trPr>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许芃</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37</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9" w:right="0"/>
              <w:jc w:val="center"/>
              <w:rPr>
                <w:rFonts w:ascii="宋体" w:hAnsi="宋体" w:cs="宋体" w:eastAsia="宋体" w:hint="default"/>
                <w:sz w:val="18"/>
                <w:szCs w:val="18"/>
              </w:rPr>
            </w:pPr>
            <w:r>
              <w:rPr>
                <w:rFonts w:ascii="宋体" w:hAnsi="宋体" w:cs="宋体" w:eastAsia="宋体" w:hint="default"/>
                <w:spacing w:val="16"/>
                <w:sz w:val="18"/>
                <w:szCs w:val="18"/>
              </w:rPr>
              <w:t>2010年7月</w:t>
            </w:r>
            <w:r>
              <w:rPr>
                <w:rFonts w:ascii="宋体" w:hAnsi="宋体" w:cs="宋体" w:eastAsia="宋体" w:hint="default"/>
                <w:spacing w:val="-51"/>
                <w:sz w:val="18"/>
                <w:szCs w:val="18"/>
              </w:rPr>
              <w:t> </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p>
          <w:p>
            <w:pPr>
              <w:pStyle w:val="TableParagraph"/>
              <w:spacing w:line="240" w:lineRule="auto" w:before="76"/>
              <w:ind w:left="27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1,413,294</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3,533,235</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4" w:right="130" w:hanging="90"/>
              <w:jc w:val="left"/>
              <w:rPr>
                <w:rFonts w:ascii="宋体" w:hAnsi="宋体" w:cs="宋体" w:eastAsia="宋体" w:hint="default"/>
                <w:sz w:val="18"/>
                <w:szCs w:val="18"/>
              </w:rPr>
            </w:pPr>
            <w:r>
              <w:rPr>
                <w:rFonts w:ascii="宋体" w:hAnsi="宋体" w:cs="宋体" w:eastAsia="宋体" w:hint="default"/>
                <w:sz w:val="18"/>
                <w:szCs w:val="18"/>
              </w:rPr>
              <w:t>资本公积 金转增</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39.62</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40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679" w:hRule="exact"/>
        </w:trPr>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王志刚</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39</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9" w:right="0"/>
              <w:jc w:val="center"/>
              <w:rPr>
                <w:rFonts w:ascii="宋体" w:hAnsi="宋体" w:cs="宋体" w:eastAsia="宋体" w:hint="default"/>
                <w:sz w:val="18"/>
                <w:szCs w:val="18"/>
              </w:rPr>
            </w:pPr>
            <w:r>
              <w:rPr>
                <w:rFonts w:ascii="宋体" w:hAnsi="宋体" w:cs="宋体" w:eastAsia="宋体" w:hint="default"/>
                <w:spacing w:val="16"/>
                <w:sz w:val="18"/>
                <w:szCs w:val="18"/>
              </w:rPr>
              <w:t>2010年7月</w:t>
            </w:r>
            <w:r>
              <w:rPr>
                <w:rFonts w:ascii="宋体" w:hAnsi="宋体" w:cs="宋体" w:eastAsia="宋体" w:hint="default"/>
                <w:spacing w:val="-51"/>
                <w:sz w:val="18"/>
                <w:szCs w:val="18"/>
              </w:rPr>
              <w:t> </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p>
          <w:p>
            <w:pPr>
              <w:pStyle w:val="TableParagraph"/>
              <w:spacing w:line="240" w:lineRule="auto" w:before="76"/>
              <w:ind w:left="27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1,413,294</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3,533,235</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4" w:right="130" w:hanging="90"/>
              <w:jc w:val="left"/>
              <w:rPr>
                <w:rFonts w:ascii="宋体" w:hAnsi="宋体" w:cs="宋体" w:eastAsia="宋体" w:hint="default"/>
                <w:sz w:val="18"/>
                <w:szCs w:val="18"/>
              </w:rPr>
            </w:pPr>
            <w:r>
              <w:rPr>
                <w:rFonts w:ascii="宋体" w:hAnsi="宋体" w:cs="宋体" w:eastAsia="宋体" w:hint="default"/>
                <w:sz w:val="18"/>
                <w:szCs w:val="18"/>
              </w:rPr>
              <w:t>资本公积 金转增</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39.82</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40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679" w:hRule="exact"/>
        </w:trPr>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998"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80,160,832</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200,402,080</w:t>
            </w:r>
          </w:p>
        </w:tc>
        <w:tc>
          <w:tcPr>
            <w:tcW w:w="997"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421.74</w:t>
            </w:r>
          </w:p>
        </w:tc>
        <w:tc>
          <w:tcPr>
            <w:tcW w:w="99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4"/>
        <w:rPr>
          <w:rFonts w:ascii="宋体" w:hAnsi="宋体" w:cs="宋体" w:eastAsia="宋体" w:hint="default"/>
          <w:b/>
          <w:bCs/>
          <w:sz w:val="15"/>
          <w:szCs w:val="15"/>
        </w:rPr>
      </w:pPr>
    </w:p>
    <w:p>
      <w:pPr>
        <w:spacing w:line="477" w:lineRule="auto" w:before="44"/>
        <w:ind w:left="1517" w:right="1520" w:firstLine="360"/>
        <w:jc w:val="left"/>
        <w:rPr>
          <w:rFonts w:ascii="宋体" w:hAnsi="宋体" w:cs="宋体" w:eastAsia="宋体" w:hint="default"/>
          <w:sz w:val="18"/>
          <w:szCs w:val="18"/>
        </w:rPr>
      </w:pPr>
      <w:r>
        <w:rPr>
          <w:rFonts w:ascii="宋体" w:hAnsi="宋体" w:cs="宋体" w:eastAsia="宋体" w:hint="default"/>
          <w:sz w:val="18"/>
          <w:szCs w:val="18"/>
        </w:rPr>
        <w:t>注：报告期内，公司董事会进行了换届选举，蓝伯雄、刘凯湘、江锡如、陈冲于</w:t>
      </w:r>
      <w:r>
        <w:rPr>
          <w:rFonts w:ascii="宋体" w:hAnsi="宋体" w:cs="宋体" w:eastAsia="宋体" w:hint="default"/>
          <w:spacing w:val="-40"/>
          <w:sz w:val="18"/>
          <w:szCs w:val="18"/>
        </w:rPr>
        <w:t> </w:t>
      </w:r>
      <w:r>
        <w:rPr>
          <w:rFonts w:ascii="宋体" w:hAnsi="宋体" w:cs="宋体" w:eastAsia="宋体" w:hint="default"/>
          <w:spacing w:val="21"/>
          <w:sz w:val="18"/>
          <w:szCs w:val="18"/>
        </w:rPr>
        <w:t>2010年6月</w:t>
      </w:r>
      <w:r>
        <w:rPr>
          <w:rFonts w:ascii="宋体" w:hAnsi="宋体" w:cs="宋体" w:eastAsia="宋体" w:hint="default"/>
          <w:spacing w:val="-40"/>
          <w:sz w:val="18"/>
          <w:szCs w:val="18"/>
        </w:rPr>
        <w:t> </w:t>
      </w:r>
      <w:r>
        <w:rPr>
          <w:rFonts w:ascii="宋体" w:hAnsi="宋体" w:cs="宋体" w:eastAsia="宋体" w:hint="default"/>
          <w:sz w:val="18"/>
          <w:szCs w:val="18"/>
        </w:rPr>
        <w:t>30</w:t>
      </w:r>
      <w:r>
        <w:rPr>
          <w:rFonts w:ascii="宋体" w:hAnsi="宋体" w:cs="宋体" w:eastAsia="宋体" w:hint="default"/>
          <w:spacing w:val="-40"/>
          <w:sz w:val="18"/>
          <w:szCs w:val="18"/>
        </w:rPr>
        <w:t> </w:t>
      </w:r>
      <w:r>
        <w:rPr>
          <w:rFonts w:ascii="宋体" w:hAnsi="宋体" w:cs="宋体" w:eastAsia="宋体" w:hint="default"/>
          <w:sz w:val="18"/>
          <w:szCs w:val="18"/>
        </w:rPr>
        <w:t>日被</w:t>
      </w:r>
      <w:r>
        <w:rPr>
          <w:rFonts w:ascii="宋体" w:hAnsi="宋体" w:cs="宋体" w:eastAsia="宋体" w:hint="default"/>
          <w:sz w:val="18"/>
          <w:szCs w:val="18"/>
        </w:rPr>
        <w:t> 选举为公司独立董事。</w:t>
      </w:r>
    </w:p>
    <w:p>
      <w:pPr>
        <w:spacing w:line="240" w:lineRule="auto" w:before="2"/>
        <w:rPr>
          <w:rFonts w:ascii="宋体" w:hAnsi="宋体" w:cs="宋体" w:eastAsia="宋体" w:hint="default"/>
          <w:sz w:val="14"/>
          <w:szCs w:val="14"/>
        </w:rPr>
      </w:pPr>
    </w:p>
    <w:p>
      <w:pPr>
        <w:pStyle w:val="Heading2"/>
        <w:spacing w:line="408" w:lineRule="auto"/>
        <w:ind w:left="1517" w:right="1528" w:firstLine="315"/>
        <w:jc w:val="left"/>
        <w:rPr>
          <w:b w:val="0"/>
          <w:bCs w:val="0"/>
        </w:rPr>
      </w:pPr>
      <w:r>
        <w:rPr/>
        <w:t>（二）董事、监事、高级管理人员最近</w:t>
      </w:r>
      <w:r>
        <w:rPr>
          <w:spacing w:val="-67"/>
        </w:rPr>
        <w:t> </w:t>
      </w:r>
      <w:r>
        <w:rPr/>
        <w:t>5</w:t>
      </w:r>
      <w:r>
        <w:rPr>
          <w:spacing w:val="-67"/>
        </w:rPr>
        <w:t> </w:t>
      </w:r>
      <w:r>
        <w:rPr/>
        <w:t>年的主要工作经历和在除股东单位外的其他单</w:t>
      </w:r>
      <w:r>
        <w:rPr>
          <w:w w:val="99"/>
        </w:rPr>
        <w:t> </w:t>
      </w:r>
      <w:r>
        <w:rPr/>
        <w:t>位的任职或兼职情况</w:t>
      </w:r>
      <w:r>
        <w:rPr>
          <w:b w:val="0"/>
          <w:bCs w:val="0"/>
        </w:rPr>
      </w:r>
    </w:p>
    <w:p>
      <w:pPr>
        <w:spacing w:line="240" w:lineRule="auto" w:before="6"/>
        <w:rPr>
          <w:rFonts w:ascii="宋体" w:hAnsi="宋体" w:cs="宋体" w:eastAsia="宋体" w:hint="default"/>
          <w:b/>
          <w:bCs/>
          <w:sz w:val="15"/>
          <w:szCs w:val="15"/>
        </w:rPr>
      </w:pPr>
    </w:p>
    <w:p>
      <w:pPr>
        <w:pStyle w:val="BodyText"/>
        <w:spacing w:line="544" w:lineRule="auto"/>
        <w:ind w:left="1937" w:right="2477"/>
        <w:jc w:val="left"/>
      </w:pPr>
      <w:r>
        <w:rPr/>
        <w:t>1、董事会成员简介 公司董事会由十一名董事组成，其中独立董事四名，具体如下： 王宁先生，董事长，简历见第五节之“四、控股股东及实际控制人情况”。 李力先生，总经理，简历见第五节之“四、控股股东及实际控制人情况”。</w:t>
      </w:r>
    </w:p>
    <w:p>
      <w:pPr>
        <w:pStyle w:val="BodyText"/>
        <w:spacing w:line="408" w:lineRule="auto" w:before="82"/>
        <w:ind w:left="1517" w:right="1520" w:firstLine="420"/>
        <w:jc w:val="left"/>
      </w:pPr>
      <w:r>
        <w:rPr>
          <w:spacing w:val="-3"/>
        </w:rPr>
        <w:t>王国华先生，男，1963年出生，毕业于天津大学系统工程专业，博士学位；曾任天津市</w:t>
      </w:r>
      <w:r>
        <w:rPr/>
        <w:t> </w:t>
      </w:r>
      <w:r>
        <w:rPr>
          <w:spacing w:val="-3"/>
        </w:rPr>
        <w:t>学联主席和青联副主席，美国奔特咨询公司高级项目经理、加拿大平台计算公司中国区总经</w:t>
      </w:r>
    </w:p>
    <w:p>
      <w:pPr>
        <w:spacing w:after="0" w:line="408" w:lineRule="auto"/>
        <w:jc w:val="left"/>
        <w:sectPr>
          <w:pgSz w:w="11910" w:h="16840"/>
          <w:pgMar w:header="851" w:footer="982" w:top="1300" w:bottom="1180" w:left="280" w:right="260"/>
        </w:sectPr>
      </w:pPr>
    </w:p>
    <w:p>
      <w:pPr>
        <w:spacing w:line="240" w:lineRule="auto" w:before="11"/>
        <w:rPr>
          <w:rFonts w:ascii="宋体" w:hAnsi="宋体" w:cs="宋体" w:eastAsia="宋体" w:hint="default"/>
          <w:sz w:val="2"/>
          <w:szCs w:val="2"/>
        </w:rPr>
      </w:pPr>
    </w:p>
    <w:p>
      <w:pPr>
        <w:spacing w:line="20" w:lineRule="exact"/>
        <w:ind w:left="10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pStyle w:val="BodyText"/>
        <w:spacing w:line="408" w:lineRule="auto" w:before="57"/>
        <w:ind w:right="100"/>
        <w:jc w:val="left"/>
      </w:pPr>
      <w:r>
        <w:rPr>
          <w:spacing w:val="-3"/>
        </w:rPr>
        <w:t>理。2001年10月至今历任公司董事、副总经理、常务副总经理。现任公司董事、常务副总经</w:t>
      </w:r>
      <w:r>
        <w:rPr>
          <w:spacing w:val="-72"/>
        </w:rPr>
        <w:t> </w:t>
      </w:r>
      <w:r>
        <w:rPr>
          <w:spacing w:val="-72"/>
        </w:rPr>
      </w:r>
      <w:r>
        <w:rPr/>
        <w:t>理，兼任北京启天同信科技有限公司董事。</w:t>
      </w:r>
    </w:p>
    <w:p>
      <w:pPr>
        <w:pStyle w:val="BodyText"/>
        <w:spacing w:line="408" w:lineRule="auto" w:before="139"/>
        <w:ind w:right="213" w:firstLine="420"/>
        <w:jc w:val="both"/>
      </w:pPr>
      <w:r>
        <w:rPr>
          <w:spacing w:val="-3"/>
        </w:rPr>
        <w:t>黄松浪先生，男，1968年出生，毕业于清华大学，软件工程硕士学位，2002年获美国新</w:t>
      </w:r>
      <w:r>
        <w:rPr/>
        <w:t> 泽西州立大学Rutgers商学院EMBA学位；曾任吉通通信有限公司技术总体部经理、中国惠普 有限公司软件业务部总经理、上海联盈数码技术有限公司董事、总经理；2007年7月至今任 公司副董事长、董事会秘书。兼任上海联盈数码技术有限公司董事。</w:t>
      </w:r>
    </w:p>
    <w:p>
      <w:pPr>
        <w:pStyle w:val="BodyText"/>
        <w:spacing w:line="408" w:lineRule="auto" w:before="138"/>
        <w:ind w:right="109" w:firstLine="420"/>
        <w:jc w:val="both"/>
      </w:pPr>
      <w:r>
        <w:rPr>
          <w:spacing w:val="-3"/>
        </w:rPr>
        <w:t>万能先生，男，1971年出生，毕业于北京科技大学；曾任北京科海天地电子技术有限公</w:t>
      </w:r>
      <w:r>
        <w:rPr/>
        <w:t> 司技术部经理、北京中自公司技术部经理、北京神州泰岳科技有限公司副经理；2001年5月 </w:t>
      </w:r>
      <w:r>
        <w:rPr>
          <w:spacing w:val="-3"/>
        </w:rPr>
        <w:t>至今任公司董事，自2007年7月起担任公司财务总监。兼任北京启天同信科技有限公司董事。</w:t>
      </w:r>
    </w:p>
    <w:p>
      <w:pPr>
        <w:pStyle w:val="BodyText"/>
        <w:spacing w:line="408" w:lineRule="auto" w:before="139"/>
        <w:ind w:right="212" w:firstLine="420"/>
        <w:jc w:val="both"/>
      </w:pPr>
      <w:r>
        <w:rPr>
          <w:spacing w:val="-3"/>
        </w:rPr>
        <w:t>齐强先生，1970年出生，毕业于河北大学；曾任北京科海天地电子技术有限公司销售部</w:t>
      </w:r>
      <w:r>
        <w:rPr/>
        <w:t> </w:t>
      </w:r>
      <w:r>
        <w:rPr>
          <w:spacing w:val="-3"/>
        </w:rPr>
        <w:t>经理、北京中自公司销售部经理；1997年至今历任北京神州泰岳科技有限公司副经理、北京</w:t>
      </w:r>
      <w:r>
        <w:rPr>
          <w:spacing w:val="-68"/>
        </w:rPr>
        <w:t> </w:t>
      </w:r>
      <w:r>
        <w:rPr>
          <w:spacing w:val="-68"/>
        </w:rPr>
      </w:r>
      <w:r>
        <w:rPr/>
        <w:t>启天同信科技有限公司总经理；2001年5月至今任公司董事，兼任北京启天同信科技有限公</w:t>
      </w:r>
      <w:r>
        <w:rPr/>
        <w:t> 司董事长、总经理。</w:t>
      </w:r>
    </w:p>
    <w:p>
      <w:pPr>
        <w:pStyle w:val="BodyText"/>
        <w:spacing w:line="408" w:lineRule="auto" w:before="138"/>
        <w:ind w:right="102" w:firstLine="420"/>
        <w:jc w:val="left"/>
      </w:pPr>
      <w:r>
        <w:rPr>
          <w:spacing w:val="-5"/>
        </w:rPr>
        <w:t>徐斯平先生，1958年出生，毕业于大连理工大学；曾先后任职于国家计委、国家经贸委、</w:t>
      </w:r>
      <w:r>
        <w:rPr/>
        <w:t> 香港江胜集团、北京思乐信息技术有限公司；2005年6月至今任公司董事。兼任北京思乐信 息技术有限公司董事长。</w:t>
      </w:r>
    </w:p>
    <w:p>
      <w:pPr>
        <w:pStyle w:val="BodyText"/>
        <w:spacing w:line="408" w:lineRule="auto" w:before="139"/>
        <w:ind w:right="107" w:firstLine="420"/>
        <w:jc w:val="left"/>
      </w:pPr>
      <w:r>
        <w:rPr>
          <w:spacing w:val="-3"/>
        </w:rPr>
        <w:t>陈冲先生，1944年出生，大学毕业，教授级高工。曾任机械电子工业部计算机司软件处</w:t>
      </w:r>
      <w:r>
        <w:rPr/>
        <w:t> </w:t>
      </w:r>
      <w:r>
        <w:rPr>
          <w:spacing w:val="-3"/>
        </w:rPr>
        <w:t>处长、电子工业部计算机司软件处处长（副司级）、电子工业部计算机司副司长、信息产业</w:t>
      </w:r>
      <w:r>
        <w:rPr>
          <w:spacing w:val="-77"/>
        </w:rPr>
        <w:t> </w:t>
      </w:r>
      <w:r>
        <w:rPr>
          <w:spacing w:val="-77"/>
        </w:rPr>
      </w:r>
      <w:r>
        <w:rPr>
          <w:spacing w:val="-3"/>
        </w:rPr>
        <w:t>部电子信息产品管理司副司长、信息产业部电子信息产品管理司巡视员（正司级）；现任中</w:t>
      </w:r>
      <w:r>
        <w:rPr>
          <w:spacing w:val="-77"/>
        </w:rPr>
        <w:t> </w:t>
      </w:r>
      <w:r>
        <w:rPr>
          <w:spacing w:val="-77"/>
        </w:rPr>
      </w:r>
      <w:r>
        <w:rPr>
          <w:spacing w:val="-3"/>
        </w:rPr>
        <w:t>国软件行业协会理事长、广东远光软件股份有限公司独立董事、上海宝信软件股份有限公司</w:t>
      </w:r>
      <w:r>
        <w:rPr>
          <w:spacing w:val="-75"/>
        </w:rPr>
        <w:t> </w:t>
      </w:r>
      <w:r>
        <w:rPr>
          <w:spacing w:val="-75"/>
        </w:rPr>
      </w:r>
      <w:r>
        <w:rPr/>
        <w:t>独立董事、珠海万力达电气股份有限公司独立董事、北京久其软件股份有限公司独立董事； 2007年7月至今年担任公司独立董事。</w:t>
      </w:r>
    </w:p>
    <w:p>
      <w:pPr>
        <w:pStyle w:val="BodyText"/>
        <w:spacing w:line="408" w:lineRule="auto" w:before="138"/>
        <w:ind w:right="211" w:firstLine="420"/>
        <w:jc w:val="both"/>
      </w:pPr>
      <w:r>
        <w:rPr/>
        <w:t>江锡如先生，男，1965年2月出生，毕业于中国人民大学，获经济学学士学位，高级会 </w:t>
      </w:r>
      <w:r>
        <w:rPr>
          <w:spacing w:val="-3"/>
        </w:rPr>
        <w:t>计师，党员。曾任财政部办公厅秘书；财政部原商贸司副处长；财政部经贸司及企业司副处</w:t>
      </w:r>
      <w:r>
        <w:rPr>
          <w:spacing w:val="-74"/>
        </w:rPr>
        <w:t> </w:t>
      </w:r>
      <w:r>
        <w:rPr>
          <w:spacing w:val="-74"/>
        </w:rPr>
      </w:r>
      <w:r>
        <w:rPr>
          <w:spacing w:val="-3"/>
        </w:rPr>
        <w:t>长；财政部企业司正处级调研员；中投信用担保有限公司财务总监兼财务部总经理。现任中</w:t>
      </w:r>
      <w:r>
        <w:rPr>
          <w:spacing w:val="-72"/>
        </w:rPr>
        <w:t> </w:t>
      </w:r>
      <w:r>
        <w:rPr>
          <w:spacing w:val="-72"/>
        </w:rPr>
      </w:r>
      <w:r>
        <w:rPr>
          <w:spacing w:val="2"/>
        </w:rPr>
        <w:t>国华粮物流集团公司总经理助理；兼任中国华粮物流集团北良有限公司副总经理兼财务总</w:t>
      </w:r>
      <w:r>
        <w:rPr>
          <w:spacing w:val="-82"/>
        </w:rPr>
        <w:t> </w:t>
      </w:r>
      <w:r>
        <w:rPr>
          <w:spacing w:val="-82"/>
        </w:rPr>
      </w:r>
      <w:r>
        <w:rPr>
          <w:spacing w:val="-3"/>
        </w:rPr>
        <w:t>监；北京东方园林股份有限公司独立董事；上海凌云实业发展股份有限公司独立董事；北京</w:t>
      </w:r>
      <w:r>
        <w:rPr>
          <w:spacing w:val="-72"/>
        </w:rPr>
        <w:t> </w:t>
      </w:r>
      <w:r>
        <w:rPr>
          <w:spacing w:val="-72"/>
        </w:rPr>
      </w:r>
      <w:r>
        <w:rPr/>
        <w:t>顺鑫农业股份有限公司独立董事。</w:t>
      </w:r>
    </w:p>
    <w:p>
      <w:pPr>
        <w:pStyle w:val="BodyText"/>
        <w:spacing w:line="240" w:lineRule="auto" w:before="139"/>
        <w:ind w:left="557" w:right="100"/>
        <w:jc w:val="left"/>
      </w:pPr>
      <w:r>
        <w:rPr/>
        <w:t>刘凯湘，男，47 岁，中国国籍，博士学历，教授，仲裁员。1987 年7</w:t>
      </w:r>
      <w:r>
        <w:rPr>
          <w:spacing w:val="-1"/>
        </w:rPr>
        <w:t> </w:t>
      </w:r>
      <w:r>
        <w:rPr/>
        <w:t>月至1999年5月</w:t>
      </w:r>
    </w:p>
    <w:p>
      <w:pPr>
        <w:spacing w:after="0" w:line="240" w:lineRule="auto"/>
        <w:jc w:val="left"/>
        <w:sectPr>
          <w:pgSz w:w="11910" w:h="16840"/>
          <w:pgMar w:header="851" w:footer="982" w:top="1300" w:bottom="1180" w:left="1660" w:right="1580"/>
        </w:sectPr>
      </w:pPr>
    </w:p>
    <w:p>
      <w:pPr>
        <w:pStyle w:val="BodyText"/>
        <w:spacing w:line="408" w:lineRule="auto" w:before="114"/>
        <w:ind w:right="211"/>
        <w:jc w:val="both"/>
      </w:pPr>
      <w:r>
        <w:rPr/>
        <w:t>任北京工商大学教授，1999年5月至今任北京大学教授、博士生导师。兼任中国国际经济贸 </w:t>
      </w:r>
      <w:r>
        <w:rPr>
          <w:spacing w:val="-3"/>
        </w:rPr>
        <w:t>易仲裁委员会仲裁员，新加坡国际仲裁院仲裁员，北京仲裁委员会仲裁员，中国法学会民法</w:t>
      </w:r>
      <w:r>
        <w:rPr>
          <w:spacing w:val="-72"/>
        </w:rPr>
        <w:t> </w:t>
      </w:r>
      <w:r>
        <w:rPr>
          <w:spacing w:val="-72"/>
        </w:rPr>
      </w:r>
      <w:r>
        <w:rPr>
          <w:spacing w:val="-3"/>
        </w:rPr>
        <w:t>研究会常务理事，北京市民商法研究会常务理事，湖南大学、上海大学、北京工商大学、澳</w:t>
      </w:r>
      <w:r>
        <w:rPr>
          <w:spacing w:val="-78"/>
        </w:rPr>
        <w:t> </w:t>
      </w:r>
      <w:r>
        <w:rPr>
          <w:spacing w:val="-78"/>
        </w:rPr>
      </w:r>
      <w:r>
        <w:rPr>
          <w:spacing w:val="-3"/>
        </w:rPr>
        <w:t>门科技大学等兼职教授；国家统计局、河北省人大常委会等专家咨询委员会委员；太极计算</w:t>
      </w:r>
      <w:r>
        <w:rPr>
          <w:spacing w:val="-72"/>
        </w:rPr>
        <w:t> </w:t>
      </w:r>
      <w:r>
        <w:rPr>
          <w:spacing w:val="-72"/>
        </w:rPr>
      </w:r>
      <w:r>
        <w:rPr/>
        <w:t>机股份有限公司独立董事。</w:t>
      </w:r>
    </w:p>
    <w:p>
      <w:pPr>
        <w:pStyle w:val="BodyText"/>
        <w:spacing w:line="408" w:lineRule="auto" w:before="139"/>
        <w:ind w:right="102" w:firstLine="420"/>
        <w:jc w:val="left"/>
      </w:pPr>
      <w:r>
        <w:rPr/>
        <w:t>蓝伯雄，男，60岁，中国国籍，教授。1993</w:t>
      </w:r>
      <w:r>
        <w:rPr>
          <w:spacing w:val="-1"/>
        </w:rPr>
        <w:t> </w:t>
      </w:r>
      <w:r>
        <w:rPr/>
        <w:t>年毕业于加拿大滑铁卢大学管理科学系，</w:t>
      </w:r>
      <w:r>
        <w:rPr/>
        <w:t> </w:t>
      </w:r>
      <w:r>
        <w:rPr>
          <w:spacing w:val="-5"/>
        </w:rPr>
        <w:t>获管理科学博士学位。曾任清华大学经济管理学院副院长；现任清华大学经济管理学院教授，</w:t>
      </w:r>
      <w:r>
        <w:rPr>
          <w:spacing w:val="-92"/>
        </w:rPr>
        <w:t> </w:t>
      </w:r>
      <w:r>
        <w:rPr>
          <w:spacing w:val="-92"/>
        </w:rPr>
      </w:r>
      <w:r>
        <w:rPr>
          <w:spacing w:val="-3"/>
        </w:rPr>
        <w:t>兼任中国电子学会工业工程分会副主任委员、北京运筹学会副理事长、中国中小企业对外交</w:t>
      </w:r>
      <w:r>
        <w:rPr>
          <w:spacing w:val="-75"/>
        </w:rPr>
        <w:t> </w:t>
      </w:r>
      <w:r>
        <w:rPr>
          <w:spacing w:val="-75"/>
        </w:rPr>
      </w:r>
      <w:r>
        <w:rPr>
          <w:spacing w:val="-3"/>
        </w:rPr>
        <w:t>流与合作协会理事、北京高校管理科学学会常务理事、美国运筹与管理科学学会会员、北京</w:t>
      </w:r>
      <w:r>
        <w:rPr>
          <w:spacing w:val="-72"/>
        </w:rPr>
        <w:t> </w:t>
      </w:r>
      <w:r>
        <w:rPr>
          <w:spacing w:val="-72"/>
        </w:rPr>
      </w:r>
      <w:r>
        <w:rPr/>
        <w:t>华胜天成科技股份有限公司独立董事。</w:t>
      </w:r>
    </w:p>
    <w:p>
      <w:pPr>
        <w:spacing w:line="240" w:lineRule="auto" w:before="6"/>
        <w:rPr>
          <w:rFonts w:ascii="宋体" w:hAnsi="宋体" w:cs="宋体" w:eastAsia="宋体" w:hint="default"/>
          <w:sz w:val="15"/>
          <w:szCs w:val="15"/>
        </w:rPr>
      </w:pPr>
    </w:p>
    <w:p>
      <w:pPr>
        <w:pStyle w:val="BodyText"/>
        <w:spacing w:line="544" w:lineRule="auto"/>
        <w:ind w:left="557" w:right="2417"/>
        <w:jc w:val="left"/>
      </w:pPr>
      <w:r>
        <w:rPr/>
        <w:t>2、监事 公司监事会由三名监事组成，其中职工监事一人，具体如下：</w:t>
      </w:r>
    </w:p>
    <w:p>
      <w:pPr>
        <w:pStyle w:val="BodyText"/>
        <w:spacing w:line="408" w:lineRule="auto" w:before="82"/>
        <w:ind w:right="212" w:firstLine="420"/>
        <w:jc w:val="both"/>
      </w:pPr>
      <w:r>
        <w:rPr/>
        <w:t>李广刚先生，公司监事会主席，1978</w:t>
      </w:r>
      <w:r>
        <w:rPr>
          <w:spacing w:val="11"/>
        </w:rPr>
        <w:t> </w:t>
      </w:r>
      <w:r>
        <w:rPr/>
        <w:t>年出生，毕业于济南大学；曾任北京泰立特科技</w:t>
      </w:r>
      <w:r>
        <w:rPr/>
        <w:t> </w:t>
      </w:r>
      <w:r>
        <w:rPr>
          <w:spacing w:val="-3"/>
        </w:rPr>
        <w:t>发展有限公司青岛分公司软件工程师、北京新晨科技股份有限公司客户经理、联盈数码公司</w:t>
      </w:r>
      <w:r>
        <w:rPr>
          <w:spacing w:val="-75"/>
        </w:rPr>
        <w:t> </w:t>
      </w:r>
      <w:r>
        <w:rPr>
          <w:spacing w:val="-75"/>
        </w:rPr>
      </w:r>
      <w:r>
        <w:rPr/>
        <w:t>客户经理；2005</w:t>
      </w:r>
      <w:r>
        <w:rPr>
          <w:spacing w:val="-53"/>
        </w:rPr>
        <w:t> </w:t>
      </w:r>
      <w:r>
        <w:rPr/>
        <w:t>年</w:t>
      </w:r>
      <w:r>
        <w:rPr>
          <w:spacing w:val="-55"/>
        </w:rPr>
        <w:t> </w:t>
      </w:r>
      <w:r>
        <w:rPr/>
        <w:t>12</w:t>
      </w:r>
      <w:r>
        <w:rPr>
          <w:spacing w:val="-53"/>
        </w:rPr>
        <w:t> </w:t>
      </w:r>
      <w:r>
        <w:rPr/>
        <w:t>月至今任公司销售经理、监事会主席。</w:t>
      </w:r>
    </w:p>
    <w:p>
      <w:pPr>
        <w:pStyle w:val="BodyText"/>
        <w:spacing w:line="408" w:lineRule="auto" w:before="107"/>
        <w:ind w:right="210" w:firstLine="420"/>
        <w:jc w:val="both"/>
      </w:pPr>
      <w:r>
        <w:rPr/>
        <w:t>丁彦超先生，公司监事，1968</w:t>
      </w:r>
      <w:r>
        <w:rPr>
          <w:spacing w:val="11"/>
        </w:rPr>
        <w:t> </w:t>
      </w:r>
      <w:r>
        <w:rPr/>
        <w:t>年出生，毕业于西北大学计算机系；曾任天津石化公司</w:t>
      </w:r>
      <w:r>
        <w:rPr/>
        <w:t> </w:t>
      </w:r>
      <w:r>
        <w:rPr>
          <w:spacing w:val="-4"/>
        </w:rPr>
        <w:t>计算机中心软件工程师，2002</w:t>
      </w:r>
      <w:r>
        <w:rPr>
          <w:spacing w:val="-26"/>
        </w:rPr>
        <w:t> </w:t>
      </w:r>
      <w:r>
        <w:rPr>
          <w:spacing w:val="-4"/>
        </w:rPr>
        <w:t>年至今历任公司研发工程师、网管项目管理部技术主管；2008</w:t>
      </w:r>
      <w:r>
        <w:rPr>
          <w:spacing w:val="-99"/>
        </w:rPr>
        <w:t> </w:t>
      </w:r>
      <w:r>
        <w:rPr>
          <w:spacing w:val="-99"/>
        </w:rPr>
      </w:r>
      <w:r>
        <w:rPr/>
        <w:t>年至今担任公司项目管理部技术主管。</w:t>
      </w:r>
    </w:p>
    <w:p>
      <w:pPr>
        <w:spacing w:line="240" w:lineRule="auto" w:before="7"/>
        <w:rPr>
          <w:rFonts w:ascii="宋体" w:hAnsi="宋体" w:cs="宋体" w:eastAsia="宋体" w:hint="default"/>
          <w:sz w:val="15"/>
          <w:szCs w:val="15"/>
        </w:rPr>
      </w:pPr>
    </w:p>
    <w:p>
      <w:pPr>
        <w:pStyle w:val="BodyText"/>
        <w:spacing w:line="408" w:lineRule="auto"/>
        <w:ind w:right="213" w:firstLine="420"/>
        <w:jc w:val="both"/>
      </w:pPr>
      <w:r>
        <w:rPr/>
        <w:t>郝岩女士，公司职工监事，1980</w:t>
      </w:r>
      <w:r>
        <w:rPr>
          <w:spacing w:val="-50"/>
        </w:rPr>
        <w:t> </w:t>
      </w:r>
      <w:r>
        <w:rPr/>
        <w:t>年出生，毕业于北京林业大学；2004</w:t>
      </w:r>
      <w:r>
        <w:rPr>
          <w:spacing w:val="-51"/>
        </w:rPr>
        <w:t> </w:t>
      </w:r>
      <w:r>
        <w:rPr/>
        <w:t>年</w:t>
      </w:r>
      <w:r>
        <w:rPr>
          <w:spacing w:val="-50"/>
        </w:rPr>
        <w:t> </w:t>
      </w:r>
      <w:r>
        <w:rPr/>
        <w:t>8</w:t>
      </w:r>
      <w:r>
        <w:rPr>
          <w:spacing w:val="-50"/>
        </w:rPr>
        <w:t> </w:t>
      </w:r>
      <w:r>
        <w:rPr/>
        <w:t>月至今历任</w:t>
      </w:r>
      <w:r>
        <w:rPr/>
        <w:t> 公司行政部经理助理、经理。2008</w:t>
      </w:r>
      <w:r>
        <w:rPr>
          <w:spacing w:val="-63"/>
        </w:rPr>
        <w:t> </w:t>
      </w:r>
      <w:r>
        <w:rPr/>
        <w:t>年</w:t>
      </w:r>
      <w:r>
        <w:rPr>
          <w:spacing w:val="-63"/>
        </w:rPr>
        <w:t> </w:t>
      </w:r>
      <w:r>
        <w:rPr/>
        <w:t>11</w:t>
      </w:r>
      <w:r>
        <w:rPr>
          <w:spacing w:val="-62"/>
        </w:rPr>
        <w:t> </w:t>
      </w:r>
      <w:r>
        <w:rPr/>
        <w:t>月起任公司职工监事。</w:t>
      </w:r>
    </w:p>
    <w:p>
      <w:pPr>
        <w:spacing w:line="240" w:lineRule="auto" w:before="6"/>
        <w:rPr>
          <w:rFonts w:ascii="宋体" w:hAnsi="宋体" w:cs="宋体" w:eastAsia="宋体" w:hint="default"/>
          <w:sz w:val="15"/>
          <w:szCs w:val="15"/>
        </w:rPr>
      </w:pPr>
    </w:p>
    <w:p>
      <w:pPr>
        <w:pStyle w:val="BodyText"/>
        <w:spacing w:line="544" w:lineRule="auto"/>
        <w:ind w:left="557" w:right="755"/>
        <w:jc w:val="left"/>
      </w:pPr>
      <w:r>
        <w:rPr/>
        <w:t>3、高级管理人员 李力先生，公司总经理，简历见本节之“1、董事会成员简介”。 </w:t>
      </w:r>
      <w:r>
        <w:rPr>
          <w:spacing w:val="-1"/>
        </w:rPr>
        <w:t>王国华先生，常务副总经理，简历见本节之“1、董事会成员简介”。</w:t>
      </w:r>
      <w:r>
        <w:rPr>
          <w:spacing w:val="-1"/>
        </w:rPr>
        <w:t> </w:t>
      </w:r>
      <w:r>
        <w:rPr/>
        <w:t>黄松浪先生，董事会秘书，简历见本节之“1、董事会成员简介”。</w:t>
      </w:r>
      <w:r>
        <w:rPr/>
        <w:t> 万能先生，财务总监，简历见本节之“1、董事会成员简介”。</w:t>
      </w:r>
    </w:p>
    <w:p>
      <w:pPr>
        <w:pStyle w:val="BodyText"/>
        <w:spacing w:line="240" w:lineRule="auto" w:before="82"/>
        <w:ind w:right="100" w:firstLine="420"/>
        <w:jc w:val="left"/>
      </w:pPr>
      <w:r>
        <w:rPr/>
        <w:t>王志刚先生，男，1971</w:t>
      </w:r>
      <w:r>
        <w:rPr>
          <w:spacing w:val="1"/>
        </w:rPr>
        <w:t> </w:t>
      </w:r>
      <w:r>
        <w:rPr/>
        <w:t>年出生，毕业于北京大学计算机软件系，硕士学位；曾任职于</w:t>
      </w:r>
    </w:p>
    <w:p>
      <w:pPr>
        <w:spacing w:line="240" w:lineRule="auto" w:before="10"/>
        <w:rPr>
          <w:rFonts w:ascii="宋体" w:hAnsi="宋体" w:cs="宋体" w:eastAsia="宋体" w:hint="default"/>
          <w:sz w:val="14"/>
          <w:szCs w:val="14"/>
        </w:rPr>
      </w:pPr>
    </w:p>
    <w:p>
      <w:pPr>
        <w:pStyle w:val="BodyText"/>
        <w:spacing w:line="240" w:lineRule="auto"/>
        <w:ind w:right="0"/>
        <w:jc w:val="both"/>
      </w:pPr>
      <w:r>
        <w:rPr>
          <w:spacing w:val="-3"/>
        </w:rPr>
        <w:t>北京大学计算机系数据库与软件工程教研室、北京出入境检验检疫局、北京冠群金辰科技有</w:t>
      </w:r>
    </w:p>
    <w:p>
      <w:pPr>
        <w:spacing w:after="0" w:line="240" w:lineRule="auto"/>
        <w:jc w:val="both"/>
        <w:sectPr>
          <w:footerReference w:type="default" r:id="rId56"/>
          <w:pgSz w:w="11910" w:h="16840"/>
          <w:pgMar w:footer="982" w:header="851" w:top="1300" w:bottom="1180" w:left="1660" w:right="1580"/>
          <w:pgNumType w:start="62"/>
        </w:sectPr>
      </w:pPr>
    </w:p>
    <w:p>
      <w:pPr>
        <w:pStyle w:val="BodyText"/>
        <w:spacing w:line="240" w:lineRule="auto" w:before="114"/>
        <w:ind w:right="100"/>
        <w:jc w:val="left"/>
      </w:pPr>
      <w:r>
        <w:rPr/>
        <w:t>限公司；2002</w:t>
      </w:r>
      <w:r>
        <w:rPr>
          <w:spacing w:val="-64"/>
        </w:rPr>
        <w:t> </w:t>
      </w:r>
      <w:r>
        <w:rPr/>
        <w:t>年</w:t>
      </w:r>
      <w:r>
        <w:rPr>
          <w:spacing w:val="-65"/>
        </w:rPr>
        <w:t> </w:t>
      </w:r>
      <w:r>
        <w:rPr/>
        <w:t>9</w:t>
      </w:r>
      <w:r>
        <w:rPr>
          <w:spacing w:val="-64"/>
        </w:rPr>
        <w:t> </w:t>
      </w:r>
      <w:r>
        <w:rPr/>
        <w:t>月至今，历任公司信息安全事业部总经理、公司副总经理。</w:t>
      </w:r>
    </w:p>
    <w:p>
      <w:pPr>
        <w:spacing w:line="240" w:lineRule="auto" w:before="9"/>
        <w:rPr>
          <w:rFonts w:ascii="宋体" w:hAnsi="宋体" w:cs="宋体" w:eastAsia="宋体" w:hint="default"/>
          <w:sz w:val="26"/>
          <w:szCs w:val="26"/>
        </w:rPr>
      </w:pPr>
    </w:p>
    <w:p>
      <w:pPr>
        <w:pStyle w:val="BodyText"/>
        <w:spacing w:line="408" w:lineRule="auto"/>
        <w:ind w:right="212" w:firstLine="420"/>
        <w:jc w:val="both"/>
      </w:pPr>
      <w:r>
        <w:rPr/>
        <w:t>张振鹏先生，男，1961 年出生，毕业于北京邮电学院，高级工程师；曾任石家庄邮电 高等专科学校团委书记、学生处处长、成教部主任、培训部主任等职；2003</w:t>
      </w:r>
      <w:r>
        <w:rPr>
          <w:spacing w:val="11"/>
        </w:rPr>
        <w:t> </w:t>
      </w:r>
      <w:r>
        <w:rPr/>
        <w:t>年至今担任公</w:t>
      </w:r>
      <w:r>
        <w:rPr/>
        <w:t> 司副总经理。</w:t>
      </w:r>
    </w:p>
    <w:p>
      <w:pPr>
        <w:spacing w:line="240" w:lineRule="auto" w:before="6"/>
        <w:rPr>
          <w:rFonts w:ascii="宋体" w:hAnsi="宋体" w:cs="宋体" w:eastAsia="宋体" w:hint="default"/>
          <w:sz w:val="15"/>
          <w:szCs w:val="15"/>
        </w:rPr>
      </w:pPr>
    </w:p>
    <w:p>
      <w:pPr>
        <w:pStyle w:val="BodyText"/>
        <w:spacing w:line="408" w:lineRule="auto"/>
        <w:ind w:right="212" w:firstLine="420"/>
        <w:jc w:val="both"/>
      </w:pPr>
      <w:r>
        <w:rPr/>
        <w:t>刘豪先生，男，1972</w:t>
      </w:r>
      <w:r>
        <w:rPr>
          <w:spacing w:val="1"/>
        </w:rPr>
        <w:t> </w:t>
      </w:r>
      <w:r>
        <w:rPr/>
        <w:t>年出生，毕业于西安理工大学；曾任金科集团公司金融行业销售</w:t>
      </w:r>
      <w:r>
        <w:rPr/>
        <w:t> </w:t>
      </w:r>
      <w:r>
        <w:rPr>
          <w:spacing w:val="-10"/>
        </w:rPr>
        <w:t>经理、中国惠普有限公司软件业务部销售经理、国际商业机器（中国）有限公司软件部</w:t>
      </w:r>
      <w:r>
        <w:rPr>
          <w:spacing w:val="-30"/>
        </w:rPr>
        <w:t> </w:t>
      </w:r>
      <w:r>
        <w:rPr/>
        <w:t>Tivoli</w:t>
      </w:r>
      <w:r>
        <w:rPr>
          <w:spacing w:val="-101"/>
        </w:rPr>
        <w:t> </w:t>
      </w:r>
      <w:r>
        <w:rPr>
          <w:spacing w:val="-101"/>
        </w:rPr>
      </w:r>
      <w:r>
        <w:rPr/>
        <w:t>北方区销售经理；2007</w:t>
      </w:r>
      <w:r>
        <w:rPr>
          <w:spacing w:val="-53"/>
        </w:rPr>
        <w:t> </w:t>
      </w:r>
      <w:r>
        <w:rPr/>
        <w:t>年至今担任公司副总经理。</w:t>
      </w:r>
    </w:p>
    <w:p>
      <w:pPr>
        <w:spacing w:line="240" w:lineRule="auto" w:before="6"/>
        <w:rPr>
          <w:rFonts w:ascii="宋体" w:hAnsi="宋体" w:cs="宋体" w:eastAsia="宋体" w:hint="default"/>
          <w:sz w:val="15"/>
          <w:szCs w:val="15"/>
        </w:rPr>
      </w:pPr>
    </w:p>
    <w:p>
      <w:pPr>
        <w:pStyle w:val="BodyText"/>
        <w:spacing w:line="408" w:lineRule="auto"/>
        <w:ind w:right="213" w:firstLine="420"/>
        <w:jc w:val="both"/>
      </w:pPr>
      <w:r>
        <w:rPr/>
        <w:t>高峰先生，男，1976</w:t>
      </w:r>
      <w:r>
        <w:rPr>
          <w:spacing w:val="-46"/>
        </w:rPr>
        <w:t> </w:t>
      </w:r>
      <w:r>
        <w:rPr/>
        <w:t>年出生，毕业于沈阳航空工业学院；2002</w:t>
      </w:r>
      <w:r>
        <w:rPr>
          <w:spacing w:val="-46"/>
        </w:rPr>
        <w:t> </w:t>
      </w:r>
      <w:r>
        <w:rPr/>
        <w:t>年至今历任公司销售经</w:t>
      </w:r>
      <w:r>
        <w:rPr/>
        <w:t> 理、高级销售经理、行业销售总监、副总经理。</w:t>
      </w:r>
    </w:p>
    <w:p>
      <w:pPr>
        <w:spacing w:line="240" w:lineRule="auto" w:before="6"/>
        <w:rPr>
          <w:rFonts w:ascii="宋体" w:hAnsi="宋体" w:cs="宋体" w:eastAsia="宋体" w:hint="default"/>
          <w:sz w:val="15"/>
          <w:szCs w:val="15"/>
        </w:rPr>
      </w:pPr>
    </w:p>
    <w:p>
      <w:pPr>
        <w:pStyle w:val="BodyText"/>
        <w:spacing w:line="408" w:lineRule="auto"/>
        <w:ind w:right="211" w:firstLine="420"/>
        <w:jc w:val="both"/>
      </w:pPr>
      <w:r>
        <w:rPr/>
        <w:t>汪铖先生，男，1974</w:t>
      </w:r>
      <w:r>
        <w:rPr>
          <w:spacing w:val="-29"/>
        </w:rPr>
        <w:t> </w:t>
      </w:r>
      <w:r>
        <w:rPr/>
        <w:t>年</w:t>
      </w:r>
      <w:r>
        <w:rPr>
          <w:spacing w:val="-31"/>
        </w:rPr>
        <w:t> </w:t>
      </w:r>
      <w:r>
        <w:rPr/>
        <w:t>1</w:t>
      </w:r>
      <w:r>
        <w:rPr>
          <w:spacing w:val="-29"/>
        </w:rPr>
        <w:t> </w:t>
      </w:r>
      <w:r>
        <w:rPr/>
        <w:t>月出生，毕业于武汉测绘科技大学，学士学位。曾任兆维集</w:t>
      </w:r>
      <w:r>
        <w:rPr/>
        <w:t> 团通信工程师、联想集团销售经理，北京互联时代通讯科技有限公司总经理，2007</w:t>
      </w:r>
      <w:r>
        <w:rPr>
          <w:spacing w:val="12"/>
        </w:rPr>
        <w:t> </w:t>
      </w:r>
      <w:r>
        <w:rPr/>
        <w:t>年起至</w:t>
      </w:r>
      <w:r>
        <w:rPr/>
        <w:t> 今任北京新媒传信科技有限公司执行董事、总经理。</w:t>
      </w:r>
    </w:p>
    <w:p>
      <w:pPr>
        <w:spacing w:line="240" w:lineRule="auto" w:before="6"/>
        <w:rPr>
          <w:rFonts w:ascii="宋体" w:hAnsi="宋体" w:cs="宋体" w:eastAsia="宋体" w:hint="default"/>
          <w:sz w:val="15"/>
          <w:szCs w:val="15"/>
        </w:rPr>
      </w:pPr>
    </w:p>
    <w:p>
      <w:pPr>
        <w:pStyle w:val="BodyText"/>
        <w:spacing w:line="408" w:lineRule="auto"/>
        <w:ind w:right="212" w:firstLine="420"/>
        <w:jc w:val="both"/>
      </w:pPr>
      <w:r>
        <w:rPr/>
        <w:t>陶磊先生，男，1972</w:t>
      </w:r>
      <w:r>
        <w:rPr>
          <w:spacing w:val="-29"/>
        </w:rPr>
        <w:t> </w:t>
      </w:r>
      <w:r>
        <w:rPr/>
        <w:t>年</w:t>
      </w:r>
      <w:r>
        <w:rPr>
          <w:spacing w:val="-31"/>
        </w:rPr>
        <w:t> </w:t>
      </w:r>
      <w:r>
        <w:rPr/>
        <w:t>6</w:t>
      </w:r>
      <w:r>
        <w:rPr>
          <w:spacing w:val="-29"/>
        </w:rPr>
        <w:t> </w:t>
      </w:r>
      <w:r>
        <w:rPr/>
        <w:t>月出生，毕业于南京理工大学，工学学士学位。曾任中国兵</w:t>
      </w:r>
      <w:r>
        <w:rPr/>
        <w:t> 器工业总公司干部，北京新宇计算机有限公司、英国电信</w:t>
      </w:r>
      <w:r>
        <w:rPr>
          <w:spacing w:val="-59"/>
        </w:rPr>
        <w:t> </w:t>
      </w:r>
      <w:r>
        <w:rPr/>
        <w:t>Syntegra</w:t>
      </w:r>
      <w:r>
        <w:rPr>
          <w:spacing w:val="-59"/>
        </w:rPr>
        <w:t> </w:t>
      </w:r>
      <w:r>
        <w:rPr/>
        <w:t>销售经理，上海联盈数</w:t>
      </w:r>
      <w:r>
        <w:rPr>
          <w:spacing w:val="-1"/>
        </w:rPr>
        <w:t> </w:t>
      </w:r>
      <w:r>
        <w:rPr>
          <w:spacing w:val="-4"/>
        </w:rPr>
        <w:t>码技术有限公司销售总监。2005</w:t>
      </w:r>
      <w:r>
        <w:rPr>
          <w:spacing w:val="-55"/>
        </w:rPr>
        <w:t> </w:t>
      </w:r>
      <w:r>
        <w:rPr/>
        <w:t>年</w:t>
      </w:r>
      <w:r>
        <w:rPr>
          <w:spacing w:val="-57"/>
        </w:rPr>
        <w:t> </w:t>
      </w:r>
      <w:r>
        <w:rPr/>
        <w:t>11</w:t>
      </w:r>
      <w:r>
        <w:rPr>
          <w:spacing w:val="-55"/>
        </w:rPr>
        <w:t> </w:t>
      </w:r>
      <w:r>
        <w:rPr/>
        <w:t>月至今先后担任北京神州泰岳软件股份有限公司大客</w:t>
      </w:r>
      <w:r>
        <w:rPr>
          <w:spacing w:val="-1"/>
        </w:rPr>
        <w:t> </w:t>
      </w:r>
      <w:r>
        <w:rPr/>
        <w:t>户经理、总经理助理。</w:t>
      </w:r>
    </w:p>
    <w:p>
      <w:pPr>
        <w:spacing w:line="240" w:lineRule="auto" w:before="6"/>
        <w:rPr>
          <w:rFonts w:ascii="宋体" w:hAnsi="宋体" w:cs="宋体" w:eastAsia="宋体" w:hint="default"/>
          <w:sz w:val="15"/>
          <w:szCs w:val="15"/>
        </w:rPr>
      </w:pPr>
    </w:p>
    <w:p>
      <w:pPr>
        <w:pStyle w:val="BodyText"/>
        <w:spacing w:line="408" w:lineRule="auto"/>
        <w:ind w:right="102" w:firstLine="420"/>
        <w:jc w:val="left"/>
      </w:pPr>
      <w:r>
        <w:rPr/>
        <w:t>朱健松先生，男，1967</w:t>
      </w:r>
      <w:r>
        <w:rPr>
          <w:spacing w:val="-30"/>
        </w:rPr>
        <w:t> </w:t>
      </w:r>
      <w:r>
        <w:rPr/>
        <w:t>年</w:t>
      </w:r>
      <w:r>
        <w:rPr>
          <w:spacing w:val="-30"/>
        </w:rPr>
        <w:t> </w:t>
      </w:r>
      <w:r>
        <w:rPr/>
        <w:t>4</w:t>
      </w:r>
      <w:r>
        <w:rPr>
          <w:spacing w:val="-29"/>
        </w:rPr>
        <w:t> </w:t>
      </w:r>
      <w:r>
        <w:rPr/>
        <w:t>月出生，毕业于北京联合大学电子工程学院，工学学士学</w:t>
      </w:r>
      <w:r>
        <w:rPr/>
        <w:t> </w:t>
      </w:r>
      <w:r>
        <w:rPr>
          <w:spacing w:val="-5"/>
        </w:rPr>
        <w:t>位。曾任中国仪器进出口总公司职员、副科长；英孚美软件（中国）有限公司高级客户经理、</w:t>
      </w:r>
      <w:r>
        <w:rPr>
          <w:spacing w:val="-95"/>
        </w:rPr>
        <w:t> </w:t>
      </w:r>
      <w:r>
        <w:rPr>
          <w:spacing w:val="-95"/>
        </w:rPr>
      </w:r>
      <w:r>
        <w:rPr>
          <w:spacing w:val="-3"/>
        </w:rPr>
        <w:t>销售经理；北邮电信科技股份有限公司北邮集思公司总经理、北邮电信资源管理事业部总经</w:t>
      </w:r>
      <w:r>
        <w:rPr>
          <w:spacing w:val="-75"/>
        </w:rPr>
        <w:t> </w:t>
      </w:r>
      <w:r>
        <w:rPr>
          <w:spacing w:val="-75"/>
        </w:rPr>
      </w:r>
      <w:r>
        <w:rPr/>
        <w:t>理；博思软件（中国）有限公司销售经理、销售总监、中国区业务总经理等职务。2008 年</w:t>
      </w:r>
      <w:r>
        <w:rPr>
          <w:spacing w:val="-91"/>
        </w:rPr>
        <w:t> </w:t>
      </w:r>
      <w:r>
        <w:rPr>
          <w:spacing w:val="-91"/>
        </w:rPr>
      </w:r>
      <w:r>
        <w:rPr/>
        <w:t>加入北京神州泰岳软件股份有限公司任电信销售部总经理。</w:t>
      </w:r>
    </w:p>
    <w:p>
      <w:pPr>
        <w:spacing w:line="240" w:lineRule="auto" w:before="6"/>
        <w:rPr>
          <w:rFonts w:ascii="宋体" w:hAnsi="宋体" w:cs="宋体" w:eastAsia="宋体" w:hint="default"/>
          <w:sz w:val="15"/>
          <w:szCs w:val="15"/>
        </w:rPr>
      </w:pPr>
    </w:p>
    <w:p>
      <w:pPr>
        <w:pStyle w:val="Heading2"/>
        <w:spacing w:line="240" w:lineRule="auto"/>
        <w:ind w:left="453" w:right="100"/>
        <w:jc w:val="left"/>
        <w:rPr>
          <w:b w:val="0"/>
          <w:bCs w:val="0"/>
        </w:rPr>
      </w:pPr>
      <w:r>
        <w:rPr/>
        <w:t>（三）报告期内董事、监事、高管变动情况</w:t>
      </w:r>
      <w:r>
        <w:rPr>
          <w:b w:val="0"/>
          <w:bCs w:val="0"/>
        </w:rPr>
      </w:r>
    </w:p>
    <w:p>
      <w:pPr>
        <w:pStyle w:val="BodyText"/>
        <w:spacing w:line="620" w:lineRule="atLeast" w:before="4"/>
        <w:ind w:left="557" w:right="100"/>
        <w:jc w:val="left"/>
      </w:pPr>
      <w:r>
        <w:rPr/>
        <w:t>报告期内，公司董事、监事、高级管理人员的选举及聘任情况如下： </w:t>
      </w:r>
      <w:r>
        <w:rPr>
          <w:spacing w:val="-3"/>
        </w:rPr>
        <w:t>1、2010年1月10日，公司第三届董事会第二十次会议审议通过，新聘汪铖、朱健松、陶</w:t>
      </w:r>
    </w:p>
    <w:p>
      <w:pPr>
        <w:spacing w:line="240" w:lineRule="auto" w:before="10"/>
        <w:rPr>
          <w:rFonts w:ascii="宋体" w:hAnsi="宋体" w:cs="宋体" w:eastAsia="宋体" w:hint="default"/>
          <w:sz w:val="14"/>
          <w:szCs w:val="14"/>
        </w:rPr>
      </w:pPr>
    </w:p>
    <w:p>
      <w:pPr>
        <w:pStyle w:val="BodyText"/>
        <w:spacing w:line="240" w:lineRule="auto"/>
        <w:ind w:right="100"/>
        <w:jc w:val="left"/>
      </w:pPr>
      <w:r>
        <w:rPr/>
        <w:t>磊先生为公司副总经理，任期至第三届董事会届满（已于2010年6月30日届满）。</w:t>
      </w:r>
    </w:p>
    <w:p>
      <w:pPr>
        <w:pStyle w:val="BodyText"/>
        <w:spacing w:line="620" w:lineRule="atLeast" w:before="4"/>
        <w:ind w:left="557" w:right="212"/>
        <w:jc w:val="left"/>
      </w:pPr>
      <w:r>
        <w:rPr/>
        <w:t>2、报告期内董事会的换届选举 经2010年6月30日召开的公司2010年第一次临时股东大会审议，选举产生了公司第四届</w:t>
      </w:r>
    </w:p>
    <w:p>
      <w:pPr>
        <w:spacing w:after="0" w:line="620" w:lineRule="atLeast"/>
        <w:jc w:val="left"/>
        <w:sectPr>
          <w:footerReference w:type="default" r:id="rId57"/>
          <w:pgSz w:w="11910" w:h="16840"/>
          <w:pgMar w:footer="982" w:header="851" w:top="1300" w:bottom="1180" w:left="1660" w:right="1580"/>
          <w:pgNumType w:start="63"/>
        </w:sectPr>
      </w:pPr>
    </w:p>
    <w:p>
      <w:pPr>
        <w:pStyle w:val="BodyText"/>
        <w:spacing w:line="408" w:lineRule="auto" w:before="114"/>
        <w:ind w:left="197" w:right="107"/>
        <w:jc w:val="left"/>
      </w:pPr>
      <w:r>
        <w:rPr/>
        <w:t>董事会，成员包括：王宁、李力、黄松浪、王国华、徐斯平、齐强、万能、陈冲、江锡如、 </w:t>
      </w:r>
      <w:r>
        <w:rPr>
          <w:spacing w:val="-3"/>
        </w:rPr>
        <w:t>刘凯湘、蓝伯雄（其中，陈冲、江锡如、刘凯湘、蓝伯雄为独立董事），任期自本次股东大</w:t>
      </w:r>
      <w:r>
        <w:rPr>
          <w:spacing w:val="-73"/>
        </w:rPr>
        <w:t> </w:t>
      </w:r>
      <w:r>
        <w:rPr>
          <w:spacing w:val="-73"/>
        </w:rPr>
      </w:r>
      <w:r>
        <w:rPr/>
        <w:t>会选举通过之日起三年；</w:t>
      </w:r>
    </w:p>
    <w:p>
      <w:pPr>
        <w:spacing w:line="240" w:lineRule="auto" w:before="6"/>
        <w:rPr>
          <w:rFonts w:ascii="宋体" w:hAnsi="宋体" w:cs="宋体" w:eastAsia="宋体" w:hint="default"/>
          <w:sz w:val="15"/>
          <w:szCs w:val="15"/>
        </w:rPr>
      </w:pPr>
    </w:p>
    <w:p>
      <w:pPr>
        <w:pStyle w:val="BodyText"/>
        <w:spacing w:line="408" w:lineRule="auto"/>
        <w:ind w:left="197" w:right="212" w:firstLine="420"/>
        <w:jc w:val="left"/>
      </w:pPr>
      <w:r>
        <w:rPr/>
        <w:t>同时，2010年6月30日召开的公司第四届董事会第一次会议，选举王宁为公司董事长、 黄松浪为公司副董事长，并设立第四届董事会专门委员会，各专业委员成员如下：</w:t>
      </w:r>
    </w:p>
    <w:p>
      <w:pPr>
        <w:spacing w:line="240" w:lineRule="auto" w:before="6"/>
        <w:rPr>
          <w:rFonts w:ascii="宋体" w:hAnsi="宋体" w:cs="宋体" w:eastAsia="宋体" w:hint="default"/>
          <w:sz w:val="15"/>
          <w:szCs w:val="15"/>
        </w:rPr>
      </w:pPr>
    </w:p>
    <w:p>
      <w:pPr>
        <w:pStyle w:val="BodyText"/>
        <w:spacing w:line="240" w:lineRule="auto"/>
        <w:ind w:left="617" w:right="257"/>
        <w:jc w:val="left"/>
      </w:pPr>
      <w:r>
        <w:rPr/>
        <w:t>1）战略委员会5人，成员为：王宁（主席）、李力、陈冲、王国华、黄松浪</w:t>
      </w:r>
    </w:p>
    <w:p>
      <w:pPr>
        <w:spacing w:line="240" w:lineRule="auto" w:before="9"/>
        <w:rPr>
          <w:rFonts w:ascii="宋体" w:hAnsi="宋体" w:cs="宋体" w:eastAsia="宋体" w:hint="default"/>
          <w:sz w:val="26"/>
          <w:szCs w:val="26"/>
        </w:rPr>
      </w:pPr>
    </w:p>
    <w:p>
      <w:pPr>
        <w:pStyle w:val="BodyText"/>
        <w:spacing w:line="240" w:lineRule="auto"/>
        <w:ind w:left="617" w:right="257"/>
        <w:jc w:val="left"/>
      </w:pPr>
      <w:r>
        <w:rPr/>
        <w:t>2）提名委员会3人，成员为：陈冲（主席）、刘凯湘、黄松浪</w:t>
      </w:r>
    </w:p>
    <w:p>
      <w:pPr>
        <w:spacing w:line="240" w:lineRule="auto" w:before="9"/>
        <w:rPr>
          <w:rFonts w:ascii="宋体" w:hAnsi="宋体" w:cs="宋体" w:eastAsia="宋体" w:hint="default"/>
          <w:sz w:val="26"/>
          <w:szCs w:val="26"/>
        </w:rPr>
      </w:pPr>
    </w:p>
    <w:p>
      <w:pPr>
        <w:pStyle w:val="BodyText"/>
        <w:spacing w:line="240" w:lineRule="auto"/>
        <w:ind w:left="617" w:right="257"/>
        <w:jc w:val="left"/>
      </w:pPr>
      <w:r>
        <w:rPr/>
        <w:t>3）审计委员会3人，成员为：江锡如（主席）、蓝伯雄、万能</w:t>
      </w:r>
    </w:p>
    <w:p>
      <w:pPr>
        <w:spacing w:line="240" w:lineRule="auto" w:before="9"/>
        <w:rPr>
          <w:rFonts w:ascii="宋体" w:hAnsi="宋体" w:cs="宋体" w:eastAsia="宋体" w:hint="default"/>
          <w:sz w:val="26"/>
          <w:szCs w:val="26"/>
        </w:rPr>
      </w:pPr>
    </w:p>
    <w:p>
      <w:pPr>
        <w:pStyle w:val="BodyText"/>
        <w:spacing w:line="240" w:lineRule="auto"/>
        <w:ind w:left="617" w:right="257"/>
        <w:jc w:val="left"/>
      </w:pPr>
      <w:r>
        <w:rPr/>
        <w:t>4）薪酬与考核委员会3人，成员为：蓝伯雄（主席）、刘凯湘、王宁</w:t>
      </w:r>
    </w:p>
    <w:p>
      <w:pPr>
        <w:spacing w:line="240" w:lineRule="auto" w:before="9"/>
        <w:rPr>
          <w:rFonts w:ascii="宋体" w:hAnsi="宋体" w:cs="宋体" w:eastAsia="宋体" w:hint="default"/>
          <w:sz w:val="26"/>
          <w:szCs w:val="26"/>
        </w:rPr>
      </w:pPr>
    </w:p>
    <w:p>
      <w:pPr>
        <w:pStyle w:val="BodyText"/>
        <w:spacing w:line="240" w:lineRule="auto"/>
        <w:ind w:left="617" w:right="257"/>
        <w:jc w:val="left"/>
      </w:pPr>
      <w:r>
        <w:rPr/>
        <w:t>2、报告期内监事会的换届选举</w:t>
      </w:r>
    </w:p>
    <w:p>
      <w:pPr>
        <w:spacing w:line="240" w:lineRule="auto" w:before="9"/>
        <w:rPr>
          <w:rFonts w:ascii="宋体" w:hAnsi="宋体" w:cs="宋体" w:eastAsia="宋体" w:hint="default"/>
          <w:sz w:val="26"/>
          <w:szCs w:val="26"/>
        </w:rPr>
      </w:pPr>
    </w:p>
    <w:p>
      <w:pPr>
        <w:pStyle w:val="BodyText"/>
        <w:spacing w:line="408" w:lineRule="auto"/>
        <w:ind w:left="197" w:right="107" w:firstLine="420"/>
        <w:jc w:val="left"/>
      </w:pPr>
      <w:r>
        <w:rPr>
          <w:spacing w:val="-3"/>
        </w:rPr>
        <w:t>2010年6月30日，公司召开2010年第一次临时股东大会，选举产生了公司第四届监事会，</w:t>
      </w:r>
      <w:r>
        <w:rPr/>
        <w:t> </w:t>
      </w:r>
      <w:r>
        <w:rPr>
          <w:spacing w:val="-3"/>
        </w:rPr>
        <w:t>成员包括：李广刚、丁彦超、郝岩（其中，郝岩为职工代表监事），任期自本次股东大会选</w:t>
      </w:r>
      <w:r>
        <w:rPr>
          <w:spacing w:val="-78"/>
        </w:rPr>
        <w:t> </w:t>
      </w:r>
      <w:r>
        <w:rPr>
          <w:spacing w:val="-78"/>
        </w:rPr>
      </w:r>
      <w:r>
        <w:rPr/>
        <w:t>举通过之日起三年。同时，经2010年6月30日召开的公司第四届监事会第一次会议审议，选</w:t>
      </w:r>
      <w:r>
        <w:rPr/>
        <w:t> 举李广刚为监事会主席。</w:t>
      </w:r>
    </w:p>
    <w:p>
      <w:pPr>
        <w:spacing w:line="240" w:lineRule="auto" w:before="6"/>
        <w:rPr>
          <w:rFonts w:ascii="宋体" w:hAnsi="宋体" w:cs="宋体" w:eastAsia="宋体" w:hint="default"/>
          <w:sz w:val="15"/>
          <w:szCs w:val="15"/>
        </w:rPr>
      </w:pPr>
    </w:p>
    <w:p>
      <w:pPr>
        <w:pStyle w:val="BodyText"/>
        <w:spacing w:line="408" w:lineRule="auto"/>
        <w:ind w:left="197" w:right="210" w:firstLine="420"/>
        <w:jc w:val="both"/>
      </w:pPr>
      <w:r>
        <w:rPr>
          <w:spacing w:val="-3"/>
        </w:rPr>
        <w:t>3、2010年6月30日，公司第四届董事会第一次会议审议通过《关于聘任公司高级管理人</w:t>
      </w:r>
      <w:r>
        <w:rPr/>
        <w:t> </w:t>
      </w:r>
      <w:r>
        <w:rPr>
          <w:spacing w:val="-3"/>
        </w:rPr>
        <w:t>员的议案》，成员包括：李力先生为公司总经理；王国华先生为公司常务副总经理；张振鹏</w:t>
      </w:r>
      <w:r>
        <w:rPr>
          <w:spacing w:val="-78"/>
        </w:rPr>
        <w:t> </w:t>
      </w:r>
      <w:r>
        <w:rPr>
          <w:spacing w:val="-78"/>
        </w:rPr>
      </w:r>
      <w:r>
        <w:rPr>
          <w:spacing w:val="-3"/>
        </w:rPr>
        <w:t>先生、许芃先生、王志刚先生、刘豪先生、高峰先生、汪铖先生、陶磊先生、朱健松先生为</w:t>
      </w:r>
      <w:r>
        <w:rPr>
          <w:spacing w:val="-91"/>
        </w:rPr>
        <w:t> </w:t>
      </w:r>
      <w:r>
        <w:rPr>
          <w:spacing w:val="-91"/>
        </w:rPr>
      </w:r>
      <w:r>
        <w:rPr/>
        <w:t>公司副总经理；万能先生为公司财务总监。任期自本次董事会审议通过之日起三年。</w:t>
      </w:r>
    </w:p>
    <w:p>
      <w:pPr>
        <w:spacing w:line="240" w:lineRule="auto" w:before="6"/>
        <w:rPr>
          <w:rFonts w:ascii="宋体" w:hAnsi="宋体" w:cs="宋体" w:eastAsia="宋体" w:hint="default"/>
          <w:sz w:val="15"/>
          <w:szCs w:val="15"/>
        </w:rPr>
      </w:pPr>
    </w:p>
    <w:p>
      <w:pPr>
        <w:pStyle w:val="BodyText"/>
        <w:spacing w:line="240" w:lineRule="auto"/>
        <w:ind w:left="617" w:right="257"/>
        <w:jc w:val="left"/>
      </w:pPr>
      <w:r>
        <w:rPr/>
        <w:t>详见</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w:t>
      </w:r>
      <w:r>
        <w:rPr/>
        <w:t>日刊登于巨潮资讯网站（</w:t>
      </w:r>
      <w:hyperlink r:id="rId9">
        <w:r>
          <w:rPr>
            <w:rFonts w:ascii="Times New Roman" w:hAnsi="Times New Roman" w:cs="Times New Roman" w:eastAsia="Times New Roman" w:hint="default"/>
          </w:rPr>
          <w:t>http://www.cninfo.com.cn</w:t>
        </w:r>
      </w:hyperlink>
      <w:r>
        <w:rPr/>
        <w:t>）的公司公告。</w:t>
      </w:r>
    </w:p>
    <w:p>
      <w:pPr>
        <w:spacing w:line="240" w:lineRule="auto" w:before="7"/>
        <w:rPr>
          <w:rFonts w:ascii="宋体" w:hAnsi="宋体" w:cs="宋体" w:eastAsia="宋体" w:hint="default"/>
          <w:sz w:val="19"/>
          <w:szCs w:val="19"/>
        </w:rPr>
      </w:pPr>
    </w:p>
    <w:p>
      <w:pPr>
        <w:pStyle w:val="Heading2"/>
        <w:spacing w:line="273" w:lineRule="auto"/>
        <w:ind w:left="197" w:right="257"/>
        <w:jc w:val="left"/>
        <w:rPr>
          <w:b w:val="0"/>
          <w:bCs w:val="0"/>
        </w:rPr>
      </w:pPr>
      <w:r>
        <w:rPr>
          <w:w w:val="95"/>
        </w:rPr>
        <w:t>二、报告期内，公司核心技术团队或关键技术人员（非董事、监事、高级管理人员）没有</w:t>
      </w:r>
      <w:r>
        <w:rPr>
          <w:spacing w:val="88"/>
          <w:w w:val="95"/>
        </w:rPr>
        <w:t> </w:t>
      </w:r>
      <w:r>
        <w:rPr>
          <w:spacing w:val="88"/>
          <w:w w:val="95"/>
        </w:rPr>
      </w:r>
      <w:r>
        <w:rPr/>
        <w:t>发生变动。</w:t>
      </w:r>
      <w:r>
        <w:rPr>
          <w:b w:val="0"/>
          <w:bCs w:val="0"/>
        </w:rPr>
      </w:r>
    </w:p>
    <w:p>
      <w:pPr>
        <w:spacing w:before="164"/>
        <w:ind w:left="197" w:right="257" w:firstLine="0"/>
        <w:jc w:val="left"/>
        <w:rPr>
          <w:rFonts w:ascii="宋体" w:hAnsi="宋体" w:cs="宋体" w:eastAsia="宋体" w:hint="default"/>
          <w:sz w:val="21"/>
          <w:szCs w:val="21"/>
        </w:rPr>
      </w:pPr>
      <w:r>
        <w:rPr>
          <w:rFonts w:ascii="宋体" w:hAnsi="宋体" w:cs="宋体" w:eastAsia="宋体" w:hint="default"/>
          <w:b/>
          <w:bCs/>
          <w:sz w:val="21"/>
          <w:szCs w:val="21"/>
        </w:rPr>
        <w:t>三、员工情况</w:t>
      </w:r>
      <w:r>
        <w:rPr>
          <w:rFonts w:ascii="宋体" w:hAnsi="宋体" w:cs="宋体" w:eastAsia="宋体" w:hint="default"/>
          <w:sz w:val="21"/>
          <w:szCs w:val="21"/>
        </w:rPr>
      </w:r>
    </w:p>
    <w:p>
      <w:pPr>
        <w:spacing w:line="240" w:lineRule="auto" w:before="9"/>
        <w:rPr>
          <w:rFonts w:ascii="宋体" w:hAnsi="宋体" w:cs="宋体" w:eastAsia="宋体" w:hint="default"/>
          <w:b/>
          <w:bCs/>
          <w:sz w:val="20"/>
          <w:szCs w:val="20"/>
        </w:rPr>
      </w:pPr>
    </w:p>
    <w:p>
      <w:pPr>
        <w:pStyle w:val="BodyText"/>
        <w:spacing w:line="240" w:lineRule="auto"/>
        <w:ind w:left="617" w:right="257"/>
        <w:jc w:val="left"/>
      </w:pPr>
      <w:r>
        <w:rPr/>
        <w:t>截止2010年12月31日，公司共有在册员工3459人，具体构成情况如下：</w:t>
      </w:r>
    </w:p>
    <w:p>
      <w:pPr>
        <w:spacing w:line="240" w:lineRule="auto" w:before="9"/>
        <w:rPr>
          <w:rFonts w:ascii="宋体" w:hAnsi="宋体" w:cs="宋体" w:eastAsia="宋体" w:hint="default"/>
          <w:sz w:val="26"/>
          <w:szCs w:val="26"/>
        </w:rPr>
      </w:pPr>
    </w:p>
    <w:p>
      <w:pPr>
        <w:pStyle w:val="Heading2"/>
        <w:spacing w:line="240" w:lineRule="auto"/>
        <w:ind w:left="513" w:right="257"/>
        <w:jc w:val="left"/>
        <w:rPr>
          <w:b w:val="0"/>
          <w:bCs w:val="0"/>
        </w:rPr>
      </w:pPr>
      <w:r>
        <w:rPr/>
        <w:t>（一）员工专业结构</w:t>
      </w:r>
      <w:r>
        <w:rPr>
          <w:b w:val="0"/>
          <w:bCs w:val="0"/>
        </w:rPr>
      </w:r>
    </w:p>
    <w:p>
      <w:pPr>
        <w:spacing w:line="240" w:lineRule="auto" w:before="12"/>
        <w:rPr>
          <w:rFonts w:ascii="宋体" w:hAnsi="宋体" w:cs="宋体" w:eastAsia="宋体" w:hint="default"/>
          <w:b/>
          <w:bCs/>
          <w:sz w:val="21"/>
          <w:szCs w:val="21"/>
        </w:rPr>
      </w:pPr>
    </w:p>
    <w:tbl>
      <w:tblPr>
        <w:tblW w:w="0" w:type="auto"/>
        <w:jc w:val="left"/>
        <w:tblInd w:w="111" w:type="dxa"/>
        <w:tblLayout w:type="fixed"/>
        <w:tblCellMar>
          <w:top w:w="0" w:type="dxa"/>
          <w:left w:w="0" w:type="dxa"/>
          <w:bottom w:w="0" w:type="dxa"/>
          <w:right w:w="0" w:type="dxa"/>
        </w:tblCellMar>
        <w:tblLook w:val="01E0"/>
      </w:tblPr>
      <w:tblGrid>
        <w:gridCol w:w="2720"/>
        <w:gridCol w:w="2677"/>
        <w:gridCol w:w="3078"/>
      </w:tblGrid>
      <w:tr>
        <w:trPr>
          <w:trHeight w:val="488" w:hRule="exact"/>
        </w:trPr>
        <w:tc>
          <w:tcPr>
            <w:tcW w:w="27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7"/>
              <w:ind w:right="930"/>
              <w:jc w:val="right"/>
              <w:rPr>
                <w:rFonts w:ascii="宋体" w:hAnsi="宋体" w:cs="宋体" w:eastAsia="宋体" w:hint="default"/>
                <w:sz w:val="21"/>
                <w:szCs w:val="21"/>
              </w:rPr>
            </w:pPr>
            <w:r>
              <w:rPr>
                <w:rFonts w:ascii="宋体" w:hAnsi="宋体" w:cs="宋体" w:eastAsia="宋体" w:hint="default"/>
                <w:b/>
                <w:bCs/>
                <w:sz w:val="21"/>
                <w:szCs w:val="21"/>
              </w:rPr>
              <w:t>专业结构</w:t>
            </w:r>
            <w:r>
              <w:rPr>
                <w:rFonts w:ascii="宋体" w:hAnsi="宋体" w:cs="宋体" w:eastAsia="宋体" w:hint="default"/>
                <w:sz w:val="21"/>
                <w:szCs w:val="21"/>
              </w:rPr>
            </w:r>
          </w:p>
        </w:tc>
        <w:tc>
          <w:tcPr>
            <w:tcW w:w="267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7"/>
              <w:ind w:right="1121"/>
              <w:jc w:val="right"/>
              <w:rPr>
                <w:rFonts w:ascii="宋体" w:hAnsi="宋体" w:cs="宋体" w:eastAsia="宋体" w:hint="default"/>
                <w:sz w:val="21"/>
                <w:szCs w:val="21"/>
              </w:rPr>
            </w:pPr>
            <w:r>
              <w:rPr>
                <w:rFonts w:ascii="宋体" w:hAnsi="宋体" w:cs="宋体" w:eastAsia="宋体" w:hint="default"/>
                <w:b/>
                <w:bCs/>
                <w:sz w:val="21"/>
                <w:szCs w:val="21"/>
              </w:rPr>
              <w:t>人数</w:t>
            </w:r>
            <w:r>
              <w:rPr>
                <w:rFonts w:ascii="宋体" w:hAnsi="宋体" w:cs="宋体" w:eastAsia="宋体" w:hint="default"/>
                <w:sz w:val="21"/>
                <w:szCs w:val="21"/>
              </w:rPr>
            </w:r>
          </w:p>
        </w:tc>
        <w:tc>
          <w:tcPr>
            <w:tcW w:w="307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7"/>
              <w:ind w:right="1"/>
              <w:jc w:val="center"/>
              <w:rPr>
                <w:rFonts w:ascii="宋体" w:hAnsi="宋体" w:cs="宋体" w:eastAsia="宋体" w:hint="default"/>
                <w:sz w:val="21"/>
                <w:szCs w:val="21"/>
              </w:rPr>
            </w:pPr>
            <w:r>
              <w:rPr>
                <w:rFonts w:ascii="宋体" w:hAnsi="宋体" w:cs="宋体" w:eastAsia="宋体" w:hint="default"/>
                <w:b/>
                <w:bCs/>
                <w:sz w:val="21"/>
                <w:szCs w:val="21"/>
              </w:rPr>
              <w:t>占员工总数的比例</w:t>
            </w:r>
            <w:r>
              <w:rPr>
                <w:rFonts w:ascii="宋体" w:hAnsi="宋体" w:cs="宋体" w:eastAsia="宋体" w:hint="default"/>
                <w:sz w:val="21"/>
                <w:szCs w:val="21"/>
              </w:rPr>
            </w:r>
          </w:p>
        </w:tc>
      </w:tr>
      <w:tr>
        <w:trPr>
          <w:trHeight w:val="488" w:hRule="exact"/>
        </w:trPr>
        <w:tc>
          <w:tcPr>
            <w:tcW w:w="2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931"/>
              <w:jc w:val="right"/>
              <w:rPr>
                <w:rFonts w:ascii="宋体" w:hAnsi="宋体" w:cs="宋体" w:eastAsia="宋体" w:hint="default"/>
                <w:sz w:val="21"/>
                <w:szCs w:val="21"/>
              </w:rPr>
            </w:pPr>
            <w:r>
              <w:rPr>
                <w:rFonts w:ascii="宋体" w:hAnsi="宋体" w:cs="宋体" w:eastAsia="宋体" w:hint="default"/>
                <w:sz w:val="21"/>
                <w:szCs w:val="21"/>
              </w:rPr>
              <w:t>技术人员</w:t>
            </w:r>
          </w:p>
        </w:tc>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120"/>
              <w:jc w:val="right"/>
              <w:rPr>
                <w:rFonts w:ascii="宋体" w:hAnsi="宋体" w:cs="宋体" w:eastAsia="宋体" w:hint="default"/>
                <w:sz w:val="21"/>
                <w:szCs w:val="21"/>
              </w:rPr>
            </w:pPr>
            <w:r>
              <w:rPr>
                <w:rFonts w:ascii="宋体"/>
                <w:sz w:val="21"/>
              </w:rPr>
              <w:t>2986</w:t>
            </w:r>
          </w:p>
        </w:tc>
        <w:tc>
          <w:tcPr>
            <w:tcW w:w="3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0"/>
              <w:jc w:val="center"/>
              <w:rPr>
                <w:rFonts w:ascii="宋体" w:hAnsi="宋体" w:cs="宋体" w:eastAsia="宋体" w:hint="default"/>
                <w:sz w:val="21"/>
                <w:szCs w:val="21"/>
              </w:rPr>
            </w:pPr>
            <w:r>
              <w:rPr>
                <w:rFonts w:ascii="宋体"/>
                <w:sz w:val="21"/>
              </w:rPr>
              <w:t>86.33%</w:t>
            </w:r>
          </w:p>
        </w:tc>
      </w:tr>
    </w:tbl>
    <w:p>
      <w:pPr>
        <w:spacing w:after="0" w:line="240" w:lineRule="auto"/>
        <w:jc w:val="center"/>
        <w:rPr>
          <w:rFonts w:ascii="宋体" w:hAnsi="宋体" w:cs="宋体" w:eastAsia="宋体" w:hint="default"/>
          <w:sz w:val="21"/>
          <w:szCs w:val="21"/>
        </w:rPr>
        <w:sectPr>
          <w:pgSz w:w="11910" w:h="16840"/>
          <w:pgMar w:header="851" w:footer="982" w:top="1300" w:bottom="1180" w:left="1600" w:right="1580"/>
        </w:sectPr>
      </w:pPr>
    </w:p>
    <w:p>
      <w:pPr>
        <w:spacing w:line="240" w:lineRule="auto" w:before="11"/>
        <w:rPr>
          <w:rFonts w:ascii="宋体" w:hAnsi="宋体" w:cs="宋体" w:eastAsia="宋体" w:hint="default"/>
          <w:b/>
          <w:bCs/>
          <w:sz w:val="2"/>
          <w:szCs w:val="2"/>
        </w:rPr>
      </w:pPr>
    </w:p>
    <w:tbl>
      <w:tblPr>
        <w:tblW w:w="0" w:type="auto"/>
        <w:jc w:val="left"/>
        <w:tblInd w:w="111" w:type="dxa"/>
        <w:tblLayout w:type="fixed"/>
        <w:tblCellMar>
          <w:top w:w="0" w:type="dxa"/>
          <w:left w:w="0" w:type="dxa"/>
          <w:bottom w:w="0" w:type="dxa"/>
          <w:right w:w="0" w:type="dxa"/>
        </w:tblCellMar>
        <w:tblLook w:val="01E0"/>
      </w:tblPr>
      <w:tblGrid>
        <w:gridCol w:w="2720"/>
        <w:gridCol w:w="2677"/>
        <w:gridCol w:w="3078"/>
      </w:tblGrid>
      <w:tr>
        <w:trPr>
          <w:trHeight w:val="491" w:hRule="exact"/>
        </w:trPr>
        <w:tc>
          <w:tcPr>
            <w:tcW w:w="272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8"/>
              <w:ind w:left="1" w:right="0"/>
              <w:jc w:val="center"/>
              <w:rPr>
                <w:rFonts w:ascii="宋体" w:hAnsi="宋体" w:cs="宋体" w:eastAsia="宋体" w:hint="default"/>
                <w:sz w:val="21"/>
                <w:szCs w:val="21"/>
              </w:rPr>
            </w:pPr>
            <w:r>
              <w:rPr>
                <w:rFonts w:ascii="宋体" w:hAnsi="宋体" w:cs="宋体" w:eastAsia="宋体" w:hint="default"/>
                <w:sz w:val="21"/>
                <w:szCs w:val="21"/>
              </w:rPr>
              <w:t>销售人员</w:t>
            </w:r>
          </w:p>
        </w:tc>
        <w:tc>
          <w:tcPr>
            <w:tcW w:w="2677"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8"/>
              <w:ind w:left="1" w:right="0"/>
              <w:jc w:val="center"/>
              <w:rPr>
                <w:rFonts w:ascii="宋体" w:hAnsi="宋体" w:cs="宋体" w:eastAsia="宋体" w:hint="default"/>
                <w:sz w:val="21"/>
                <w:szCs w:val="21"/>
              </w:rPr>
            </w:pPr>
            <w:r>
              <w:rPr>
                <w:rFonts w:ascii="宋体"/>
                <w:sz w:val="21"/>
              </w:rPr>
              <w:t>214</w:t>
            </w:r>
          </w:p>
        </w:tc>
        <w:tc>
          <w:tcPr>
            <w:tcW w:w="307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8"/>
              <w:ind w:right="0"/>
              <w:jc w:val="center"/>
              <w:rPr>
                <w:rFonts w:ascii="宋体" w:hAnsi="宋体" w:cs="宋体" w:eastAsia="宋体" w:hint="default"/>
                <w:sz w:val="21"/>
                <w:szCs w:val="21"/>
              </w:rPr>
            </w:pPr>
            <w:r>
              <w:rPr>
                <w:rFonts w:ascii="宋体"/>
                <w:sz w:val="21"/>
              </w:rPr>
              <w:t>6.19%</w:t>
            </w:r>
          </w:p>
        </w:tc>
      </w:tr>
      <w:tr>
        <w:trPr>
          <w:trHeight w:val="487" w:hRule="exact"/>
        </w:trPr>
        <w:tc>
          <w:tcPr>
            <w:tcW w:w="2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1" w:right="0"/>
              <w:jc w:val="center"/>
              <w:rPr>
                <w:rFonts w:ascii="宋体" w:hAnsi="宋体" w:cs="宋体" w:eastAsia="宋体" w:hint="default"/>
                <w:sz w:val="21"/>
                <w:szCs w:val="21"/>
              </w:rPr>
            </w:pPr>
            <w:r>
              <w:rPr>
                <w:rFonts w:ascii="宋体" w:hAnsi="宋体" w:cs="宋体" w:eastAsia="宋体" w:hint="default"/>
                <w:sz w:val="21"/>
                <w:szCs w:val="21"/>
              </w:rPr>
              <w:t>管理人员</w:t>
            </w:r>
          </w:p>
        </w:tc>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1" w:right="0"/>
              <w:jc w:val="center"/>
              <w:rPr>
                <w:rFonts w:ascii="宋体" w:hAnsi="宋体" w:cs="宋体" w:eastAsia="宋体" w:hint="default"/>
                <w:sz w:val="21"/>
                <w:szCs w:val="21"/>
              </w:rPr>
            </w:pPr>
            <w:r>
              <w:rPr>
                <w:rFonts w:ascii="宋体"/>
                <w:sz w:val="21"/>
              </w:rPr>
              <w:t>219</w:t>
            </w:r>
          </w:p>
        </w:tc>
        <w:tc>
          <w:tcPr>
            <w:tcW w:w="3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0"/>
              <w:jc w:val="center"/>
              <w:rPr>
                <w:rFonts w:ascii="宋体" w:hAnsi="宋体" w:cs="宋体" w:eastAsia="宋体" w:hint="default"/>
                <w:sz w:val="21"/>
                <w:szCs w:val="21"/>
              </w:rPr>
            </w:pPr>
            <w:r>
              <w:rPr>
                <w:rFonts w:ascii="宋体"/>
                <w:sz w:val="21"/>
              </w:rPr>
              <w:t>6.33%</w:t>
            </w:r>
          </w:p>
        </w:tc>
      </w:tr>
      <w:tr>
        <w:trPr>
          <w:trHeight w:val="488" w:hRule="exact"/>
        </w:trPr>
        <w:tc>
          <w:tcPr>
            <w:tcW w:w="2720" w:type="dxa"/>
            <w:tcBorders>
              <w:top w:val="single" w:sz="4" w:space="0" w:color="000000"/>
              <w:left w:val="single" w:sz="4" w:space="0" w:color="000000"/>
              <w:bottom w:val="single" w:sz="4" w:space="0" w:color="000000"/>
              <w:right w:val="single" w:sz="4" w:space="0" w:color="000000"/>
            </w:tcBorders>
          </w:tcPr>
          <w:p>
            <w:pPr>
              <w:pStyle w:val="TableParagraph"/>
              <w:tabs>
                <w:tab w:pos="631" w:val="left" w:leader="none"/>
              </w:tabs>
              <w:spacing w:line="240" w:lineRule="auto" w:before="68"/>
              <w:ind w:right="0"/>
              <w:jc w:val="center"/>
              <w:rPr>
                <w:rFonts w:ascii="宋体" w:hAnsi="宋体" w:cs="宋体" w:eastAsia="宋体" w:hint="default"/>
                <w:sz w:val="21"/>
                <w:szCs w:val="21"/>
              </w:rPr>
            </w:pPr>
            <w:r>
              <w:rPr>
                <w:rFonts w:ascii="宋体" w:hAnsi="宋体" w:cs="宋体" w:eastAsia="宋体" w:hint="default"/>
                <w:sz w:val="21"/>
                <w:szCs w:val="21"/>
              </w:rPr>
              <w:t>其</w:t>
              <w:tab/>
              <w:t>他</w:t>
            </w:r>
          </w:p>
        </w:tc>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0"/>
              <w:jc w:val="center"/>
              <w:rPr>
                <w:rFonts w:ascii="宋体" w:hAnsi="宋体" w:cs="宋体" w:eastAsia="宋体" w:hint="default"/>
                <w:sz w:val="21"/>
                <w:szCs w:val="21"/>
              </w:rPr>
            </w:pPr>
            <w:r>
              <w:rPr>
                <w:rFonts w:ascii="宋体"/>
                <w:sz w:val="21"/>
              </w:rPr>
              <w:t>40</w:t>
            </w:r>
          </w:p>
        </w:tc>
        <w:tc>
          <w:tcPr>
            <w:tcW w:w="3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0"/>
              <w:jc w:val="center"/>
              <w:rPr>
                <w:rFonts w:ascii="宋体" w:hAnsi="宋体" w:cs="宋体" w:eastAsia="宋体" w:hint="default"/>
                <w:sz w:val="21"/>
                <w:szCs w:val="21"/>
              </w:rPr>
            </w:pPr>
            <w:r>
              <w:rPr>
                <w:rFonts w:ascii="宋体"/>
                <w:sz w:val="21"/>
              </w:rPr>
              <w:t>1.16%</w:t>
            </w:r>
          </w:p>
        </w:tc>
      </w:tr>
      <w:tr>
        <w:trPr>
          <w:trHeight w:val="488" w:hRule="exact"/>
        </w:trPr>
        <w:tc>
          <w:tcPr>
            <w:tcW w:w="2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 w:right="0"/>
              <w:jc w:val="center"/>
              <w:rPr>
                <w:rFonts w:ascii="宋体" w:hAnsi="宋体" w:cs="宋体" w:eastAsia="宋体" w:hint="default"/>
                <w:sz w:val="21"/>
                <w:szCs w:val="21"/>
              </w:rPr>
            </w:pPr>
            <w:r>
              <w:rPr>
                <w:rFonts w:ascii="宋体"/>
                <w:sz w:val="21"/>
              </w:rPr>
              <w:t>3459</w:t>
            </w:r>
          </w:p>
        </w:tc>
        <w:tc>
          <w:tcPr>
            <w:tcW w:w="3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1" w:right="0"/>
              <w:jc w:val="center"/>
              <w:rPr>
                <w:rFonts w:ascii="宋体" w:hAnsi="宋体" w:cs="宋体" w:eastAsia="宋体" w:hint="default"/>
                <w:sz w:val="21"/>
                <w:szCs w:val="21"/>
              </w:rPr>
            </w:pPr>
            <w:r>
              <w:rPr>
                <w:rFonts w:ascii="宋体"/>
                <w:sz w:val="21"/>
              </w:rPr>
              <w:t>100.00%</w:t>
            </w:r>
          </w:p>
        </w:tc>
      </w:tr>
    </w:tbl>
    <w:p>
      <w:pPr>
        <w:spacing w:line="240" w:lineRule="auto" w:before="1"/>
        <w:rPr>
          <w:rFonts w:ascii="宋体" w:hAnsi="宋体" w:cs="宋体" w:eastAsia="宋体" w:hint="default"/>
          <w:b/>
          <w:bCs/>
          <w:sz w:val="14"/>
          <w:szCs w:val="14"/>
        </w:rPr>
      </w:pPr>
    </w:p>
    <w:p>
      <w:pPr>
        <w:spacing w:before="35"/>
        <w:ind w:left="513" w:right="257" w:firstLine="0"/>
        <w:jc w:val="left"/>
        <w:rPr>
          <w:rFonts w:ascii="宋体" w:hAnsi="宋体" w:cs="宋体" w:eastAsia="宋体" w:hint="default"/>
          <w:sz w:val="21"/>
          <w:szCs w:val="21"/>
        </w:rPr>
      </w:pPr>
      <w:r>
        <w:rPr>
          <w:rFonts w:ascii="宋体" w:hAnsi="宋体" w:cs="宋体" w:eastAsia="宋体" w:hint="default"/>
          <w:b/>
          <w:bCs/>
          <w:sz w:val="21"/>
          <w:szCs w:val="21"/>
        </w:rPr>
        <w:t>（二）学历结构</w:t>
      </w:r>
      <w:r>
        <w:rPr>
          <w:rFonts w:ascii="宋体" w:hAnsi="宋体" w:cs="宋体" w:eastAsia="宋体" w:hint="default"/>
          <w:sz w:val="21"/>
          <w:szCs w:val="21"/>
        </w:rPr>
      </w:r>
    </w:p>
    <w:p>
      <w:pPr>
        <w:spacing w:line="240" w:lineRule="auto" w:before="11"/>
        <w:rPr>
          <w:rFonts w:ascii="宋体" w:hAnsi="宋体" w:cs="宋体" w:eastAsia="宋体" w:hint="default"/>
          <w:b/>
          <w:bCs/>
          <w:sz w:val="21"/>
          <w:szCs w:val="21"/>
        </w:rPr>
      </w:pPr>
    </w:p>
    <w:tbl>
      <w:tblPr>
        <w:tblW w:w="0" w:type="auto"/>
        <w:jc w:val="left"/>
        <w:tblInd w:w="106" w:type="dxa"/>
        <w:tblLayout w:type="fixed"/>
        <w:tblCellMar>
          <w:top w:w="0" w:type="dxa"/>
          <w:left w:w="0" w:type="dxa"/>
          <w:bottom w:w="0" w:type="dxa"/>
          <w:right w:w="0" w:type="dxa"/>
        </w:tblCellMar>
        <w:tblLook w:val="01E0"/>
      </w:tblPr>
      <w:tblGrid>
        <w:gridCol w:w="2724"/>
        <w:gridCol w:w="2680"/>
        <w:gridCol w:w="3080"/>
      </w:tblGrid>
      <w:tr>
        <w:trPr>
          <w:trHeight w:val="489" w:hRule="exact"/>
        </w:trPr>
        <w:tc>
          <w:tcPr>
            <w:tcW w:w="272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9"/>
              <w:ind w:right="0"/>
              <w:jc w:val="center"/>
              <w:rPr>
                <w:rFonts w:ascii="宋体" w:hAnsi="宋体" w:cs="宋体" w:eastAsia="宋体" w:hint="default"/>
                <w:sz w:val="21"/>
                <w:szCs w:val="21"/>
              </w:rPr>
            </w:pPr>
            <w:r>
              <w:rPr>
                <w:rFonts w:ascii="宋体" w:hAnsi="宋体" w:cs="宋体" w:eastAsia="宋体" w:hint="default"/>
                <w:b/>
                <w:bCs/>
                <w:sz w:val="21"/>
                <w:szCs w:val="21"/>
              </w:rPr>
              <w:t>学历结构</w:t>
            </w:r>
            <w:r>
              <w:rPr>
                <w:rFonts w:ascii="宋体" w:hAnsi="宋体" w:cs="宋体" w:eastAsia="宋体" w:hint="default"/>
                <w:sz w:val="21"/>
                <w:szCs w:val="21"/>
              </w:rPr>
            </w:r>
          </w:p>
        </w:tc>
        <w:tc>
          <w:tcPr>
            <w:tcW w:w="268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9"/>
              <w:ind w:right="1"/>
              <w:jc w:val="center"/>
              <w:rPr>
                <w:rFonts w:ascii="宋体" w:hAnsi="宋体" w:cs="宋体" w:eastAsia="宋体" w:hint="default"/>
                <w:sz w:val="21"/>
                <w:szCs w:val="21"/>
              </w:rPr>
            </w:pPr>
            <w:r>
              <w:rPr>
                <w:rFonts w:ascii="宋体" w:hAnsi="宋体" w:cs="宋体" w:eastAsia="宋体" w:hint="default"/>
                <w:b/>
                <w:bCs/>
                <w:sz w:val="21"/>
                <w:szCs w:val="21"/>
              </w:rPr>
              <w:t>人数</w:t>
            </w:r>
            <w:r>
              <w:rPr>
                <w:rFonts w:ascii="宋体" w:hAnsi="宋体" w:cs="宋体" w:eastAsia="宋体" w:hint="default"/>
                <w:sz w:val="21"/>
                <w:szCs w:val="21"/>
              </w:rPr>
            </w:r>
          </w:p>
        </w:tc>
        <w:tc>
          <w:tcPr>
            <w:tcW w:w="308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9"/>
              <w:ind w:left="1" w:right="0"/>
              <w:jc w:val="center"/>
              <w:rPr>
                <w:rFonts w:ascii="宋体" w:hAnsi="宋体" w:cs="宋体" w:eastAsia="宋体" w:hint="default"/>
                <w:sz w:val="21"/>
                <w:szCs w:val="21"/>
              </w:rPr>
            </w:pPr>
            <w:r>
              <w:rPr>
                <w:rFonts w:ascii="宋体" w:hAnsi="宋体" w:cs="宋体" w:eastAsia="宋体" w:hint="default"/>
                <w:b/>
                <w:bCs/>
                <w:sz w:val="21"/>
                <w:szCs w:val="21"/>
              </w:rPr>
              <w:t>占员工总数的比例</w:t>
            </w:r>
            <w:r>
              <w:rPr>
                <w:rFonts w:ascii="宋体" w:hAnsi="宋体" w:cs="宋体" w:eastAsia="宋体" w:hint="default"/>
                <w:sz w:val="21"/>
                <w:szCs w:val="21"/>
              </w:rPr>
            </w:r>
          </w:p>
        </w:tc>
      </w:tr>
      <w:tr>
        <w:trPr>
          <w:trHeight w:val="491" w:hRule="exact"/>
        </w:trPr>
        <w:tc>
          <w:tcPr>
            <w:tcW w:w="2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0"/>
              <w:jc w:val="center"/>
              <w:rPr>
                <w:rFonts w:ascii="宋体" w:hAnsi="宋体" w:cs="宋体" w:eastAsia="宋体" w:hint="default"/>
                <w:sz w:val="21"/>
                <w:szCs w:val="21"/>
              </w:rPr>
            </w:pPr>
            <w:r>
              <w:rPr>
                <w:rFonts w:ascii="宋体" w:hAnsi="宋体" w:cs="宋体" w:eastAsia="宋体" w:hint="default"/>
                <w:sz w:val="21"/>
                <w:szCs w:val="21"/>
              </w:rPr>
              <w:t>研究生及以上</w:t>
            </w:r>
          </w:p>
        </w:tc>
        <w:tc>
          <w:tcPr>
            <w:tcW w:w="2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0"/>
              <w:jc w:val="center"/>
              <w:rPr>
                <w:rFonts w:ascii="宋体" w:hAnsi="宋体" w:cs="宋体" w:eastAsia="宋体" w:hint="default"/>
                <w:sz w:val="21"/>
                <w:szCs w:val="21"/>
              </w:rPr>
            </w:pPr>
            <w:r>
              <w:rPr>
                <w:rFonts w:ascii="宋体"/>
                <w:sz w:val="21"/>
              </w:rPr>
              <w:t>176</w:t>
            </w:r>
          </w:p>
        </w:tc>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 w:right="0"/>
              <w:jc w:val="center"/>
              <w:rPr>
                <w:rFonts w:ascii="宋体" w:hAnsi="宋体" w:cs="宋体" w:eastAsia="宋体" w:hint="default"/>
                <w:sz w:val="21"/>
                <w:szCs w:val="21"/>
              </w:rPr>
            </w:pPr>
            <w:r>
              <w:rPr>
                <w:rFonts w:ascii="宋体"/>
                <w:sz w:val="21"/>
              </w:rPr>
              <w:t>5.09%</w:t>
            </w:r>
          </w:p>
        </w:tc>
      </w:tr>
      <w:tr>
        <w:trPr>
          <w:trHeight w:val="490" w:hRule="exact"/>
        </w:trPr>
        <w:tc>
          <w:tcPr>
            <w:tcW w:w="2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0"/>
              <w:jc w:val="center"/>
              <w:rPr>
                <w:rFonts w:ascii="宋体" w:hAnsi="宋体" w:cs="宋体" w:eastAsia="宋体" w:hint="default"/>
                <w:sz w:val="21"/>
                <w:szCs w:val="21"/>
              </w:rPr>
            </w:pPr>
            <w:r>
              <w:rPr>
                <w:rFonts w:ascii="宋体" w:hAnsi="宋体" w:cs="宋体" w:eastAsia="宋体" w:hint="default"/>
                <w:sz w:val="21"/>
                <w:szCs w:val="21"/>
              </w:rPr>
              <w:t>大学本科</w:t>
            </w:r>
          </w:p>
        </w:tc>
        <w:tc>
          <w:tcPr>
            <w:tcW w:w="2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
              <w:jc w:val="center"/>
              <w:rPr>
                <w:rFonts w:ascii="宋体" w:hAnsi="宋体" w:cs="宋体" w:eastAsia="宋体" w:hint="default"/>
                <w:sz w:val="21"/>
                <w:szCs w:val="21"/>
              </w:rPr>
            </w:pPr>
            <w:r>
              <w:rPr>
                <w:rFonts w:ascii="宋体"/>
                <w:sz w:val="21"/>
              </w:rPr>
              <w:t>2320</w:t>
            </w:r>
          </w:p>
        </w:tc>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 w:right="0"/>
              <w:jc w:val="center"/>
              <w:rPr>
                <w:rFonts w:ascii="宋体" w:hAnsi="宋体" w:cs="宋体" w:eastAsia="宋体" w:hint="default"/>
                <w:sz w:val="21"/>
                <w:szCs w:val="21"/>
              </w:rPr>
            </w:pPr>
            <w:r>
              <w:rPr>
                <w:rFonts w:ascii="宋体"/>
                <w:sz w:val="21"/>
              </w:rPr>
              <w:t>67.07%</w:t>
            </w:r>
          </w:p>
        </w:tc>
      </w:tr>
      <w:tr>
        <w:trPr>
          <w:trHeight w:val="490" w:hRule="exact"/>
        </w:trPr>
        <w:tc>
          <w:tcPr>
            <w:tcW w:w="2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0"/>
              <w:jc w:val="center"/>
              <w:rPr>
                <w:rFonts w:ascii="宋体" w:hAnsi="宋体" w:cs="宋体" w:eastAsia="宋体" w:hint="default"/>
                <w:sz w:val="21"/>
                <w:szCs w:val="21"/>
              </w:rPr>
            </w:pPr>
            <w:r>
              <w:rPr>
                <w:rFonts w:ascii="宋体" w:hAnsi="宋体" w:cs="宋体" w:eastAsia="宋体" w:hint="default"/>
                <w:sz w:val="21"/>
                <w:szCs w:val="21"/>
              </w:rPr>
              <w:t>大学专科</w:t>
            </w:r>
          </w:p>
        </w:tc>
        <w:tc>
          <w:tcPr>
            <w:tcW w:w="2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0"/>
              <w:jc w:val="center"/>
              <w:rPr>
                <w:rFonts w:ascii="宋体" w:hAnsi="宋体" w:cs="宋体" w:eastAsia="宋体" w:hint="default"/>
                <w:sz w:val="21"/>
                <w:szCs w:val="21"/>
              </w:rPr>
            </w:pPr>
            <w:r>
              <w:rPr>
                <w:rFonts w:ascii="宋体"/>
                <w:sz w:val="21"/>
              </w:rPr>
              <w:t>853</w:t>
            </w:r>
          </w:p>
        </w:tc>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 w:right="0"/>
              <w:jc w:val="center"/>
              <w:rPr>
                <w:rFonts w:ascii="宋体" w:hAnsi="宋体" w:cs="宋体" w:eastAsia="宋体" w:hint="default"/>
                <w:sz w:val="21"/>
                <w:szCs w:val="21"/>
              </w:rPr>
            </w:pPr>
            <w:r>
              <w:rPr>
                <w:rFonts w:ascii="宋体"/>
                <w:sz w:val="21"/>
              </w:rPr>
              <w:t>24.66%</w:t>
            </w:r>
          </w:p>
        </w:tc>
      </w:tr>
      <w:tr>
        <w:trPr>
          <w:trHeight w:val="491" w:hRule="exact"/>
        </w:trPr>
        <w:tc>
          <w:tcPr>
            <w:tcW w:w="2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0"/>
              <w:jc w:val="center"/>
              <w:rPr>
                <w:rFonts w:ascii="宋体" w:hAnsi="宋体" w:cs="宋体" w:eastAsia="宋体" w:hint="default"/>
                <w:sz w:val="21"/>
                <w:szCs w:val="21"/>
              </w:rPr>
            </w:pPr>
            <w:r>
              <w:rPr>
                <w:rFonts w:ascii="宋体" w:hAnsi="宋体" w:cs="宋体" w:eastAsia="宋体" w:hint="default"/>
                <w:sz w:val="21"/>
                <w:szCs w:val="21"/>
              </w:rPr>
              <w:t>大专以下</w:t>
            </w:r>
          </w:p>
        </w:tc>
        <w:tc>
          <w:tcPr>
            <w:tcW w:w="2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
              <w:jc w:val="center"/>
              <w:rPr>
                <w:rFonts w:ascii="宋体" w:hAnsi="宋体" w:cs="宋体" w:eastAsia="宋体" w:hint="default"/>
                <w:sz w:val="21"/>
                <w:szCs w:val="21"/>
              </w:rPr>
            </w:pPr>
            <w:r>
              <w:rPr>
                <w:rFonts w:ascii="宋体"/>
                <w:sz w:val="21"/>
              </w:rPr>
              <w:t>110</w:t>
            </w:r>
          </w:p>
        </w:tc>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 w:right="0"/>
              <w:jc w:val="center"/>
              <w:rPr>
                <w:rFonts w:ascii="宋体" w:hAnsi="宋体" w:cs="宋体" w:eastAsia="宋体" w:hint="default"/>
                <w:sz w:val="21"/>
                <w:szCs w:val="21"/>
              </w:rPr>
            </w:pPr>
            <w:r>
              <w:rPr>
                <w:rFonts w:ascii="宋体"/>
                <w:sz w:val="21"/>
              </w:rPr>
              <w:t>3.18%</w:t>
            </w:r>
          </w:p>
        </w:tc>
      </w:tr>
      <w:tr>
        <w:trPr>
          <w:trHeight w:val="490" w:hRule="exact"/>
        </w:trPr>
        <w:tc>
          <w:tcPr>
            <w:tcW w:w="2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0"/>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1"/>
                <w:sz w:val="21"/>
                <w:szCs w:val="21"/>
              </w:rPr>
              <w:t> </w:t>
            </w:r>
            <w:r>
              <w:rPr>
                <w:rFonts w:ascii="宋体" w:hAnsi="宋体" w:cs="宋体" w:eastAsia="宋体" w:hint="default"/>
                <w:sz w:val="21"/>
                <w:szCs w:val="21"/>
              </w:rPr>
              <w:t>计</w:t>
            </w:r>
          </w:p>
        </w:tc>
        <w:tc>
          <w:tcPr>
            <w:tcW w:w="2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0"/>
              <w:jc w:val="center"/>
              <w:rPr>
                <w:rFonts w:ascii="宋体" w:hAnsi="宋体" w:cs="宋体" w:eastAsia="宋体" w:hint="default"/>
                <w:sz w:val="21"/>
                <w:szCs w:val="21"/>
              </w:rPr>
            </w:pPr>
            <w:r>
              <w:rPr>
                <w:rFonts w:ascii="宋体"/>
                <w:sz w:val="21"/>
              </w:rPr>
              <w:t>3459</w:t>
            </w:r>
          </w:p>
        </w:tc>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0"/>
              <w:jc w:val="center"/>
              <w:rPr>
                <w:rFonts w:ascii="宋体" w:hAnsi="宋体" w:cs="宋体" w:eastAsia="宋体" w:hint="default"/>
                <w:sz w:val="21"/>
                <w:szCs w:val="21"/>
              </w:rPr>
            </w:pPr>
            <w:r>
              <w:rPr>
                <w:rFonts w:ascii="宋体"/>
                <w:sz w:val="21"/>
              </w:rPr>
              <w:t>100.00%</w:t>
            </w:r>
          </w:p>
        </w:tc>
      </w:tr>
    </w:tbl>
    <w:p>
      <w:pPr>
        <w:spacing w:line="240" w:lineRule="auto" w:before="1"/>
        <w:rPr>
          <w:rFonts w:ascii="宋体" w:hAnsi="宋体" w:cs="宋体" w:eastAsia="宋体" w:hint="default"/>
          <w:b/>
          <w:bCs/>
          <w:sz w:val="14"/>
          <w:szCs w:val="14"/>
        </w:rPr>
      </w:pPr>
    </w:p>
    <w:p>
      <w:pPr>
        <w:spacing w:before="35"/>
        <w:ind w:left="513" w:right="257" w:firstLine="0"/>
        <w:jc w:val="left"/>
        <w:rPr>
          <w:rFonts w:ascii="宋体" w:hAnsi="宋体" w:cs="宋体" w:eastAsia="宋体" w:hint="default"/>
          <w:sz w:val="21"/>
          <w:szCs w:val="21"/>
        </w:rPr>
      </w:pPr>
      <w:r>
        <w:rPr>
          <w:rFonts w:ascii="宋体" w:hAnsi="宋体" w:cs="宋体" w:eastAsia="宋体" w:hint="default"/>
          <w:b/>
          <w:bCs/>
          <w:sz w:val="21"/>
          <w:szCs w:val="21"/>
        </w:rPr>
        <w:t>（三）年龄结构</w:t>
      </w:r>
      <w:r>
        <w:rPr>
          <w:rFonts w:ascii="宋体" w:hAnsi="宋体" w:cs="宋体" w:eastAsia="宋体" w:hint="default"/>
          <w:sz w:val="21"/>
          <w:szCs w:val="21"/>
        </w:rPr>
      </w:r>
    </w:p>
    <w:p>
      <w:pPr>
        <w:spacing w:line="240" w:lineRule="auto" w:before="12"/>
        <w:rPr>
          <w:rFonts w:ascii="宋体" w:hAnsi="宋体" w:cs="宋体" w:eastAsia="宋体" w:hint="default"/>
          <w:b/>
          <w:bCs/>
          <w:sz w:val="21"/>
          <w:szCs w:val="21"/>
        </w:rPr>
      </w:pPr>
    </w:p>
    <w:tbl>
      <w:tblPr>
        <w:tblW w:w="0" w:type="auto"/>
        <w:jc w:val="left"/>
        <w:tblInd w:w="106" w:type="dxa"/>
        <w:tblLayout w:type="fixed"/>
        <w:tblCellMar>
          <w:top w:w="0" w:type="dxa"/>
          <w:left w:w="0" w:type="dxa"/>
          <w:bottom w:w="0" w:type="dxa"/>
          <w:right w:w="0" w:type="dxa"/>
        </w:tblCellMar>
        <w:tblLook w:val="01E0"/>
      </w:tblPr>
      <w:tblGrid>
        <w:gridCol w:w="2724"/>
        <w:gridCol w:w="2680"/>
        <w:gridCol w:w="3080"/>
      </w:tblGrid>
      <w:tr>
        <w:trPr>
          <w:trHeight w:val="500" w:hRule="exact"/>
        </w:trPr>
        <w:tc>
          <w:tcPr>
            <w:tcW w:w="272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73"/>
              <w:ind w:left="934" w:right="0"/>
              <w:jc w:val="left"/>
              <w:rPr>
                <w:rFonts w:ascii="宋体" w:hAnsi="宋体" w:cs="宋体" w:eastAsia="宋体" w:hint="default"/>
                <w:sz w:val="21"/>
                <w:szCs w:val="21"/>
              </w:rPr>
            </w:pPr>
            <w:r>
              <w:rPr>
                <w:rFonts w:ascii="宋体" w:hAnsi="宋体" w:cs="宋体" w:eastAsia="宋体" w:hint="default"/>
                <w:b/>
                <w:bCs/>
                <w:sz w:val="21"/>
                <w:szCs w:val="21"/>
              </w:rPr>
              <w:t>年龄结构</w:t>
            </w:r>
            <w:r>
              <w:rPr>
                <w:rFonts w:ascii="宋体" w:hAnsi="宋体" w:cs="宋体" w:eastAsia="宋体" w:hint="default"/>
                <w:sz w:val="21"/>
                <w:szCs w:val="21"/>
              </w:rPr>
            </w:r>
          </w:p>
        </w:tc>
        <w:tc>
          <w:tcPr>
            <w:tcW w:w="268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73"/>
              <w:ind w:right="1"/>
              <w:jc w:val="center"/>
              <w:rPr>
                <w:rFonts w:ascii="宋体" w:hAnsi="宋体" w:cs="宋体" w:eastAsia="宋体" w:hint="default"/>
                <w:sz w:val="21"/>
                <w:szCs w:val="21"/>
              </w:rPr>
            </w:pPr>
            <w:r>
              <w:rPr>
                <w:rFonts w:ascii="宋体" w:hAnsi="宋体" w:cs="宋体" w:eastAsia="宋体" w:hint="default"/>
                <w:b/>
                <w:bCs/>
                <w:sz w:val="21"/>
                <w:szCs w:val="21"/>
              </w:rPr>
              <w:t>人数</w:t>
            </w:r>
            <w:r>
              <w:rPr>
                <w:rFonts w:ascii="宋体" w:hAnsi="宋体" w:cs="宋体" w:eastAsia="宋体" w:hint="default"/>
                <w:sz w:val="21"/>
                <w:szCs w:val="21"/>
              </w:rPr>
            </w:r>
          </w:p>
        </w:tc>
        <w:tc>
          <w:tcPr>
            <w:tcW w:w="308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73"/>
              <w:ind w:left="1" w:right="0"/>
              <w:jc w:val="center"/>
              <w:rPr>
                <w:rFonts w:ascii="宋体" w:hAnsi="宋体" w:cs="宋体" w:eastAsia="宋体" w:hint="default"/>
                <w:sz w:val="21"/>
                <w:szCs w:val="21"/>
              </w:rPr>
            </w:pPr>
            <w:r>
              <w:rPr>
                <w:rFonts w:ascii="宋体" w:hAnsi="宋体" w:cs="宋体" w:eastAsia="宋体" w:hint="default"/>
                <w:b/>
                <w:bCs/>
                <w:sz w:val="21"/>
                <w:szCs w:val="21"/>
              </w:rPr>
              <w:t>占员工总数的比例</w:t>
            </w:r>
            <w:r>
              <w:rPr>
                <w:rFonts w:ascii="宋体" w:hAnsi="宋体" w:cs="宋体" w:eastAsia="宋体" w:hint="default"/>
                <w:sz w:val="21"/>
                <w:szCs w:val="21"/>
              </w:rPr>
            </w:r>
          </w:p>
        </w:tc>
      </w:tr>
      <w:tr>
        <w:trPr>
          <w:trHeight w:val="500" w:hRule="exact"/>
        </w:trPr>
        <w:tc>
          <w:tcPr>
            <w:tcW w:w="2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909" w:right="0"/>
              <w:jc w:val="left"/>
              <w:rPr>
                <w:rFonts w:ascii="宋体" w:hAnsi="宋体" w:cs="宋体" w:eastAsia="宋体" w:hint="default"/>
                <w:sz w:val="21"/>
                <w:szCs w:val="21"/>
              </w:rPr>
            </w:pPr>
            <w:r>
              <w:rPr>
                <w:rFonts w:ascii="宋体" w:hAnsi="宋体" w:cs="宋体" w:eastAsia="宋体" w:hint="default"/>
                <w:sz w:val="21"/>
                <w:szCs w:val="21"/>
              </w:rPr>
              <w:t>46</w:t>
            </w:r>
            <w:r>
              <w:rPr>
                <w:rFonts w:ascii="宋体" w:hAnsi="宋体" w:cs="宋体" w:eastAsia="宋体" w:hint="default"/>
                <w:spacing w:val="-52"/>
                <w:sz w:val="21"/>
                <w:szCs w:val="21"/>
              </w:rPr>
              <w:t> </w:t>
            </w:r>
            <w:r>
              <w:rPr>
                <w:rFonts w:ascii="宋体" w:hAnsi="宋体" w:cs="宋体" w:eastAsia="宋体" w:hint="default"/>
                <w:sz w:val="21"/>
                <w:szCs w:val="21"/>
              </w:rPr>
              <w:t>岁以上</w:t>
            </w:r>
          </w:p>
        </w:tc>
        <w:tc>
          <w:tcPr>
            <w:tcW w:w="2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宋体"/>
                <w:sz w:val="21"/>
              </w:rPr>
              <w:t>15</w:t>
            </w:r>
          </w:p>
        </w:tc>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 w:right="0"/>
              <w:jc w:val="center"/>
              <w:rPr>
                <w:rFonts w:ascii="宋体" w:hAnsi="宋体" w:cs="宋体" w:eastAsia="宋体" w:hint="default"/>
                <w:sz w:val="21"/>
                <w:szCs w:val="21"/>
              </w:rPr>
            </w:pPr>
            <w:r>
              <w:rPr>
                <w:rFonts w:ascii="宋体"/>
                <w:sz w:val="21"/>
              </w:rPr>
              <w:t>0.43%</w:t>
            </w:r>
          </w:p>
        </w:tc>
      </w:tr>
      <w:tr>
        <w:trPr>
          <w:trHeight w:val="499" w:hRule="exact"/>
        </w:trPr>
        <w:tc>
          <w:tcPr>
            <w:tcW w:w="2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962" w:right="0"/>
              <w:jc w:val="left"/>
              <w:rPr>
                <w:rFonts w:ascii="宋体" w:hAnsi="宋体" w:cs="宋体" w:eastAsia="宋体" w:hint="default"/>
                <w:sz w:val="21"/>
                <w:szCs w:val="21"/>
              </w:rPr>
            </w:pPr>
            <w:r>
              <w:rPr>
                <w:rFonts w:ascii="宋体" w:hAnsi="宋体" w:cs="宋体" w:eastAsia="宋体" w:hint="default"/>
                <w:sz w:val="21"/>
                <w:szCs w:val="21"/>
              </w:rPr>
              <w:t>36-45</w:t>
            </w:r>
            <w:r>
              <w:rPr>
                <w:rFonts w:ascii="宋体" w:hAnsi="宋体" w:cs="宋体" w:eastAsia="宋体" w:hint="default"/>
                <w:spacing w:val="-54"/>
                <w:sz w:val="21"/>
                <w:szCs w:val="21"/>
              </w:rPr>
              <w:t> </w:t>
            </w:r>
            <w:r>
              <w:rPr>
                <w:rFonts w:ascii="宋体" w:hAnsi="宋体" w:cs="宋体" w:eastAsia="宋体" w:hint="default"/>
                <w:sz w:val="21"/>
                <w:szCs w:val="21"/>
              </w:rPr>
              <w:t>岁</w:t>
            </w:r>
          </w:p>
        </w:tc>
        <w:tc>
          <w:tcPr>
            <w:tcW w:w="2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
              <w:jc w:val="center"/>
              <w:rPr>
                <w:rFonts w:ascii="宋体" w:hAnsi="宋体" w:cs="宋体" w:eastAsia="宋体" w:hint="default"/>
                <w:sz w:val="21"/>
                <w:szCs w:val="21"/>
              </w:rPr>
            </w:pPr>
            <w:r>
              <w:rPr>
                <w:rFonts w:ascii="宋体"/>
                <w:sz w:val="21"/>
              </w:rPr>
              <w:t>155</w:t>
            </w:r>
          </w:p>
        </w:tc>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宋体"/>
                <w:sz w:val="21"/>
              </w:rPr>
              <w:t>4.48%</w:t>
            </w:r>
          </w:p>
        </w:tc>
      </w:tr>
      <w:tr>
        <w:trPr>
          <w:trHeight w:val="500" w:hRule="exact"/>
        </w:trPr>
        <w:tc>
          <w:tcPr>
            <w:tcW w:w="2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909" w:right="0"/>
              <w:jc w:val="left"/>
              <w:rPr>
                <w:rFonts w:ascii="宋体" w:hAnsi="宋体" w:cs="宋体" w:eastAsia="宋体" w:hint="default"/>
                <w:sz w:val="21"/>
                <w:szCs w:val="21"/>
              </w:rPr>
            </w:pPr>
            <w:r>
              <w:rPr>
                <w:rFonts w:ascii="宋体" w:hAnsi="宋体" w:cs="宋体" w:eastAsia="宋体" w:hint="default"/>
                <w:sz w:val="21"/>
                <w:szCs w:val="21"/>
              </w:rPr>
              <w:t>35</w:t>
            </w:r>
            <w:r>
              <w:rPr>
                <w:rFonts w:ascii="宋体" w:hAnsi="宋体" w:cs="宋体" w:eastAsia="宋体" w:hint="default"/>
                <w:spacing w:val="-52"/>
                <w:sz w:val="21"/>
                <w:szCs w:val="21"/>
              </w:rPr>
              <w:t> </w:t>
            </w:r>
            <w:r>
              <w:rPr>
                <w:rFonts w:ascii="宋体" w:hAnsi="宋体" w:cs="宋体" w:eastAsia="宋体" w:hint="default"/>
                <w:sz w:val="21"/>
                <w:szCs w:val="21"/>
              </w:rPr>
              <w:t>岁以下</w:t>
            </w:r>
          </w:p>
        </w:tc>
        <w:tc>
          <w:tcPr>
            <w:tcW w:w="2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
              <w:jc w:val="center"/>
              <w:rPr>
                <w:rFonts w:ascii="宋体" w:hAnsi="宋体" w:cs="宋体" w:eastAsia="宋体" w:hint="default"/>
                <w:sz w:val="21"/>
                <w:szCs w:val="21"/>
              </w:rPr>
            </w:pPr>
            <w:r>
              <w:rPr>
                <w:rFonts w:ascii="宋体"/>
                <w:sz w:val="21"/>
              </w:rPr>
              <w:t>3289</w:t>
            </w:r>
          </w:p>
        </w:tc>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 w:right="0"/>
              <w:jc w:val="center"/>
              <w:rPr>
                <w:rFonts w:ascii="宋体" w:hAnsi="宋体" w:cs="宋体" w:eastAsia="宋体" w:hint="default"/>
                <w:sz w:val="21"/>
                <w:szCs w:val="21"/>
              </w:rPr>
            </w:pPr>
            <w:r>
              <w:rPr>
                <w:rFonts w:ascii="宋体"/>
                <w:sz w:val="21"/>
              </w:rPr>
              <w:t>95.09%</w:t>
            </w:r>
          </w:p>
        </w:tc>
      </w:tr>
      <w:tr>
        <w:trPr>
          <w:trHeight w:val="500" w:hRule="exact"/>
        </w:trPr>
        <w:tc>
          <w:tcPr>
            <w:tcW w:w="2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1"/>
                <w:sz w:val="21"/>
                <w:szCs w:val="21"/>
              </w:rPr>
              <w:t> </w:t>
            </w:r>
            <w:r>
              <w:rPr>
                <w:rFonts w:ascii="宋体" w:hAnsi="宋体" w:cs="宋体" w:eastAsia="宋体" w:hint="default"/>
                <w:sz w:val="21"/>
                <w:szCs w:val="21"/>
              </w:rPr>
              <w:t>计</w:t>
            </w:r>
          </w:p>
        </w:tc>
        <w:tc>
          <w:tcPr>
            <w:tcW w:w="2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宋体"/>
                <w:sz w:val="21"/>
              </w:rPr>
              <w:t>3459</w:t>
            </w:r>
          </w:p>
        </w:tc>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宋体"/>
                <w:sz w:val="21"/>
              </w:rPr>
              <w:t>100.00%</w:t>
            </w:r>
          </w:p>
        </w:tc>
      </w:tr>
    </w:tbl>
    <w:p>
      <w:pPr>
        <w:spacing w:line="240" w:lineRule="auto" w:before="1"/>
        <w:rPr>
          <w:rFonts w:ascii="宋体" w:hAnsi="宋体" w:cs="宋体" w:eastAsia="宋体" w:hint="default"/>
          <w:b/>
          <w:bCs/>
          <w:sz w:val="14"/>
          <w:szCs w:val="14"/>
        </w:rPr>
      </w:pPr>
    </w:p>
    <w:p>
      <w:pPr>
        <w:spacing w:before="35"/>
        <w:ind w:left="513" w:right="257" w:firstLine="0"/>
        <w:jc w:val="left"/>
        <w:rPr>
          <w:rFonts w:ascii="宋体" w:hAnsi="宋体" w:cs="宋体" w:eastAsia="宋体" w:hint="default"/>
          <w:sz w:val="21"/>
          <w:szCs w:val="21"/>
        </w:rPr>
      </w:pPr>
      <w:r>
        <w:rPr>
          <w:rFonts w:ascii="宋体" w:hAnsi="宋体" w:cs="宋体" w:eastAsia="宋体" w:hint="default"/>
          <w:b/>
          <w:bCs/>
          <w:sz w:val="21"/>
          <w:szCs w:val="21"/>
        </w:rPr>
        <w:t>（四）公司执行北京市社会保险制度，没有需要公司承担费用的离退休职工。</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51" w:footer="982" w:top="1300" w:bottom="1180" w:left="1600" w:right="1580"/>
        </w:sectPr>
      </w:pPr>
    </w:p>
    <w:p>
      <w:pPr>
        <w:spacing w:line="240" w:lineRule="auto" w:before="11"/>
        <w:rPr>
          <w:rFonts w:ascii="宋体" w:hAnsi="宋体" w:cs="宋体" w:eastAsia="宋体" w:hint="default"/>
          <w:b/>
          <w:bCs/>
          <w:sz w:val="2"/>
          <w:szCs w:val="2"/>
        </w:rPr>
      </w:pPr>
    </w:p>
    <w:p>
      <w:pPr>
        <w:spacing w:line="20" w:lineRule="exact"/>
        <w:ind w:left="10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b/>
          <w:bCs/>
          <w:sz w:val="24"/>
          <w:szCs w:val="24"/>
        </w:rPr>
      </w:pPr>
    </w:p>
    <w:p>
      <w:pPr>
        <w:pStyle w:val="Heading1"/>
        <w:tabs>
          <w:tab w:pos="964" w:val="left" w:leader="none"/>
        </w:tabs>
        <w:spacing w:line="240" w:lineRule="auto"/>
        <w:ind w:right="76"/>
        <w:jc w:val="center"/>
        <w:rPr>
          <w:b w:val="0"/>
          <w:bCs w:val="0"/>
        </w:rPr>
      </w:pPr>
      <w:bookmarkStart w:name="_bookmark7" w:id="8"/>
      <w:bookmarkEnd w:id="8"/>
      <w:r>
        <w:rPr>
          <w:b w:val="0"/>
          <w:bCs w:val="0"/>
        </w:rPr>
      </w:r>
      <w:r>
        <w:rPr>
          <w:w w:val="95"/>
        </w:rPr>
        <w:t>第七节</w:t>
        <w:tab/>
      </w:r>
      <w:r>
        <w:rPr/>
        <w:t>公司治理结构</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6"/>
          <w:szCs w:val="26"/>
        </w:rPr>
      </w:pPr>
    </w:p>
    <w:p>
      <w:pPr>
        <w:spacing w:before="35"/>
        <w:ind w:left="137" w:right="100" w:firstLine="0"/>
        <w:jc w:val="left"/>
        <w:rPr>
          <w:rFonts w:ascii="宋体" w:hAnsi="宋体" w:cs="宋体" w:eastAsia="宋体" w:hint="default"/>
          <w:sz w:val="21"/>
          <w:szCs w:val="21"/>
        </w:rPr>
      </w:pPr>
      <w:r>
        <w:rPr>
          <w:rFonts w:ascii="宋体" w:hAnsi="宋体" w:cs="宋体" w:eastAsia="宋体" w:hint="default"/>
          <w:b/>
          <w:bCs/>
          <w:sz w:val="21"/>
          <w:szCs w:val="21"/>
        </w:rPr>
        <w:t>一、公司治理情况</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pStyle w:val="BodyText"/>
        <w:spacing w:line="408" w:lineRule="auto"/>
        <w:ind w:right="102" w:firstLine="420"/>
        <w:jc w:val="left"/>
      </w:pPr>
      <w:r>
        <w:rPr>
          <w:spacing w:val="-3"/>
        </w:rPr>
        <w:t>公司严格按照《公司法》、《证券法》、《上市公司治理准则》、《深圳证券交易所创</w:t>
      </w:r>
      <w:r>
        <w:rPr/>
        <w:t> </w:t>
      </w:r>
      <w:r>
        <w:rPr>
          <w:spacing w:val="-3"/>
        </w:rPr>
        <w:t>业板股票上市规则》、《深圳证券交易所创业板上市公司规范运作指引》等法律、法规和中</w:t>
      </w:r>
      <w:r>
        <w:rPr>
          <w:spacing w:val="-76"/>
        </w:rPr>
        <w:t> </w:t>
      </w:r>
      <w:r>
        <w:rPr>
          <w:spacing w:val="-76"/>
        </w:rPr>
      </w:r>
      <w:r>
        <w:rPr>
          <w:spacing w:val="-3"/>
        </w:rPr>
        <w:t>国证监会有关法律法规等的要求，确立了股东大会、董事会、监事会及经营管理层的分层治</w:t>
      </w:r>
      <w:r>
        <w:rPr>
          <w:spacing w:val="-72"/>
        </w:rPr>
        <w:t> </w:t>
      </w:r>
      <w:r>
        <w:rPr>
          <w:spacing w:val="-72"/>
        </w:rPr>
      </w:r>
      <w:r>
        <w:rPr>
          <w:spacing w:val="-5"/>
        </w:rPr>
        <w:t>理结构，并在公司董事会下设立了战略、审计、提名、薪酬与考核等专门委员会。报告期内，</w:t>
      </w:r>
      <w:r>
        <w:rPr>
          <w:spacing w:val="-95"/>
        </w:rPr>
        <w:t> </w:t>
      </w:r>
      <w:r>
        <w:rPr>
          <w:spacing w:val="-95"/>
        </w:rPr>
      </w:r>
      <w:r>
        <w:rPr>
          <w:spacing w:val="-3"/>
        </w:rPr>
        <w:t>公司不断完善法人治理结构，提高公司治理水平，建立健全各项内部管控制度，规范公司日</w:t>
      </w:r>
      <w:r>
        <w:rPr>
          <w:spacing w:val="-72"/>
        </w:rPr>
        <w:t> </w:t>
      </w:r>
      <w:r>
        <w:rPr>
          <w:spacing w:val="-72"/>
        </w:rPr>
      </w:r>
      <w:r>
        <w:rPr>
          <w:spacing w:val="-3"/>
        </w:rPr>
        <w:t>常经营和整体运作，严格按照相关规定对公司重大事项进行信息披露，确保真实、准确、完</w:t>
      </w:r>
      <w:r>
        <w:rPr>
          <w:spacing w:val="-74"/>
        </w:rPr>
        <w:t> </w:t>
      </w:r>
      <w:r>
        <w:rPr>
          <w:spacing w:val="-74"/>
        </w:rPr>
      </w:r>
      <w:r>
        <w:rPr/>
        <w:t>整、及时、公平披露原则，有效保护广大投资者利益。</w:t>
      </w:r>
    </w:p>
    <w:p>
      <w:pPr>
        <w:spacing w:line="240" w:lineRule="auto" w:before="6"/>
        <w:rPr>
          <w:rFonts w:ascii="宋体" w:hAnsi="宋体" w:cs="宋体" w:eastAsia="宋体" w:hint="default"/>
          <w:sz w:val="15"/>
          <w:szCs w:val="15"/>
        </w:rPr>
      </w:pPr>
    </w:p>
    <w:p>
      <w:pPr>
        <w:pStyle w:val="BodyText"/>
        <w:spacing w:line="408" w:lineRule="auto"/>
        <w:ind w:right="212" w:firstLine="420"/>
        <w:jc w:val="both"/>
      </w:pPr>
      <w:r>
        <w:rPr>
          <w:spacing w:val="-3"/>
        </w:rPr>
        <w:t>截至报告期末，公司实际治理状况符合《上市公司治理准则》和《深圳证券交易所创业</w:t>
      </w:r>
      <w:r>
        <w:rPr/>
        <w:t> </w:t>
      </w:r>
      <w:r>
        <w:rPr>
          <w:spacing w:val="-3"/>
        </w:rPr>
        <w:t>板上市公司规范运作指引》的要求，重大生产经营决策、投资决策及财务决策均按照《公司</w:t>
      </w:r>
      <w:r>
        <w:rPr>
          <w:spacing w:val="-74"/>
        </w:rPr>
        <w:t> </w:t>
      </w:r>
      <w:r>
        <w:rPr>
          <w:spacing w:val="-74"/>
        </w:rPr>
      </w:r>
      <w:r>
        <w:rPr>
          <w:spacing w:val="-3"/>
        </w:rPr>
        <w:t>章程》及有关内控制度的规定执行，相关机构和人员依法运作、尽职尽责，未出现违法、违</w:t>
      </w:r>
      <w:r>
        <w:rPr>
          <w:spacing w:val="-78"/>
        </w:rPr>
        <w:t> </w:t>
      </w:r>
      <w:r>
        <w:rPr>
          <w:spacing w:val="-78"/>
        </w:rPr>
      </w:r>
      <w:r>
        <w:rPr/>
        <w:t>规现象。</w:t>
      </w:r>
    </w:p>
    <w:p>
      <w:pPr>
        <w:spacing w:line="240" w:lineRule="auto" w:before="6"/>
        <w:rPr>
          <w:rFonts w:ascii="宋体" w:hAnsi="宋体" w:cs="宋体" w:eastAsia="宋体" w:hint="default"/>
          <w:sz w:val="15"/>
          <w:szCs w:val="15"/>
        </w:rPr>
      </w:pPr>
    </w:p>
    <w:p>
      <w:pPr>
        <w:pStyle w:val="BodyText"/>
        <w:spacing w:line="240" w:lineRule="auto"/>
        <w:ind w:left="617" w:right="100"/>
        <w:jc w:val="left"/>
      </w:pPr>
      <w:r>
        <w:rPr>
          <w:rFonts w:ascii="Times New Roman" w:hAnsi="Times New Roman" w:cs="Times New Roman" w:eastAsia="Times New Roman" w:hint="default"/>
        </w:rPr>
        <w:t>1</w:t>
      </w:r>
      <w:r>
        <w:rPr/>
        <w:t>、</w:t>
      </w:r>
      <w:r>
        <w:rPr>
          <w:spacing w:val="-61"/>
        </w:rPr>
        <w:t> </w:t>
      </w:r>
      <w:r>
        <w:rPr/>
        <w:t>股东与股东大会</w:t>
      </w:r>
    </w:p>
    <w:p>
      <w:pPr>
        <w:spacing w:line="240" w:lineRule="auto" w:before="6"/>
        <w:rPr>
          <w:rFonts w:ascii="宋体" w:hAnsi="宋体" w:cs="宋体" w:eastAsia="宋体" w:hint="default"/>
          <w:sz w:val="25"/>
          <w:szCs w:val="25"/>
        </w:rPr>
      </w:pPr>
    </w:p>
    <w:p>
      <w:pPr>
        <w:pStyle w:val="BodyText"/>
        <w:spacing w:line="408" w:lineRule="auto"/>
        <w:ind w:right="211" w:firstLine="420"/>
        <w:jc w:val="both"/>
      </w:pPr>
      <w:r>
        <w:rPr>
          <w:spacing w:val="-3"/>
        </w:rPr>
        <w:t>公司严格按照《上市公司股东大会规则》、《公司章程》、《股东大会议事规则》等规</w:t>
      </w:r>
      <w:r>
        <w:rPr/>
        <w:t> </w:t>
      </w:r>
      <w:r>
        <w:rPr>
          <w:spacing w:val="-3"/>
        </w:rPr>
        <w:t>定和要求召集、召开股东大会，对公司的相关事项做出了决策，平等对待所有股东，尽可能</w:t>
      </w:r>
      <w:r>
        <w:rPr>
          <w:spacing w:val="-73"/>
        </w:rPr>
        <w:t> </w:t>
      </w:r>
      <w:r>
        <w:rPr>
          <w:spacing w:val="-73"/>
        </w:rPr>
      </w:r>
      <w:r>
        <w:rPr>
          <w:spacing w:val="-3"/>
        </w:rPr>
        <w:t>为股东参加股东大会提供便利，使其充分行使股东权利。并通过聘请律师出席见证保证了会</w:t>
      </w:r>
      <w:r>
        <w:rPr>
          <w:spacing w:val="-75"/>
        </w:rPr>
        <w:t> </w:t>
      </w:r>
      <w:r>
        <w:rPr>
          <w:spacing w:val="-75"/>
        </w:rPr>
      </w:r>
      <w:r>
        <w:rPr/>
        <w:t>议的召集、召开和表决程序的合法性。</w:t>
      </w:r>
    </w:p>
    <w:p>
      <w:pPr>
        <w:spacing w:line="240" w:lineRule="auto" w:before="6"/>
        <w:rPr>
          <w:rFonts w:ascii="宋体" w:hAnsi="宋体" w:cs="宋体" w:eastAsia="宋体" w:hint="default"/>
          <w:sz w:val="15"/>
          <w:szCs w:val="15"/>
        </w:rPr>
      </w:pPr>
    </w:p>
    <w:p>
      <w:pPr>
        <w:pStyle w:val="BodyText"/>
        <w:spacing w:line="240" w:lineRule="auto"/>
        <w:ind w:left="617" w:right="100"/>
        <w:jc w:val="left"/>
      </w:pPr>
      <w:r>
        <w:rPr>
          <w:rFonts w:ascii="Times New Roman" w:hAnsi="Times New Roman" w:cs="Times New Roman" w:eastAsia="Times New Roman" w:hint="default"/>
        </w:rPr>
        <w:t>2</w:t>
      </w:r>
      <w:r>
        <w:rPr/>
        <w:t>、</w:t>
      </w:r>
      <w:r>
        <w:rPr>
          <w:spacing w:val="-61"/>
        </w:rPr>
        <w:t> </w:t>
      </w:r>
      <w:r>
        <w:rPr/>
        <w:t>控股股东与上市公司</w:t>
      </w:r>
    </w:p>
    <w:p>
      <w:pPr>
        <w:spacing w:line="240" w:lineRule="auto" w:before="6"/>
        <w:rPr>
          <w:rFonts w:ascii="宋体" w:hAnsi="宋体" w:cs="宋体" w:eastAsia="宋体" w:hint="default"/>
          <w:sz w:val="25"/>
          <w:szCs w:val="25"/>
        </w:rPr>
      </w:pPr>
    </w:p>
    <w:p>
      <w:pPr>
        <w:pStyle w:val="BodyText"/>
        <w:spacing w:line="408" w:lineRule="auto"/>
        <w:ind w:right="102" w:firstLine="420"/>
        <w:jc w:val="left"/>
      </w:pPr>
      <w:r>
        <w:rPr>
          <w:spacing w:val="-3"/>
        </w:rPr>
        <w:t>公司严格按照《公司法》、《证券法》、《公司章程》及证券监管部门的有关规定正确</w:t>
      </w:r>
      <w:r>
        <w:rPr/>
        <w:t> </w:t>
      </w:r>
      <w:r>
        <w:rPr>
          <w:spacing w:val="-5"/>
        </w:rPr>
        <w:t>处理与控股股东的关系。公司控股股东严格规范自身行为，依法行使其权利并承担相应义务，</w:t>
      </w:r>
      <w:r>
        <w:rPr>
          <w:spacing w:val="-92"/>
        </w:rPr>
        <w:t> </w:t>
      </w:r>
      <w:r>
        <w:rPr>
          <w:spacing w:val="-92"/>
        </w:rPr>
      </w:r>
      <w:r>
        <w:rPr>
          <w:spacing w:val="-3"/>
        </w:rPr>
        <w:t>没有超越股东大会直接或间接干预本公司的决策和生产经营活动。公司拥有独立完整的业务</w:t>
      </w:r>
      <w:r>
        <w:rPr>
          <w:spacing w:val="-73"/>
        </w:rPr>
        <w:t> </w:t>
      </w:r>
      <w:r>
        <w:rPr>
          <w:spacing w:val="-73"/>
        </w:rPr>
      </w:r>
      <w:r>
        <w:rPr/>
        <w:t>和自主经营能力，董事会、监事会和其他内部机构独立运作。</w:t>
      </w:r>
    </w:p>
    <w:p>
      <w:pPr>
        <w:spacing w:line="240" w:lineRule="auto" w:before="6"/>
        <w:rPr>
          <w:rFonts w:ascii="宋体" w:hAnsi="宋体" w:cs="宋体" w:eastAsia="宋体" w:hint="default"/>
          <w:sz w:val="15"/>
          <w:szCs w:val="15"/>
        </w:rPr>
      </w:pPr>
    </w:p>
    <w:p>
      <w:pPr>
        <w:pStyle w:val="BodyText"/>
        <w:spacing w:line="240" w:lineRule="auto"/>
        <w:ind w:left="617" w:right="100"/>
        <w:jc w:val="left"/>
      </w:pPr>
      <w:r>
        <w:rPr>
          <w:rFonts w:ascii="Times New Roman" w:hAnsi="Times New Roman" w:cs="Times New Roman" w:eastAsia="Times New Roman" w:hint="default"/>
        </w:rPr>
        <w:t>3</w:t>
      </w:r>
      <w:r>
        <w:rPr/>
        <w:t>、</w:t>
      </w:r>
      <w:r>
        <w:rPr>
          <w:spacing w:val="-61"/>
        </w:rPr>
        <w:t> </w:t>
      </w:r>
      <w:r>
        <w:rPr/>
        <w:t>董事和董事会</w:t>
      </w:r>
    </w:p>
    <w:p>
      <w:pPr>
        <w:spacing w:line="240" w:lineRule="auto" w:before="6"/>
        <w:rPr>
          <w:rFonts w:ascii="宋体" w:hAnsi="宋体" w:cs="宋体" w:eastAsia="宋体" w:hint="default"/>
          <w:sz w:val="25"/>
          <w:szCs w:val="25"/>
        </w:rPr>
      </w:pPr>
    </w:p>
    <w:p>
      <w:pPr>
        <w:pStyle w:val="BodyText"/>
        <w:spacing w:line="408" w:lineRule="auto"/>
        <w:ind w:right="100" w:firstLine="420"/>
        <w:jc w:val="left"/>
      </w:pPr>
      <w:r>
        <w:rPr/>
        <w:t>公司董事会设董事11名，其中独立董事4名，董事会的人数及人员构成符合法律、法规 </w:t>
      </w:r>
      <w:r>
        <w:rPr>
          <w:spacing w:val="-3"/>
        </w:rPr>
        <w:t>和《公司章程》的要求。公司董事能够依据《董事会议事规则》、《独立董事制度》、《深</w:t>
      </w:r>
    </w:p>
    <w:p>
      <w:pPr>
        <w:spacing w:after="0" w:line="408" w:lineRule="auto"/>
        <w:jc w:val="left"/>
        <w:sectPr>
          <w:pgSz w:w="11910" w:h="16840"/>
          <w:pgMar w:header="851" w:footer="982" w:top="1300" w:bottom="1180" w:left="1660" w:right="1580"/>
        </w:sectPr>
      </w:pPr>
    </w:p>
    <w:p>
      <w:pPr>
        <w:pStyle w:val="BodyText"/>
        <w:spacing w:line="408" w:lineRule="auto" w:before="114"/>
        <w:ind w:left="297" w:right="202"/>
        <w:jc w:val="left"/>
      </w:pPr>
      <w:r>
        <w:rPr>
          <w:spacing w:val="-3"/>
        </w:rPr>
        <w:t>圳证券交易所创业板上市公司规范运作指引》等开展工作，出席董事会和股东大会，勤勉尽</w:t>
      </w:r>
      <w:r>
        <w:rPr>
          <w:spacing w:val="-72"/>
        </w:rPr>
        <w:t> </w:t>
      </w:r>
      <w:r>
        <w:rPr>
          <w:spacing w:val="-72"/>
        </w:rPr>
      </w:r>
      <w:r>
        <w:rPr/>
        <w:t>责地履行职责和义务，同时积极参加相关培训，熟悉相关法律法规。</w:t>
      </w:r>
    </w:p>
    <w:p>
      <w:pPr>
        <w:spacing w:line="240" w:lineRule="auto" w:before="6"/>
        <w:rPr>
          <w:rFonts w:ascii="宋体" w:hAnsi="宋体" w:cs="宋体" w:eastAsia="宋体" w:hint="default"/>
          <w:sz w:val="15"/>
          <w:szCs w:val="15"/>
        </w:rPr>
      </w:pPr>
    </w:p>
    <w:p>
      <w:pPr>
        <w:pStyle w:val="BodyText"/>
        <w:spacing w:line="240" w:lineRule="auto"/>
        <w:ind w:left="777" w:right="202"/>
        <w:jc w:val="left"/>
      </w:pPr>
      <w:r>
        <w:rPr>
          <w:rFonts w:ascii="Times New Roman" w:hAnsi="Times New Roman" w:cs="Times New Roman" w:eastAsia="Times New Roman" w:hint="default"/>
        </w:rPr>
        <w:t>4</w:t>
      </w:r>
      <w:r>
        <w:rPr/>
        <w:t>、</w:t>
      </w:r>
      <w:r>
        <w:rPr>
          <w:spacing w:val="-61"/>
        </w:rPr>
        <w:t> </w:t>
      </w:r>
      <w:r>
        <w:rPr/>
        <w:t>监事和监事会</w:t>
      </w:r>
    </w:p>
    <w:p>
      <w:pPr>
        <w:spacing w:line="240" w:lineRule="auto" w:before="6"/>
        <w:rPr>
          <w:rFonts w:ascii="宋体" w:hAnsi="宋体" w:cs="宋体" w:eastAsia="宋体" w:hint="default"/>
          <w:sz w:val="25"/>
          <w:szCs w:val="25"/>
        </w:rPr>
      </w:pPr>
    </w:p>
    <w:p>
      <w:pPr>
        <w:pStyle w:val="BodyText"/>
        <w:spacing w:line="408" w:lineRule="auto"/>
        <w:ind w:left="297" w:right="202" w:firstLine="420"/>
        <w:jc w:val="left"/>
      </w:pPr>
      <w:r>
        <w:rPr/>
        <w:t>公司监事会设监事3名，其中职工监事1</w:t>
      </w:r>
      <w:r>
        <w:rPr>
          <w:spacing w:val="6"/>
        </w:rPr>
        <w:t> </w:t>
      </w:r>
      <w:r>
        <w:rPr/>
        <w:t>名，监事会的人数和构成符合法律、法规的要</w:t>
      </w:r>
      <w:r>
        <w:rPr/>
        <w:t> </w:t>
      </w:r>
      <w:r>
        <w:rPr>
          <w:spacing w:val="-5"/>
        </w:rPr>
        <w:t>求。公司监事能够按照《监事会议事规则》的要求，认真履行自己的职责，对公司重大事项、</w:t>
      </w:r>
      <w:r>
        <w:rPr>
          <w:spacing w:val="-95"/>
        </w:rPr>
        <w:t> </w:t>
      </w:r>
      <w:r>
        <w:rPr>
          <w:spacing w:val="-95"/>
        </w:rPr>
      </w:r>
      <w:r>
        <w:rPr/>
        <w:t>关联交易、财务状况以及董事、高管人员履行职责的合法合规性进行监督。</w:t>
      </w:r>
    </w:p>
    <w:p>
      <w:pPr>
        <w:spacing w:line="240" w:lineRule="auto" w:before="6"/>
        <w:rPr>
          <w:rFonts w:ascii="宋体" w:hAnsi="宋体" w:cs="宋体" w:eastAsia="宋体" w:hint="default"/>
          <w:sz w:val="15"/>
          <w:szCs w:val="15"/>
        </w:rPr>
      </w:pPr>
    </w:p>
    <w:p>
      <w:pPr>
        <w:pStyle w:val="BodyText"/>
        <w:spacing w:line="240" w:lineRule="auto"/>
        <w:ind w:left="777" w:right="202"/>
        <w:jc w:val="left"/>
      </w:pPr>
      <w:r>
        <w:rPr>
          <w:rFonts w:ascii="Times New Roman" w:hAnsi="Times New Roman" w:cs="Times New Roman" w:eastAsia="Times New Roman" w:hint="default"/>
        </w:rPr>
        <w:t>5</w:t>
      </w:r>
      <w:r>
        <w:rPr/>
        <w:t>、</w:t>
      </w:r>
      <w:r>
        <w:rPr>
          <w:spacing w:val="-61"/>
        </w:rPr>
        <w:t> </w:t>
      </w:r>
      <w:r>
        <w:rPr/>
        <w:t>绩效评价与激励约束机制</w:t>
      </w:r>
    </w:p>
    <w:p>
      <w:pPr>
        <w:spacing w:line="240" w:lineRule="auto" w:before="6"/>
        <w:rPr>
          <w:rFonts w:ascii="宋体" w:hAnsi="宋体" w:cs="宋体" w:eastAsia="宋体" w:hint="default"/>
          <w:sz w:val="25"/>
          <w:szCs w:val="25"/>
        </w:rPr>
      </w:pPr>
    </w:p>
    <w:p>
      <w:pPr>
        <w:pStyle w:val="BodyText"/>
        <w:spacing w:line="408" w:lineRule="auto"/>
        <w:ind w:left="297" w:right="311" w:firstLine="420"/>
        <w:jc w:val="both"/>
      </w:pPr>
      <w:r>
        <w:rPr>
          <w:spacing w:val="-3"/>
        </w:rPr>
        <w:t>公司已建立企业绩效评价激励体系，并在报告期内不断完善。董事、监事和高级管理人</w:t>
      </w:r>
      <w:r>
        <w:rPr/>
        <w:t> </w:t>
      </w:r>
      <w:r>
        <w:rPr>
          <w:spacing w:val="-3"/>
        </w:rPr>
        <w:t>员的绩效评价标准和激励约束机制公开、透明，符合法律、法规的规定。2010年8月4日，经</w:t>
      </w:r>
      <w:r>
        <w:rPr>
          <w:spacing w:val="-67"/>
        </w:rPr>
        <w:t> </w:t>
      </w:r>
      <w:r>
        <w:rPr>
          <w:spacing w:val="-67"/>
        </w:rPr>
      </w:r>
      <w:r>
        <w:rPr>
          <w:spacing w:val="-3"/>
        </w:rPr>
        <w:t>公司第四届董事会第三次会议审议通过《公司股票期权激励计划（草案）》，目前相关材料</w:t>
      </w:r>
      <w:r>
        <w:rPr>
          <w:spacing w:val="-76"/>
        </w:rPr>
        <w:t> </w:t>
      </w:r>
      <w:r>
        <w:rPr>
          <w:spacing w:val="-76"/>
        </w:rPr>
      </w:r>
      <w:r>
        <w:rPr/>
        <w:t>已报送中国证券监督管理委员会备案，截至报告期末，激励计划仍在审核之中。</w:t>
      </w:r>
    </w:p>
    <w:p>
      <w:pPr>
        <w:spacing w:line="240" w:lineRule="auto" w:before="6"/>
        <w:rPr>
          <w:rFonts w:ascii="宋体" w:hAnsi="宋体" w:cs="宋体" w:eastAsia="宋体" w:hint="default"/>
          <w:sz w:val="15"/>
          <w:szCs w:val="15"/>
        </w:rPr>
      </w:pPr>
    </w:p>
    <w:p>
      <w:pPr>
        <w:pStyle w:val="BodyText"/>
        <w:spacing w:line="240" w:lineRule="auto"/>
        <w:ind w:left="777" w:right="202"/>
        <w:jc w:val="left"/>
      </w:pPr>
      <w:r>
        <w:rPr>
          <w:rFonts w:ascii="Times New Roman" w:hAnsi="Times New Roman" w:cs="Times New Roman" w:eastAsia="Times New Roman" w:hint="default"/>
        </w:rPr>
        <w:t>6</w:t>
      </w:r>
      <w:r>
        <w:rPr/>
        <w:t>、</w:t>
      </w:r>
      <w:r>
        <w:rPr>
          <w:spacing w:val="-61"/>
        </w:rPr>
        <w:t> </w:t>
      </w:r>
      <w:r>
        <w:rPr/>
        <w:t>关于信息披露与透明度</w:t>
      </w:r>
    </w:p>
    <w:p>
      <w:pPr>
        <w:spacing w:line="240" w:lineRule="auto" w:before="6"/>
        <w:rPr>
          <w:rFonts w:ascii="宋体" w:hAnsi="宋体" w:cs="宋体" w:eastAsia="宋体" w:hint="default"/>
          <w:sz w:val="25"/>
          <w:szCs w:val="25"/>
        </w:rPr>
      </w:pPr>
    </w:p>
    <w:p>
      <w:pPr>
        <w:pStyle w:val="BodyText"/>
        <w:spacing w:line="408" w:lineRule="auto"/>
        <w:ind w:left="297" w:right="192" w:firstLine="420"/>
        <w:jc w:val="left"/>
      </w:pPr>
      <w:r>
        <w:rPr>
          <w:spacing w:val="-5"/>
        </w:rPr>
        <w:t>公司严格按照有关法律法规以及《信息披露制度》、《投资者关系管理制度》等的要求，</w:t>
      </w:r>
      <w:r>
        <w:rPr/>
        <w:t> </w:t>
      </w:r>
      <w:r>
        <w:rPr>
          <w:spacing w:val="-5"/>
        </w:rPr>
        <w:t>真实、准确、完整、及时、公平地披露有关信息；并指定公司董事会秘书负责信息披露工作，</w:t>
      </w:r>
      <w:r>
        <w:rPr>
          <w:spacing w:val="-95"/>
        </w:rPr>
        <w:t> </w:t>
      </w:r>
      <w:r>
        <w:rPr>
          <w:spacing w:val="-95"/>
        </w:rPr>
      </w:r>
      <w:r>
        <w:rPr>
          <w:spacing w:val="-3"/>
        </w:rPr>
        <w:t>协调公司与投资者的关系,接待股东来访,回答投资者咨询；并指定《中国证券报》、《证券</w:t>
      </w:r>
      <w:r>
        <w:rPr>
          <w:spacing w:val="-74"/>
        </w:rPr>
        <w:t> </w:t>
      </w:r>
      <w:hyperlink r:id="rId9">
        <w:r>
          <w:rPr>
            <w:spacing w:val="-74"/>
          </w:rPr>
        </w:r>
        <w:r>
          <w:rPr/>
          <w:t>时报》和巨潮网（www.c</w:t>
        </w:r>
      </w:hyperlink>
      <w:r>
        <w:rPr/>
        <w:t>ninfo.co</w:t>
      </w:r>
      <w:hyperlink r:id="rId9">
        <w:r>
          <w:rPr/>
          <w:t>m.cn</w:t>
        </w:r>
      </w:hyperlink>
      <w:r>
        <w:rPr/>
        <w:t>）为公司信息披露的指定报纸和网站，确保公司所有</w:t>
      </w:r>
      <w:r>
        <w:rPr/>
        <w:t> 股东能够以平等的机会获得信息。</w:t>
      </w:r>
    </w:p>
    <w:p>
      <w:pPr>
        <w:spacing w:line="240" w:lineRule="auto" w:before="6"/>
        <w:rPr>
          <w:rFonts w:ascii="宋体" w:hAnsi="宋体" w:cs="宋体" w:eastAsia="宋体" w:hint="default"/>
          <w:sz w:val="15"/>
          <w:szCs w:val="15"/>
        </w:rPr>
      </w:pPr>
    </w:p>
    <w:p>
      <w:pPr>
        <w:pStyle w:val="BodyText"/>
        <w:spacing w:line="240" w:lineRule="auto"/>
        <w:ind w:left="777" w:right="202"/>
        <w:jc w:val="left"/>
      </w:pPr>
      <w:r>
        <w:rPr>
          <w:rFonts w:ascii="Times New Roman" w:hAnsi="Times New Roman" w:cs="Times New Roman" w:eastAsia="Times New Roman" w:hint="default"/>
        </w:rPr>
        <w:t>7</w:t>
      </w:r>
      <w:r>
        <w:rPr/>
        <w:t>、</w:t>
      </w:r>
      <w:r>
        <w:rPr>
          <w:spacing w:val="-61"/>
        </w:rPr>
        <w:t> </w:t>
      </w:r>
      <w:r>
        <w:rPr/>
        <w:t>关于相关利益者</w:t>
      </w:r>
    </w:p>
    <w:p>
      <w:pPr>
        <w:spacing w:line="240" w:lineRule="auto" w:before="6"/>
        <w:rPr>
          <w:rFonts w:ascii="宋体" w:hAnsi="宋体" w:cs="宋体" w:eastAsia="宋体" w:hint="default"/>
          <w:sz w:val="25"/>
          <w:szCs w:val="25"/>
        </w:rPr>
      </w:pPr>
    </w:p>
    <w:p>
      <w:pPr>
        <w:pStyle w:val="BodyText"/>
        <w:spacing w:line="408" w:lineRule="auto"/>
        <w:ind w:left="297" w:right="311" w:firstLine="420"/>
        <w:jc w:val="both"/>
      </w:pPr>
      <w:r>
        <w:rPr>
          <w:spacing w:val="-3"/>
        </w:rPr>
        <w:t>公司充分尊重和维护相关利益者的合法权益，实现社会、股东、公司、员工等各方面利</w:t>
      </w:r>
      <w:r>
        <w:rPr/>
        <w:t> </w:t>
      </w:r>
      <w:r>
        <w:rPr>
          <w:spacing w:val="-3"/>
        </w:rPr>
        <w:t>益的协调平衡，诚信对待供应商和客户，坚持与相关利益者互利共赢的原则，共同推动公司</w:t>
      </w:r>
      <w:r>
        <w:rPr>
          <w:spacing w:val="-72"/>
        </w:rPr>
        <w:t> </w:t>
      </w:r>
      <w:r>
        <w:rPr>
          <w:spacing w:val="-72"/>
        </w:rPr>
      </w:r>
      <w:r>
        <w:rPr/>
        <w:t>持续、稳健发展。</w:t>
      </w:r>
    </w:p>
    <w:p>
      <w:pPr>
        <w:spacing w:line="240" w:lineRule="auto" w:before="6"/>
        <w:rPr>
          <w:rFonts w:ascii="宋体" w:hAnsi="宋体" w:cs="宋体" w:eastAsia="宋体" w:hint="default"/>
          <w:sz w:val="15"/>
          <w:szCs w:val="15"/>
        </w:rPr>
      </w:pPr>
    </w:p>
    <w:p>
      <w:pPr>
        <w:pStyle w:val="Heading2"/>
        <w:spacing w:line="240" w:lineRule="auto"/>
        <w:ind w:left="297" w:right="202"/>
        <w:jc w:val="left"/>
        <w:rPr>
          <w:b w:val="0"/>
          <w:bCs w:val="0"/>
        </w:rPr>
      </w:pPr>
      <w:r>
        <w:rPr/>
        <w:t>二、报告期内股东大会、董事会运行情况</w:t>
      </w:r>
      <w:r>
        <w:rPr>
          <w:b w:val="0"/>
          <w:bCs w:val="0"/>
        </w:rPr>
      </w:r>
    </w:p>
    <w:p>
      <w:pPr>
        <w:spacing w:line="620" w:lineRule="atLeast" w:before="4"/>
        <w:ind w:left="779" w:right="202" w:hanging="167"/>
        <w:jc w:val="left"/>
        <w:rPr>
          <w:rFonts w:ascii="宋体" w:hAnsi="宋体" w:cs="宋体" w:eastAsia="宋体" w:hint="default"/>
          <w:sz w:val="21"/>
          <w:szCs w:val="21"/>
        </w:rPr>
      </w:pPr>
      <w:r>
        <w:rPr>
          <w:rFonts w:ascii="宋体" w:hAnsi="宋体" w:cs="宋体" w:eastAsia="宋体" w:hint="default"/>
          <w:b/>
          <w:bCs/>
          <w:sz w:val="21"/>
          <w:szCs w:val="21"/>
        </w:rPr>
        <w:t>（一）股东大会运行情况</w:t>
      </w:r>
      <w:r>
        <w:rPr>
          <w:rFonts w:ascii="宋体" w:hAnsi="宋体" w:cs="宋体" w:eastAsia="宋体" w:hint="default"/>
          <w:b/>
          <w:bCs/>
          <w:w w:val="99"/>
          <w:sz w:val="21"/>
          <w:szCs w:val="21"/>
        </w:rPr>
        <w:t> </w:t>
      </w:r>
      <w:r>
        <w:rPr>
          <w:rFonts w:ascii="宋体" w:hAnsi="宋体" w:cs="宋体" w:eastAsia="宋体" w:hint="default"/>
          <w:spacing w:val="-7"/>
          <w:sz w:val="21"/>
          <w:szCs w:val="21"/>
        </w:rPr>
        <w:t>报告期内，公司共召开了两次股东大会。会议的召集、召开与表决程序符合《公司法》、</w:t>
      </w:r>
    </w:p>
    <w:p>
      <w:pPr>
        <w:spacing w:line="240" w:lineRule="auto" w:before="10"/>
        <w:rPr>
          <w:rFonts w:ascii="宋体" w:hAnsi="宋体" w:cs="宋体" w:eastAsia="宋体" w:hint="default"/>
          <w:sz w:val="14"/>
          <w:szCs w:val="14"/>
        </w:rPr>
      </w:pPr>
    </w:p>
    <w:p>
      <w:pPr>
        <w:pStyle w:val="BodyText"/>
        <w:spacing w:line="240" w:lineRule="auto"/>
        <w:ind w:left="297" w:right="202"/>
        <w:jc w:val="left"/>
      </w:pPr>
      <w:r>
        <w:rPr/>
        <w:t>《公司章程》等法律、法规及规范性文件的规定。股东大会召开情况如下：</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3"/>
          <w:szCs w:val="13"/>
        </w:rPr>
      </w:pPr>
    </w:p>
    <w:tbl>
      <w:tblPr>
        <w:tblW w:w="0" w:type="auto"/>
        <w:jc w:val="left"/>
        <w:tblInd w:w="104" w:type="dxa"/>
        <w:tblLayout w:type="fixed"/>
        <w:tblCellMar>
          <w:top w:w="0" w:type="dxa"/>
          <w:left w:w="0" w:type="dxa"/>
          <w:bottom w:w="0" w:type="dxa"/>
          <w:right w:w="0" w:type="dxa"/>
        </w:tblCellMar>
        <w:tblLook w:val="01E0"/>
      </w:tblPr>
      <w:tblGrid>
        <w:gridCol w:w="1702"/>
        <w:gridCol w:w="3380"/>
        <w:gridCol w:w="3606"/>
      </w:tblGrid>
      <w:tr>
        <w:trPr>
          <w:trHeight w:val="468" w:hRule="exact"/>
        </w:trPr>
        <w:tc>
          <w:tcPr>
            <w:tcW w:w="170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8"/>
              <w:ind w:right="0"/>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338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8"/>
              <w:ind w:left="1" w:right="0"/>
              <w:jc w:val="center"/>
              <w:rPr>
                <w:rFonts w:ascii="宋体" w:hAnsi="宋体" w:cs="宋体" w:eastAsia="宋体" w:hint="default"/>
                <w:sz w:val="21"/>
                <w:szCs w:val="21"/>
              </w:rPr>
            </w:pPr>
            <w:r>
              <w:rPr>
                <w:rFonts w:ascii="宋体" w:hAnsi="宋体" w:cs="宋体" w:eastAsia="宋体" w:hint="default"/>
                <w:b/>
                <w:bCs/>
                <w:sz w:val="21"/>
                <w:szCs w:val="21"/>
              </w:rPr>
              <w:t>会议届次</w:t>
            </w:r>
            <w:r>
              <w:rPr>
                <w:rFonts w:ascii="宋体" w:hAnsi="宋体" w:cs="宋体" w:eastAsia="宋体" w:hint="default"/>
                <w:sz w:val="21"/>
                <w:szCs w:val="21"/>
              </w:rPr>
            </w:r>
          </w:p>
        </w:tc>
        <w:tc>
          <w:tcPr>
            <w:tcW w:w="360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8"/>
              <w:ind w:right="1"/>
              <w:jc w:val="center"/>
              <w:rPr>
                <w:rFonts w:ascii="宋体" w:hAnsi="宋体" w:cs="宋体" w:eastAsia="宋体" w:hint="default"/>
                <w:sz w:val="21"/>
                <w:szCs w:val="21"/>
              </w:rPr>
            </w:pPr>
            <w:r>
              <w:rPr>
                <w:rFonts w:ascii="宋体" w:hAnsi="宋体" w:cs="宋体" w:eastAsia="宋体" w:hint="default"/>
                <w:b/>
                <w:bCs/>
                <w:sz w:val="21"/>
                <w:szCs w:val="21"/>
              </w:rPr>
              <w:t>召开时间</w:t>
            </w:r>
            <w:r>
              <w:rPr>
                <w:rFonts w:ascii="宋体" w:hAnsi="宋体" w:cs="宋体" w:eastAsia="宋体" w:hint="default"/>
                <w:sz w:val="21"/>
                <w:szCs w:val="21"/>
              </w:rPr>
            </w:r>
          </w:p>
        </w:tc>
      </w:tr>
    </w:tbl>
    <w:p>
      <w:pPr>
        <w:spacing w:after="0" w:line="240" w:lineRule="auto"/>
        <w:jc w:val="center"/>
        <w:rPr>
          <w:rFonts w:ascii="宋体" w:hAnsi="宋体" w:cs="宋体" w:eastAsia="宋体" w:hint="default"/>
          <w:sz w:val="21"/>
          <w:szCs w:val="21"/>
        </w:rPr>
        <w:sectPr>
          <w:pgSz w:w="11910" w:h="16840"/>
          <w:pgMar w:header="851" w:footer="982" w:top="1300" w:bottom="1180" w:left="1500" w:right="1480"/>
        </w:sectPr>
      </w:pPr>
    </w:p>
    <w:p>
      <w:pPr>
        <w:spacing w:line="240" w:lineRule="auto" w:before="11"/>
        <w:rPr>
          <w:rFonts w:ascii="宋体" w:hAnsi="宋体" w:cs="宋体" w:eastAsia="宋体" w:hint="default"/>
          <w:sz w:val="2"/>
          <w:szCs w:val="2"/>
        </w:rPr>
      </w:pPr>
    </w:p>
    <w:tbl>
      <w:tblPr>
        <w:tblW w:w="0" w:type="auto"/>
        <w:jc w:val="left"/>
        <w:tblInd w:w="104" w:type="dxa"/>
        <w:tblLayout w:type="fixed"/>
        <w:tblCellMar>
          <w:top w:w="0" w:type="dxa"/>
          <w:left w:w="0" w:type="dxa"/>
          <w:bottom w:w="0" w:type="dxa"/>
          <w:right w:w="0" w:type="dxa"/>
        </w:tblCellMar>
        <w:tblLook w:val="01E0"/>
      </w:tblPr>
      <w:tblGrid>
        <w:gridCol w:w="1702"/>
        <w:gridCol w:w="3380"/>
        <w:gridCol w:w="3606"/>
      </w:tblGrid>
      <w:tr>
        <w:trPr>
          <w:trHeight w:val="502" w:hRule="exact"/>
        </w:trPr>
        <w:tc>
          <w:tcPr>
            <w:tcW w:w="170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71"/>
              <w:ind w:right="0"/>
              <w:jc w:val="center"/>
              <w:rPr>
                <w:rFonts w:ascii="宋体" w:hAnsi="宋体" w:cs="宋体" w:eastAsia="宋体" w:hint="default"/>
                <w:sz w:val="21"/>
                <w:szCs w:val="21"/>
              </w:rPr>
            </w:pPr>
            <w:r>
              <w:rPr>
                <w:rFonts w:ascii="宋体"/>
                <w:sz w:val="21"/>
              </w:rPr>
              <w:t>1</w:t>
            </w:r>
          </w:p>
        </w:tc>
        <w:tc>
          <w:tcPr>
            <w:tcW w:w="338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71"/>
              <w:ind w:left="1"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年度股东大会</w:t>
            </w:r>
          </w:p>
        </w:tc>
        <w:tc>
          <w:tcPr>
            <w:tcW w:w="360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71"/>
              <w:ind w:left="1036"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49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0"/>
              <w:jc w:val="center"/>
              <w:rPr>
                <w:rFonts w:ascii="宋体" w:hAnsi="宋体" w:cs="宋体" w:eastAsia="宋体" w:hint="default"/>
                <w:sz w:val="21"/>
                <w:szCs w:val="21"/>
              </w:rPr>
            </w:pPr>
            <w:r>
              <w:rPr>
                <w:rFonts w:ascii="宋体"/>
                <w:sz w:val="21"/>
              </w:rPr>
              <w:t>2</w:t>
            </w:r>
          </w:p>
        </w:tc>
        <w:tc>
          <w:tcPr>
            <w:tcW w:w="3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年第一次临时股东大会</w:t>
            </w:r>
          </w:p>
        </w:tc>
        <w:tc>
          <w:tcPr>
            <w:tcW w:w="3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98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30</w:t>
            </w:r>
            <w:r>
              <w:rPr>
                <w:rFonts w:ascii="宋体" w:hAnsi="宋体" w:cs="宋体" w:eastAsia="宋体" w:hint="default"/>
                <w:spacing w:val="-53"/>
                <w:sz w:val="21"/>
                <w:szCs w:val="21"/>
              </w:rPr>
              <w:t> </w:t>
            </w:r>
            <w:r>
              <w:rPr>
                <w:rFonts w:ascii="宋体" w:hAnsi="宋体" w:cs="宋体" w:eastAsia="宋体" w:hint="default"/>
                <w:sz w:val="21"/>
                <w:szCs w:val="21"/>
              </w:rPr>
              <w:t>日</w:t>
            </w:r>
          </w:p>
        </w:tc>
      </w:tr>
    </w:tbl>
    <w:p>
      <w:pPr>
        <w:spacing w:line="240" w:lineRule="auto" w:before="1"/>
        <w:rPr>
          <w:rFonts w:ascii="宋体" w:hAnsi="宋体" w:cs="宋体" w:eastAsia="宋体" w:hint="default"/>
          <w:sz w:val="14"/>
          <w:szCs w:val="14"/>
        </w:rPr>
      </w:pPr>
    </w:p>
    <w:p>
      <w:pPr>
        <w:pStyle w:val="Heading2"/>
        <w:spacing w:line="240" w:lineRule="auto" w:before="35"/>
        <w:ind w:left="720" w:right="202"/>
        <w:jc w:val="left"/>
        <w:rPr>
          <w:b w:val="0"/>
          <w:bCs w:val="0"/>
        </w:rPr>
      </w:pPr>
      <w:r>
        <w:rPr/>
        <w:t>1、2009年度股东大会</w:t>
      </w:r>
      <w:r>
        <w:rPr>
          <w:b w:val="0"/>
          <w:bCs w:val="0"/>
        </w:rPr>
      </w:r>
    </w:p>
    <w:p>
      <w:pPr>
        <w:spacing w:line="240" w:lineRule="auto" w:before="9"/>
        <w:rPr>
          <w:rFonts w:ascii="宋体" w:hAnsi="宋体" w:cs="宋体" w:eastAsia="宋体" w:hint="default"/>
          <w:b/>
          <w:bCs/>
          <w:sz w:val="26"/>
          <w:szCs w:val="26"/>
        </w:rPr>
      </w:pPr>
    </w:p>
    <w:p>
      <w:pPr>
        <w:pStyle w:val="BodyText"/>
        <w:spacing w:line="408" w:lineRule="auto"/>
        <w:ind w:left="297" w:right="224" w:firstLine="420"/>
        <w:jc w:val="both"/>
      </w:pPr>
      <w:r>
        <w:rPr>
          <w:spacing w:val="-3"/>
        </w:rPr>
        <w:t>2010年4月8日，公司2009年度股东大会在北京市海淀区西三环北路厂洼十九号皇苑大酒</w:t>
      </w:r>
      <w:r>
        <w:rPr/>
        <w:t> </w:t>
      </w:r>
      <w:r>
        <w:rPr>
          <w:spacing w:val="2"/>
        </w:rPr>
        <w:t>店以现场方式召开。出席股东大会的股东或股东授权代表共32人，代表公司有表决权股份</w:t>
      </w:r>
      <w:r>
        <w:rPr>
          <w:spacing w:val="-84"/>
        </w:rPr>
        <w:t> </w:t>
      </w:r>
      <w:r>
        <w:rPr>
          <w:spacing w:val="-84"/>
        </w:rPr>
      </w:r>
      <w:r>
        <w:rPr>
          <w:spacing w:val="-10"/>
        </w:rPr>
        <w:t>70,390,362股，占公司总股本的55.69%。会议审议通过了《2009年度董事会工作报告》、《2009</w:t>
      </w:r>
      <w:r>
        <w:rPr>
          <w:spacing w:val="-85"/>
        </w:rPr>
        <w:t> </w:t>
      </w:r>
      <w:r>
        <w:rPr>
          <w:spacing w:val="-85"/>
        </w:rPr>
      </w:r>
      <w:r>
        <w:rPr>
          <w:spacing w:val="-7"/>
        </w:rPr>
        <w:t>年度监事会工作报告》、《2009年度报告》及摘要、《公司2009年度财务决算报告》、《2009</w:t>
      </w:r>
      <w:r>
        <w:rPr>
          <w:spacing w:val="-82"/>
        </w:rPr>
        <w:t> </w:t>
      </w:r>
      <w:r>
        <w:rPr>
          <w:spacing w:val="-82"/>
        </w:rPr>
      </w:r>
      <w:r>
        <w:rPr/>
        <w:t>年度利润分配及资本公积金转增股本的议案》、《关于超募资金使用计划及实施的议案》、</w:t>
      </w:r>
    </w:p>
    <w:p>
      <w:pPr>
        <w:spacing w:line="544" w:lineRule="auto" w:before="46"/>
        <w:ind w:left="720" w:right="3357" w:hanging="423"/>
        <w:jc w:val="left"/>
        <w:rPr>
          <w:rFonts w:ascii="宋体" w:hAnsi="宋体" w:cs="宋体" w:eastAsia="宋体" w:hint="default"/>
          <w:sz w:val="21"/>
          <w:szCs w:val="21"/>
        </w:rPr>
      </w:pPr>
      <w:r>
        <w:rPr>
          <w:rFonts w:ascii="宋体" w:hAnsi="宋体" w:cs="宋体" w:eastAsia="宋体" w:hint="default"/>
          <w:sz w:val="21"/>
          <w:szCs w:val="21"/>
        </w:rPr>
        <w:t>《关于聘请公司2010年度审计机构的议案》等七项议案。 </w:t>
      </w:r>
      <w:r>
        <w:rPr>
          <w:rFonts w:ascii="宋体" w:hAnsi="宋体" w:cs="宋体" w:eastAsia="宋体" w:hint="default"/>
          <w:b/>
          <w:bCs/>
          <w:sz w:val="21"/>
          <w:szCs w:val="21"/>
        </w:rPr>
        <w:t>2、2010年第一次临时股东大会</w:t>
      </w:r>
      <w:r>
        <w:rPr>
          <w:rFonts w:ascii="宋体" w:hAnsi="宋体" w:cs="宋体" w:eastAsia="宋体" w:hint="default"/>
          <w:sz w:val="21"/>
          <w:szCs w:val="21"/>
        </w:rPr>
      </w:r>
    </w:p>
    <w:p>
      <w:pPr>
        <w:pStyle w:val="BodyText"/>
        <w:spacing w:line="408" w:lineRule="auto" w:before="82"/>
        <w:ind w:left="297" w:right="311" w:firstLine="420"/>
        <w:jc w:val="both"/>
      </w:pPr>
      <w:r>
        <w:rPr/>
        <w:t>2010年6月30日，公司2010年第一次临时股东大会在北京市海淀区西三环北路厂洼十九 </w:t>
      </w:r>
      <w:r>
        <w:rPr>
          <w:spacing w:val="-3"/>
        </w:rPr>
        <w:t>号皇苑大酒店以现场方式召开。出席股东大会的股东或股东授权代表共12名，代表公司有表</w:t>
      </w:r>
      <w:r>
        <w:rPr>
          <w:spacing w:val="-72"/>
        </w:rPr>
        <w:t> </w:t>
      </w:r>
      <w:r>
        <w:rPr>
          <w:spacing w:val="-72"/>
        </w:rPr>
      </w:r>
      <w:r>
        <w:rPr>
          <w:spacing w:val="-2"/>
        </w:rPr>
        <w:t>决权股份179，984，585股，占公司总股本的56.96%。会议以累积投票制通过了《关于修改&lt;</w:t>
      </w:r>
      <w:r>
        <w:rPr>
          <w:spacing w:val="-101"/>
        </w:rPr>
        <w:t> </w:t>
      </w:r>
      <w:r>
        <w:rPr>
          <w:spacing w:val="-101"/>
        </w:rPr>
      </w:r>
      <w:r>
        <w:rPr/>
        <w:t>公司章程&gt;的议案》、《累积投票制实施细则》、《关于公司董事会换届选举暨第四届董事</w:t>
      </w:r>
      <w:r>
        <w:rPr>
          <w:spacing w:val="-92"/>
        </w:rPr>
        <w:t> </w:t>
      </w:r>
      <w:r>
        <w:rPr>
          <w:spacing w:val="-92"/>
        </w:rPr>
      </w:r>
      <w:r>
        <w:rPr>
          <w:spacing w:val="-3"/>
        </w:rPr>
        <w:t>会董事候选人提名的议案》、《关于公司监事会换届选举暨第四届监事会监事候选人提名的</w:t>
      </w:r>
      <w:r>
        <w:rPr>
          <w:spacing w:val="-74"/>
        </w:rPr>
        <w:t> </w:t>
      </w:r>
      <w:r>
        <w:rPr>
          <w:spacing w:val="-74"/>
        </w:rPr>
      </w:r>
      <w:r>
        <w:rPr/>
        <w:t>议案》等四项议案。</w:t>
      </w:r>
    </w:p>
    <w:p>
      <w:pPr>
        <w:spacing w:line="240" w:lineRule="auto" w:before="6"/>
        <w:rPr>
          <w:rFonts w:ascii="宋体" w:hAnsi="宋体" w:cs="宋体" w:eastAsia="宋体" w:hint="default"/>
          <w:sz w:val="15"/>
          <w:szCs w:val="15"/>
        </w:rPr>
      </w:pPr>
    </w:p>
    <w:p>
      <w:pPr>
        <w:pStyle w:val="Heading2"/>
        <w:spacing w:line="240" w:lineRule="auto"/>
        <w:ind w:left="594" w:right="6182"/>
        <w:jc w:val="center"/>
        <w:rPr>
          <w:b w:val="0"/>
          <w:bCs w:val="0"/>
        </w:rPr>
      </w:pPr>
      <w:r>
        <w:rPr/>
        <w:t>（二）董事会运行情况</w:t>
      </w:r>
      <w:r>
        <w:rPr>
          <w:b w:val="0"/>
          <w:bCs w:val="0"/>
        </w:rPr>
      </w:r>
    </w:p>
    <w:p>
      <w:pPr>
        <w:spacing w:line="240" w:lineRule="auto" w:before="7"/>
        <w:rPr>
          <w:rFonts w:ascii="宋体" w:hAnsi="宋体" w:cs="宋体" w:eastAsia="宋体" w:hint="default"/>
          <w:b/>
          <w:bCs/>
          <w:sz w:val="25"/>
          <w:szCs w:val="25"/>
        </w:rPr>
      </w:pPr>
    </w:p>
    <w:p>
      <w:pPr>
        <w:spacing w:line="372" w:lineRule="auto" w:before="0"/>
        <w:ind w:left="297" w:right="312" w:firstLine="459"/>
        <w:jc w:val="both"/>
        <w:rPr>
          <w:rFonts w:ascii="宋体" w:hAnsi="宋体" w:cs="宋体" w:eastAsia="宋体" w:hint="default"/>
          <w:sz w:val="23"/>
          <w:szCs w:val="23"/>
        </w:rPr>
      </w:pPr>
      <w:r>
        <w:rPr>
          <w:rFonts w:ascii="宋体" w:hAnsi="宋体" w:cs="宋体" w:eastAsia="宋体" w:hint="default"/>
          <w:spacing w:val="-4"/>
          <w:sz w:val="23"/>
          <w:szCs w:val="23"/>
        </w:rPr>
        <w:t>报告期内，董事会及</w:t>
      </w:r>
      <w:r>
        <w:rPr>
          <w:rFonts w:ascii="宋体" w:hAnsi="宋体" w:cs="宋体" w:eastAsia="宋体" w:hint="default"/>
          <w:spacing w:val="-4"/>
          <w:sz w:val="21"/>
          <w:szCs w:val="21"/>
        </w:rPr>
        <w:t>专业委员会</w:t>
      </w:r>
      <w:r>
        <w:rPr>
          <w:rFonts w:ascii="宋体" w:hAnsi="宋体" w:cs="宋体" w:eastAsia="宋体" w:hint="default"/>
          <w:spacing w:val="-4"/>
          <w:sz w:val="23"/>
          <w:szCs w:val="23"/>
        </w:rPr>
        <w:t>的运行情况详见“第三节 </w:t>
      </w:r>
      <w:r>
        <w:rPr>
          <w:rFonts w:ascii="宋体" w:hAnsi="宋体" w:cs="宋体" w:eastAsia="宋体" w:hint="default"/>
          <w:sz w:val="23"/>
          <w:szCs w:val="23"/>
        </w:rPr>
        <w:t>董事会报告</w:t>
      </w:r>
      <w:r>
        <w:rPr>
          <w:rFonts w:ascii="宋体" w:hAnsi="宋体" w:cs="宋体" w:eastAsia="宋体" w:hint="default"/>
          <w:spacing w:val="37"/>
          <w:sz w:val="23"/>
          <w:szCs w:val="23"/>
        </w:rPr>
        <w:t> </w:t>
      </w:r>
      <w:r>
        <w:rPr>
          <w:rFonts w:ascii="宋体" w:hAnsi="宋体" w:cs="宋体" w:eastAsia="宋体" w:hint="default"/>
          <w:spacing w:val="-12"/>
          <w:sz w:val="23"/>
          <w:szCs w:val="23"/>
        </w:rPr>
        <w:t>六、报</w:t>
      </w:r>
      <w:r>
        <w:rPr>
          <w:rFonts w:ascii="宋体" w:hAnsi="宋体" w:cs="宋体" w:eastAsia="宋体" w:hint="default"/>
          <w:w w:val="100"/>
          <w:sz w:val="23"/>
          <w:szCs w:val="23"/>
        </w:rPr>
        <w:t> </w:t>
      </w:r>
      <w:r>
        <w:rPr>
          <w:rFonts w:ascii="宋体" w:hAnsi="宋体" w:cs="宋体" w:eastAsia="宋体" w:hint="default"/>
          <w:sz w:val="23"/>
          <w:szCs w:val="23"/>
        </w:rPr>
        <w:t>告期董事会日常工作情况”。</w:t>
      </w:r>
    </w:p>
    <w:p>
      <w:pPr>
        <w:spacing w:line="240" w:lineRule="auto" w:before="2"/>
        <w:rPr>
          <w:rFonts w:ascii="宋体" w:hAnsi="宋体" w:cs="宋体" w:eastAsia="宋体" w:hint="default"/>
          <w:sz w:val="16"/>
          <w:szCs w:val="16"/>
        </w:rPr>
      </w:pPr>
    </w:p>
    <w:p>
      <w:pPr>
        <w:pStyle w:val="Heading2"/>
        <w:spacing w:line="240" w:lineRule="auto"/>
        <w:ind w:left="297" w:right="202"/>
        <w:jc w:val="left"/>
        <w:rPr>
          <w:b w:val="0"/>
          <w:bCs w:val="0"/>
        </w:rPr>
      </w:pPr>
      <w:r>
        <w:rPr/>
        <w:t>三、公司董事长、独立董事及其他董事履行职责情况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717" w:right="0"/>
        <w:jc w:val="left"/>
      </w:pPr>
      <w:r>
        <w:rPr>
          <w:spacing w:val="-8"/>
        </w:rPr>
        <w:t>1、报告期内，公司全体董事严格按照《公司法》、《证券法》、《上市公司治理准则》、</w:t>
      </w:r>
    </w:p>
    <w:p>
      <w:pPr>
        <w:spacing w:line="240" w:lineRule="auto" w:before="10"/>
        <w:rPr>
          <w:rFonts w:ascii="宋体" w:hAnsi="宋体" w:cs="宋体" w:eastAsia="宋体" w:hint="default"/>
          <w:sz w:val="14"/>
          <w:szCs w:val="14"/>
        </w:rPr>
      </w:pPr>
    </w:p>
    <w:p>
      <w:pPr>
        <w:pStyle w:val="BodyText"/>
        <w:spacing w:line="408" w:lineRule="auto"/>
        <w:ind w:left="297" w:right="207"/>
        <w:jc w:val="left"/>
      </w:pPr>
      <w:r>
        <w:rPr/>
        <w:t>《深圳证券交易所创业板上市公司规范运作指引》等有关法律法规和《公司章程》的规定， </w:t>
      </w:r>
      <w:r>
        <w:rPr>
          <w:spacing w:val="-3"/>
        </w:rPr>
        <w:t>勤勉尽责地履行董事的职责，持续关注公司经营状况，遵守董事行为规范，积极参加相关培</w:t>
      </w:r>
      <w:r>
        <w:rPr>
          <w:spacing w:val="-72"/>
        </w:rPr>
        <w:t> </w:t>
      </w:r>
      <w:r>
        <w:rPr>
          <w:spacing w:val="-72"/>
        </w:rPr>
      </w:r>
      <w:r>
        <w:rPr>
          <w:spacing w:val="-3"/>
        </w:rPr>
        <w:t>训，提高规范运作水平，发挥各自的专业特长，积极的履行职责。董事在董事会会议投票表</w:t>
      </w:r>
      <w:r>
        <w:rPr>
          <w:spacing w:val="-73"/>
        </w:rPr>
        <w:t> </w:t>
      </w:r>
      <w:r>
        <w:rPr>
          <w:spacing w:val="-73"/>
        </w:rPr>
      </w:r>
      <w:r>
        <w:rPr>
          <w:spacing w:val="-3"/>
        </w:rPr>
        <w:t>决重大事项或其他对公司有重大影响的事项时，严格遵循公司董事会议事规则的有关审议规</w:t>
      </w:r>
      <w:r>
        <w:rPr>
          <w:spacing w:val="-73"/>
        </w:rPr>
        <w:t> </w:t>
      </w:r>
      <w:r>
        <w:rPr>
          <w:spacing w:val="-73"/>
        </w:rPr>
      </w:r>
      <w:r>
        <w:rPr/>
        <w:t>定，审慎决策，切实保护公司和股东特别是社会公众股股东的利益。</w:t>
      </w:r>
    </w:p>
    <w:p>
      <w:pPr>
        <w:spacing w:after="0" w:line="408" w:lineRule="auto"/>
        <w:jc w:val="left"/>
        <w:sectPr>
          <w:footerReference w:type="default" r:id="rId58"/>
          <w:pgSz w:w="11910" w:h="16840"/>
          <w:pgMar w:footer="1069" w:header="851" w:top="1300" w:bottom="1260" w:left="1500" w:right="1480"/>
          <w:pgNumType w:start="68"/>
        </w:sectPr>
      </w:pPr>
    </w:p>
    <w:p>
      <w:pPr>
        <w:spacing w:line="240" w:lineRule="auto" w:before="11"/>
        <w:rPr>
          <w:rFonts w:ascii="宋体" w:hAnsi="宋体" w:cs="宋体" w:eastAsia="宋体" w:hint="default"/>
          <w:sz w:val="2"/>
          <w:szCs w:val="2"/>
        </w:rPr>
      </w:pPr>
    </w:p>
    <w:p>
      <w:pPr>
        <w:spacing w:line="20" w:lineRule="exact"/>
        <w:ind w:left="64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pStyle w:val="BodyText"/>
        <w:spacing w:line="408" w:lineRule="auto" w:before="57"/>
        <w:ind w:left="677" w:right="651"/>
        <w:jc w:val="both"/>
      </w:pPr>
      <w:r>
        <w:rPr>
          <w:spacing w:val="-3"/>
        </w:rPr>
        <w:t>履行职责：全力加强董事会建设，依法召集、主持董事会会议并督促董事亲自出席，严格执</w:t>
      </w:r>
      <w:r>
        <w:rPr>
          <w:spacing w:val="-73"/>
        </w:rPr>
        <w:t> </w:t>
      </w:r>
      <w:r>
        <w:rPr>
          <w:spacing w:val="-73"/>
        </w:rPr>
      </w:r>
      <w:r>
        <w:rPr>
          <w:spacing w:val="-3"/>
        </w:rPr>
        <w:t>行董事会集体决策机制，并为独立董事和董事会秘书履行职责创造良好条件。积极推动公司</w:t>
      </w:r>
      <w:r>
        <w:rPr>
          <w:spacing w:val="-75"/>
        </w:rPr>
        <w:t> </w:t>
      </w:r>
      <w:r>
        <w:rPr>
          <w:spacing w:val="-75"/>
        </w:rPr>
      </w:r>
      <w:r>
        <w:rPr/>
        <w:t>治理工作和内控建设，督促执行股东大会和董事会各项决议，确保董事会依法正常运作。</w:t>
      </w:r>
    </w:p>
    <w:p>
      <w:pPr>
        <w:spacing w:line="240" w:lineRule="auto" w:before="6"/>
        <w:rPr>
          <w:rFonts w:ascii="宋体" w:hAnsi="宋体" w:cs="宋体" w:eastAsia="宋体" w:hint="default"/>
          <w:sz w:val="15"/>
          <w:szCs w:val="15"/>
        </w:rPr>
      </w:pPr>
    </w:p>
    <w:p>
      <w:pPr>
        <w:pStyle w:val="BodyText"/>
        <w:spacing w:line="408" w:lineRule="auto"/>
        <w:ind w:left="677" w:right="71" w:firstLine="420"/>
        <w:jc w:val="left"/>
      </w:pPr>
      <w:r>
        <w:rPr>
          <w:spacing w:val="-3"/>
        </w:rPr>
        <w:t>3、报告期内，公司独立董事严格按照有关法律法规、《公司章程》、《独立董事制度》</w:t>
      </w:r>
      <w:r>
        <w:rPr/>
        <w:t> </w:t>
      </w:r>
      <w:r>
        <w:rPr>
          <w:spacing w:val="-3"/>
        </w:rPr>
        <w:t>等规定，忠实履行职责，积极出席相关会议，认真审议各项议案，客观地发表自己的看法及</w:t>
      </w:r>
      <w:r>
        <w:rPr>
          <w:spacing w:val="-73"/>
        </w:rPr>
        <w:t> </w:t>
      </w:r>
      <w:r>
        <w:rPr>
          <w:spacing w:val="-73"/>
        </w:rPr>
      </w:r>
      <w:r>
        <w:rPr>
          <w:spacing w:val="-3"/>
        </w:rPr>
        <w:t>观点，深入了解公司运营状况、内部控制的建设及董事会决议、股东会决议的执行情况，并</w:t>
      </w:r>
      <w:r>
        <w:rPr>
          <w:spacing w:val="-73"/>
        </w:rPr>
        <w:t> </w:t>
      </w:r>
      <w:r>
        <w:rPr>
          <w:spacing w:val="-73"/>
        </w:rPr>
      </w:r>
      <w:r>
        <w:rPr>
          <w:spacing w:val="-3"/>
        </w:rPr>
        <w:t>利用自己的专业知识做出独立、公正的判断。在报告期内，对公司发生的需要独立董事发表</w:t>
      </w:r>
      <w:r>
        <w:rPr>
          <w:spacing w:val="-72"/>
        </w:rPr>
        <w:t> </w:t>
      </w:r>
      <w:r>
        <w:rPr>
          <w:spacing w:val="-72"/>
        </w:rPr>
      </w:r>
      <w:r>
        <w:rPr>
          <w:spacing w:val="-3"/>
        </w:rPr>
        <w:t>意见的事项均，独立、审慎地发表了意见，不受公司和控股股东的影响，切实维护了公司的</w:t>
      </w:r>
      <w:r>
        <w:rPr>
          <w:spacing w:val="-75"/>
        </w:rPr>
        <w:t> </w:t>
      </w:r>
      <w:r>
        <w:rPr>
          <w:spacing w:val="-75"/>
        </w:rPr>
      </w:r>
      <w:r>
        <w:rPr/>
        <w:t>整体利益及中小股东的利益。</w:t>
      </w:r>
    </w:p>
    <w:p>
      <w:pPr>
        <w:spacing w:line="240" w:lineRule="auto" w:before="6"/>
        <w:rPr>
          <w:rFonts w:ascii="宋体" w:hAnsi="宋体" w:cs="宋体" w:eastAsia="宋体" w:hint="default"/>
          <w:sz w:val="15"/>
          <w:szCs w:val="15"/>
        </w:rPr>
      </w:pPr>
    </w:p>
    <w:p>
      <w:pPr>
        <w:pStyle w:val="BodyText"/>
        <w:spacing w:line="408" w:lineRule="auto"/>
        <w:ind w:left="677" w:right="71" w:firstLine="420"/>
        <w:jc w:val="left"/>
      </w:pPr>
      <w:r>
        <w:rPr>
          <w:spacing w:val="-3"/>
        </w:rPr>
        <w:t>报告期内，公司独立董事对公司董事会的各项议案及其他非董事会议案事项均没有提出</w:t>
      </w:r>
      <w:r>
        <w:rPr/>
        <w:t> 异议。</w:t>
      </w:r>
    </w:p>
    <w:p>
      <w:pPr>
        <w:spacing w:line="240" w:lineRule="auto" w:before="6"/>
        <w:rPr>
          <w:rFonts w:ascii="宋体" w:hAnsi="宋体" w:cs="宋体" w:eastAsia="宋体" w:hint="default"/>
          <w:sz w:val="15"/>
          <w:szCs w:val="15"/>
        </w:rPr>
      </w:pPr>
    </w:p>
    <w:p>
      <w:pPr>
        <w:pStyle w:val="BodyText"/>
        <w:spacing w:line="240" w:lineRule="auto"/>
        <w:ind w:left="1097" w:right="71"/>
        <w:jc w:val="left"/>
      </w:pPr>
      <w:r>
        <w:rPr>
          <w:rFonts w:ascii="Times New Roman" w:hAnsi="Times New Roman" w:cs="Times New Roman" w:eastAsia="Times New Roman" w:hint="default"/>
        </w:rPr>
        <w:t>4</w:t>
      </w:r>
      <w:r>
        <w:rPr/>
        <w:t>、报告期内，公司共召开了十二次董事会，董事出席情况如下：</w:t>
      </w:r>
    </w:p>
    <w:p>
      <w:pPr>
        <w:spacing w:line="240" w:lineRule="auto" w:before="9"/>
        <w:rPr>
          <w:rFonts w:ascii="宋体" w:hAnsi="宋体" w:cs="宋体" w:eastAsia="宋体" w:hint="default"/>
          <w:sz w:val="20"/>
          <w:szCs w:val="20"/>
        </w:rPr>
      </w:pPr>
    </w:p>
    <w:tbl>
      <w:tblPr>
        <w:tblW w:w="0" w:type="auto"/>
        <w:jc w:val="left"/>
        <w:tblInd w:w="105" w:type="dxa"/>
        <w:tblLayout w:type="fixed"/>
        <w:tblCellMar>
          <w:top w:w="0" w:type="dxa"/>
          <w:left w:w="0" w:type="dxa"/>
          <w:bottom w:w="0" w:type="dxa"/>
          <w:right w:w="0" w:type="dxa"/>
        </w:tblCellMar>
        <w:tblLook w:val="01E0"/>
      </w:tblPr>
      <w:tblGrid>
        <w:gridCol w:w="1576"/>
        <w:gridCol w:w="1145"/>
        <w:gridCol w:w="1184"/>
        <w:gridCol w:w="1268"/>
        <w:gridCol w:w="1216"/>
        <w:gridCol w:w="908"/>
        <w:gridCol w:w="2112"/>
      </w:tblGrid>
      <w:tr>
        <w:trPr>
          <w:trHeight w:val="908" w:hRule="exact"/>
        </w:trPr>
        <w:tc>
          <w:tcPr>
            <w:tcW w:w="157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360" w:right="0"/>
              <w:jc w:val="left"/>
              <w:rPr>
                <w:rFonts w:ascii="宋体" w:hAnsi="宋体" w:cs="宋体" w:eastAsia="宋体" w:hint="default"/>
                <w:sz w:val="21"/>
                <w:szCs w:val="21"/>
              </w:rPr>
            </w:pPr>
            <w:r>
              <w:rPr>
                <w:rFonts w:ascii="宋体" w:hAnsi="宋体" w:cs="宋体" w:eastAsia="宋体" w:hint="default"/>
                <w:b/>
                <w:bCs/>
                <w:sz w:val="21"/>
                <w:szCs w:val="21"/>
              </w:rPr>
              <w:t>董事姓名</w:t>
            </w:r>
            <w:r>
              <w:rPr>
                <w:rFonts w:ascii="宋体" w:hAnsi="宋体" w:cs="宋体" w:eastAsia="宋体" w:hint="default"/>
                <w:sz w:val="21"/>
                <w:szCs w:val="21"/>
              </w:rPr>
            </w:r>
          </w:p>
        </w:tc>
        <w:tc>
          <w:tcPr>
            <w:tcW w:w="114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具体职务</w:t>
            </w:r>
            <w:r>
              <w:rPr>
                <w:rFonts w:ascii="宋体" w:hAnsi="宋体" w:cs="宋体" w:eastAsia="宋体" w:hint="default"/>
                <w:sz w:val="21"/>
                <w:szCs w:val="21"/>
              </w:rPr>
            </w:r>
          </w:p>
        </w:tc>
        <w:tc>
          <w:tcPr>
            <w:tcW w:w="118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73" w:lineRule="auto" w:before="121"/>
              <w:ind w:left="481" w:right="162" w:hanging="316"/>
              <w:jc w:val="left"/>
              <w:rPr>
                <w:rFonts w:ascii="宋体" w:hAnsi="宋体" w:cs="宋体" w:eastAsia="宋体" w:hint="default"/>
                <w:sz w:val="21"/>
                <w:szCs w:val="21"/>
              </w:rPr>
            </w:pPr>
            <w:r>
              <w:rPr>
                <w:rFonts w:ascii="宋体" w:hAnsi="宋体" w:cs="宋体" w:eastAsia="宋体" w:hint="default"/>
                <w:b/>
                <w:bCs/>
                <w:sz w:val="21"/>
                <w:szCs w:val="21"/>
              </w:rPr>
              <w:t>应出席次</w:t>
            </w:r>
            <w:r>
              <w:rPr>
                <w:rFonts w:ascii="宋体" w:hAnsi="宋体" w:cs="宋体" w:eastAsia="宋体" w:hint="default"/>
                <w:b/>
                <w:bCs/>
                <w:spacing w:val="1"/>
                <w:w w:val="99"/>
                <w:sz w:val="21"/>
                <w:szCs w:val="21"/>
              </w:rPr>
              <w:t> </w:t>
            </w:r>
            <w:r>
              <w:rPr>
                <w:rFonts w:ascii="宋体" w:hAnsi="宋体" w:cs="宋体" w:eastAsia="宋体" w:hint="default"/>
                <w:b/>
                <w:bCs/>
                <w:sz w:val="21"/>
                <w:szCs w:val="21"/>
              </w:rPr>
              <w:t>数</w:t>
            </w:r>
            <w:r>
              <w:rPr>
                <w:rFonts w:ascii="宋体" w:hAnsi="宋体" w:cs="宋体" w:eastAsia="宋体" w:hint="default"/>
                <w:sz w:val="21"/>
                <w:szCs w:val="21"/>
              </w:rPr>
            </w:r>
          </w:p>
        </w:tc>
        <w:tc>
          <w:tcPr>
            <w:tcW w:w="126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73" w:lineRule="auto" w:before="121"/>
              <w:ind w:left="417" w:right="204" w:hanging="210"/>
              <w:jc w:val="left"/>
              <w:rPr>
                <w:rFonts w:ascii="宋体" w:hAnsi="宋体" w:cs="宋体" w:eastAsia="宋体" w:hint="default"/>
                <w:sz w:val="21"/>
                <w:szCs w:val="21"/>
              </w:rPr>
            </w:pPr>
            <w:r>
              <w:rPr>
                <w:rFonts w:ascii="宋体" w:hAnsi="宋体" w:cs="宋体" w:eastAsia="宋体" w:hint="default"/>
                <w:b/>
                <w:bCs/>
                <w:sz w:val="21"/>
                <w:szCs w:val="21"/>
              </w:rPr>
              <w:t>亲自出席</w:t>
            </w:r>
            <w:r>
              <w:rPr>
                <w:rFonts w:ascii="宋体" w:hAnsi="宋体" w:cs="宋体" w:eastAsia="宋体" w:hint="default"/>
                <w:b/>
                <w:bCs/>
                <w:spacing w:val="1"/>
                <w:w w:val="99"/>
                <w:sz w:val="21"/>
                <w:szCs w:val="21"/>
              </w:rPr>
              <w:t> </w:t>
            </w:r>
            <w:r>
              <w:rPr>
                <w:rFonts w:ascii="宋体" w:hAnsi="宋体" w:cs="宋体" w:eastAsia="宋体" w:hint="default"/>
                <w:b/>
                <w:bCs/>
                <w:sz w:val="21"/>
                <w:szCs w:val="21"/>
              </w:rPr>
              <w:t>次数</w:t>
            </w:r>
            <w:r>
              <w:rPr>
                <w:rFonts w:ascii="宋体" w:hAnsi="宋体" w:cs="宋体" w:eastAsia="宋体" w:hint="default"/>
                <w:sz w:val="21"/>
                <w:szCs w:val="21"/>
              </w:rPr>
            </w:r>
          </w:p>
        </w:tc>
        <w:tc>
          <w:tcPr>
            <w:tcW w:w="121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73" w:lineRule="auto" w:before="121"/>
              <w:ind w:left="391" w:right="178" w:hanging="210"/>
              <w:jc w:val="left"/>
              <w:rPr>
                <w:rFonts w:ascii="宋体" w:hAnsi="宋体" w:cs="宋体" w:eastAsia="宋体" w:hint="default"/>
                <w:sz w:val="21"/>
                <w:szCs w:val="21"/>
              </w:rPr>
            </w:pPr>
            <w:r>
              <w:rPr>
                <w:rFonts w:ascii="宋体" w:hAnsi="宋体" w:cs="宋体" w:eastAsia="宋体" w:hint="default"/>
                <w:b/>
                <w:bCs/>
                <w:sz w:val="21"/>
                <w:szCs w:val="21"/>
              </w:rPr>
              <w:t>委托出席</w:t>
            </w:r>
            <w:r>
              <w:rPr>
                <w:rFonts w:ascii="宋体" w:hAnsi="宋体" w:cs="宋体" w:eastAsia="宋体" w:hint="default"/>
                <w:b/>
                <w:bCs/>
                <w:spacing w:val="1"/>
                <w:w w:val="99"/>
                <w:sz w:val="21"/>
                <w:szCs w:val="21"/>
              </w:rPr>
              <w:t> </w:t>
            </w:r>
            <w:r>
              <w:rPr>
                <w:rFonts w:ascii="宋体" w:hAnsi="宋体" w:cs="宋体" w:eastAsia="宋体" w:hint="default"/>
                <w:b/>
                <w:bCs/>
                <w:sz w:val="21"/>
                <w:szCs w:val="21"/>
              </w:rPr>
              <w:t>次数</w:t>
            </w:r>
            <w:r>
              <w:rPr>
                <w:rFonts w:ascii="宋体" w:hAnsi="宋体" w:cs="宋体" w:eastAsia="宋体" w:hint="default"/>
                <w:sz w:val="21"/>
                <w:szCs w:val="21"/>
              </w:rPr>
            </w:r>
          </w:p>
        </w:tc>
        <w:tc>
          <w:tcPr>
            <w:tcW w:w="90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73" w:lineRule="auto" w:before="121"/>
              <w:ind w:left="343" w:right="130" w:hanging="210"/>
              <w:jc w:val="left"/>
              <w:rPr>
                <w:rFonts w:ascii="宋体" w:hAnsi="宋体" w:cs="宋体" w:eastAsia="宋体" w:hint="default"/>
                <w:sz w:val="21"/>
                <w:szCs w:val="21"/>
              </w:rPr>
            </w:pPr>
            <w:r>
              <w:rPr>
                <w:rFonts w:ascii="宋体" w:hAnsi="宋体" w:cs="宋体" w:eastAsia="宋体" w:hint="default"/>
                <w:b/>
                <w:bCs/>
                <w:sz w:val="21"/>
                <w:szCs w:val="21"/>
              </w:rPr>
              <w:t>缺席次</w:t>
            </w:r>
            <w:r>
              <w:rPr>
                <w:rFonts w:ascii="宋体" w:hAnsi="宋体" w:cs="宋体" w:eastAsia="宋体" w:hint="default"/>
                <w:b/>
                <w:bCs/>
                <w:spacing w:val="1"/>
                <w:w w:val="99"/>
                <w:sz w:val="21"/>
                <w:szCs w:val="21"/>
              </w:rPr>
              <w:t> </w:t>
            </w:r>
            <w:r>
              <w:rPr>
                <w:rFonts w:ascii="宋体" w:hAnsi="宋体" w:cs="宋体" w:eastAsia="宋体" w:hint="default"/>
                <w:b/>
                <w:bCs/>
                <w:sz w:val="21"/>
                <w:szCs w:val="21"/>
              </w:rPr>
              <w:t>数</w:t>
            </w:r>
            <w:r>
              <w:rPr>
                <w:rFonts w:ascii="宋体" w:hAnsi="宋体" w:cs="宋体" w:eastAsia="宋体" w:hint="default"/>
                <w:sz w:val="21"/>
                <w:szCs w:val="21"/>
              </w:rPr>
            </w:r>
          </w:p>
        </w:tc>
        <w:tc>
          <w:tcPr>
            <w:tcW w:w="211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73" w:lineRule="auto" w:before="121"/>
              <w:ind w:left="523" w:right="206" w:hanging="317"/>
              <w:jc w:val="left"/>
              <w:rPr>
                <w:rFonts w:ascii="宋体" w:hAnsi="宋体" w:cs="宋体" w:eastAsia="宋体" w:hint="default"/>
                <w:sz w:val="21"/>
                <w:szCs w:val="21"/>
              </w:rPr>
            </w:pPr>
            <w:r>
              <w:rPr>
                <w:rFonts w:ascii="宋体" w:hAnsi="宋体" w:cs="宋体" w:eastAsia="宋体" w:hint="default"/>
                <w:b/>
                <w:bCs/>
                <w:sz w:val="21"/>
                <w:szCs w:val="21"/>
              </w:rPr>
              <w:t>是否连续两次未亲</w:t>
            </w:r>
            <w:r>
              <w:rPr>
                <w:rFonts w:ascii="宋体" w:hAnsi="宋体" w:cs="宋体" w:eastAsia="宋体" w:hint="default"/>
                <w:b/>
                <w:bCs/>
                <w:spacing w:val="1"/>
                <w:w w:val="99"/>
                <w:sz w:val="21"/>
                <w:szCs w:val="21"/>
              </w:rPr>
              <w:t> </w:t>
            </w:r>
            <w:r>
              <w:rPr>
                <w:rFonts w:ascii="宋体" w:hAnsi="宋体" w:cs="宋体" w:eastAsia="宋体" w:hint="default"/>
                <w:b/>
                <w:bCs/>
                <w:sz w:val="21"/>
                <w:szCs w:val="21"/>
              </w:rPr>
              <w:t>自出席会议</w:t>
            </w:r>
            <w:r>
              <w:rPr>
                <w:rFonts w:ascii="宋体" w:hAnsi="宋体" w:cs="宋体" w:eastAsia="宋体" w:hint="default"/>
                <w:sz w:val="21"/>
                <w:szCs w:val="21"/>
              </w:rPr>
            </w:r>
          </w:p>
        </w:tc>
      </w:tr>
      <w:tr>
        <w:trPr>
          <w:trHeight w:val="373" w:hRule="exact"/>
        </w:trPr>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21"/>
                <w:szCs w:val="21"/>
              </w:rPr>
            </w:pPr>
            <w:r>
              <w:rPr>
                <w:rFonts w:ascii="宋体" w:hAnsi="宋体" w:cs="宋体" w:eastAsia="宋体" w:hint="default"/>
                <w:sz w:val="21"/>
                <w:szCs w:val="21"/>
              </w:rPr>
              <w:t>王宁</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21"/>
                <w:szCs w:val="21"/>
              </w:rPr>
            </w:pPr>
            <w:r>
              <w:rPr>
                <w:rFonts w:ascii="宋体" w:hAnsi="宋体" w:cs="宋体" w:eastAsia="宋体" w:hint="default"/>
                <w:sz w:val="21"/>
                <w:szCs w:val="21"/>
              </w:rPr>
              <w:t>董事长</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21"/>
                <w:szCs w:val="21"/>
              </w:rPr>
            </w:pPr>
            <w:r>
              <w:rPr>
                <w:rFonts w:ascii="宋体"/>
                <w:sz w:val="21"/>
              </w:rPr>
              <w:t>12</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21"/>
                <w:szCs w:val="21"/>
              </w:rPr>
            </w:pPr>
            <w:r>
              <w:rPr>
                <w:rFonts w:ascii="宋体"/>
                <w:sz w:val="21"/>
              </w:rPr>
              <w:t>12</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21"/>
                <w:szCs w:val="21"/>
              </w:rPr>
            </w:pPr>
            <w:r>
              <w:rPr>
                <w:rFonts w:ascii="宋体"/>
                <w:sz w:val="21"/>
              </w:rPr>
              <w:t>0</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21"/>
                <w:szCs w:val="21"/>
              </w:rPr>
            </w:pPr>
            <w:r>
              <w:rPr>
                <w:rFonts w:ascii="宋体"/>
                <w:sz w:val="21"/>
              </w:rPr>
              <w:t>0</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44"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55" w:hRule="exact"/>
        </w:trPr>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466" w:right="0"/>
              <w:jc w:val="left"/>
              <w:rPr>
                <w:rFonts w:ascii="宋体" w:hAnsi="宋体" w:cs="宋体" w:eastAsia="宋体" w:hint="default"/>
                <w:sz w:val="21"/>
                <w:szCs w:val="21"/>
              </w:rPr>
            </w:pPr>
            <w:r>
              <w:rPr>
                <w:rFonts w:ascii="宋体" w:hAnsi="宋体" w:cs="宋体" w:eastAsia="宋体" w:hint="default"/>
                <w:sz w:val="21"/>
                <w:szCs w:val="21"/>
              </w:rPr>
              <w:t>黄松浪</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2" w:right="0"/>
              <w:jc w:val="center"/>
              <w:rPr>
                <w:rFonts w:ascii="宋体" w:hAnsi="宋体" w:cs="宋体" w:eastAsia="宋体" w:hint="default"/>
                <w:sz w:val="21"/>
                <w:szCs w:val="21"/>
              </w:rPr>
            </w:pPr>
            <w:r>
              <w:rPr>
                <w:rFonts w:ascii="宋体" w:hAnsi="宋体" w:cs="宋体" w:eastAsia="宋体" w:hint="default"/>
                <w:sz w:val="21"/>
                <w:szCs w:val="21"/>
              </w:rPr>
              <w:t>副董事长</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2" w:right="0"/>
              <w:jc w:val="center"/>
              <w:rPr>
                <w:rFonts w:ascii="宋体" w:hAnsi="宋体" w:cs="宋体" w:eastAsia="宋体" w:hint="default"/>
                <w:sz w:val="21"/>
                <w:szCs w:val="21"/>
              </w:rPr>
            </w:pPr>
            <w:r>
              <w:rPr>
                <w:rFonts w:ascii="宋体"/>
                <w:sz w:val="21"/>
              </w:rPr>
              <w:t>12</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 w:right="0"/>
              <w:jc w:val="center"/>
              <w:rPr>
                <w:rFonts w:ascii="宋体" w:hAnsi="宋体" w:cs="宋体" w:eastAsia="宋体" w:hint="default"/>
                <w:sz w:val="21"/>
                <w:szCs w:val="21"/>
              </w:rPr>
            </w:pPr>
            <w:r>
              <w:rPr>
                <w:rFonts w:ascii="宋体"/>
                <w:sz w:val="21"/>
              </w:rPr>
              <w:t>12</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sz w:val="21"/>
              </w:rPr>
              <w:t>0</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sz w:val="21"/>
              </w:rPr>
              <w:t>0</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944"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73" w:hRule="exact"/>
        </w:trPr>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21"/>
                <w:szCs w:val="21"/>
              </w:rPr>
            </w:pPr>
            <w:r>
              <w:rPr>
                <w:rFonts w:ascii="宋体" w:hAnsi="宋体" w:cs="宋体" w:eastAsia="宋体" w:hint="default"/>
                <w:sz w:val="21"/>
                <w:szCs w:val="21"/>
              </w:rPr>
              <w:t>李力</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21"/>
                <w:szCs w:val="21"/>
              </w:rPr>
            </w:pPr>
            <w:r>
              <w:rPr>
                <w:rFonts w:ascii="宋体"/>
                <w:sz w:val="21"/>
              </w:rPr>
              <w:t>12</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21"/>
                <w:szCs w:val="21"/>
              </w:rPr>
            </w:pPr>
            <w:r>
              <w:rPr>
                <w:rFonts w:ascii="宋体"/>
                <w:sz w:val="21"/>
              </w:rPr>
              <w:t>12</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21"/>
                <w:szCs w:val="21"/>
              </w:rPr>
            </w:pPr>
            <w:r>
              <w:rPr>
                <w:rFonts w:ascii="宋体"/>
                <w:sz w:val="21"/>
              </w:rPr>
              <w:t>0</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21"/>
                <w:szCs w:val="21"/>
              </w:rPr>
            </w:pPr>
            <w:r>
              <w:rPr>
                <w:rFonts w:ascii="宋体"/>
                <w:sz w:val="21"/>
              </w:rPr>
              <w:t>0</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44"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56" w:hRule="exact"/>
        </w:trPr>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hAnsi="宋体" w:cs="宋体" w:eastAsia="宋体" w:hint="default"/>
                <w:sz w:val="21"/>
                <w:szCs w:val="21"/>
              </w:rPr>
              <w:t>齐强</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sz w:val="21"/>
              </w:rPr>
              <w:t>12</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sz w:val="21"/>
              </w:rPr>
              <w:t>12</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1"/>
              <w:jc w:val="center"/>
              <w:rPr>
                <w:rFonts w:ascii="宋体" w:hAnsi="宋体" w:cs="宋体" w:eastAsia="宋体" w:hint="default"/>
                <w:sz w:val="21"/>
                <w:szCs w:val="21"/>
              </w:rPr>
            </w:pPr>
            <w:r>
              <w:rPr>
                <w:rFonts w:ascii="宋体"/>
                <w:sz w:val="21"/>
              </w:rPr>
              <w:t>0</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1"/>
              <w:jc w:val="center"/>
              <w:rPr>
                <w:rFonts w:ascii="宋体" w:hAnsi="宋体" w:cs="宋体" w:eastAsia="宋体" w:hint="default"/>
                <w:sz w:val="21"/>
                <w:szCs w:val="21"/>
              </w:rPr>
            </w:pPr>
            <w:r>
              <w:rPr>
                <w:rFonts w:ascii="宋体"/>
                <w:sz w:val="21"/>
              </w:rPr>
              <w:t>0</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944"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73" w:hRule="exact"/>
        </w:trPr>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6" w:right="0"/>
              <w:jc w:val="left"/>
              <w:rPr>
                <w:rFonts w:ascii="宋体" w:hAnsi="宋体" w:cs="宋体" w:eastAsia="宋体" w:hint="default"/>
                <w:sz w:val="21"/>
                <w:szCs w:val="21"/>
              </w:rPr>
            </w:pPr>
            <w:r>
              <w:rPr>
                <w:rFonts w:ascii="宋体" w:hAnsi="宋体" w:cs="宋体" w:eastAsia="宋体" w:hint="default"/>
                <w:sz w:val="21"/>
                <w:szCs w:val="21"/>
              </w:rPr>
              <w:t>王国华</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21"/>
                <w:szCs w:val="21"/>
              </w:rPr>
            </w:pPr>
            <w:r>
              <w:rPr>
                <w:rFonts w:ascii="宋体"/>
                <w:sz w:val="21"/>
              </w:rPr>
              <w:t>12</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21"/>
                <w:szCs w:val="21"/>
              </w:rPr>
            </w:pPr>
            <w:r>
              <w:rPr>
                <w:rFonts w:ascii="宋体"/>
                <w:sz w:val="21"/>
              </w:rPr>
              <w:t>12</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21"/>
                <w:szCs w:val="21"/>
              </w:rPr>
            </w:pPr>
            <w:r>
              <w:rPr>
                <w:rFonts w:ascii="宋体"/>
                <w:sz w:val="21"/>
              </w:rPr>
              <w:t>0</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21"/>
                <w:szCs w:val="21"/>
              </w:rPr>
            </w:pPr>
            <w:r>
              <w:rPr>
                <w:rFonts w:ascii="宋体"/>
                <w:sz w:val="21"/>
              </w:rPr>
              <w:t>0</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44"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55" w:hRule="exact"/>
        </w:trPr>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hAnsi="宋体" w:cs="宋体" w:eastAsia="宋体" w:hint="default"/>
                <w:sz w:val="21"/>
                <w:szCs w:val="21"/>
              </w:rPr>
              <w:t>万能</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sz w:val="21"/>
              </w:rPr>
              <w:t>12</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sz w:val="21"/>
              </w:rPr>
              <w:t>12</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1"/>
              <w:jc w:val="center"/>
              <w:rPr>
                <w:rFonts w:ascii="宋体" w:hAnsi="宋体" w:cs="宋体" w:eastAsia="宋体" w:hint="default"/>
                <w:sz w:val="21"/>
                <w:szCs w:val="21"/>
              </w:rPr>
            </w:pPr>
            <w:r>
              <w:rPr>
                <w:rFonts w:ascii="宋体"/>
                <w:sz w:val="21"/>
              </w:rPr>
              <w:t>0</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1"/>
              <w:jc w:val="center"/>
              <w:rPr>
                <w:rFonts w:ascii="宋体" w:hAnsi="宋体" w:cs="宋体" w:eastAsia="宋体" w:hint="default"/>
                <w:sz w:val="21"/>
                <w:szCs w:val="21"/>
              </w:rPr>
            </w:pPr>
            <w:r>
              <w:rPr>
                <w:rFonts w:ascii="宋体"/>
                <w:sz w:val="21"/>
              </w:rPr>
              <w:t>0</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944"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73" w:hRule="exact"/>
        </w:trPr>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6" w:right="0"/>
              <w:jc w:val="left"/>
              <w:rPr>
                <w:rFonts w:ascii="宋体" w:hAnsi="宋体" w:cs="宋体" w:eastAsia="宋体" w:hint="default"/>
                <w:sz w:val="21"/>
                <w:szCs w:val="21"/>
              </w:rPr>
            </w:pPr>
            <w:r>
              <w:rPr>
                <w:rFonts w:ascii="宋体" w:hAnsi="宋体" w:cs="宋体" w:eastAsia="宋体" w:hint="default"/>
                <w:sz w:val="21"/>
                <w:szCs w:val="21"/>
              </w:rPr>
              <w:t>徐斯平</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21"/>
                <w:szCs w:val="21"/>
              </w:rPr>
            </w:pPr>
            <w:r>
              <w:rPr>
                <w:rFonts w:ascii="宋体"/>
                <w:sz w:val="21"/>
              </w:rPr>
              <w:t>12</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21"/>
                <w:szCs w:val="21"/>
              </w:rPr>
            </w:pPr>
            <w:r>
              <w:rPr>
                <w:rFonts w:ascii="宋体"/>
                <w:sz w:val="21"/>
              </w:rPr>
              <w:t>11</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21"/>
                <w:szCs w:val="21"/>
              </w:rPr>
            </w:pPr>
            <w:r>
              <w:rPr>
                <w:rFonts w:ascii="宋体"/>
                <w:sz w:val="21"/>
              </w:rPr>
              <w:t>1</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21"/>
                <w:szCs w:val="21"/>
              </w:rPr>
            </w:pPr>
            <w:r>
              <w:rPr>
                <w:rFonts w:ascii="宋体"/>
                <w:sz w:val="21"/>
              </w:rPr>
              <w:t>0</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44"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56" w:hRule="exact"/>
        </w:trPr>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hAnsi="宋体" w:cs="宋体" w:eastAsia="宋体" w:hint="default"/>
                <w:sz w:val="21"/>
                <w:szCs w:val="21"/>
              </w:rPr>
              <w:t>陈冲</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2"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2" w:right="0"/>
              <w:jc w:val="center"/>
              <w:rPr>
                <w:rFonts w:ascii="宋体" w:hAnsi="宋体" w:cs="宋体" w:eastAsia="宋体" w:hint="default"/>
                <w:sz w:val="21"/>
                <w:szCs w:val="21"/>
              </w:rPr>
            </w:pPr>
            <w:r>
              <w:rPr>
                <w:rFonts w:ascii="宋体"/>
                <w:sz w:val="21"/>
              </w:rPr>
              <w:t>12</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 w:right="0"/>
              <w:jc w:val="center"/>
              <w:rPr>
                <w:rFonts w:ascii="宋体" w:hAnsi="宋体" w:cs="宋体" w:eastAsia="宋体" w:hint="default"/>
                <w:sz w:val="21"/>
                <w:szCs w:val="21"/>
              </w:rPr>
            </w:pPr>
            <w:r>
              <w:rPr>
                <w:rFonts w:ascii="宋体"/>
                <w:sz w:val="21"/>
              </w:rPr>
              <w:t>12</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sz w:val="21"/>
              </w:rPr>
              <w:t>0</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sz w:val="21"/>
              </w:rPr>
              <w:t>0</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945"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56" w:hRule="exact"/>
        </w:trPr>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03" w:right="-2"/>
              <w:jc w:val="left"/>
              <w:rPr>
                <w:rFonts w:ascii="宋体" w:hAnsi="宋体" w:cs="宋体" w:eastAsia="宋体" w:hint="default"/>
                <w:sz w:val="21"/>
                <w:szCs w:val="21"/>
              </w:rPr>
            </w:pPr>
            <w:r>
              <w:rPr>
                <w:rFonts w:ascii="宋体" w:hAnsi="宋体" w:cs="宋体" w:eastAsia="宋体" w:hint="default"/>
                <w:sz w:val="21"/>
                <w:szCs w:val="21"/>
              </w:rPr>
              <w:t>夏冬林（离任）</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sz w:val="21"/>
              </w:rPr>
              <w:t>4</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sz w:val="21"/>
              </w:rPr>
              <w:t>4</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sz w:val="21"/>
              </w:rPr>
              <w:t>0</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sz w:val="21"/>
              </w:rPr>
              <w:t>0</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944"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72" w:hRule="exact"/>
        </w:trPr>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2" w:right="0"/>
              <w:jc w:val="left"/>
              <w:rPr>
                <w:rFonts w:ascii="宋体" w:hAnsi="宋体" w:cs="宋体" w:eastAsia="宋体" w:hint="default"/>
                <w:sz w:val="21"/>
                <w:szCs w:val="21"/>
              </w:rPr>
            </w:pPr>
            <w:r>
              <w:rPr>
                <w:rFonts w:ascii="宋体" w:hAnsi="宋体" w:cs="宋体" w:eastAsia="宋体" w:hint="default"/>
                <w:sz w:val="21"/>
                <w:szCs w:val="21"/>
              </w:rPr>
              <w:t>黄涛（离任）</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 w:right="0"/>
              <w:jc w:val="center"/>
              <w:rPr>
                <w:rFonts w:ascii="宋体" w:hAnsi="宋体" w:cs="宋体" w:eastAsia="宋体" w:hint="default"/>
                <w:sz w:val="21"/>
                <w:szCs w:val="21"/>
              </w:rPr>
            </w:pPr>
            <w:r>
              <w:rPr>
                <w:rFonts w:ascii="宋体"/>
                <w:sz w:val="21"/>
              </w:rPr>
              <w:t>4</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 w:right="0"/>
              <w:jc w:val="center"/>
              <w:rPr>
                <w:rFonts w:ascii="宋体" w:hAnsi="宋体" w:cs="宋体" w:eastAsia="宋体" w:hint="default"/>
                <w:sz w:val="21"/>
                <w:szCs w:val="21"/>
              </w:rPr>
            </w:pPr>
            <w:r>
              <w:rPr>
                <w:rFonts w:ascii="宋体"/>
                <w:sz w:val="21"/>
              </w:rPr>
              <w:t>4</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21"/>
                <w:szCs w:val="21"/>
              </w:rPr>
            </w:pPr>
            <w:r>
              <w:rPr>
                <w:rFonts w:ascii="宋体"/>
                <w:sz w:val="21"/>
              </w:rPr>
              <w:t>0</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21"/>
                <w:szCs w:val="21"/>
              </w:rPr>
            </w:pPr>
            <w:r>
              <w:rPr>
                <w:rFonts w:ascii="宋体"/>
                <w:sz w:val="21"/>
              </w:rPr>
              <w:t>0</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45"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56" w:hRule="exact"/>
        </w:trPr>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03" w:right="-2"/>
              <w:jc w:val="left"/>
              <w:rPr>
                <w:rFonts w:ascii="宋体" w:hAnsi="宋体" w:cs="宋体" w:eastAsia="宋体" w:hint="default"/>
                <w:sz w:val="21"/>
                <w:szCs w:val="21"/>
              </w:rPr>
            </w:pPr>
            <w:r>
              <w:rPr>
                <w:rFonts w:ascii="宋体" w:hAnsi="宋体" w:cs="宋体" w:eastAsia="宋体" w:hint="default"/>
                <w:sz w:val="21"/>
                <w:szCs w:val="21"/>
              </w:rPr>
              <w:t>王克明（离任）</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sz w:val="21"/>
              </w:rPr>
              <w:t>4</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sz w:val="21"/>
              </w:rPr>
              <w:t>4</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sz w:val="21"/>
              </w:rPr>
              <w:t>0</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sz w:val="21"/>
              </w:rPr>
              <w:t>0</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944"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73" w:hRule="exact"/>
        </w:trPr>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6" w:right="0"/>
              <w:jc w:val="left"/>
              <w:rPr>
                <w:rFonts w:ascii="宋体" w:hAnsi="宋体" w:cs="宋体" w:eastAsia="宋体" w:hint="default"/>
                <w:sz w:val="21"/>
                <w:szCs w:val="21"/>
              </w:rPr>
            </w:pPr>
            <w:r>
              <w:rPr>
                <w:rFonts w:ascii="宋体" w:hAnsi="宋体" w:cs="宋体" w:eastAsia="宋体" w:hint="default"/>
                <w:sz w:val="21"/>
                <w:szCs w:val="21"/>
              </w:rPr>
              <w:t>江锡如</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21"/>
                <w:szCs w:val="21"/>
              </w:rPr>
            </w:pPr>
            <w:r>
              <w:rPr>
                <w:rFonts w:ascii="宋体"/>
                <w:sz w:val="21"/>
              </w:rPr>
              <w:t>8</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21"/>
                <w:szCs w:val="21"/>
              </w:rPr>
            </w:pPr>
            <w:r>
              <w:rPr>
                <w:rFonts w:ascii="宋体"/>
                <w:sz w:val="21"/>
              </w:rPr>
              <w:t>8</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21"/>
                <w:szCs w:val="21"/>
              </w:rPr>
            </w:pPr>
            <w:r>
              <w:rPr>
                <w:rFonts w:ascii="宋体"/>
                <w:sz w:val="21"/>
              </w:rPr>
              <w:t>0</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21"/>
                <w:szCs w:val="21"/>
              </w:rPr>
            </w:pPr>
            <w:r>
              <w:rPr>
                <w:rFonts w:ascii="宋体"/>
                <w:sz w:val="21"/>
              </w:rPr>
              <w:t>0</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45"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56" w:hRule="exact"/>
        </w:trPr>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466" w:right="0"/>
              <w:jc w:val="left"/>
              <w:rPr>
                <w:rFonts w:ascii="宋体" w:hAnsi="宋体" w:cs="宋体" w:eastAsia="宋体" w:hint="default"/>
                <w:sz w:val="21"/>
                <w:szCs w:val="21"/>
              </w:rPr>
            </w:pPr>
            <w:r>
              <w:rPr>
                <w:rFonts w:ascii="宋体" w:hAnsi="宋体" w:cs="宋体" w:eastAsia="宋体" w:hint="default"/>
                <w:sz w:val="21"/>
                <w:szCs w:val="21"/>
              </w:rPr>
              <w:t>蓝伯雄</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2"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 w:right="0"/>
              <w:jc w:val="center"/>
              <w:rPr>
                <w:rFonts w:ascii="宋体" w:hAnsi="宋体" w:cs="宋体" w:eastAsia="宋体" w:hint="default"/>
                <w:sz w:val="21"/>
                <w:szCs w:val="21"/>
              </w:rPr>
            </w:pPr>
            <w:r>
              <w:rPr>
                <w:rFonts w:ascii="宋体"/>
                <w:sz w:val="21"/>
              </w:rPr>
              <w:t>8</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 w:right="0"/>
              <w:jc w:val="center"/>
              <w:rPr>
                <w:rFonts w:ascii="宋体" w:hAnsi="宋体" w:cs="宋体" w:eastAsia="宋体" w:hint="default"/>
                <w:sz w:val="21"/>
                <w:szCs w:val="21"/>
              </w:rPr>
            </w:pPr>
            <w:r>
              <w:rPr>
                <w:rFonts w:ascii="宋体"/>
                <w:sz w:val="21"/>
              </w:rPr>
              <w:t>7</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sz w:val="21"/>
              </w:rPr>
              <w:t>1</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sz w:val="21"/>
              </w:rPr>
              <w:t>0</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945"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73" w:hRule="exact"/>
        </w:trPr>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6" w:right="0"/>
              <w:jc w:val="left"/>
              <w:rPr>
                <w:rFonts w:ascii="宋体" w:hAnsi="宋体" w:cs="宋体" w:eastAsia="宋体" w:hint="default"/>
                <w:sz w:val="21"/>
                <w:szCs w:val="21"/>
              </w:rPr>
            </w:pPr>
            <w:r>
              <w:rPr>
                <w:rFonts w:ascii="宋体" w:hAnsi="宋体" w:cs="宋体" w:eastAsia="宋体" w:hint="default"/>
                <w:sz w:val="21"/>
                <w:szCs w:val="21"/>
              </w:rPr>
              <w:t>刘凯湘</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21"/>
                <w:szCs w:val="21"/>
              </w:rPr>
            </w:pPr>
            <w:r>
              <w:rPr>
                <w:rFonts w:ascii="宋体"/>
                <w:sz w:val="21"/>
              </w:rPr>
              <w:t>8</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21"/>
                <w:szCs w:val="21"/>
              </w:rPr>
            </w:pPr>
            <w:r>
              <w:rPr>
                <w:rFonts w:ascii="宋体"/>
                <w:sz w:val="21"/>
              </w:rPr>
              <w:t>7</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21"/>
                <w:szCs w:val="21"/>
              </w:rPr>
            </w:pPr>
            <w:r>
              <w:rPr>
                <w:rFonts w:ascii="宋体"/>
                <w:sz w:val="21"/>
              </w:rPr>
              <w:t>1</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21"/>
                <w:szCs w:val="21"/>
              </w:rPr>
            </w:pPr>
            <w:r>
              <w:rPr>
                <w:rFonts w:ascii="宋体"/>
                <w:sz w:val="21"/>
              </w:rPr>
              <w:t>0</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45" w:right="0"/>
              <w:jc w:val="left"/>
              <w:rPr>
                <w:rFonts w:ascii="宋体" w:hAnsi="宋体" w:cs="宋体" w:eastAsia="宋体" w:hint="default"/>
                <w:sz w:val="21"/>
                <w:szCs w:val="21"/>
              </w:rPr>
            </w:pPr>
            <w:r>
              <w:rPr>
                <w:rFonts w:ascii="宋体" w:hAnsi="宋体" w:cs="宋体" w:eastAsia="宋体" w:hint="default"/>
                <w:sz w:val="21"/>
                <w:szCs w:val="21"/>
              </w:rPr>
              <w:t>否</w:t>
            </w:r>
          </w:p>
        </w:tc>
      </w:tr>
    </w:tbl>
    <w:p>
      <w:pPr>
        <w:spacing w:line="240" w:lineRule="auto" w:before="1"/>
        <w:rPr>
          <w:rFonts w:ascii="宋体" w:hAnsi="宋体" w:cs="宋体" w:eastAsia="宋体" w:hint="default"/>
          <w:sz w:val="14"/>
          <w:szCs w:val="14"/>
        </w:rPr>
      </w:pPr>
    </w:p>
    <w:p>
      <w:pPr>
        <w:pStyle w:val="Heading2"/>
        <w:spacing w:line="240" w:lineRule="auto" w:before="35"/>
        <w:ind w:left="677" w:right="71"/>
        <w:jc w:val="left"/>
        <w:rPr>
          <w:b w:val="0"/>
          <w:bCs w:val="0"/>
        </w:rPr>
      </w:pPr>
      <w:r>
        <w:rPr/>
        <w:t>四、公司独立性</w:t>
      </w:r>
      <w:r>
        <w:rPr>
          <w:b w:val="0"/>
          <w:bCs w:val="0"/>
        </w:rPr>
      </w:r>
    </w:p>
    <w:p>
      <w:pPr>
        <w:spacing w:line="240" w:lineRule="auto" w:before="9"/>
        <w:rPr>
          <w:rFonts w:ascii="宋体" w:hAnsi="宋体" w:cs="宋体" w:eastAsia="宋体" w:hint="default"/>
          <w:b/>
          <w:bCs/>
          <w:sz w:val="26"/>
          <w:szCs w:val="26"/>
        </w:rPr>
      </w:pPr>
    </w:p>
    <w:p>
      <w:pPr>
        <w:pStyle w:val="BodyText"/>
        <w:spacing w:line="408" w:lineRule="auto"/>
        <w:ind w:left="677" w:right="547" w:firstLine="420"/>
        <w:jc w:val="left"/>
      </w:pPr>
      <w:r>
        <w:rPr>
          <w:spacing w:val="-3"/>
        </w:rPr>
        <w:t>报告期内，公司严格按照《公司法》、《证券法》等有关法律、法规和《公司章程》的</w:t>
      </w:r>
      <w:r>
        <w:rPr/>
        <w:t> 要求规范运作，在业务、人员、资产、机构、财务等方面与公司股东完全分开，具有独立、</w:t>
      </w:r>
    </w:p>
    <w:p>
      <w:pPr>
        <w:spacing w:after="0" w:line="408" w:lineRule="auto"/>
        <w:jc w:val="left"/>
        <w:sectPr>
          <w:footerReference w:type="default" r:id="rId59"/>
          <w:pgSz w:w="11910" w:h="16840"/>
          <w:pgMar w:footer="982" w:header="851" w:top="1300" w:bottom="1180" w:left="1120" w:right="1140"/>
          <w:pgNumType w:start="69"/>
        </w:sectPr>
      </w:pPr>
    </w:p>
    <w:p>
      <w:pPr>
        <w:pStyle w:val="BodyText"/>
        <w:spacing w:line="544" w:lineRule="auto" w:before="114"/>
        <w:ind w:left="617" w:right="3888" w:hanging="481"/>
        <w:jc w:val="left"/>
      </w:pPr>
      <w:r>
        <w:rPr/>
        <w:t>完整的资产和业务及面向市场、自主经营的能力。 1、</w:t>
      </w:r>
      <w:r>
        <w:rPr>
          <w:spacing w:val="-61"/>
        </w:rPr>
        <w:t> </w:t>
      </w:r>
      <w:r>
        <w:rPr/>
        <w:t>业务独立情况</w:t>
      </w:r>
    </w:p>
    <w:p>
      <w:pPr>
        <w:pStyle w:val="BodyText"/>
        <w:spacing w:line="408" w:lineRule="auto" w:before="82"/>
        <w:ind w:right="211" w:firstLine="420"/>
        <w:jc w:val="both"/>
      </w:pPr>
      <w:r>
        <w:rPr>
          <w:spacing w:val="-3"/>
        </w:rPr>
        <w:t>公司业务独立于公司控股股东。作为高科技服务型企业，公司拥有完整独立的研发、运</w:t>
      </w:r>
      <w:r>
        <w:rPr/>
        <w:t> </w:t>
      </w:r>
      <w:r>
        <w:rPr>
          <w:spacing w:val="-3"/>
        </w:rPr>
        <w:t>营、采购和销售系统，具有独立完整的业务体系及面向市场独立经营的能力，不依赖于股东</w:t>
      </w:r>
      <w:r>
        <w:rPr>
          <w:spacing w:val="-72"/>
        </w:rPr>
        <w:t> </w:t>
      </w:r>
      <w:r>
        <w:rPr>
          <w:spacing w:val="-72"/>
        </w:rPr>
      </w:r>
      <w:r>
        <w:rPr/>
        <w:t>或其它任何关联方，也不存在与控股股东之间的同业竞争。</w:t>
      </w:r>
    </w:p>
    <w:p>
      <w:pPr>
        <w:spacing w:line="240" w:lineRule="auto" w:before="6"/>
        <w:rPr>
          <w:rFonts w:ascii="宋体" w:hAnsi="宋体" w:cs="宋体" w:eastAsia="宋体" w:hint="default"/>
          <w:sz w:val="15"/>
          <w:szCs w:val="15"/>
        </w:rPr>
      </w:pPr>
    </w:p>
    <w:p>
      <w:pPr>
        <w:pStyle w:val="BodyText"/>
        <w:spacing w:line="240" w:lineRule="auto"/>
        <w:ind w:left="617" w:right="100"/>
        <w:jc w:val="left"/>
      </w:pPr>
      <w:r>
        <w:rPr/>
        <w:t>2、</w:t>
      </w:r>
      <w:r>
        <w:rPr>
          <w:spacing w:val="-61"/>
        </w:rPr>
        <w:t> </w:t>
      </w:r>
      <w:r>
        <w:rPr/>
        <w:t>人员独立情况</w:t>
      </w:r>
    </w:p>
    <w:p>
      <w:pPr>
        <w:spacing w:line="240" w:lineRule="auto" w:before="9"/>
        <w:rPr>
          <w:rFonts w:ascii="宋体" w:hAnsi="宋体" w:cs="宋体" w:eastAsia="宋体" w:hint="default"/>
          <w:sz w:val="26"/>
          <w:szCs w:val="26"/>
        </w:rPr>
      </w:pPr>
    </w:p>
    <w:p>
      <w:pPr>
        <w:pStyle w:val="BodyText"/>
        <w:spacing w:line="408" w:lineRule="auto"/>
        <w:ind w:right="212" w:firstLine="420"/>
        <w:jc w:val="both"/>
      </w:pPr>
      <w:r>
        <w:rPr>
          <w:spacing w:val="-3"/>
        </w:rPr>
        <w:t>公司人员、劳动人事及工资完全独立。公司总经理、副总经理、董事会秘书、财务负责</w:t>
      </w:r>
      <w:r>
        <w:rPr/>
        <w:t> </w:t>
      </w:r>
      <w:r>
        <w:rPr>
          <w:spacing w:val="-3"/>
        </w:rPr>
        <w:t>人等高级管理人员均在公司及公司控股子公司工作并领取薪酬，未在控股股东及其下属企业</w:t>
      </w:r>
      <w:r>
        <w:rPr>
          <w:spacing w:val="-73"/>
        </w:rPr>
        <w:t> </w:t>
      </w:r>
      <w:r>
        <w:rPr>
          <w:spacing w:val="-73"/>
        </w:rPr>
      </w:r>
      <w:r>
        <w:rPr>
          <w:spacing w:val="-3"/>
        </w:rPr>
        <w:t>担任除董事、监事以外的任何职务和领取报酬；公司财务人员没有在控股股东及其下属企业</w:t>
      </w:r>
      <w:r>
        <w:rPr>
          <w:spacing w:val="-75"/>
        </w:rPr>
        <w:t> </w:t>
      </w:r>
      <w:r>
        <w:rPr>
          <w:spacing w:val="-75"/>
        </w:rPr>
      </w:r>
      <w:r>
        <w:rPr/>
        <w:t>兼职。</w:t>
      </w:r>
    </w:p>
    <w:p>
      <w:pPr>
        <w:spacing w:line="240" w:lineRule="auto" w:before="6"/>
        <w:rPr>
          <w:rFonts w:ascii="宋体" w:hAnsi="宋体" w:cs="宋体" w:eastAsia="宋体" w:hint="default"/>
          <w:sz w:val="15"/>
          <w:szCs w:val="15"/>
        </w:rPr>
      </w:pPr>
    </w:p>
    <w:p>
      <w:pPr>
        <w:pStyle w:val="BodyText"/>
        <w:spacing w:line="240" w:lineRule="auto"/>
        <w:ind w:left="617" w:right="100"/>
        <w:jc w:val="left"/>
      </w:pPr>
      <w:r>
        <w:rPr/>
        <w:t>3、</w:t>
      </w:r>
      <w:r>
        <w:rPr>
          <w:spacing w:val="-61"/>
        </w:rPr>
        <w:t> </w:t>
      </w:r>
      <w:r>
        <w:rPr/>
        <w:t>资产完整情况</w:t>
      </w:r>
    </w:p>
    <w:p>
      <w:pPr>
        <w:spacing w:line="240" w:lineRule="auto" w:before="9"/>
        <w:rPr>
          <w:rFonts w:ascii="宋体" w:hAnsi="宋体" w:cs="宋体" w:eastAsia="宋体" w:hint="default"/>
          <w:sz w:val="26"/>
          <w:szCs w:val="26"/>
        </w:rPr>
      </w:pPr>
    </w:p>
    <w:p>
      <w:pPr>
        <w:pStyle w:val="BodyText"/>
        <w:spacing w:line="408" w:lineRule="auto"/>
        <w:ind w:right="211" w:firstLine="420"/>
        <w:jc w:val="both"/>
      </w:pPr>
      <w:r>
        <w:rPr>
          <w:spacing w:val="-3"/>
        </w:rPr>
        <w:t>公司资产完整，与控股股东产权关系界定清晰，拥有独立的经营系统和配套设施以及商</w:t>
      </w:r>
      <w:r>
        <w:rPr/>
        <w:t> </w:t>
      </w:r>
      <w:r>
        <w:rPr>
          <w:spacing w:val="-3"/>
        </w:rPr>
        <w:t>标（商标申请权）、专利、专有技术、计算机软件著作权等资产。公司没有以其资产为股东</w:t>
      </w:r>
      <w:r>
        <w:rPr>
          <w:spacing w:val="-75"/>
        </w:rPr>
        <w:t> </w:t>
      </w:r>
      <w:r>
        <w:rPr>
          <w:spacing w:val="-75"/>
        </w:rPr>
      </w:r>
      <w:r>
        <w:rPr/>
        <w:t>或个人债务以及其他法人或自然人提供任何形式的担保。</w:t>
      </w:r>
    </w:p>
    <w:p>
      <w:pPr>
        <w:spacing w:line="240" w:lineRule="auto" w:before="6"/>
        <w:rPr>
          <w:rFonts w:ascii="宋体" w:hAnsi="宋体" w:cs="宋体" w:eastAsia="宋体" w:hint="default"/>
          <w:sz w:val="15"/>
          <w:szCs w:val="15"/>
        </w:rPr>
      </w:pPr>
    </w:p>
    <w:p>
      <w:pPr>
        <w:pStyle w:val="BodyText"/>
        <w:spacing w:line="240" w:lineRule="auto"/>
        <w:ind w:left="617" w:right="100"/>
        <w:jc w:val="left"/>
      </w:pPr>
      <w:r>
        <w:rPr/>
        <w:t>4、</w:t>
      </w:r>
      <w:r>
        <w:rPr>
          <w:spacing w:val="-61"/>
        </w:rPr>
        <w:t> </w:t>
      </w:r>
      <w:r>
        <w:rPr/>
        <w:t>机构独立情况</w:t>
      </w:r>
    </w:p>
    <w:p>
      <w:pPr>
        <w:spacing w:line="240" w:lineRule="auto" w:before="9"/>
        <w:rPr>
          <w:rFonts w:ascii="宋体" w:hAnsi="宋体" w:cs="宋体" w:eastAsia="宋体" w:hint="default"/>
          <w:sz w:val="26"/>
          <w:szCs w:val="26"/>
        </w:rPr>
      </w:pPr>
    </w:p>
    <w:p>
      <w:pPr>
        <w:pStyle w:val="BodyText"/>
        <w:spacing w:line="408" w:lineRule="auto"/>
        <w:ind w:right="102" w:firstLine="420"/>
        <w:jc w:val="left"/>
      </w:pPr>
      <w:r>
        <w:rPr>
          <w:spacing w:val="-3"/>
        </w:rPr>
        <w:t>本公司具有独立健全的法人治理结构，董事会、监事会等内部机构独立运作，不存在与</w:t>
      </w:r>
      <w:r>
        <w:rPr/>
        <w:t> </w:t>
      </w:r>
      <w:r>
        <w:rPr>
          <w:spacing w:val="-5"/>
        </w:rPr>
        <w:t>控股股东及其职能部门之间的从属关系。各部门独立履行其职责，负责公司的生产经营活动，</w:t>
      </w:r>
      <w:r>
        <w:rPr>
          <w:spacing w:val="-92"/>
        </w:rPr>
        <w:t> </w:t>
      </w:r>
      <w:r>
        <w:rPr>
          <w:spacing w:val="-92"/>
        </w:rPr>
      </w:r>
      <w:r>
        <w:rPr/>
        <w:t>其履行职能不受控股股东、其他有关部门或单位、个人的干预。</w:t>
      </w:r>
    </w:p>
    <w:p>
      <w:pPr>
        <w:spacing w:line="240" w:lineRule="auto" w:before="6"/>
        <w:rPr>
          <w:rFonts w:ascii="宋体" w:hAnsi="宋体" w:cs="宋体" w:eastAsia="宋体" w:hint="default"/>
          <w:sz w:val="15"/>
          <w:szCs w:val="15"/>
        </w:rPr>
      </w:pPr>
    </w:p>
    <w:p>
      <w:pPr>
        <w:pStyle w:val="BodyText"/>
        <w:spacing w:line="240" w:lineRule="auto"/>
        <w:ind w:left="617" w:right="100"/>
        <w:jc w:val="left"/>
      </w:pPr>
      <w:r>
        <w:rPr/>
        <w:t>5、</w:t>
      </w:r>
      <w:r>
        <w:rPr>
          <w:spacing w:val="-61"/>
        </w:rPr>
        <w:t> </w:t>
      </w:r>
      <w:r>
        <w:rPr/>
        <w:t>财务独立情况</w:t>
      </w:r>
    </w:p>
    <w:p>
      <w:pPr>
        <w:spacing w:line="240" w:lineRule="auto" w:before="9"/>
        <w:rPr>
          <w:rFonts w:ascii="宋体" w:hAnsi="宋体" w:cs="宋体" w:eastAsia="宋体" w:hint="default"/>
          <w:sz w:val="26"/>
          <w:szCs w:val="26"/>
        </w:rPr>
      </w:pPr>
    </w:p>
    <w:p>
      <w:pPr>
        <w:pStyle w:val="BodyText"/>
        <w:spacing w:line="408" w:lineRule="auto"/>
        <w:ind w:right="211" w:firstLine="420"/>
        <w:jc w:val="both"/>
      </w:pPr>
      <w:r>
        <w:rPr>
          <w:spacing w:val="-3"/>
        </w:rPr>
        <w:t>本公司设有独立的财务部门、财务负责人和财务会计工作人员，建立了独立的财务规章</w:t>
      </w:r>
      <w:r>
        <w:rPr/>
        <w:t> </w:t>
      </w:r>
      <w:r>
        <w:rPr>
          <w:spacing w:val="-3"/>
        </w:rPr>
        <w:t>制度和财务核算体系，独立进行财务决策。公司开设了独立的银行账户，依法独立纳税，不</w:t>
      </w:r>
      <w:r>
        <w:rPr>
          <w:spacing w:val="-73"/>
        </w:rPr>
        <w:t> </w:t>
      </w:r>
      <w:r>
        <w:rPr>
          <w:spacing w:val="-73"/>
        </w:rPr>
      </w:r>
      <w:r>
        <w:rPr>
          <w:spacing w:val="-3"/>
        </w:rPr>
        <w:t>存在与股东单位及其关联方共用银行账户的情况，也不存在资金、资产被股东单位及其关联</w:t>
      </w:r>
      <w:r>
        <w:rPr>
          <w:spacing w:val="-75"/>
        </w:rPr>
        <w:t> </w:t>
      </w:r>
      <w:r>
        <w:rPr>
          <w:spacing w:val="-75"/>
        </w:rPr>
      </w:r>
      <w:r>
        <w:rPr/>
        <w:t>方非法占用的情况。</w:t>
      </w:r>
    </w:p>
    <w:p>
      <w:pPr>
        <w:spacing w:line="240" w:lineRule="auto" w:before="6"/>
        <w:rPr>
          <w:rFonts w:ascii="宋体" w:hAnsi="宋体" w:cs="宋体" w:eastAsia="宋体" w:hint="default"/>
          <w:sz w:val="15"/>
          <w:szCs w:val="15"/>
        </w:rPr>
      </w:pPr>
    </w:p>
    <w:p>
      <w:pPr>
        <w:pStyle w:val="Heading2"/>
        <w:spacing w:line="240" w:lineRule="auto"/>
        <w:ind w:left="137" w:right="100"/>
        <w:jc w:val="left"/>
        <w:rPr>
          <w:b w:val="0"/>
          <w:bCs w:val="0"/>
        </w:rPr>
      </w:pPr>
      <w:r>
        <w:rPr/>
        <w:t>五、公司内部控制制度的建立健全情况</w:t>
      </w:r>
      <w:r>
        <w:rPr>
          <w:b w:val="0"/>
          <w:bCs w:val="0"/>
        </w:rPr>
      </w:r>
    </w:p>
    <w:p>
      <w:pPr>
        <w:spacing w:line="240" w:lineRule="auto" w:before="9"/>
        <w:rPr>
          <w:rFonts w:ascii="宋体" w:hAnsi="宋体" w:cs="宋体" w:eastAsia="宋体" w:hint="default"/>
          <w:b/>
          <w:bCs/>
          <w:sz w:val="26"/>
          <w:szCs w:val="26"/>
        </w:rPr>
      </w:pPr>
    </w:p>
    <w:p>
      <w:pPr>
        <w:pStyle w:val="BodyText"/>
        <w:spacing w:line="408" w:lineRule="auto"/>
        <w:ind w:right="124" w:firstLine="420"/>
        <w:jc w:val="both"/>
      </w:pPr>
      <w:r>
        <w:rPr>
          <w:spacing w:val="-3"/>
        </w:rPr>
        <w:t>公司严格按照《公司法》、《证券法》、《深圳证券交易所创业板股票上市规则》以及</w:t>
      </w:r>
      <w:r>
        <w:rPr/>
        <w:t> 中国证监会有关法律法规的要求，不断建立和完善公司治理结构中各层面的内部控制体系，</w:t>
      </w:r>
    </w:p>
    <w:p>
      <w:pPr>
        <w:spacing w:after="0" w:line="408" w:lineRule="auto"/>
        <w:jc w:val="both"/>
        <w:sectPr>
          <w:pgSz w:w="11910" w:h="16840"/>
          <w:pgMar w:header="851" w:footer="982" w:top="1300" w:bottom="1180" w:left="1660" w:right="1580"/>
        </w:sectPr>
      </w:pPr>
    </w:p>
    <w:p>
      <w:pPr>
        <w:pStyle w:val="BodyText"/>
        <w:spacing w:line="408" w:lineRule="auto" w:before="114"/>
        <w:ind w:right="211"/>
        <w:jc w:val="both"/>
      </w:pPr>
      <w:r>
        <w:rPr>
          <w:spacing w:val="-3"/>
        </w:rPr>
        <w:t>包括法人治理、生产经营、财务管理、行政及人力资源管理、信息披露、投资者关系等。通</w:t>
      </w:r>
      <w:r>
        <w:rPr>
          <w:spacing w:val="-75"/>
        </w:rPr>
        <w:t> </w:t>
      </w:r>
      <w:r>
        <w:rPr>
          <w:spacing w:val="-75"/>
        </w:rPr>
      </w:r>
      <w:r>
        <w:rPr>
          <w:spacing w:val="-3"/>
        </w:rPr>
        <w:t>过对公司各项治理制度的规范和落实，有效的保证了公司经营效益水平的不断提升和战略目</w:t>
      </w:r>
      <w:r>
        <w:rPr>
          <w:spacing w:val="-73"/>
        </w:rPr>
        <w:t> </w:t>
      </w:r>
      <w:r>
        <w:rPr>
          <w:spacing w:val="-73"/>
        </w:rPr>
      </w:r>
      <w:r>
        <w:rPr/>
        <w:t>标的实现。</w:t>
      </w:r>
    </w:p>
    <w:p>
      <w:pPr>
        <w:spacing w:line="240" w:lineRule="auto" w:before="6"/>
        <w:rPr>
          <w:rFonts w:ascii="宋体" w:hAnsi="宋体" w:cs="宋体" w:eastAsia="宋体" w:hint="default"/>
          <w:sz w:val="15"/>
          <w:szCs w:val="15"/>
        </w:rPr>
      </w:pPr>
    </w:p>
    <w:p>
      <w:pPr>
        <w:pStyle w:val="BodyText"/>
        <w:spacing w:line="240" w:lineRule="auto"/>
        <w:ind w:left="543" w:right="100"/>
        <w:jc w:val="left"/>
      </w:pPr>
      <w:r>
        <w:rPr>
          <w:rFonts w:ascii="Times New Roman" w:hAnsi="Times New Roman" w:cs="Times New Roman" w:eastAsia="Times New Roman" w:hint="default"/>
        </w:rPr>
        <w:t>1</w:t>
      </w:r>
      <w:r>
        <w:rPr/>
        <w:t>、</w:t>
      </w:r>
      <w:r>
        <w:rPr>
          <w:spacing w:val="-61"/>
        </w:rPr>
        <w:t> </w:t>
      </w:r>
      <w:r>
        <w:rPr/>
        <w:t>对控股子公司的管理控制</w:t>
      </w:r>
    </w:p>
    <w:p>
      <w:pPr>
        <w:spacing w:line="240" w:lineRule="auto" w:before="6"/>
        <w:rPr>
          <w:rFonts w:ascii="宋体" w:hAnsi="宋体" w:cs="宋体" w:eastAsia="宋体" w:hint="default"/>
          <w:sz w:val="25"/>
          <w:szCs w:val="25"/>
        </w:rPr>
      </w:pPr>
    </w:p>
    <w:p>
      <w:pPr>
        <w:pStyle w:val="BodyText"/>
        <w:spacing w:line="408" w:lineRule="auto"/>
        <w:ind w:right="102" w:firstLine="420"/>
        <w:jc w:val="left"/>
      </w:pPr>
      <w:r>
        <w:rPr>
          <w:spacing w:val="-6"/>
        </w:rPr>
        <w:t>公司制定了《控股子公司管理制度》对子公司进行管理和控制。财务方面实行垂直管理，</w:t>
      </w:r>
      <w:r>
        <w:rPr/>
        <w:t> </w:t>
      </w:r>
      <w:r>
        <w:rPr>
          <w:spacing w:val="-5"/>
        </w:rPr>
        <w:t>总部统一核算，重大事项实时报备，及时掌握子公司最新动态从而实现对分公司的有效控制。</w:t>
      </w:r>
    </w:p>
    <w:p>
      <w:pPr>
        <w:spacing w:line="240" w:lineRule="auto" w:before="6"/>
        <w:rPr>
          <w:rFonts w:ascii="宋体" w:hAnsi="宋体" w:cs="宋体" w:eastAsia="宋体" w:hint="default"/>
          <w:sz w:val="15"/>
          <w:szCs w:val="15"/>
        </w:rPr>
      </w:pPr>
    </w:p>
    <w:p>
      <w:pPr>
        <w:pStyle w:val="BodyText"/>
        <w:spacing w:line="240" w:lineRule="auto"/>
        <w:ind w:left="543" w:right="100"/>
        <w:jc w:val="left"/>
      </w:pPr>
      <w:r>
        <w:rPr>
          <w:rFonts w:ascii="Times New Roman" w:hAnsi="Times New Roman" w:cs="Times New Roman" w:eastAsia="Times New Roman" w:hint="default"/>
        </w:rPr>
        <w:t>2</w:t>
      </w:r>
      <w:r>
        <w:rPr/>
        <w:t>、</w:t>
      </w:r>
      <w:r>
        <w:rPr>
          <w:spacing w:val="-61"/>
        </w:rPr>
        <w:t> </w:t>
      </w:r>
      <w:r>
        <w:rPr/>
        <w:t>关联交易的内部控制</w:t>
      </w:r>
    </w:p>
    <w:p>
      <w:pPr>
        <w:spacing w:line="240" w:lineRule="auto" w:before="6"/>
        <w:rPr>
          <w:rFonts w:ascii="宋体" w:hAnsi="宋体" w:cs="宋体" w:eastAsia="宋体" w:hint="default"/>
          <w:sz w:val="25"/>
          <w:szCs w:val="25"/>
        </w:rPr>
      </w:pPr>
    </w:p>
    <w:p>
      <w:pPr>
        <w:pStyle w:val="BodyText"/>
        <w:spacing w:line="408" w:lineRule="auto"/>
        <w:ind w:right="107" w:firstLine="420"/>
        <w:jc w:val="left"/>
      </w:pPr>
      <w:r>
        <w:rPr>
          <w:spacing w:val="-3"/>
        </w:rPr>
        <w:t>公司已制定了《关联交易决策制度》，明确关联交易的内容和定价原则，严格关联交易</w:t>
      </w:r>
      <w:r>
        <w:rPr/>
        <w:t> 的决策程序和审批权限，做到了关联交易的公平和公允性，有效地维护股东和公司的利益。</w:t>
      </w:r>
    </w:p>
    <w:p>
      <w:pPr>
        <w:spacing w:line="240" w:lineRule="auto" w:before="6"/>
        <w:rPr>
          <w:rFonts w:ascii="宋体" w:hAnsi="宋体" w:cs="宋体" w:eastAsia="宋体" w:hint="default"/>
          <w:sz w:val="15"/>
          <w:szCs w:val="15"/>
        </w:rPr>
      </w:pPr>
    </w:p>
    <w:p>
      <w:pPr>
        <w:pStyle w:val="BodyText"/>
        <w:spacing w:line="240" w:lineRule="auto"/>
        <w:ind w:left="543" w:right="100"/>
        <w:jc w:val="left"/>
      </w:pPr>
      <w:r>
        <w:rPr>
          <w:rFonts w:ascii="Times New Roman" w:hAnsi="Times New Roman" w:cs="Times New Roman" w:eastAsia="Times New Roman" w:hint="default"/>
        </w:rPr>
        <w:t>3</w:t>
      </w:r>
      <w:r>
        <w:rPr/>
        <w:t>、</w:t>
      </w:r>
      <w:r>
        <w:rPr>
          <w:spacing w:val="-61"/>
        </w:rPr>
        <w:t> </w:t>
      </w:r>
      <w:r>
        <w:rPr/>
        <w:t>对外担保的内部控制</w:t>
      </w:r>
    </w:p>
    <w:p>
      <w:pPr>
        <w:spacing w:line="240" w:lineRule="auto" w:before="6"/>
        <w:rPr>
          <w:rFonts w:ascii="宋体" w:hAnsi="宋体" w:cs="宋体" w:eastAsia="宋体" w:hint="default"/>
          <w:sz w:val="25"/>
          <w:szCs w:val="25"/>
        </w:rPr>
      </w:pPr>
    </w:p>
    <w:p>
      <w:pPr>
        <w:pStyle w:val="BodyText"/>
        <w:spacing w:line="408" w:lineRule="auto"/>
        <w:ind w:right="107" w:firstLine="420"/>
        <w:jc w:val="left"/>
      </w:pPr>
      <w:r>
        <w:rPr/>
        <w:t>公司已根据《中华人民共和国公司法》、《中华人民共和国担保法》和其他相关法律、 </w:t>
      </w:r>
      <w:r>
        <w:rPr>
          <w:spacing w:val="-3"/>
        </w:rPr>
        <w:t>法规的规定以及《北京神州泰岳软件股份有限公司章程》制定《对外担保制度》，以规范公</w:t>
      </w:r>
      <w:r>
        <w:rPr>
          <w:spacing w:val="-78"/>
        </w:rPr>
        <w:t> </w:t>
      </w:r>
      <w:r>
        <w:rPr>
          <w:spacing w:val="-78"/>
        </w:rPr>
      </w:r>
      <w:r>
        <w:rPr/>
        <w:t>司的对外担保行为，控制公司资产运营风险。报告期内，公司没有发生对外担保事项。</w:t>
      </w:r>
    </w:p>
    <w:p>
      <w:pPr>
        <w:spacing w:line="240" w:lineRule="auto" w:before="6"/>
        <w:rPr>
          <w:rFonts w:ascii="宋体" w:hAnsi="宋体" w:cs="宋体" w:eastAsia="宋体" w:hint="default"/>
          <w:sz w:val="15"/>
          <w:szCs w:val="15"/>
        </w:rPr>
      </w:pPr>
    </w:p>
    <w:p>
      <w:pPr>
        <w:pStyle w:val="BodyText"/>
        <w:spacing w:line="240" w:lineRule="auto"/>
        <w:ind w:left="542" w:right="100"/>
        <w:jc w:val="left"/>
      </w:pPr>
      <w:r>
        <w:rPr>
          <w:rFonts w:ascii="Times New Roman" w:hAnsi="Times New Roman" w:cs="Times New Roman" w:eastAsia="Times New Roman" w:hint="default"/>
        </w:rPr>
        <w:t>4</w:t>
      </w:r>
      <w:r>
        <w:rPr/>
        <w:t>、</w:t>
      </w:r>
      <w:r>
        <w:rPr>
          <w:spacing w:val="-61"/>
        </w:rPr>
        <w:t> </w:t>
      </w:r>
      <w:r>
        <w:rPr/>
        <w:t>重大投资的内部控制</w:t>
      </w:r>
    </w:p>
    <w:p>
      <w:pPr>
        <w:spacing w:line="240" w:lineRule="auto" w:before="6"/>
        <w:rPr>
          <w:rFonts w:ascii="宋体" w:hAnsi="宋体" w:cs="宋体" w:eastAsia="宋体" w:hint="default"/>
          <w:sz w:val="25"/>
          <w:szCs w:val="25"/>
        </w:rPr>
      </w:pPr>
    </w:p>
    <w:p>
      <w:pPr>
        <w:pStyle w:val="BodyText"/>
        <w:spacing w:line="240" w:lineRule="auto"/>
        <w:ind w:left="557" w:right="0"/>
        <w:jc w:val="left"/>
      </w:pPr>
      <w:r>
        <w:rPr/>
        <w:t>公司</w:t>
      </w:r>
      <w:r>
        <w:rPr>
          <w:spacing w:val="-2"/>
        </w:rPr>
        <w:t>的</w:t>
      </w:r>
      <w:r>
        <w:rPr/>
        <w:t>重大投资决策在严格遵守国家法律</w:t>
      </w:r>
      <w:r>
        <w:rPr>
          <w:spacing w:val="-101"/>
        </w:rPr>
        <w:t>、</w:t>
      </w:r>
      <w:r>
        <w:rPr/>
        <w:t>法规和相关规定的前提下</w:t>
      </w:r>
      <w:r>
        <w:rPr>
          <w:spacing w:val="-101"/>
        </w:rPr>
        <w:t>，</w:t>
      </w:r>
      <w:r>
        <w:rPr/>
        <w:t>依</w:t>
      </w:r>
      <w:r>
        <w:rPr>
          <w:spacing w:val="-101"/>
        </w:rPr>
        <w:t>照</w:t>
      </w:r>
      <w:r>
        <w:rPr/>
        <w:t>《公司章程</w:t>
      </w:r>
      <w:r>
        <w:rPr>
          <w:spacing w:val="-101"/>
        </w:rPr>
        <w:t>》</w:t>
      </w:r>
      <w:r>
        <w:rPr/>
        <w:t>、</w:t>
      </w:r>
    </w:p>
    <w:p>
      <w:pPr>
        <w:spacing w:line="240" w:lineRule="auto" w:before="10"/>
        <w:rPr>
          <w:rFonts w:ascii="宋体" w:hAnsi="宋体" w:cs="宋体" w:eastAsia="宋体" w:hint="default"/>
          <w:sz w:val="14"/>
          <w:szCs w:val="14"/>
        </w:rPr>
      </w:pPr>
    </w:p>
    <w:p>
      <w:pPr>
        <w:pStyle w:val="BodyText"/>
        <w:spacing w:line="408" w:lineRule="auto"/>
        <w:ind w:right="213"/>
        <w:jc w:val="both"/>
      </w:pPr>
      <w:r>
        <w:rPr>
          <w:spacing w:val="-3"/>
        </w:rPr>
        <w:t>《非日常经营决策制度》等相关的权限规定由总经理、董事会或股东大会依据各自权限批准</w:t>
      </w:r>
      <w:r>
        <w:rPr>
          <w:spacing w:val="-75"/>
        </w:rPr>
        <w:t> </w:t>
      </w:r>
      <w:r>
        <w:rPr>
          <w:spacing w:val="-75"/>
        </w:rPr>
      </w:r>
      <w:r>
        <w:rPr/>
        <w:t>执行，程序清晰，职责明确。</w:t>
      </w:r>
    </w:p>
    <w:p>
      <w:pPr>
        <w:spacing w:line="240" w:lineRule="auto" w:before="6"/>
        <w:rPr>
          <w:rFonts w:ascii="宋体" w:hAnsi="宋体" w:cs="宋体" w:eastAsia="宋体" w:hint="default"/>
          <w:sz w:val="15"/>
          <w:szCs w:val="15"/>
        </w:rPr>
      </w:pPr>
    </w:p>
    <w:p>
      <w:pPr>
        <w:pStyle w:val="BodyText"/>
        <w:spacing w:line="240" w:lineRule="auto"/>
        <w:ind w:left="542" w:right="100"/>
        <w:jc w:val="left"/>
      </w:pPr>
      <w:r>
        <w:rPr>
          <w:rFonts w:ascii="Times New Roman" w:hAnsi="Times New Roman" w:cs="Times New Roman" w:eastAsia="Times New Roman" w:hint="default"/>
        </w:rPr>
        <w:t>5</w:t>
      </w:r>
      <w:r>
        <w:rPr/>
        <w:t>、</w:t>
      </w:r>
      <w:r>
        <w:rPr>
          <w:spacing w:val="-61"/>
        </w:rPr>
        <w:t> </w:t>
      </w:r>
      <w:r>
        <w:rPr/>
        <w:t>募集资金使用的内部控制</w:t>
      </w:r>
    </w:p>
    <w:p>
      <w:pPr>
        <w:spacing w:line="240" w:lineRule="auto" w:before="6"/>
        <w:rPr>
          <w:rFonts w:ascii="宋体" w:hAnsi="宋体" w:cs="宋体" w:eastAsia="宋体" w:hint="default"/>
          <w:sz w:val="25"/>
          <w:szCs w:val="25"/>
        </w:rPr>
      </w:pPr>
    </w:p>
    <w:p>
      <w:pPr>
        <w:pStyle w:val="BodyText"/>
        <w:spacing w:line="408" w:lineRule="auto"/>
        <w:ind w:left="136" w:right="211" w:firstLine="420"/>
        <w:jc w:val="both"/>
      </w:pPr>
      <w:r>
        <w:rPr>
          <w:spacing w:val="-3"/>
        </w:rPr>
        <w:t>公司于2010年10月14日第四届董事会第六次会议对《募集资金管理及使用制度》进行修</w:t>
      </w:r>
      <w:r>
        <w:rPr/>
        <w:t> </w:t>
      </w:r>
      <w:r>
        <w:rPr>
          <w:spacing w:val="-3"/>
        </w:rPr>
        <w:t>订完善，对募集资金的存放、使用、监管制定了严格的规定。募集资金专款专用，严格禁止</w:t>
      </w:r>
      <w:r>
        <w:rPr>
          <w:spacing w:val="-78"/>
        </w:rPr>
        <w:t> </w:t>
      </w:r>
      <w:r>
        <w:rPr>
          <w:spacing w:val="-78"/>
        </w:rPr>
      </w:r>
      <w:r>
        <w:rPr>
          <w:spacing w:val="-3"/>
        </w:rPr>
        <w:t>将募集资金用于委托理财、质押贷款、抵押贷款、委托贷款或其他变相改变募集资金用途的</w:t>
      </w:r>
      <w:r>
        <w:rPr>
          <w:spacing w:val="-72"/>
        </w:rPr>
        <w:t> </w:t>
      </w:r>
      <w:r>
        <w:rPr>
          <w:spacing w:val="-72"/>
        </w:rPr>
      </w:r>
      <w:r>
        <w:rPr/>
        <w:t>投资。禁止对公司有实际控制权的个人、法人或其他组织及其关联人占用募集资金。</w:t>
      </w:r>
    </w:p>
    <w:p>
      <w:pPr>
        <w:spacing w:line="240" w:lineRule="auto" w:before="6"/>
        <w:rPr>
          <w:rFonts w:ascii="宋体" w:hAnsi="宋体" w:cs="宋体" w:eastAsia="宋体" w:hint="default"/>
          <w:sz w:val="15"/>
          <w:szCs w:val="15"/>
        </w:rPr>
      </w:pPr>
    </w:p>
    <w:p>
      <w:pPr>
        <w:pStyle w:val="BodyText"/>
        <w:spacing w:line="240" w:lineRule="auto"/>
        <w:ind w:left="542" w:right="100"/>
        <w:jc w:val="left"/>
      </w:pPr>
      <w:r>
        <w:rPr>
          <w:rFonts w:ascii="Times New Roman" w:hAnsi="Times New Roman" w:cs="Times New Roman" w:eastAsia="Times New Roman" w:hint="default"/>
        </w:rPr>
        <w:t>6</w:t>
      </w:r>
      <w:r>
        <w:rPr/>
        <w:t>、</w:t>
      </w:r>
      <w:r>
        <w:rPr>
          <w:spacing w:val="-61"/>
        </w:rPr>
        <w:t> </w:t>
      </w:r>
      <w:r>
        <w:rPr/>
        <w:t>信息披露的内部控制</w:t>
      </w:r>
    </w:p>
    <w:p>
      <w:pPr>
        <w:spacing w:line="240" w:lineRule="auto" w:before="6"/>
        <w:rPr>
          <w:rFonts w:ascii="宋体" w:hAnsi="宋体" w:cs="宋体" w:eastAsia="宋体" w:hint="default"/>
          <w:sz w:val="25"/>
          <w:szCs w:val="25"/>
        </w:rPr>
      </w:pPr>
    </w:p>
    <w:p>
      <w:pPr>
        <w:pStyle w:val="BodyText"/>
        <w:spacing w:line="408" w:lineRule="auto"/>
        <w:ind w:left="136" w:right="211" w:firstLine="420"/>
        <w:jc w:val="both"/>
      </w:pPr>
      <w:r>
        <w:rPr>
          <w:spacing w:val="-3"/>
        </w:rPr>
        <w:t>公司目前已经制订了《投资者关系工作管理制度》、《信息披露管理办法》、《重大信</w:t>
      </w:r>
      <w:r>
        <w:rPr/>
        <w:t> </w:t>
      </w:r>
      <w:r>
        <w:rPr>
          <w:spacing w:val="-3"/>
        </w:rPr>
        <w:t>息内部报告制度》、《内幕信息知情人登记制度》、《外部信息使用人管理制度》等信息披</w:t>
      </w:r>
      <w:r>
        <w:rPr>
          <w:spacing w:val="-75"/>
        </w:rPr>
        <w:t> </w:t>
      </w:r>
      <w:r>
        <w:rPr>
          <w:spacing w:val="-75"/>
        </w:rPr>
      </w:r>
      <w:r>
        <w:rPr>
          <w:spacing w:val="-3"/>
        </w:rPr>
        <w:t>露制度。公司按照相关规定，主动披露对公司的生产经营可能产生重大影响，对公司股价有</w:t>
      </w:r>
    </w:p>
    <w:p>
      <w:pPr>
        <w:spacing w:after="0" w:line="408" w:lineRule="auto"/>
        <w:jc w:val="both"/>
        <w:sectPr>
          <w:pgSz w:w="11910" w:h="16840"/>
          <w:pgMar w:header="851" w:footer="982" w:top="1300" w:bottom="1180" w:left="1660" w:right="1580"/>
        </w:sectPr>
      </w:pPr>
    </w:p>
    <w:p>
      <w:pPr>
        <w:pStyle w:val="BodyText"/>
        <w:spacing w:line="408" w:lineRule="auto" w:before="114"/>
        <w:ind w:right="211"/>
        <w:jc w:val="both"/>
      </w:pPr>
      <w:r>
        <w:rPr>
          <w:spacing w:val="-3"/>
        </w:rPr>
        <w:t>重大影响的信息，确保投资者平等获得信息的权利，提高公司透明度。不断加强公司与投资</w:t>
      </w:r>
      <w:r>
        <w:rPr>
          <w:spacing w:val="-72"/>
        </w:rPr>
        <w:t> </w:t>
      </w:r>
      <w:r>
        <w:rPr>
          <w:spacing w:val="-72"/>
        </w:rPr>
      </w:r>
      <w:r>
        <w:rPr>
          <w:spacing w:val="-3"/>
        </w:rPr>
        <w:t>者之间的信息交流，使投资者能够全面、完整、真实、准确、及时、公平地了解和掌握公司</w:t>
      </w:r>
      <w:r>
        <w:rPr>
          <w:spacing w:val="-75"/>
        </w:rPr>
        <w:t> </w:t>
      </w:r>
      <w:r>
        <w:rPr>
          <w:spacing w:val="-75"/>
        </w:rPr>
      </w:r>
      <w:r>
        <w:rPr/>
        <w:t>的经营状况。</w:t>
      </w:r>
    </w:p>
    <w:p>
      <w:pPr>
        <w:spacing w:line="240" w:lineRule="auto" w:before="6"/>
        <w:rPr>
          <w:rFonts w:ascii="宋体" w:hAnsi="宋体" w:cs="宋体" w:eastAsia="宋体" w:hint="default"/>
          <w:sz w:val="15"/>
          <w:szCs w:val="15"/>
        </w:rPr>
      </w:pPr>
    </w:p>
    <w:p>
      <w:pPr>
        <w:pStyle w:val="BodyText"/>
        <w:spacing w:line="240" w:lineRule="auto"/>
        <w:ind w:left="543" w:right="100"/>
        <w:jc w:val="left"/>
      </w:pPr>
      <w:r>
        <w:rPr>
          <w:rFonts w:ascii="Times New Roman" w:hAnsi="Times New Roman" w:cs="Times New Roman" w:eastAsia="Times New Roman" w:hint="default"/>
        </w:rPr>
        <w:t>7</w:t>
      </w:r>
      <w:r>
        <w:rPr/>
        <w:t>、</w:t>
      </w:r>
      <w:r>
        <w:rPr>
          <w:spacing w:val="-61"/>
        </w:rPr>
        <w:t> </w:t>
      </w:r>
      <w:r>
        <w:rPr/>
        <w:t>财务管理的内部控制</w:t>
      </w:r>
    </w:p>
    <w:p>
      <w:pPr>
        <w:spacing w:line="240" w:lineRule="auto" w:before="6"/>
        <w:rPr>
          <w:rFonts w:ascii="宋体" w:hAnsi="宋体" w:cs="宋体" w:eastAsia="宋体" w:hint="default"/>
          <w:sz w:val="25"/>
          <w:szCs w:val="25"/>
        </w:rPr>
      </w:pPr>
    </w:p>
    <w:p>
      <w:pPr>
        <w:pStyle w:val="BodyText"/>
        <w:spacing w:line="408" w:lineRule="auto"/>
        <w:ind w:right="211" w:firstLine="420"/>
        <w:jc w:val="both"/>
      </w:pPr>
      <w:r>
        <w:rPr>
          <w:spacing w:val="-3"/>
        </w:rPr>
        <w:t>公司建立了独立的财务核算体系和财务管理制度，独立做出财务决策，公司的资金使用</w:t>
      </w:r>
      <w:r>
        <w:rPr/>
        <w:t> </w:t>
      </w:r>
      <w:r>
        <w:rPr>
          <w:spacing w:val="-3"/>
        </w:rPr>
        <w:t>由公司管理层在董事会或股东大会授权范围内做出决策，不存在控股股东干预公司资金使用</w:t>
      </w:r>
      <w:r>
        <w:rPr>
          <w:spacing w:val="-73"/>
        </w:rPr>
        <w:t> </w:t>
      </w:r>
      <w:r>
        <w:rPr>
          <w:spacing w:val="-73"/>
        </w:rPr>
      </w:r>
      <w:r>
        <w:rPr>
          <w:spacing w:val="-3"/>
        </w:rPr>
        <w:t>的情况。公司按《会计法》、《企业会计准则》等有关规定和公司的实际情况，建立了会计</w:t>
      </w:r>
      <w:r>
        <w:rPr>
          <w:spacing w:val="-78"/>
        </w:rPr>
        <w:t> </w:t>
      </w:r>
      <w:r>
        <w:rPr>
          <w:spacing w:val="-78"/>
        </w:rPr>
      </w:r>
      <w:r>
        <w:rPr>
          <w:spacing w:val="-3"/>
        </w:rPr>
        <w:t>核算体系，以保证公司会计核算的真实性和完整性。公司设立独立的财务部门，配备了专职</w:t>
      </w:r>
      <w:r>
        <w:rPr>
          <w:spacing w:val="-72"/>
        </w:rPr>
        <w:t> </w:t>
      </w:r>
      <w:r>
        <w:rPr>
          <w:spacing w:val="-72"/>
        </w:rPr>
      </w:r>
      <w:r>
        <w:rPr>
          <w:spacing w:val="-3"/>
        </w:rPr>
        <w:t>财务人员有效运行，各岗位有合理的分工和相应的职责权限。授权、签章等内部控制环节均</w:t>
      </w:r>
      <w:r>
        <w:rPr>
          <w:spacing w:val="-74"/>
        </w:rPr>
        <w:t> </w:t>
      </w:r>
      <w:r>
        <w:rPr>
          <w:spacing w:val="-74"/>
        </w:rPr>
      </w:r>
      <w:r>
        <w:rPr/>
        <w:t>有效执行。</w:t>
      </w:r>
    </w:p>
    <w:p>
      <w:pPr>
        <w:spacing w:line="240" w:lineRule="auto" w:before="6"/>
        <w:rPr>
          <w:rFonts w:ascii="宋体" w:hAnsi="宋体" w:cs="宋体" w:eastAsia="宋体" w:hint="default"/>
          <w:sz w:val="15"/>
          <w:szCs w:val="15"/>
        </w:rPr>
      </w:pPr>
    </w:p>
    <w:p>
      <w:pPr>
        <w:pStyle w:val="BodyText"/>
        <w:spacing w:line="408" w:lineRule="auto"/>
        <w:ind w:right="211" w:firstLine="420"/>
        <w:jc w:val="both"/>
      </w:pPr>
      <w:r>
        <w:rPr>
          <w:spacing w:val="-3"/>
        </w:rPr>
        <w:t>公司设立内审部，向董事会审计委员会报告工作。内审部配有专职的审计人员，制订并</w:t>
      </w:r>
      <w:r>
        <w:rPr/>
        <w:t> </w:t>
      </w:r>
      <w:r>
        <w:rPr>
          <w:spacing w:val="-3"/>
        </w:rPr>
        <w:t>严格执行《内部审计制度》，对本公司各内部机构、控股子公司以及具有重大影响的参股公</w:t>
      </w:r>
      <w:r>
        <w:rPr>
          <w:spacing w:val="-75"/>
        </w:rPr>
        <w:t> </w:t>
      </w:r>
      <w:r>
        <w:rPr>
          <w:spacing w:val="-75"/>
        </w:rPr>
      </w:r>
      <w:r>
        <w:rPr>
          <w:spacing w:val="-3"/>
        </w:rPr>
        <w:t>司的内部控制制度的完整性、合理性及其实施的有效性进行检查和评估，以及对本公司各内</w:t>
      </w:r>
      <w:r>
        <w:rPr>
          <w:spacing w:val="-75"/>
        </w:rPr>
        <w:t> </w:t>
      </w:r>
      <w:r>
        <w:rPr>
          <w:spacing w:val="-75"/>
        </w:rPr>
      </w:r>
      <w:r>
        <w:rPr>
          <w:spacing w:val="-3"/>
        </w:rPr>
        <w:t>部机构、控股子公司以及具有重大影响的参股公司的会计资料及其他有关经济资料，以及所</w:t>
      </w:r>
      <w:r>
        <w:rPr>
          <w:spacing w:val="-75"/>
        </w:rPr>
        <w:t> </w:t>
      </w:r>
      <w:r>
        <w:rPr>
          <w:spacing w:val="-75"/>
        </w:rPr>
      </w:r>
      <w:r>
        <w:rPr/>
        <w:t>反映的财务收支及有关的经济活动的合法性、合规性、真实性和完整性进行审计。</w:t>
      </w:r>
    </w:p>
    <w:p>
      <w:pPr>
        <w:spacing w:line="477" w:lineRule="auto" w:before="124"/>
        <w:ind w:left="557" w:right="100" w:hanging="420"/>
        <w:jc w:val="left"/>
        <w:rPr>
          <w:rFonts w:ascii="宋体" w:hAnsi="宋体" w:cs="宋体" w:eastAsia="宋体" w:hint="default"/>
          <w:sz w:val="21"/>
          <w:szCs w:val="21"/>
        </w:rPr>
      </w:pPr>
      <w:r>
        <w:rPr>
          <w:rFonts w:ascii="宋体" w:hAnsi="宋体" w:cs="宋体" w:eastAsia="宋体" w:hint="default"/>
          <w:b/>
          <w:bCs/>
          <w:sz w:val="21"/>
          <w:szCs w:val="21"/>
        </w:rPr>
        <w:t>六、高级管理人员的考评及激励情况</w:t>
      </w:r>
      <w:r>
        <w:rPr>
          <w:rFonts w:ascii="宋体" w:hAnsi="宋体" w:cs="宋体" w:eastAsia="宋体" w:hint="default"/>
          <w:b/>
          <w:bCs/>
          <w:w w:val="99"/>
          <w:sz w:val="21"/>
          <w:szCs w:val="21"/>
        </w:rPr>
        <w:t> </w:t>
      </w:r>
      <w:r>
        <w:rPr>
          <w:rFonts w:ascii="宋体" w:hAnsi="宋体" w:cs="宋体" w:eastAsia="宋体" w:hint="default"/>
          <w:spacing w:val="-3"/>
          <w:sz w:val="21"/>
          <w:szCs w:val="21"/>
        </w:rPr>
        <w:t>公司高管多为公司股东，与股东利益的取向是一致的。同时，公司建立了较为完善的高</w:t>
      </w:r>
    </w:p>
    <w:p>
      <w:pPr>
        <w:pStyle w:val="BodyText"/>
        <w:spacing w:line="260" w:lineRule="exact"/>
        <w:ind w:right="0"/>
        <w:jc w:val="both"/>
      </w:pPr>
      <w:r>
        <w:rPr>
          <w:spacing w:val="-3"/>
        </w:rPr>
        <w:t>级管理人员绩效考评体系，对公司高管的业绩完成情况进行考核，以促使公司高管人员勤勉</w:t>
      </w:r>
    </w:p>
    <w:p>
      <w:pPr>
        <w:spacing w:line="240" w:lineRule="auto" w:before="10"/>
        <w:rPr>
          <w:rFonts w:ascii="宋体" w:hAnsi="宋体" w:cs="宋体" w:eastAsia="宋体" w:hint="default"/>
          <w:sz w:val="14"/>
          <w:szCs w:val="14"/>
        </w:rPr>
      </w:pPr>
    </w:p>
    <w:p>
      <w:pPr>
        <w:pStyle w:val="BodyText"/>
        <w:spacing w:line="477" w:lineRule="auto"/>
        <w:ind w:right="527"/>
        <w:jc w:val="left"/>
        <w:rPr>
          <w:rFonts w:ascii="宋体" w:hAnsi="宋体" w:cs="宋体" w:eastAsia="宋体" w:hint="default"/>
        </w:rPr>
      </w:pPr>
      <w:r>
        <w:rPr/>
        <w:t>尽责,恪守职责,努力完成和超额完成公司制定的各项任务，进而实现股东价值最大化。 </w:t>
      </w:r>
      <w:r>
        <w:rPr>
          <w:rFonts w:ascii="宋体" w:hAnsi="宋体" w:cs="宋体" w:eastAsia="宋体" w:hint="default"/>
          <w:b/>
          <w:bCs/>
        </w:rPr>
        <w:t>七、公司治理活动情况</w:t>
      </w:r>
      <w:r>
        <w:rPr>
          <w:rFonts w:ascii="宋体" w:hAnsi="宋体" w:cs="宋体" w:eastAsia="宋体" w:hint="default"/>
        </w:rPr>
      </w:r>
    </w:p>
    <w:p>
      <w:pPr>
        <w:pStyle w:val="BodyText"/>
        <w:spacing w:line="408" w:lineRule="auto" w:before="63"/>
        <w:ind w:right="212" w:firstLine="420"/>
        <w:jc w:val="both"/>
      </w:pPr>
      <w:r>
        <w:rPr/>
        <w:t>公司于2010年5月开始深入开展上市公司治理专项活动，董事会秘书负责组织与协调， </w:t>
      </w:r>
      <w:r>
        <w:rPr>
          <w:spacing w:val="-3"/>
        </w:rPr>
        <w:t>在公司内部成立了治理专项活动领导小组和工作小组，董事长作为领导小组组长，高度重视</w:t>
      </w:r>
      <w:r>
        <w:rPr>
          <w:spacing w:val="-75"/>
        </w:rPr>
        <w:t> </w:t>
      </w:r>
      <w:r>
        <w:rPr>
          <w:spacing w:val="-75"/>
        </w:rPr>
      </w:r>
      <w:r>
        <w:rPr/>
        <w:t>此项工作，认真研究，严格督促治理专项活动按计划顺利实施。</w:t>
      </w:r>
    </w:p>
    <w:p>
      <w:pPr>
        <w:spacing w:line="240" w:lineRule="auto" w:before="6"/>
        <w:rPr>
          <w:rFonts w:ascii="宋体" w:hAnsi="宋体" w:cs="宋体" w:eastAsia="宋体" w:hint="default"/>
          <w:sz w:val="15"/>
          <w:szCs w:val="15"/>
        </w:rPr>
      </w:pPr>
    </w:p>
    <w:p>
      <w:pPr>
        <w:pStyle w:val="BodyText"/>
        <w:spacing w:line="408" w:lineRule="auto"/>
        <w:ind w:right="109" w:firstLine="420"/>
        <w:jc w:val="both"/>
      </w:pPr>
      <w:r>
        <w:rPr>
          <w:spacing w:val="-3"/>
        </w:rPr>
        <w:t>活动共分自查阶段、公众评议阶段、整改提高阶段等三个阶段，在北京证监局的指导和</w:t>
      </w:r>
      <w:r>
        <w:rPr/>
        <w:t> </w:t>
      </w:r>
      <w:r>
        <w:rPr>
          <w:spacing w:val="-3"/>
        </w:rPr>
        <w:t>社会公众的监督下，按照中国证监会要求完成了公司治理专项活动各阶段的工作，并于2010</w:t>
      </w:r>
      <w:r>
        <w:rPr>
          <w:spacing w:val="-69"/>
        </w:rPr>
        <w:t> </w:t>
      </w:r>
      <w:r>
        <w:rPr>
          <w:spacing w:val="-69"/>
        </w:rPr>
      </w:r>
      <w:r>
        <w:rPr>
          <w:spacing w:val="-3"/>
        </w:rPr>
        <w:t>年10月14日审议通过了《关于上市公司治理专项活动的整改报告》。通过本次治理活动，在</w:t>
      </w:r>
      <w:r>
        <w:rPr>
          <w:spacing w:val="-73"/>
        </w:rPr>
        <w:t> </w:t>
      </w:r>
      <w:r>
        <w:rPr>
          <w:spacing w:val="-73"/>
        </w:rPr>
      </w:r>
      <w:r>
        <w:rPr>
          <w:spacing w:val="-5"/>
        </w:rPr>
        <w:t>社会公众的监督下，通过公司自查和监管机构的检查，公司提升了治理水平，管理更加规范。</w:t>
      </w:r>
    </w:p>
    <w:p>
      <w:pPr>
        <w:spacing w:line="240" w:lineRule="auto" w:before="6"/>
        <w:rPr>
          <w:rFonts w:ascii="宋体" w:hAnsi="宋体" w:cs="宋体" w:eastAsia="宋体" w:hint="default"/>
          <w:sz w:val="15"/>
          <w:szCs w:val="15"/>
        </w:rPr>
      </w:pPr>
    </w:p>
    <w:p>
      <w:pPr>
        <w:pStyle w:val="BodyText"/>
        <w:spacing w:line="240" w:lineRule="auto"/>
        <w:ind w:left="557" w:right="100"/>
        <w:jc w:val="left"/>
      </w:pPr>
      <w:r>
        <w:rPr>
          <w:spacing w:val="-3"/>
        </w:rPr>
        <w:t>公司治理是一项长期的工作，公司将以此次公司治理专项活动为契机，继续认真学习并</w:t>
      </w:r>
    </w:p>
    <w:p>
      <w:pPr>
        <w:spacing w:after="0" w:line="240" w:lineRule="auto"/>
        <w:jc w:val="left"/>
        <w:sectPr>
          <w:footerReference w:type="default" r:id="rId60"/>
          <w:pgSz w:w="11910" w:h="16840"/>
          <w:pgMar w:footer="982" w:header="851" w:top="1300" w:bottom="1180" w:left="1660" w:right="1580"/>
          <w:pgNumType w:start="72"/>
        </w:sectPr>
      </w:pPr>
    </w:p>
    <w:p>
      <w:pPr>
        <w:pStyle w:val="BodyText"/>
        <w:spacing w:line="408" w:lineRule="auto" w:before="114"/>
        <w:ind w:right="87"/>
        <w:jc w:val="left"/>
      </w:pPr>
      <w:r>
        <w:rPr>
          <w:spacing w:val="-3"/>
        </w:rPr>
        <w:t>严格执行有关的法律法规和规章，进一步健全公司法人治理结构，完善内部控制制度，提高</w:t>
      </w:r>
      <w:r>
        <w:rPr>
          <w:spacing w:val="-72"/>
        </w:rPr>
        <w:t> </w:t>
      </w:r>
      <w:r>
        <w:rPr>
          <w:spacing w:val="-72"/>
        </w:rPr>
      </w:r>
      <w:r>
        <w:rPr/>
        <w:t>规范运作水平，建立公司治理的长效机制，更好地树立自律、规范、诚信的上市公司形象， 使公司持续、健康、稳定地向前发展。</w:t>
      </w:r>
    </w:p>
    <w:p>
      <w:pPr>
        <w:spacing w:after="0" w:line="408" w:lineRule="auto"/>
        <w:jc w:val="left"/>
        <w:sectPr>
          <w:pgSz w:w="11910" w:h="16840"/>
          <w:pgMar w:header="851" w:footer="982" w:top="1300" w:bottom="1180" w:left="1660" w:right="16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tabs>
          <w:tab w:pos="4213" w:val="left" w:leader="none"/>
        </w:tabs>
        <w:spacing w:line="240" w:lineRule="auto" w:before="192"/>
        <w:ind w:left="3248" w:right="192"/>
        <w:jc w:val="left"/>
        <w:rPr>
          <w:b w:val="0"/>
          <w:bCs w:val="0"/>
        </w:rPr>
      </w:pPr>
      <w:bookmarkStart w:name="_bookmark8" w:id="9"/>
      <w:bookmarkEnd w:id="9"/>
      <w:r>
        <w:rPr>
          <w:b w:val="0"/>
          <w:bCs w:val="0"/>
        </w:rPr>
      </w:r>
      <w:r>
        <w:rPr>
          <w:w w:val="95"/>
        </w:rPr>
        <w:t>第八节</w:t>
        <w:tab/>
      </w:r>
      <w:r>
        <w:rPr/>
        <w:t>监事会报告</w:t>
      </w:r>
      <w:r>
        <w:rPr>
          <w:b w:val="0"/>
          <w:bCs w:val="0"/>
        </w:rPr>
      </w:r>
    </w:p>
    <w:p>
      <w:pPr>
        <w:spacing w:line="240" w:lineRule="auto" w:before="0"/>
        <w:rPr>
          <w:rFonts w:ascii="宋体" w:hAnsi="宋体" w:cs="宋体" w:eastAsia="宋体" w:hint="default"/>
          <w:b/>
          <w:bCs/>
          <w:sz w:val="24"/>
          <w:szCs w:val="24"/>
        </w:rPr>
      </w:pPr>
    </w:p>
    <w:p>
      <w:pPr>
        <w:spacing w:line="240" w:lineRule="auto" w:before="4"/>
        <w:rPr>
          <w:rFonts w:ascii="宋体" w:hAnsi="宋体" w:cs="宋体" w:eastAsia="宋体" w:hint="default"/>
          <w:b/>
          <w:bCs/>
          <w:sz w:val="25"/>
          <w:szCs w:val="25"/>
        </w:rPr>
      </w:pPr>
    </w:p>
    <w:p>
      <w:pPr>
        <w:pStyle w:val="BodyText"/>
        <w:spacing w:line="408" w:lineRule="auto"/>
        <w:ind w:left="177" w:right="191" w:firstLine="420"/>
        <w:jc w:val="both"/>
      </w:pPr>
      <w:r>
        <w:rPr>
          <w:spacing w:val="-3"/>
        </w:rPr>
        <w:t>报告期内，公司监事会根据《公司法》、《证券法》、《公司章程》和《监事会议事规</w:t>
      </w:r>
      <w:r>
        <w:rPr/>
        <w:t> </w:t>
      </w:r>
      <w:r>
        <w:rPr>
          <w:spacing w:val="-3"/>
        </w:rPr>
        <w:t>则》的有关规定，认真履行各项职权和义务，积极有效地开展工作，对公司依法运作情况和</w:t>
      </w:r>
      <w:r>
        <w:rPr>
          <w:spacing w:val="-73"/>
        </w:rPr>
        <w:t> </w:t>
      </w:r>
      <w:r>
        <w:rPr>
          <w:spacing w:val="-73"/>
        </w:rPr>
      </w:r>
      <w:r>
        <w:rPr/>
        <w:t>公司董事、高级管理人员履行职责情况进行监督，维护了公司及股东的合法权益。</w:t>
      </w:r>
    </w:p>
    <w:p>
      <w:pPr>
        <w:spacing w:line="240" w:lineRule="auto" w:before="6"/>
        <w:rPr>
          <w:rFonts w:ascii="宋体" w:hAnsi="宋体" w:cs="宋体" w:eastAsia="宋体" w:hint="default"/>
          <w:sz w:val="15"/>
          <w:szCs w:val="15"/>
        </w:rPr>
      </w:pPr>
    </w:p>
    <w:p>
      <w:pPr>
        <w:pStyle w:val="Heading2"/>
        <w:spacing w:line="240" w:lineRule="auto"/>
        <w:ind w:left="177" w:right="192"/>
        <w:jc w:val="left"/>
        <w:rPr>
          <w:b w:val="0"/>
          <w:bCs w:val="0"/>
        </w:rPr>
      </w:pPr>
      <w:r>
        <w:rPr/>
        <w:t>一、报告期内监事会的工作情况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597" w:right="192"/>
        <w:jc w:val="left"/>
      </w:pPr>
      <w:r>
        <w:rPr/>
        <w:t>报告期内，公司共召开</w:t>
      </w:r>
      <w:r>
        <w:rPr>
          <w:spacing w:val="-54"/>
        </w:rPr>
        <w:t> </w:t>
      </w:r>
      <w:r>
        <w:rPr/>
        <w:t>8</w:t>
      </w:r>
      <w:r>
        <w:rPr>
          <w:spacing w:val="-53"/>
        </w:rPr>
        <w:t> </w:t>
      </w:r>
      <w:r>
        <w:rPr/>
        <w:t>次监事会会议。具体内容如下：</w:t>
      </w:r>
    </w:p>
    <w:p>
      <w:pPr>
        <w:spacing w:line="240" w:lineRule="auto" w:before="11"/>
        <w:rPr>
          <w:rFonts w:ascii="宋体" w:hAnsi="宋体" w:cs="宋体" w:eastAsia="宋体" w:hint="default"/>
          <w:sz w:val="21"/>
          <w:szCs w:val="21"/>
        </w:rPr>
      </w:pPr>
    </w:p>
    <w:tbl>
      <w:tblPr>
        <w:tblW w:w="0" w:type="auto"/>
        <w:jc w:val="left"/>
        <w:tblInd w:w="104" w:type="dxa"/>
        <w:tblLayout w:type="fixed"/>
        <w:tblCellMar>
          <w:top w:w="0" w:type="dxa"/>
          <w:left w:w="0" w:type="dxa"/>
          <w:bottom w:w="0" w:type="dxa"/>
          <w:right w:w="0" w:type="dxa"/>
        </w:tblCellMar>
        <w:tblLook w:val="01E0"/>
      </w:tblPr>
      <w:tblGrid>
        <w:gridCol w:w="1364"/>
        <w:gridCol w:w="2987"/>
        <w:gridCol w:w="4097"/>
      </w:tblGrid>
      <w:tr>
        <w:trPr>
          <w:trHeight w:val="322" w:hRule="exact"/>
        </w:trPr>
        <w:tc>
          <w:tcPr>
            <w:tcW w:w="13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29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b/>
                <w:bCs/>
                <w:sz w:val="21"/>
                <w:szCs w:val="21"/>
              </w:rPr>
              <w:t>会议届次</w:t>
            </w:r>
            <w:r>
              <w:rPr>
                <w:rFonts w:ascii="宋体" w:hAnsi="宋体" w:cs="宋体" w:eastAsia="宋体" w:hint="default"/>
                <w:sz w:val="21"/>
                <w:szCs w:val="21"/>
              </w:rPr>
            </w:r>
          </w:p>
        </w:tc>
        <w:tc>
          <w:tcPr>
            <w:tcW w:w="40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b/>
                <w:bCs/>
                <w:sz w:val="21"/>
                <w:szCs w:val="21"/>
              </w:rPr>
              <w:t>召开时间</w:t>
            </w:r>
            <w:r>
              <w:rPr>
                <w:rFonts w:ascii="宋体" w:hAnsi="宋体" w:cs="宋体" w:eastAsia="宋体" w:hint="default"/>
                <w:sz w:val="21"/>
                <w:szCs w:val="21"/>
              </w:rPr>
            </w:r>
          </w:p>
        </w:tc>
      </w:tr>
      <w:tr>
        <w:trPr>
          <w:trHeight w:val="322"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sz w:val="21"/>
              </w:rPr>
              <w:t>1</w:t>
            </w:r>
          </w:p>
        </w:tc>
        <w:tc>
          <w:tcPr>
            <w:tcW w:w="2987"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三届八次</w:t>
            </w:r>
          </w:p>
        </w:tc>
        <w:tc>
          <w:tcPr>
            <w:tcW w:w="4097"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日</w:t>
            </w:r>
          </w:p>
        </w:tc>
      </w:tr>
      <w:tr>
        <w:trPr>
          <w:trHeight w:val="322"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2</w:t>
            </w:r>
          </w:p>
        </w:tc>
        <w:tc>
          <w:tcPr>
            <w:tcW w:w="298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三届九次</w:t>
            </w:r>
          </w:p>
        </w:tc>
        <w:tc>
          <w:tcPr>
            <w:tcW w:w="409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14</w:t>
            </w:r>
            <w:r>
              <w:rPr>
                <w:rFonts w:ascii="宋体" w:hAnsi="宋体" w:cs="宋体" w:eastAsia="宋体" w:hint="default"/>
                <w:spacing w:val="-52"/>
                <w:sz w:val="21"/>
                <w:szCs w:val="21"/>
              </w:rPr>
              <w:t> </w:t>
            </w:r>
            <w:r>
              <w:rPr>
                <w:rFonts w:ascii="宋体" w:hAnsi="宋体" w:cs="宋体" w:eastAsia="宋体" w:hint="default"/>
                <w:sz w:val="21"/>
                <w:szCs w:val="21"/>
              </w:rPr>
              <w:t>日</w:t>
            </w:r>
          </w:p>
        </w:tc>
      </w:tr>
      <w:tr>
        <w:trPr>
          <w:trHeight w:val="323"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3</w:t>
            </w:r>
          </w:p>
        </w:tc>
        <w:tc>
          <w:tcPr>
            <w:tcW w:w="298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三届十次</w:t>
            </w:r>
          </w:p>
        </w:tc>
        <w:tc>
          <w:tcPr>
            <w:tcW w:w="409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18</w:t>
            </w:r>
            <w:r>
              <w:rPr>
                <w:rFonts w:ascii="宋体" w:hAnsi="宋体" w:cs="宋体" w:eastAsia="宋体" w:hint="default"/>
                <w:spacing w:val="-52"/>
                <w:sz w:val="21"/>
                <w:szCs w:val="21"/>
              </w:rPr>
              <w:t> </w:t>
            </w:r>
            <w:r>
              <w:rPr>
                <w:rFonts w:ascii="宋体" w:hAnsi="宋体" w:cs="宋体" w:eastAsia="宋体" w:hint="default"/>
                <w:sz w:val="21"/>
                <w:szCs w:val="21"/>
              </w:rPr>
              <w:t>日</w:t>
            </w:r>
          </w:p>
        </w:tc>
      </w:tr>
      <w:tr>
        <w:trPr>
          <w:trHeight w:val="322"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4</w:t>
            </w:r>
          </w:p>
        </w:tc>
        <w:tc>
          <w:tcPr>
            <w:tcW w:w="298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三届十一次</w:t>
            </w:r>
          </w:p>
        </w:tc>
        <w:tc>
          <w:tcPr>
            <w:tcW w:w="409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28</w:t>
            </w:r>
            <w:r>
              <w:rPr>
                <w:rFonts w:ascii="宋体" w:hAnsi="宋体" w:cs="宋体" w:eastAsia="宋体" w:hint="default"/>
                <w:spacing w:val="-52"/>
                <w:sz w:val="21"/>
                <w:szCs w:val="21"/>
              </w:rPr>
              <w:t> </w:t>
            </w:r>
            <w:r>
              <w:rPr>
                <w:rFonts w:ascii="宋体" w:hAnsi="宋体" w:cs="宋体" w:eastAsia="宋体" w:hint="default"/>
                <w:sz w:val="21"/>
                <w:szCs w:val="21"/>
              </w:rPr>
              <w:t>日</w:t>
            </w:r>
          </w:p>
        </w:tc>
      </w:tr>
      <w:tr>
        <w:trPr>
          <w:trHeight w:val="322"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5</w:t>
            </w:r>
          </w:p>
        </w:tc>
        <w:tc>
          <w:tcPr>
            <w:tcW w:w="298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四届一次</w:t>
            </w:r>
          </w:p>
        </w:tc>
        <w:tc>
          <w:tcPr>
            <w:tcW w:w="409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6</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30</w:t>
            </w:r>
            <w:r>
              <w:rPr>
                <w:rFonts w:ascii="宋体" w:hAnsi="宋体" w:cs="宋体" w:eastAsia="宋体" w:hint="default"/>
                <w:spacing w:val="-52"/>
                <w:sz w:val="21"/>
                <w:szCs w:val="21"/>
              </w:rPr>
              <w:t> </w:t>
            </w:r>
            <w:r>
              <w:rPr>
                <w:rFonts w:ascii="宋体" w:hAnsi="宋体" w:cs="宋体" w:eastAsia="宋体" w:hint="default"/>
                <w:sz w:val="21"/>
                <w:szCs w:val="21"/>
              </w:rPr>
              <w:t>日</w:t>
            </w:r>
          </w:p>
        </w:tc>
      </w:tr>
      <w:tr>
        <w:trPr>
          <w:trHeight w:val="323"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6</w:t>
            </w:r>
          </w:p>
        </w:tc>
        <w:tc>
          <w:tcPr>
            <w:tcW w:w="298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四届二次</w:t>
            </w:r>
          </w:p>
        </w:tc>
        <w:tc>
          <w:tcPr>
            <w:tcW w:w="409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7</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28</w:t>
            </w:r>
            <w:r>
              <w:rPr>
                <w:rFonts w:ascii="宋体" w:hAnsi="宋体" w:cs="宋体" w:eastAsia="宋体" w:hint="default"/>
                <w:spacing w:val="-52"/>
                <w:sz w:val="21"/>
                <w:szCs w:val="21"/>
              </w:rPr>
              <w:t> </w:t>
            </w:r>
            <w:r>
              <w:rPr>
                <w:rFonts w:ascii="宋体" w:hAnsi="宋体" w:cs="宋体" w:eastAsia="宋体" w:hint="default"/>
                <w:sz w:val="21"/>
                <w:szCs w:val="21"/>
              </w:rPr>
              <w:t>日</w:t>
            </w:r>
          </w:p>
        </w:tc>
      </w:tr>
      <w:tr>
        <w:trPr>
          <w:trHeight w:val="322"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7</w:t>
            </w:r>
          </w:p>
        </w:tc>
        <w:tc>
          <w:tcPr>
            <w:tcW w:w="298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四届三次</w:t>
            </w:r>
          </w:p>
        </w:tc>
        <w:tc>
          <w:tcPr>
            <w:tcW w:w="409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2"/>
                <w:sz w:val="21"/>
                <w:szCs w:val="21"/>
              </w:rPr>
              <w:t> </w:t>
            </w:r>
            <w:r>
              <w:rPr>
                <w:rFonts w:ascii="宋体" w:hAnsi="宋体" w:cs="宋体" w:eastAsia="宋体" w:hint="default"/>
                <w:sz w:val="21"/>
                <w:szCs w:val="21"/>
              </w:rPr>
              <w:t>日</w:t>
            </w:r>
          </w:p>
        </w:tc>
      </w:tr>
      <w:tr>
        <w:trPr>
          <w:trHeight w:val="323"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8</w:t>
            </w:r>
          </w:p>
        </w:tc>
        <w:tc>
          <w:tcPr>
            <w:tcW w:w="298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四届四次</w:t>
            </w:r>
          </w:p>
        </w:tc>
        <w:tc>
          <w:tcPr>
            <w:tcW w:w="409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26</w:t>
            </w:r>
            <w:r>
              <w:rPr>
                <w:rFonts w:ascii="宋体" w:hAnsi="宋体" w:cs="宋体" w:eastAsia="宋体" w:hint="default"/>
                <w:spacing w:val="-53"/>
                <w:sz w:val="21"/>
                <w:szCs w:val="21"/>
              </w:rPr>
              <w:t> </w:t>
            </w:r>
            <w:r>
              <w:rPr>
                <w:rFonts w:ascii="宋体" w:hAnsi="宋体" w:cs="宋体" w:eastAsia="宋体" w:hint="default"/>
                <w:sz w:val="21"/>
                <w:szCs w:val="21"/>
              </w:rPr>
              <w:t>日</w:t>
            </w:r>
          </w:p>
        </w:tc>
      </w:tr>
    </w:tbl>
    <w:p>
      <w:pPr>
        <w:spacing w:line="240" w:lineRule="auto" w:before="1"/>
        <w:rPr>
          <w:rFonts w:ascii="宋体" w:hAnsi="宋体" w:cs="宋体" w:eastAsia="宋体" w:hint="default"/>
          <w:sz w:val="14"/>
          <w:szCs w:val="14"/>
        </w:rPr>
      </w:pPr>
    </w:p>
    <w:p>
      <w:pPr>
        <w:pStyle w:val="BodyText"/>
        <w:spacing w:line="240" w:lineRule="auto" w:before="35"/>
        <w:ind w:left="597" w:right="192"/>
        <w:jc w:val="left"/>
      </w:pPr>
      <w:r>
        <w:rPr/>
        <w:t>1、第三届监事会第八次会议</w:t>
      </w:r>
    </w:p>
    <w:p>
      <w:pPr>
        <w:spacing w:line="240" w:lineRule="auto" w:before="9"/>
        <w:rPr>
          <w:rFonts w:ascii="宋体" w:hAnsi="宋体" w:cs="宋体" w:eastAsia="宋体" w:hint="default"/>
          <w:sz w:val="26"/>
          <w:szCs w:val="26"/>
        </w:rPr>
      </w:pPr>
    </w:p>
    <w:p>
      <w:pPr>
        <w:pStyle w:val="BodyText"/>
        <w:spacing w:line="408" w:lineRule="auto"/>
        <w:ind w:left="177" w:right="192" w:firstLine="420"/>
        <w:jc w:val="left"/>
      </w:pPr>
      <w:r>
        <w:rPr/>
        <w:t>2010年1月10日，以现场方式召开了第三届监事会第八次会议，审议通过了《关于用募 集资金置换预先投入募投项目的自筹资金的议案》。</w:t>
      </w:r>
    </w:p>
    <w:p>
      <w:pPr>
        <w:spacing w:line="240" w:lineRule="auto" w:before="6"/>
        <w:rPr>
          <w:rFonts w:ascii="宋体" w:hAnsi="宋体" w:cs="宋体" w:eastAsia="宋体" w:hint="default"/>
          <w:sz w:val="15"/>
          <w:szCs w:val="15"/>
        </w:rPr>
      </w:pPr>
    </w:p>
    <w:p>
      <w:pPr>
        <w:pStyle w:val="BodyText"/>
        <w:spacing w:line="240" w:lineRule="auto"/>
        <w:ind w:left="597" w:right="192"/>
        <w:jc w:val="left"/>
      </w:pPr>
      <w:r>
        <w:rPr/>
        <w:t>2、第三届监事会第九次会议</w:t>
      </w:r>
    </w:p>
    <w:p>
      <w:pPr>
        <w:spacing w:line="240" w:lineRule="auto" w:before="9"/>
        <w:rPr>
          <w:rFonts w:ascii="宋体" w:hAnsi="宋体" w:cs="宋体" w:eastAsia="宋体" w:hint="default"/>
          <w:sz w:val="26"/>
          <w:szCs w:val="26"/>
        </w:rPr>
      </w:pPr>
    </w:p>
    <w:p>
      <w:pPr>
        <w:pStyle w:val="BodyText"/>
        <w:spacing w:line="408" w:lineRule="auto"/>
        <w:ind w:left="177" w:right="192" w:firstLine="419"/>
        <w:jc w:val="both"/>
      </w:pPr>
      <w:r>
        <w:rPr>
          <w:spacing w:val="-5"/>
        </w:rPr>
        <w:t>2010年3月14日，在公司以现场方式召开了第三届监事会第九次会议，审议通过了《2009</w:t>
      </w:r>
      <w:r>
        <w:rPr/>
        <w:t> </w:t>
      </w:r>
      <w:r>
        <w:rPr>
          <w:spacing w:val="2"/>
        </w:rPr>
        <w:t>年度监事会工作报告》、《2009年度报告》及摘要、《2009年度财务决算报告》、《2009</w:t>
      </w:r>
      <w:r>
        <w:rPr>
          <w:spacing w:val="-99"/>
        </w:rPr>
        <w:t> </w:t>
      </w:r>
      <w:r>
        <w:rPr>
          <w:spacing w:val="-99"/>
        </w:rPr>
      </w:r>
      <w:r>
        <w:rPr>
          <w:spacing w:val="-3"/>
        </w:rPr>
        <w:t>年度利润分配及资本公积转增股本的议案》、《2009年度募集资金存放与使用情况的专项报</w:t>
      </w:r>
      <w:r>
        <w:rPr>
          <w:spacing w:val="-70"/>
        </w:rPr>
        <w:t> </w:t>
      </w:r>
      <w:r>
        <w:rPr>
          <w:spacing w:val="-70"/>
        </w:rPr>
      </w:r>
      <w:r>
        <w:rPr/>
        <w:t>告》、《2009</w:t>
      </w:r>
      <w:r>
        <w:rPr>
          <w:spacing w:val="-4"/>
        </w:rPr>
        <w:t> </w:t>
      </w:r>
      <w:r>
        <w:rPr/>
        <w:t>年度内部控制自我评价报告》、《关于聘请2010年度审计机构的议案》。</w:t>
      </w:r>
    </w:p>
    <w:p>
      <w:pPr>
        <w:spacing w:line="240" w:lineRule="auto" w:before="6"/>
        <w:rPr>
          <w:rFonts w:ascii="宋体" w:hAnsi="宋体" w:cs="宋体" w:eastAsia="宋体" w:hint="default"/>
          <w:sz w:val="15"/>
          <w:szCs w:val="15"/>
        </w:rPr>
      </w:pPr>
    </w:p>
    <w:p>
      <w:pPr>
        <w:pStyle w:val="BodyText"/>
        <w:spacing w:line="240" w:lineRule="auto"/>
        <w:ind w:left="597" w:right="192"/>
        <w:jc w:val="left"/>
      </w:pPr>
      <w:r>
        <w:rPr/>
        <w:t>3、第三届监事会第十次会议</w:t>
      </w:r>
    </w:p>
    <w:p>
      <w:pPr>
        <w:spacing w:line="240" w:lineRule="auto" w:before="9"/>
        <w:rPr>
          <w:rFonts w:ascii="宋体" w:hAnsi="宋体" w:cs="宋体" w:eastAsia="宋体" w:hint="default"/>
          <w:sz w:val="26"/>
          <w:szCs w:val="26"/>
        </w:rPr>
      </w:pPr>
    </w:p>
    <w:p>
      <w:pPr>
        <w:pStyle w:val="BodyText"/>
        <w:spacing w:line="408" w:lineRule="auto"/>
        <w:ind w:left="177" w:right="87" w:firstLine="420"/>
        <w:jc w:val="left"/>
      </w:pPr>
      <w:r>
        <w:rPr/>
        <w:t>2010年4月18日，在公司以现场方式召开了第三届监事会第十次会议，审议通过了《公 司2010年第一季度报告全文》及正文、《关于监事会换届选举并征集董事候选人的议案》。</w:t>
      </w:r>
    </w:p>
    <w:p>
      <w:pPr>
        <w:spacing w:line="240" w:lineRule="auto" w:before="6"/>
        <w:rPr>
          <w:rFonts w:ascii="宋体" w:hAnsi="宋体" w:cs="宋体" w:eastAsia="宋体" w:hint="default"/>
          <w:sz w:val="15"/>
          <w:szCs w:val="15"/>
        </w:rPr>
      </w:pPr>
    </w:p>
    <w:p>
      <w:pPr>
        <w:pStyle w:val="BodyText"/>
        <w:spacing w:line="240" w:lineRule="auto"/>
        <w:ind w:left="597" w:right="192"/>
        <w:jc w:val="left"/>
      </w:pPr>
      <w:r>
        <w:rPr/>
        <w:t>4、第三届监事会第十一次会议</w:t>
      </w:r>
    </w:p>
    <w:p>
      <w:pPr>
        <w:spacing w:after="0" w:line="240" w:lineRule="auto"/>
        <w:jc w:val="left"/>
        <w:sectPr>
          <w:pgSz w:w="11910" w:h="16840"/>
          <w:pgMar w:header="851" w:footer="982" w:top="1300" w:bottom="1180" w:left="1620" w:right="1600"/>
        </w:sectPr>
      </w:pPr>
    </w:p>
    <w:p>
      <w:pPr>
        <w:pStyle w:val="BodyText"/>
        <w:spacing w:line="408" w:lineRule="auto" w:before="114"/>
        <w:ind w:right="152" w:firstLine="419"/>
        <w:jc w:val="both"/>
      </w:pPr>
      <w:r>
        <w:rPr>
          <w:spacing w:val="-5"/>
        </w:rPr>
        <w:t>2010年5月28日，在公司以现场方式召开了第三届监事会第十一次会议，审议通过了《关</w:t>
      </w:r>
      <w:r>
        <w:rPr>
          <w:spacing w:val="1"/>
        </w:rPr>
        <w:t> </w:t>
      </w:r>
      <w:r>
        <w:rPr/>
        <w:t>于公司监事会换届选举的议案》。</w:t>
      </w:r>
    </w:p>
    <w:p>
      <w:pPr>
        <w:spacing w:line="240" w:lineRule="auto" w:before="6"/>
        <w:rPr>
          <w:rFonts w:ascii="宋体" w:hAnsi="宋体" w:cs="宋体" w:eastAsia="宋体" w:hint="default"/>
          <w:sz w:val="15"/>
          <w:szCs w:val="15"/>
        </w:rPr>
      </w:pPr>
    </w:p>
    <w:p>
      <w:pPr>
        <w:pStyle w:val="BodyText"/>
        <w:spacing w:line="240" w:lineRule="auto"/>
        <w:ind w:left="557" w:right="1307"/>
        <w:jc w:val="left"/>
      </w:pPr>
      <w:r>
        <w:rPr/>
        <w:t>5、第四届监事会第一次会议</w:t>
      </w:r>
    </w:p>
    <w:p>
      <w:pPr>
        <w:spacing w:line="240" w:lineRule="auto" w:before="9"/>
        <w:rPr>
          <w:rFonts w:ascii="宋体" w:hAnsi="宋体" w:cs="宋体" w:eastAsia="宋体" w:hint="default"/>
          <w:sz w:val="26"/>
          <w:szCs w:val="26"/>
        </w:rPr>
      </w:pPr>
    </w:p>
    <w:p>
      <w:pPr>
        <w:pStyle w:val="BodyText"/>
        <w:spacing w:line="408" w:lineRule="auto"/>
        <w:ind w:right="155" w:firstLine="420"/>
        <w:jc w:val="both"/>
      </w:pPr>
      <w:r>
        <w:rPr/>
        <w:t>2010年6月30日，在北京皇苑大酒店以现场方式召开了第四届监事会第一次会议，审议 通过了《关于选举公司第四届监事会主席的议案》。</w:t>
      </w:r>
    </w:p>
    <w:p>
      <w:pPr>
        <w:spacing w:line="240" w:lineRule="auto" w:before="6"/>
        <w:rPr>
          <w:rFonts w:ascii="宋体" w:hAnsi="宋体" w:cs="宋体" w:eastAsia="宋体" w:hint="default"/>
          <w:sz w:val="15"/>
          <w:szCs w:val="15"/>
        </w:rPr>
      </w:pPr>
    </w:p>
    <w:p>
      <w:pPr>
        <w:pStyle w:val="BodyText"/>
        <w:spacing w:line="240" w:lineRule="auto"/>
        <w:ind w:left="557" w:right="1307"/>
        <w:jc w:val="left"/>
      </w:pPr>
      <w:r>
        <w:rPr/>
        <w:t>6、第四届监事会第二次会议</w:t>
      </w:r>
    </w:p>
    <w:p>
      <w:pPr>
        <w:spacing w:line="240" w:lineRule="auto" w:before="9"/>
        <w:rPr>
          <w:rFonts w:ascii="宋体" w:hAnsi="宋体" w:cs="宋体" w:eastAsia="宋体" w:hint="default"/>
          <w:sz w:val="26"/>
          <w:szCs w:val="26"/>
        </w:rPr>
      </w:pPr>
    </w:p>
    <w:p>
      <w:pPr>
        <w:pStyle w:val="BodyText"/>
        <w:spacing w:line="408" w:lineRule="auto"/>
        <w:ind w:right="171" w:firstLine="420"/>
        <w:jc w:val="both"/>
      </w:pPr>
      <w:r>
        <w:rPr/>
        <w:t>2010年7月28日，在公司会议室以现场方式召开了第四届监事会第二次会议，审议通过 了《公司2010年半年度报告》及摘要。</w:t>
      </w:r>
    </w:p>
    <w:p>
      <w:pPr>
        <w:spacing w:line="240" w:lineRule="auto" w:before="6"/>
        <w:rPr>
          <w:rFonts w:ascii="宋体" w:hAnsi="宋体" w:cs="宋体" w:eastAsia="宋体" w:hint="default"/>
          <w:sz w:val="15"/>
          <w:szCs w:val="15"/>
        </w:rPr>
      </w:pPr>
    </w:p>
    <w:p>
      <w:pPr>
        <w:pStyle w:val="BodyText"/>
        <w:spacing w:line="240" w:lineRule="auto"/>
        <w:ind w:left="557" w:right="1307"/>
        <w:jc w:val="left"/>
      </w:pPr>
      <w:r>
        <w:rPr/>
        <w:t>7、第四届监事会第三次会议</w:t>
      </w:r>
    </w:p>
    <w:p>
      <w:pPr>
        <w:spacing w:line="240" w:lineRule="auto" w:before="9"/>
        <w:rPr>
          <w:rFonts w:ascii="宋体" w:hAnsi="宋体" w:cs="宋体" w:eastAsia="宋体" w:hint="default"/>
          <w:sz w:val="26"/>
          <w:szCs w:val="26"/>
        </w:rPr>
      </w:pPr>
    </w:p>
    <w:p>
      <w:pPr>
        <w:pStyle w:val="BodyText"/>
        <w:spacing w:line="240" w:lineRule="auto"/>
        <w:ind w:left="557" w:right="0"/>
        <w:jc w:val="left"/>
      </w:pPr>
      <w:r>
        <w:rPr/>
        <w:t>2010年8月4日,在公司会议室以现场方式召开了第四届监事会第三次会议，审议通过了</w:t>
      </w:r>
    </w:p>
    <w:p>
      <w:pPr>
        <w:spacing w:line="240" w:lineRule="auto" w:before="10"/>
        <w:rPr>
          <w:rFonts w:ascii="宋体" w:hAnsi="宋体" w:cs="宋体" w:eastAsia="宋体" w:hint="default"/>
          <w:sz w:val="14"/>
          <w:szCs w:val="14"/>
        </w:rPr>
      </w:pPr>
    </w:p>
    <w:p>
      <w:pPr>
        <w:pStyle w:val="BodyText"/>
        <w:spacing w:line="408" w:lineRule="auto"/>
        <w:ind w:right="0"/>
        <w:jc w:val="left"/>
      </w:pPr>
      <w:r>
        <w:rPr>
          <w:spacing w:val="-3"/>
        </w:rPr>
        <w:t>《关于公司〈股票期权激励计划（草案）〉的议案》、《关于公司〈股票期权激励计划考核</w:t>
      </w:r>
      <w:r>
        <w:rPr>
          <w:spacing w:val="-75"/>
        </w:rPr>
        <w:t> </w:t>
      </w:r>
      <w:r>
        <w:rPr>
          <w:spacing w:val="-75"/>
        </w:rPr>
      </w:r>
      <w:r>
        <w:rPr/>
        <w:t>管理办法〉的议案》。</w:t>
      </w:r>
    </w:p>
    <w:p>
      <w:pPr>
        <w:spacing w:line="240" w:lineRule="auto" w:before="6"/>
        <w:rPr>
          <w:rFonts w:ascii="宋体" w:hAnsi="宋体" w:cs="宋体" w:eastAsia="宋体" w:hint="default"/>
          <w:sz w:val="15"/>
          <w:szCs w:val="15"/>
        </w:rPr>
      </w:pPr>
    </w:p>
    <w:p>
      <w:pPr>
        <w:pStyle w:val="BodyText"/>
        <w:spacing w:line="240" w:lineRule="auto"/>
        <w:ind w:left="557" w:right="1307"/>
        <w:jc w:val="left"/>
      </w:pPr>
      <w:r>
        <w:rPr/>
        <w:t>8、第四届监事会第四次会议</w:t>
      </w:r>
    </w:p>
    <w:p>
      <w:pPr>
        <w:spacing w:line="240" w:lineRule="auto" w:before="9"/>
        <w:rPr>
          <w:rFonts w:ascii="宋体" w:hAnsi="宋体" w:cs="宋体" w:eastAsia="宋体" w:hint="default"/>
          <w:sz w:val="26"/>
          <w:szCs w:val="26"/>
        </w:rPr>
      </w:pPr>
    </w:p>
    <w:p>
      <w:pPr>
        <w:pStyle w:val="BodyText"/>
        <w:spacing w:line="408" w:lineRule="auto"/>
        <w:ind w:right="151" w:firstLine="420"/>
        <w:jc w:val="both"/>
      </w:pPr>
      <w:r>
        <w:rPr>
          <w:spacing w:val="-3"/>
        </w:rPr>
        <w:t>2010年10月26日，在公司以现场方式召开了第四届监事会第四次会议，审议通过了《公</w:t>
      </w:r>
      <w:r>
        <w:rPr/>
        <w:t> 司2010年第三季度报告全文》及正文。</w:t>
      </w:r>
    </w:p>
    <w:p>
      <w:pPr>
        <w:spacing w:line="240" w:lineRule="auto" w:before="6"/>
        <w:rPr>
          <w:rFonts w:ascii="宋体" w:hAnsi="宋体" w:cs="宋体" w:eastAsia="宋体" w:hint="default"/>
          <w:sz w:val="15"/>
          <w:szCs w:val="15"/>
        </w:rPr>
      </w:pPr>
    </w:p>
    <w:p>
      <w:pPr>
        <w:pStyle w:val="BodyText"/>
        <w:spacing w:line="408" w:lineRule="auto"/>
        <w:ind w:right="150" w:firstLine="420"/>
        <w:jc w:val="both"/>
      </w:pPr>
      <w:r>
        <w:rPr>
          <w:spacing w:val="-3"/>
        </w:rPr>
        <w:t>报告期内，公司监事会严格按照有关法律、法规及公司章程的规定，列席了历次董事会</w:t>
      </w:r>
      <w:r>
        <w:rPr/>
        <w:t> </w:t>
      </w:r>
      <w:r>
        <w:rPr>
          <w:spacing w:val="-3"/>
        </w:rPr>
        <w:t>和股东大会会议，依法监督各次董事会和股东大会审议的议案和会议召开程序，对公司依法</w:t>
      </w:r>
      <w:r>
        <w:rPr>
          <w:spacing w:val="-75"/>
        </w:rPr>
        <w:t> </w:t>
      </w:r>
      <w:r>
        <w:rPr>
          <w:spacing w:val="-75"/>
        </w:rPr>
      </w:r>
      <w:r>
        <w:rPr>
          <w:spacing w:val="-3"/>
        </w:rPr>
        <w:t>运作情况、公司财务情况、关联交易等事项以及公司董事会和经营层职务行为进行了认真监</w:t>
      </w:r>
      <w:r>
        <w:rPr>
          <w:spacing w:val="-75"/>
        </w:rPr>
        <w:t> </w:t>
      </w:r>
      <w:r>
        <w:rPr>
          <w:spacing w:val="-75"/>
        </w:rPr>
      </w:r>
      <w:r>
        <w:rPr/>
        <w:t>督检查，保证了公司经营管理行为的规范。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spacing w:line="477" w:lineRule="auto" w:before="0"/>
        <w:ind w:left="557" w:right="3923" w:hanging="420"/>
        <w:jc w:val="left"/>
        <w:rPr>
          <w:rFonts w:ascii="宋体" w:hAnsi="宋体" w:cs="宋体" w:eastAsia="宋体" w:hint="default"/>
          <w:sz w:val="21"/>
          <w:szCs w:val="21"/>
        </w:rPr>
      </w:pPr>
      <w:r>
        <w:rPr>
          <w:rFonts w:ascii="宋体" w:hAnsi="宋体" w:cs="宋体" w:eastAsia="宋体" w:hint="default"/>
          <w:b/>
          <w:bCs/>
          <w:sz w:val="21"/>
          <w:szCs w:val="21"/>
        </w:rPr>
        <w:t>二、监事会对公司</w:t>
      </w:r>
      <w:r>
        <w:rPr>
          <w:rFonts w:ascii="宋体" w:hAnsi="宋体" w:cs="宋体" w:eastAsia="宋体" w:hint="default"/>
          <w:b/>
          <w:bCs/>
          <w:spacing w:val="-59"/>
          <w:sz w:val="21"/>
          <w:szCs w:val="21"/>
        </w:rPr>
        <w:t> </w:t>
      </w:r>
      <w:r>
        <w:rPr>
          <w:rFonts w:ascii="宋体" w:hAnsi="宋体" w:cs="宋体" w:eastAsia="宋体" w:hint="default"/>
          <w:b/>
          <w:bCs/>
          <w:sz w:val="21"/>
          <w:szCs w:val="21"/>
        </w:rPr>
        <w:t>2010</w:t>
      </w:r>
      <w:r>
        <w:rPr>
          <w:rFonts w:ascii="宋体" w:hAnsi="宋体" w:cs="宋体" w:eastAsia="宋体" w:hint="default"/>
          <w:b/>
          <w:bCs/>
          <w:spacing w:val="-58"/>
          <w:sz w:val="21"/>
          <w:szCs w:val="21"/>
        </w:rPr>
        <w:t> </w:t>
      </w:r>
      <w:r>
        <w:rPr>
          <w:rFonts w:ascii="宋体" w:hAnsi="宋体" w:cs="宋体" w:eastAsia="宋体" w:hint="default"/>
          <w:b/>
          <w:bCs/>
          <w:sz w:val="21"/>
          <w:szCs w:val="21"/>
        </w:rPr>
        <w:t>年度有关事项的独立意见</w:t>
      </w:r>
      <w:r>
        <w:rPr>
          <w:rFonts w:ascii="宋体" w:hAnsi="宋体" w:cs="宋体" w:eastAsia="宋体" w:hint="default"/>
          <w:b/>
          <w:bCs/>
          <w:w w:val="99"/>
          <w:sz w:val="21"/>
          <w:szCs w:val="21"/>
        </w:rPr>
        <w:t> </w:t>
      </w:r>
      <w:r>
        <w:rPr>
          <w:rFonts w:ascii="宋体" w:hAnsi="宋体" w:cs="宋体" w:eastAsia="宋体" w:hint="default"/>
          <w:sz w:val="21"/>
          <w:szCs w:val="21"/>
        </w:rPr>
        <w:t>1、公司依法运作情况</w:t>
      </w:r>
    </w:p>
    <w:p>
      <w:pPr>
        <w:pStyle w:val="BodyText"/>
        <w:spacing w:line="408" w:lineRule="auto" w:before="141"/>
        <w:ind w:right="151" w:firstLine="420"/>
        <w:jc w:val="both"/>
      </w:pPr>
      <w:r>
        <w:rPr>
          <w:spacing w:val="-3"/>
        </w:rPr>
        <w:t>2010年，公司监事会依据《公司法》、《公司章程》、《监事会议事规则》等赋予的职</w:t>
      </w:r>
      <w:r>
        <w:rPr/>
        <w:t> </w:t>
      </w:r>
      <w:r>
        <w:rPr>
          <w:spacing w:val="-3"/>
        </w:rPr>
        <w:t>权，积极参加股东大会，列席董事会会议，对公司的决策程序、内部控制制度的建立与执行</w:t>
      </w:r>
      <w:r>
        <w:rPr>
          <w:spacing w:val="-73"/>
        </w:rPr>
        <w:t> </w:t>
      </w:r>
      <w:r>
        <w:rPr>
          <w:spacing w:val="-73"/>
        </w:rPr>
      </w:r>
      <w:r>
        <w:rPr/>
        <w:t>情况以及公司董事、高级管理人员履行职务情况进行了监督。</w:t>
      </w:r>
    </w:p>
    <w:p>
      <w:pPr>
        <w:spacing w:line="240" w:lineRule="auto" w:before="6"/>
        <w:rPr>
          <w:rFonts w:ascii="宋体" w:hAnsi="宋体" w:cs="宋体" w:eastAsia="宋体" w:hint="default"/>
          <w:sz w:val="15"/>
          <w:szCs w:val="15"/>
        </w:rPr>
      </w:pPr>
    </w:p>
    <w:p>
      <w:pPr>
        <w:pStyle w:val="BodyText"/>
        <w:spacing w:line="240" w:lineRule="auto"/>
        <w:ind w:left="557" w:right="0"/>
        <w:jc w:val="left"/>
      </w:pPr>
      <w:r>
        <w:rPr>
          <w:spacing w:val="-3"/>
        </w:rPr>
        <w:t>监事会认为：公司决策程序遵守了《公司法》、《证券法》等法律、法规以及《公司章</w:t>
      </w:r>
    </w:p>
    <w:p>
      <w:pPr>
        <w:spacing w:after="0" w:line="240" w:lineRule="auto"/>
        <w:jc w:val="left"/>
        <w:sectPr>
          <w:pgSz w:w="11910" w:h="16840"/>
          <w:pgMar w:header="851" w:footer="982" w:top="1300" w:bottom="1180" w:left="1660" w:right="1640"/>
        </w:sectPr>
      </w:pPr>
    </w:p>
    <w:p>
      <w:pPr>
        <w:pStyle w:val="BodyText"/>
        <w:spacing w:line="408" w:lineRule="auto" w:before="114"/>
        <w:ind w:right="212"/>
        <w:jc w:val="both"/>
      </w:pPr>
      <w:r>
        <w:rPr>
          <w:spacing w:val="-3"/>
        </w:rPr>
        <w:t>程》等的相关规定，建立了较为完善的内部控制制度。董事会运作规范、决策合理、程序合</w:t>
      </w:r>
      <w:r>
        <w:rPr>
          <w:spacing w:val="-79"/>
        </w:rPr>
        <w:t> </w:t>
      </w:r>
      <w:r>
        <w:rPr>
          <w:spacing w:val="-79"/>
        </w:rPr>
      </w:r>
      <w:r>
        <w:rPr>
          <w:spacing w:val="-3"/>
        </w:rPr>
        <w:t>法，认真执行股东大会的各项决议。公司董事、高级管理人员执行公司职务时忠于职守、勤</w:t>
      </w:r>
      <w:r>
        <w:rPr>
          <w:spacing w:val="-74"/>
        </w:rPr>
        <w:t> </w:t>
      </w:r>
      <w:r>
        <w:rPr>
          <w:spacing w:val="-74"/>
        </w:rPr>
      </w:r>
      <w:r>
        <w:rPr/>
        <w:t>勉尽责，不存在违反法律、法规、《公司章程》或损害公司利益的行为。</w:t>
      </w:r>
    </w:p>
    <w:p>
      <w:pPr>
        <w:spacing w:line="240" w:lineRule="auto" w:before="6"/>
        <w:rPr>
          <w:rFonts w:ascii="宋体" w:hAnsi="宋体" w:cs="宋体" w:eastAsia="宋体" w:hint="default"/>
          <w:sz w:val="15"/>
          <w:szCs w:val="15"/>
        </w:rPr>
      </w:pPr>
    </w:p>
    <w:p>
      <w:pPr>
        <w:pStyle w:val="BodyText"/>
        <w:spacing w:line="240" w:lineRule="auto"/>
        <w:ind w:left="557" w:right="100"/>
        <w:jc w:val="left"/>
      </w:pPr>
      <w:r>
        <w:rPr/>
        <w:t>2、检查公司财务的情况</w:t>
      </w:r>
    </w:p>
    <w:p>
      <w:pPr>
        <w:spacing w:line="240" w:lineRule="auto" w:before="9"/>
        <w:rPr>
          <w:rFonts w:ascii="宋体" w:hAnsi="宋体" w:cs="宋体" w:eastAsia="宋体" w:hint="default"/>
          <w:sz w:val="26"/>
          <w:szCs w:val="26"/>
        </w:rPr>
      </w:pPr>
    </w:p>
    <w:p>
      <w:pPr>
        <w:pStyle w:val="BodyText"/>
        <w:spacing w:line="408" w:lineRule="auto"/>
        <w:ind w:right="211" w:firstLine="420"/>
        <w:jc w:val="both"/>
      </w:pPr>
      <w:r>
        <w:rPr>
          <w:spacing w:val="-3"/>
        </w:rPr>
        <w:t>监事会对2010年度公司的财务状况、财务管理、财务成果等进行了认真细致、有效地监</w:t>
      </w:r>
      <w:r>
        <w:rPr/>
        <w:t> </w:t>
      </w:r>
      <w:r>
        <w:rPr>
          <w:spacing w:val="-3"/>
        </w:rPr>
        <w:t>督、检查和审核，认为：公司财务制度健全、财务运作规范、财务状况良好。立信会计师事</w:t>
      </w:r>
      <w:r>
        <w:rPr>
          <w:spacing w:val="-75"/>
        </w:rPr>
        <w:t> </w:t>
      </w:r>
      <w:r>
        <w:rPr>
          <w:spacing w:val="-75"/>
        </w:rPr>
      </w:r>
      <w:r>
        <w:rPr>
          <w:spacing w:val="-3"/>
        </w:rPr>
        <w:t>务所有限公司出具的公司2010年度审计报告真实、客观、准确地反映了公司2010年度的财务</w:t>
      </w:r>
      <w:r>
        <w:rPr>
          <w:spacing w:val="-66"/>
        </w:rPr>
        <w:t> </w:t>
      </w:r>
      <w:r>
        <w:rPr>
          <w:spacing w:val="-66"/>
        </w:rPr>
      </w:r>
      <w:r>
        <w:rPr/>
        <w:t>状况和经营成果。</w:t>
      </w:r>
    </w:p>
    <w:p>
      <w:pPr>
        <w:spacing w:line="240" w:lineRule="auto" w:before="6"/>
        <w:rPr>
          <w:rFonts w:ascii="宋体" w:hAnsi="宋体" w:cs="宋体" w:eastAsia="宋体" w:hint="default"/>
          <w:sz w:val="15"/>
          <w:szCs w:val="15"/>
        </w:rPr>
      </w:pPr>
    </w:p>
    <w:p>
      <w:pPr>
        <w:pStyle w:val="BodyText"/>
        <w:spacing w:line="240" w:lineRule="auto"/>
        <w:ind w:left="557" w:right="100"/>
        <w:jc w:val="left"/>
      </w:pPr>
      <w:r>
        <w:rPr/>
        <w:t>3、公司募集资金投入项目情况</w:t>
      </w:r>
    </w:p>
    <w:p>
      <w:pPr>
        <w:spacing w:line="240" w:lineRule="auto" w:before="9"/>
        <w:rPr>
          <w:rFonts w:ascii="宋体" w:hAnsi="宋体" w:cs="宋体" w:eastAsia="宋体" w:hint="default"/>
          <w:sz w:val="26"/>
          <w:szCs w:val="26"/>
        </w:rPr>
      </w:pPr>
    </w:p>
    <w:p>
      <w:pPr>
        <w:pStyle w:val="BodyText"/>
        <w:spacing w:line="408" w:lineRule="auto"/>
        <w:ind w:right="124" w:firstLine="420"/>
        <w:jc w:val="both"/>
      </w:pPr>
      <w:r>
        <w:rPr>
          <w:spacing w:val="-3"/>
        </w:rPr>
        <w:t>经核查，截止2010年末，公司募集资金项目累计投入金额合计？万元，公司募集资金实</w:t>
      </w:r>
      <w:r>
        <w:rPr/>
        <w:t> 际投入项目与承诺投入项目一致，不存在违规使用募集资金的行为，没有变更投向和用途。</w:t>
      </w:r>
    </w:p>
    <w:p>
      <w:pPr>
        <w:spacing w:line="240" w:lineRule="auto" w:before="6"/>
        <w:rPr>
          <w:rFonts w:ascii="宋体" w:hAnsi="宋体" w:cs="宋体" w:eastAsia="宋体" w:hint="default"/>
          <w:sz w:val="15"/>
          <w:szCs w:val="15"/>
        </w:rPr>
      </w:pPr>
    </w:p>
    <w:p>
      <w:pPr>
        <w:pStyle w:val="BodyText"/>
        <w:spacing w:line="240" w:lineRule="auto"/>
        <w:ind w:left="557" w:right="100"/>
        <w:jc w:val="left"/>
      </w:pPr>
      <w:r>
        <w:rPr/>
        <w:t>4、公司收购、出售资产情况</w:t>
      </w:r>
    </w:p>
    <w:p>
      <w:pPr>
        <w:spacing w:line="240" w:lineRule="auto" w:before="9"/>
        <w:rPr>
          <w:rFonts w:ascii="宋体" w:hAnsi="宋体" w:cs="宋体" w:eastAsia="宋体" w:hint="default"/>
          <w:sz w:val="26"/>
          <w:szCs w:val="26"/>
        </w:rPr>
      </w:pPr>
    </w:p>
    <w:p>
      <w:pPr>
        <w:pStyle w:val="BodyText"/>
        <w:spacing w:line="400" w:lineRule="auto"/>
        <w:ind w:right="208" w:firstLine="419"/>
        <w:jc w:val="both"/>
      </w:pPr>
      <w:r>
        <w:rPr>
          <w:spacing w:val="-6"/>
        </w:rPr>
        <w:t>报告期内，公司无出售资产情形。共计发生4项收购资产的情形，包括使用超募资金1080</w:t>
      </w:r>
      <w:r>
        <w:rPr/>
        <w:t> </w:t>
      </w:r>
      <w:r>
        <w:rPr>
          <w:spacing w:val="-3"/>
        </w:rPr>
        <w:t>万元收购大连华信计算机技术股份有限公司的部分股份、使用超募资金5900万元收购北京友</w:t>
      </w:r>
      <w:r>
        <w:rPr>
          <w:spacing w:val="-69"/>
        </w:rPr>
        <w:t> </w:t>
      </w:r>
      <w:r>
        <w:rPr>
          <w:spacing w:val="-69"/>
        </w:rPr>
      </w:r>
      <w:r>
        <w:rPr/>
        <w:t>联创新系统集成有限公司100％股权，使用自有资金</w:t>
      </w:r>
      <w:r>
        <w:rPr>
          <w:rFonts w:ascii="Times New Roman" w:hAnsi="Times New Roman" w:cs="Times New Roman" w:eastAsia="Times New Roman" w:hint="default"/>
        </w:rPr>
        <w:t>709.54</w:t>
      </w:r>
      <w:r>
        <w:rPr/>
        <w:t>万元收购北京互联时代通讯科技</w:t>
      </w:r>
      <w:r>
        <w:rPr>
          <w:spacing w:val="-48"/>
        </w:rPr>
        <w:t> </w:t>
      </w:r>
      <w:r>
        <w:rPr>
          <w:spacing w:val="-48"/>
        </w:rPr>
      </w:r>
      <w:r>
        <w:rPr>
          <w:spacing w:val="3"/>
        </w:rPr>
        <w:t>有限公司100％的股权、使用自有资金</w:t>
      </w:r>
      <w:r>
        <w:rPr>
          <w:rFonts w:ascii="Times New Roman" w:hAnsi="Times New Roman" w:cs="Times New Roman" w:eastAsia="Times New Roman" w:hint="default"/>
          <w:spacing w:val="3"/>
        </w:rPr>
        <w:t>81.08</w:t>
      </w:r>
      <w:r>
        <w:rPr>
          <w:spacing w:val="3"/>
        </w:rPr>
        <w:t>万元收购北京神州泰岳通信技术有限公司剩余</w:t>
      </w:r>
      <w:r>
        <w:rPr>
          <w:spacing w:val="-88"/>
        </w:rPr>
        <w:t> </w:t>
      </w:r>
      <w:r>
        <w:rPr>
          <w:spacing w:val="-88"/>
        </w:rPr>
      </w:r>
      <w:r>
        <w:rPr/>
        <w:t>30%股权。上述各项收购交易价格合理，决策程序合法有效，未发生内幕交易以及其他损害</w:t>
      </w:r>
      <w:r>
        <w:rPr>
          <w:spacing w:val="-94"/>
        </w:rPr>
        <w:t> </w:t>
      </w:r>
      <w:r>
        <w:rPr>
          <w:spacing w:val="-94"/>
        </w:rPr>
      </w:r>
      <w:r>
        <w:rPr/>
        <w:t>公司股东利益或造成公司资产流失的情况。</w:t>
      </w:r>
    </w:p>
    <w:p>
      <w:pPr>
        <w:spacing w:line="240" w:lineRule="auto" w:before="0"/>
        <w:rPr>
          <w:rFonts w:ascii="宋体" w:hAnsi="宋体" w:cs="宋体" w:eastAsia="宋体" w:hint="default"/>
          <w:sz w:val="16"/>
          <w:szCs w:val="16"/>
        </w:rPr>
      </w:pPr>
    </w:p>
    <w:p>
      <w:pPr>
        <w:pStyle w:val="BodyText"/>
        <w:spacing w:line="240" w:lineRule="auto"/>
        <w:ind w:left="557" w:right="100"/>
        <w:jc w:val="left"/>
      </w:pPr>
      <w:r>
        <w:rPr/>
        <w:t>5、公司关联交易情况</w:t>
      </w:r>
    </w:p>
    <w:p>
      <w:pPr>
        <w:spacing w:line="240" w:lineRule="auto" w:before="8"/>
        <w:rPr>
          <w:rFonts w:ascii="宋体" w:hAnsi="宋体" w:cs="宋体" w:eastAsia="宋体" w:hint="default"/>
          <w:sz w:val="26"/>
          <w:szCs w:val="26"/>
        </w:rPr>
      </w:pPr>
    </w:p>
    <w:p>
      <w:pPr>
        <w:pStyle w:val="BodyText"/>
        <w:spacing w:line="408" w:lineRule="auto"/>
        <w:ind w:right="211" w:firstLine="420"/>
        <w:jc w:val="both"/>
      </w:pPr>
      <w:r>
        <w:rPr/>
        <w:t>2010年4月18日，经公司第三届董事会第二十二次会议审议，公司以自有资金709.54万 </w:t>
      </w:r>
      <w:r>
        <w:rPr>
          <w:spacing w:val="-3"/>
        </w:rPr>
        <w:t>元收购王宁、李力、万瀛女、汪铖、刘国兰、王国华、齐强、徐斯平持有的北京互联时代通</w:t>
      </w:r>
      <w:r>
        <w:rPr>
          <w:spacing w:val="-78"/>
        </w:rPr>
        <w:t> </w:t>
      </w:r>
      <w:r>
        <w:rPr>
          <w:spacing w:val="-78"/>
        </w:rPr>
      </w:r>
      <w:r>
        <w:rPr/>
        <w:t>讯科技有限公司100%的股权，使其成为公司的全资子公司。</w:t>
      </w:r>
    </w:p>
    <w:p>
      <w:pPr>
        <w:spacing w:line="240" w:lineRule="auto" w:before="7"/>
        <w:rPr>
          <w:rFonts w:ascii="宋体" w:hAnsi="宋体" w:cs="宋体" w:eastAsia="宋体" w:hint="default"/>
          <w:sz w:val="15"/>
          <w:szCs w:val="15"/>
        </w:rPr>
      </w:pPr>
    </w:p>
    <w:p>
      <w:pPr>
        <w:pStyle w:val="BodyText"/>
        <w:spacing w:line="408" w:lineRule="auto"/>
        <w:ind w:right="102" w:firstLine="420"/>
        <w:jc w:val="left"/>
      </w:pPr>
      <w:r>
        <w:rPr/>
        <w:t>本次交易以互联时代经审计的截至2010年3月31日的净资产为股权转让价格，交易价格 </w:t>
      </w:r>
      <w:r>
        <w:rPr>
          <w:spacing w:val="-3"/>
        </w:rPr>
        <w:t>客观公允，不存在损害公司及中小股东利益的情形，决策程序符合《公司章程》和《关联交</w:t>
      </w:r>
      <w:r>
        <w:rPr>
          <w:spacing w:val="-79"/>
        </w:rPr>
        <w:t> </w:t>
      </w:r>
      <w:r>
        <w:rPr>
          <w:spacing w:val="-79"/>
        </w:rPr>
      </w:r>
      <w:r>
        <w:rPr>
          <w:spacing w:val="-5"/>
        </w:rPr>
        <w:t>易决策制度》等相关规定，本次交易的实施，有利于公司在移动互联网市场领域业务的拓展，</w:t>
      </w:r>
      <w:r>
        <w:rPr>
          <w:spacing w:val="-94"/>
        </w:rPr>
        <w:t> </w:t>
      </w:r>
      <w:r>
        <w:rPr>
          <w:spacing w:val="-94"/>
        </w:rPr>
      </w:r>
      <w:r>
        <w:rPr>
          <w:spacing w:val="-3"/>
        </w:rPr>
        <w:t>对扩大公司业务规模，增强公司的综合实力，将产生积极的影响，有利于公司做强做大和长</w:t>
      </w:r>
      <w:r>
        <w:rPr>
          <w:spacing w:val="-72"/>
        </w:rPr>
        <w:t> </w:t>
      </w:r>
      <w:r>
        <w:rPr>
          <w:spacing w:val="-72"/>
        </w:rPr>
      </w:r>
      <w:r>
        <w:rPr/>
        <w:t>远发展，符合公司战略发展规划，符合公司及全体股东的根本利益。</w:t>
      </w:r>
    </w:p>
    <w:p>
      <w:pPr>
        <w:spacing w:after="0" w:line="408" w:lineRule="auto"/>
        <w:jc w:val="left"/>
        <w:sectPr>
          <w:pgSz w:w="11910" w:h="16840"/>
          <w:pgMar w:header="851" w:footer="982" w:top="1300" w:bottom="1180" w:left="1660" w:right="1580"/>
        </w:sectPr>
      </w:pPr>
    </w:p>
    <w:p>
      <w:pPr>
        <w:pStyle w:val="BodyText"/>
        <w:spacing w:line="544" w:lineRule="auto" w:before="115"/>
        <w:ind w:left="557" w:right="85"/>
        <w:jc w:val="left"/>
      </w:pPr>
      <w:r>
        <w:rPr/>
        <w:t>除前述事项外，报告期内，公司无其他关联交易情况发生。 6、对内部控制自我评价报告的意见</w:t>
      </w:r>
    </w:p>
    <w:p>
      <w:pPr>
        <w:pStyle w:val="BodyText"/>
        <w:spacing w:line="408" w:lineRule="auto" w:before="82"/>
        <w:ind w:right="87" w:firstLine="420"/>
        <w:jc w:val="left"/>
      </w:pPr>
      <w:r>
        <w:rPr>
          <w:spacing w:val="-3"/>
        </w:rPr>
        <w:t>监事会认为：公司现已建立了较完善的内部控制体系，符合国家相关法律法规要求以及</w:t>
      </w:r>
      <w:r>
        <w:rPr/>
        <w:t> </w:t>
      </w:r>
      <w:r>
        <w:rPr>
          <w:spacing w:val="-3"/>
        </w:rPr>
        <w:t>公司生产经营管理实际需要，并能得到有效执行，内部控制体系的建立对公司生产经营管理</w:t>
      </w:r>
      <w:r>
        <w:rPr>
          <w:spacing w:val="-75"/>
        </w:rPr>
        <w:t> </w:t>
      </w:r>
      <w:r>
        <w:rPr>
          <w:spacing w:val="-75"/>
        </w:rPr>
      </w:r>
      <w:r>
        <w:rPr/>
        <w:t>的各环节起到了较好的风险防范和控制作用，保证了公司各项业务活动的有序、有效开展， </w:t>
      </w:r>
      <w:r>
        <w:rPr>
          <w:spacing w:val="-3"/>
        </w:rPr>
        <w:t>保护了公司资产的安全、完整，维护了公司及股东的利益。《公司2010年度内部控制自我评</w:t>
      </w:r>
      <w:r>
        <w:rPr>
          <w:spacing w:val="-73"/>
        </w:rPr>
        <w:t> </w:t>
      </w:r>
      <w:r>
        <w:rPr>
          <w:spacing w:val="-73"/>
        </w:rPr>
      </w:r>
      <w:r>
        <w:rPr/>
        <w:t>价报告》真实、客观地反映了公司内部控制制度的建设及运行情况。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3"/>
          <w:szCs w:val="23"/>
        </w:rPr>
      </w:pPr>
    </w:p>
    <w:p>
      <w:pPr>
        <w:pStyle w:val="BodyText"/>
        <w:spacing w:line="408" w:lineRule="auto"/>
        <w:ind w:right="85" w:firstLine="420"/>
        <w:jc w:val="left"/>
      </w:pPr>
      <w:r>
        <w:rPr>
          <w:spacing w:val="-3"/>
        </w:rPr>
        <w:t>本届监事会将继续严格按照《公司法》、公司章程和国家有关法规政策的规定，忠实履</w:t>
      </w:r>
      <w:r>
        <w:rPr/>
        <w:t> 行自己的职责，进一步促进公司的规范运作。</w:t>
      </w:r>
    </w:p>
    <w:p>
      <w:pPr>
        <w:spacing w:after="0" w:line="408" w:lineRule="auto"/>
        <w:jc w:val="left"/>
        <w:sectPr>
          <w:pgSz w:w="11910" w:h="16840"/>
          <w:pgMar w:header="851" w:footer="982" w:top="1300" w:bottom="1180" w:left="1660" w:right="1600"/>
        </w:sectPr>
      </w:pPr>
    </w:p>
    <w:p>
      <w:pPr>
        <w:spacing w:line="240" w:lineRule="auto" w:before="12"/>
        <w:rPr>
          <w:rFonts w:ascii="宋体" w:hAnsi="宋体" w:cs="宋体" w:eastAsia="宋体" w:hint="default"/>
          <w:sz w:val="16"/>
          <w:szCs w:val="16"/>
        </w:rPr>
      </w:pPr>
    </w:p>
    <w:p>
      <w:pPr>
        <w:pStyle w:val="Heading1"/>
        <w:spacing w:line="240" w:lineRule="auto"/>
        <w:ind w:right="75"/>
        <w:jc w:val="center"/>
        <w:rPr>
          <w:b w:val="0"/>
          <w:bCs w:val="0"/>
        </w:rPr>
      </w:pPr>
      <w:bookmarkStart w:name="_bookmark9" w:id="10"/>
      <w:bookmarkEnd w:id="10"/>
      <w:r>
        <w:rPr>
          <w:b w:val="0"/>
          <w:bCs w:val="0"/>
        </w:rPr>
      </w:r>
      <w:r>
        <w:rPr/>
        <w:t>第九节</w:t>
      </w:r>
      <w:r>
        <w:rPr>
          <w:spacing w:val="-7"/>
        </w:rPr>
        <w:t> </w:t>
      </w:r>
      <w:r>
        <w:rPr/>
        <w:t>财务报告</w:t>
      </w:r>
      <w:r>
        <w:rPr>
          <w:b w:val="0"/>
          <w:bCs w:val="0"/>
        </w:rPr>
      </w:r>
    </w:p>
    <w:p>
      <w:pPr>
        <w:spacing w:line="240" w:lineRule="auto" w:before="10"/>
        <w:rPr>
          <w:rFonts w:ascii="宋体" w:hAnsi="宋体" w:cs="宋体" w:eastAsia="宋体" w:hint="default"/>
          <w:b/>
          <w:bCs/>
          <w:sz w:val="22"/>
          <w:szCs w:val="22"/>
        </w:rPr>
      </w:pPr>
    </w:p>
    <w:p>
      <w:pPr>
        <w:pStyle w:val="Heading2"/>
        <w:spacing w:line="240" w:lineRule="auto" w:before="35"/>
        <w:ind w:left="137" w:right="100"/>
        <w:jc w:val="left"/>
        <w:rPr>
          <w:b w:val="0"/>
          <w:bCs w:val="0"/>
        </w:rPr>
      </w:pPr>
      <w:r>
        <w:rPr/>
        <w:t>一、审计报告</w:t>
      </w:r>
      <w:r>
        <w:rPr>
          <w:b w:val="0"/>
          <w:bCs w:val="0"/>
        </w:rPr>
      </w:r>
    </w:p>
    <w:p>
      <w:pPr>
        <w:spacing w:line="240" w:lineRule="auto" w:before="3"/>
        <w:rPr>
          <w:rFonts w:ascii="宋体" w:hAnsi="宋体" w:cs="宋体" w:eastAsia="宋体" w:hint="default"/>
          <w:b/>
          <w:bCs/>
          <w:sz w:val="23"/>
          <w:szCs w:val="23"/>
        </w:rPr>
      </w:pPr>
    </w:p>
    <w:p>
      <w:pPr>
        <w:spacing w:before="35"/>
        <w:ind w:left="0" w:right="75" w:firstLine="0"/>
        <w:jc w:val="center"/>
        <w:rPr>
          <w:rFonts w:ascii="宋体" w:hAnsi="宋体" w:cs="宋体" w:eastAsia="宋体" w:hint="default"/>
          <w:sz w:val="21"/>
          <w:szCs w:val="21"/>
        </w:rPr>
      </w:pPr>
      <w:r>
        <w:rPr>
          <w:rFonts w:ascii="宋体" w:hAnsi="宋体" w:cs="宋体" w:eastAsia="宋体" w:hint="default"/>
          <w:b/>
          <w:bCs/>
          <w:sz w:val="21"/>
          <w:szCs w:val="21"/>
        </w:rPr>
        <w:t>审 计 报</w:t>
      </w:r>
      <w:r>
        <w:rPr>
          <w:rFonts w:ascii="宋体" w:hAnsi="宋体" w:cs="宋体" w:eastAsia="宋体" w:hint="default"/>
          <w:b/>
          <w:bCs/>
          <w:spacing w:val="-3"/>
          <w:sz w:val="21"/>
          <w:szCs w:val="21"/>
        </w:rPr>
        <w:t> </w:t>
      </w:r>
      <w:r>
        <w:rPr>
          <w:rFonts w:ascii="宋体" w:hAnsi="宋体" w:cs="宋体" w:eastAsia="宋体" w:hint="default"/>
          <w:b/>
          <w:bCs/>
          <w:sz w:val="21"/>
          <w:szCs w:val="21"/>
        </w:rPr>
        <w:t>告</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83"/>
        <w:ind w:left="5524" w:right="100"/>
        <w:jc w:val="left"/>
      </w:pPr>
      <w:r>
        <w:rPr/>
        <w:t>信会师报字（</w:t>
      </w:r>
      <w:r>
        <w:rPr>
          <w:rFonts w:ascii="Times New Roman" w:hAnsi="Times New Roman" w:cs="Times New Roman" w:eastAsia="Times New Roman" w:hint="default"/>
        </w:rPr>
        <w:t>2011</w:t>
      </w:r>
      <w:r>
        <w:rPr/>
        <w:t>）第</w:t>
      </w:r>
      <w:r>
        <w:rPr>
          <w:spacing w:val="-63"/>
        </w:rPr>
        <w:t> </w:t>
      </w:r>
      <w:r>
        <w:rPr>
          <w:rFonts w:ascii="Times New Roman" w:hAnsi="Times New Roman" w:cs="Times New Roman" w:eastAsia="Times New Roman" w:hint="default"/>
        </w:rPr>
        <w:t>10811</w:t>
      </w:r>
      <w:r>
        <w:rPr>
          <w:rFonts w:ascii="Times New Roman" w:hAnsi="Times New Roman" w:cs="Times New Roman" w:eastAsia="Times New Roman" w:hint="default"/>
          <w:spacing w:val="-10"/>
        </w:rPr>
        <w:t> </w:t>
      </w:r>
      <w:r>
        <w:rPr/>
        <w:t>号</w:t>
      </w:r>
    </w:p>
    <w:p>
      <w:pPr>
        <w:spacing w:line="240" w:lineRule="auto" w:before="6"/>
        <w:rPr>
          <w:rFonts w:ascii="宋体" w:hAnsi="宋体" w:cs="宋体" w:eastAsia="宋体" w:hint="default"/>
          <w:sz w:val="27"/>
          <w:szCs w:val="27"/>
        </w:rPr>
      </w:pPr>
    </w:p>
    <w:p>
      <w:pPr>
        <w:pStyle w:val="Heading1"/>
        <w:spacing w:line="240" w:lineRule="auto"/>
        <w:ind w:left="137" w:right="100"/>
        <w:jc w:val="left"/>
        <w:rPr>
          <w:b w:val="0"/>
          <w:bCs w:val="0"/>
        </w:rPr>
      </w:pPr>
      <w:r>
        <w:rPr/>
        <w:t>北京神州泰岳软件股份有限公司全体股东：</w:t>
      </w:r>
      <w:r>
        <w:rPr>
          <w:b w:val="0"/>
          <w:bCs w:val="0"/>
        </w:rPr>
      </w:r>
    </w:p>
    <w:p>
      <w:pPr>
        <w:spacing w:line="240" w:lineRule="auto" w:before="4"/>
        <w:rPr>
          <w:rFonts w:ascii="宋体" w:hAnsi="宋体" w:cs="宋体" w:eastAsia="宋体" w:hint="default"/>
          <w:b/>
          <w:bCs/>
          <w:sz w:val="34"/>
          <w:szCs w:val="34"/>
        </w:rPr>
      </w:pPr>
    </w:p>
    <w:p>
      <w:pPr>
        <w:pStyle w:val="BodyText"/>
        <w:spacing w:line="302" w:lineRule="auto"/>
        <w:ind w:right="212" w:firstLine="420"/>
        <w:jc w:val="both"/>
      </w:pPr>
      <w:r>
        <w:rPr>
          <w:spacing w:val="-3"/>
        </w:rPr>
        <w:t>我们审计了后附的北京神州泰岳软件股份有限公司（以下简称贵公司）财务报表，包括</w:t>
      </w:r>
      <w:r>
        <w:rPr/>
        <w:t> </w:t>
      </w:r>
      <w:r>
        <w:rPr>
          <w:rFonts w:ascii="Times New Roman" w:hAnsi="Times New Roman" w:cs="Times New Roman" w:eastAsia="Times New Roman" w:hint="default"/>
          <w:spacing w:val="-1"/>
        </w:rPr>
        <w:t>2010</w:t>
      </w:r>
      <w:r>
        <w:rPr>
          <w:rFonts w:ascii="Times New Roman" w:hAnsi="Times New Roman" w:cs="Times New Roman" w:eastAsia="Times New Roman" w:hint="default"/>
        </w:rPr>
        <w:t> </w:t>
      </w:r>
      <w:r>
        <w:rPr/>
        <w:t>年</w:t>
      </w:r>
      <w:r>
        <w:rPr>
          <w:spacing w:val="-52"/>
        </w:rPr>
        <w:t> </w:t>
      </w:r>
      <w:r>
        <w:rPr>
          <w:rFonts w:ascii="Times New Roman" w:hAnsi="Times New Roman" w:cs="Times New Roman" w:eastAsia="Times New Roman" w:hint="default"/>
          <w:spacing w:val="-1"/>
        </w:rPr>
        <w:t>12</w:t>
      </w:r>
      <w:r>
        <w:rPr>
          <w:rFonts w:ascii="Times New Roman" w:hAnsi="Times New Roman" w:cs="Times New Roman" w:eastAsia="Times New Roman" w:hint="default"/>
        </w:rPr>
        <w:t> </w:t>
      </w:r>
      <w:r>
        <w:rPr/>
        <w:t>月</w:t>
      </w:r>
      <w:r>
        <w:rPr>
          <w:spacing w:val="-52"/>
        </w:rPr>
        <w:t> </w:t>
      </w:r>
      <w:r>
        <w:rPr>
          <w:rFonts w:ascii="Times New Roman" w:hAnsi="Times New Roman" w:cs="Times New Roman" w:eastAsia="Times New Roman" w:hint="default"/>
          <w:spacing w:val="-1"/>
        </w:rPr>
        <w:t>31</w:t>
      </w:r>
      <w:r>
        <w:rPr>
          <w:rFonts w:ascii="Times New Roman" w:hAnsi="Times New Roman" w:cs="Times New Roman" w:eastAsia="Times New Roman" w:hint="default"/>
          <w:spacing w:val="1"/>
        </w:rPr>
        <w:t> </w:t>
      </w:r>
      <w:r>
        <w:rPr>
          <w:spacing w:val="-5"/>
        </w:rPr>
        <w:t>日的资产负债表和合并资产负债表、</w:t>
      </w:r>
      <w:r>
        <w:rPr>
          <w:rFonts w:ascii="Times New Roman" w:hAnsi="Times New Roman" w:cs="Times New Roman" w:eastAsia="Times New Roman" w:hint="default"/>
          <w:spacing w:val="-5"/>
        </w:rPr>
        <w:t>2010</w:t>
      </w:r>
      <w:r>
        <w:rPr>
          <w:rFonts w:ascii="Times New Roman" w:hAnsi="Times New Roman" w:cs="Times New Roman" w:eastAsia="Times New Roman" w:hint="default"/>
          <w:spacing w:val="1"/>
        </w:rPr>
        <w:t> </w:t>
      </w:r>
      <w:r>
        <w:rPr>
          <w:spacing w:val="-6"/>
        </w:rPr>
        <w:t>年度的利润表和合并利润表、</w:t>
      </w:r>
      <w:r>
        <w:rPr>
          <w:rFonts w:ascii="Times New Roman" w:hAnsi="Times New Roman" w:cs="Times New Roman" w:eastAsia="Times New Roman" w:hint="default"/>
          <w:spacing w:val="-6"/>
        </w:rPr>
        <w:t>2010</w:t>
      </w:r>
      <w:r>
        <w:rPr>
          <w:rFonts w:ascii="Times New Roman" w:hAnsi="Times New Roman" w:cs="Times New Roman" w:eastAsia="Times New Roman" w:hint="default"/>
        </w:rPr>
        <w:t> </w:t>
      </w:r>
      <w:r>
        <w:rPr/>
        <w:t>年度的现金流量表和合并现金流量表、</w:t>
      </w:r>
      <w:r>
        <w:rPr>
          <w:rFonts w:ascii="Times New Roman" w:hAnsi="Times New Roman" w:cs="Times New Roman" w:eastAsia="Times New Roman" w:hint="default"/>
        </w:rPr>
        <w:t>2010</w:t>
      </w:r>
      <w:r>
        <w:rPr>
          <w:rFonts w:ascii="Times New Roman" w:hAnsi="Times New Roman" w:cs="Times New Roman" w:eastAsia="Times New Roman" w:hint="default"/>
          <w:spacing w:val="8"/>
        </w:rPr>
        <w:t> </w:t>
      </w:r>
      <w:r>
        <w:rPr/>
        <w:t>年度的所有者权益变动表和合并所有者权益变 动表以及财务报表附注。</w:t>
      </w:r>
    </w:p>
    <w:p>
      <w:pPr>
        <w:spacing w:line="240" w:lineRule="auto" w:before="11"/>
        <w:rPr>
          <w:rFonts w:ascii="宋体" w:hAnsi="宋体" w:cs="宋体" w:eastAsia="宋体" w:hint="default"/>
          <w:sz w:val="29"/>
          <w:szCs w:val="29"/>
        </w:rPr>
      </w:pPr>
    </w:p>
    <w:p>
      <w:pPr>
        <w:tabs>
          <w:tab w:pos="1418" w:val="left" w:leader="none"/>
        </w:tabs>
        <w:spacing w:line="314" w:lineRule="auto" w:before="0"/>
        <w:ind w:left="557" w:right="240" w:firstLine="141"/>
        <w:jc w:val="left"/>
        <w:rPr>
          <w:rFonts w:ascii="宋体" w:hAnsi="宋体" w:cs="宋体" w:eastAsia="宋体" w:hint="default"/>
          <w:sz w:val="21"/>
          <w:szCs w:val="21"/>
        </w:rPr>
      </w:pPr>
      <w:r>
        <w:rPr>
          <w:rFonts w:ascii="宋体" w:hAnsi="宋体" w:cs="宋体" w:eastAsia="宋体" w:hint="default"/>
          <w:b/>
          <w:bCs/>
          <w:w w:val="95"/>
          <w:sz w:val="21"/>
          <w:szCs w:val="21"/>
        </w:rPr>
        <w:t>一、</w:t>
        <w:tab/>
      </w:r>
      <w:r>
        <w:rPr>
          <w:rFonts w:ascii="宋体" w:hAnsi="宋体" w:cs="宋体" w:eastAsia="宋体" w:hint="default"/>
          <w:b/>
          <w:bCs/>
          <w:sz w:val="21"/>
          <w:szCs w:val="21"/>
        </w:rPr>
        <w:t>管理层对财务报表的责任</w:t>
      </w:r>
      <w:r>
        <w:rPr>
          <w:rFonts w:ascii="宋体" w:hAnsi="宋体" w:cs="宋体" w:eastAsia="宋体" w:hint="default"/>
          <w:b/>
          <w:bCs/>
          <w:w w:val="99"/>
          <w:sz w:val="21"/>
          <w:szCs w:val="21"/>
        </w:rPr>
        <w:t> </w:t>
      </w:r>
      <w:r>
        <w:rPr>
          <w:rFonts w:ascii="宋体" w:hAnsi="宋体" w:cs="宋体" w:eastAsia="宋体" w:hint="default"/>
          <w:spacing w:val="-6"/>
          <w:sz w:val="21"/>
          <w:szCs w:val="21"/>
        </w:rPr>
        <w:t>按照企业会计准则的规定编制财务报表是贵公司管理层的责任。这种责任包括：（</w:t>
      </w:r>
      <w:r>
        <w:rPr>
          <w:rFonts w:ascii="Times New Roman" w:hAnsi="Times New Roman" w:cs="Times New Roman" w:eastAsia="Times New Roman" w:hint="default"/>
          <w:spacing w:val="-6"/>
          <w:sz w:val="21"/>
          <w:szCs w:val="21"/>
        </w:rPr>
        <w:t>1</w:t>
      </w:r>
      <w:r>
        <w:rPr>
          <w:rFonts w:ascii="宋体" w:hAnsi="宋体" w:cs="宋体" w:eastAsia="宋体" w:hint="default"/>
          <w:spacing w:val="-6"/>
          <w:sz w:val="21"/>
          <w:szCs w:val="21"/>
        </w:rPr>
        <w:t>）设</w:t>
      </w:r>
      <w:r>
        <w:rPr>
          <w:rFonts w:ascii="宋体" w:hAnsi="宋体" w:cs="宋体" w:eastAsia="宋体" w:hint="default"/>
          <w:sz w:val="21"/>
          <w:szCs w:val="21"/>
        </w:rPr>
      </w:r>
    </w:p>
    <w:p>
      <w:pPr>
        <w:pStyle w:val="BodyText"/>
        <w:spacing w:line="314" w:lineRule="auto"/>
        <w:ind w:right="100"/>
        <w:jc w:val="left"/>
      </w:pPr>
      <w:r>
        <w:rPr>
          <w:spacing w:val="-3"/>
        </w:rPr>
        <w:t>计、实施和维护与财务报表编制相关的内部控制，以使财务报表不存在由于舞弊或错误而导</w:t>
      </w:r>
      <w:r>
        <w:rPr>
          <w:spacing w:val="-75"/>
        </w:rPr>
        <w:t> </w:t>
      </w:r>
      <w:r>
        <w:rPr>
          <w:spacing w:val="-75"/>
        </w:rPr>
      </w:r>
      <w:r>
        <w:rPr>
          <w:spacing w:val="-6"/>
        </w:rPr>
        <w:t>致的重大错报；（</w:t>
      </w:r>
      <w:r>
        <w:rPr>
          <w:rFonts w:ascii="Times New Roman" w:hAnsi="Times New Roman" w:cs="Times New Roman" w:eastAsia="Times New Roman" w:hint="default"/>
          <w:spacing w:val="-6"/>
        </w:rPr>
        <w:t>2</w:t>
      </w:r>
      <w:r>
        <w:rPr>
          <w:spacing w:val="-6"/>
        </w:rPr>
        <w:t>）选择和运用恰当的会计政策；（</w:t>
      </w:r>
      <w:r>
        <w:rPr>
          <w:rFonts w:ascii="Times New Roman" w:hAnsi="Times New Roman" w:cs="Times New Roman" w:eastAsia="Times New Roman" w:hint="default"/>
          <w:spacing w:val="-6"/>
        </w:rPr>
        <w:t>3</w:t>
      </w:r>
      <w:r>
        <w:rPr>
          <w:spacing w:val="-6"/>
        </w:rPr>
        <w:t>）作出合理的会计估计。</w:t>
      </w:r>
    </w:p>
    <w:p>
      <w:pPr>
        <w:tabs>
          <w:tab w:pos="1418" w:val="left" w:leader="none"/>
        </w:tabs>
        <w:spacing w:line="314" w:lineRule="auto" w:before="0"/>
        <w:ind w:left="557" w:right="212" w:firstLine="141"/>
        <w:jc w:val="left"/>
        <w:rPr>
          <w:rFonts w:ascii="宋体" w:hAnsi="宋体" w:cs="宋体" w:eastAsia="宋体" w:hint="default"/>
          <w:sz w:val="21"/>
          <w:szCs w:val="21"/>
        </w:rPr>
      </w:pPr>
      <w:r>
        <w:rPr>
          <w:rFonts w:ascii="宋体" w:hAnsi="宋体" w:cs="宋体" w:eastAsia="宋体" w:hint="default"/>
          <w:b/>
          <w:bCs/>
          <w:w w:val="95"/>
          <w:sz w:val="21"/>
          <w:szCs w:val="21"/>
        </w:rPr>
        <w:t>二、</w:t>
        <w:tab/>
      </w:r>
      <w:r>
        <w:rPr>
          <w:rFonts w:ascii="宋体" w:hAnsi="宋体" w:cs="宋体" w:eastAsia="宋体" w:hint="default"/>
          <w:b/>
          <w:bCs/>
          <w:sz w:val="21"/>
          <w:szCs w:val="21"/>
        </w:rPr>
        <w:t>注册会计师的责任</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我们的责任是在实施审计工作的基础上对财务报表发表审计意见。我们按照中国注册会</w:t>
      </w:r>
    </w:p>
    <w:p>
      <w:pPr>
        <w:pStyle w:val="BodyText"/>
        <w:spacing w:line="314" w:lineRule="auto" w:before="20"/>
        <w:ind w:right="100"/>
        <w:jc w:val="left"/>
      </w:pPr>
      <w:r>
        <w:rPr>
          <w:spacing w:val="2"/>
        </w:rPr>
        <w:t>计师审计准则的规定执行了审计工作。中国注册会计师审计准则要求我们遵守职业道德规</w:t>
      </w:r>
      <w:r>
        <w:rPr>
          <w:spacing w:val="-82"/>
        </w:rPr>
        <w:t> </w:t>
      </w:r>
      <w:r>
        <w:rPr>
          <w:spacing w:val="-82"/>
        </w:rPr>
      </w:r>
      <w:r>
        <w:rPr/>
        <w:t>范，计划和实施审计工作以对财务报表是否不存在重大错报获取合理保证。</w:t>
      </w:r>
    </w:p>
    <w:p>
      <w:pPr>
        <w:spacing w:line="240" w:lineRule="auto" w:before="1"/>
        <w:rPr>
          <w:rFonts w:ascii="宋体" w:hAnsi="宋体" w:cs="宋体" w:eastAsia="宋体" w:hint="default"/>
          <w:sz w:val="29"/>
          <w:szCs w:val="29"/>
        </w:rPr>
      </w:pPr>
    </w:p>
    <w:p>
      <w:pPr>
        <w:pStyle w:val="BodyText"/>
        <w:spacing w:line="314" w:lineRule="auto"/>
        <w:ind w:right="102" w:firstLine="420"/>
        <w:jc w:val="left"/>
      </w:pPr>
      <w:r>
        <w:rPr>
          <w:spacing w:val="-3"/>
        </w:rPr>
        <w:t>审计工作涉及实施审计程序，以获取有关财务报表金额和披露的审计证据。选择的审计</w:t>
      </w:r>
      <w:r>
        <w:rPr/>
        <w:t> </w:t>
      </w:r>
      <w:r>
        <w:rPr>
          <w:spacing w:val="2"/>
        </w:rPr>
        <w:t>程序取决于注册会计师的判断，包括对由于舞弊或错误导致的财务报表重大错报风险的评</w:t>
      </w:r>
      <w:r>
        <w:rPr>
          <w:spacing w:val="-82"/>
        </w:rPr>
        <w:t> </w:t>
      </w:r>
      <w:r>
        <w:rPr>
          <w:spacing w:val="-82"/>
        </w:rPr>
      </w:r>
      <w:r>
        <w:rPr>
          <w:spacing w:val="-5"/>
        </w:rPr>
        <w:t>估。在进行风险评估时，我们考虑与财务报表编制相关的内部控制，以设计恰当的审计程序，</w:t>
      </w:r>
      <w:r>
        <w:rPr>
          <w:spacing w:val="-94"/>
        </w:rPr>
        <w:t> </w:t>
      </w:r>
      <w:r>
        <w:rPr>
          <w:spacing w:val="-94"/>
        </w:rPr>
      </w:r>
      <w:r>
        <w:rPr>
          <w:spacing w:val="-3"/>
        </w:rPr>
        <w:t>但目的并非对内部控制的有效性发表意见。审计工作还包括评价管理层选用会计政策的恰当</w:t>
      </w:r>
      <w:r>
        <w:rPr>
          <w:spacing w:val="-73"/>
        </w:rPr>
        <w:t> </w:t>
      </w:r>
      <w:r>
        <w:rPr>
          <w:spacing w:val="-73"/>
        </w:rPr>
      </w:r>
      <w:r>
        <w:rPr/>
        <w:t>性和作出会计估计的合理性，以及评价财务报表的总体列报。</w:t>
      </w:r>
    </w:p>
    <w:p>
      <w:pPr>
        <w:pStyle w:val="BodyText"/>
        <w:tabs>
          <w:tab w:pos="1397" w:val="left" w:leader="none"/>
        </w:tabs>
        <w:spacing w:line="314" w:lineRule="auto" w:before="20"/>
        <w:ind w:left="559" w:right="755" w:hanging="3"/>
        <w:jc w:val="left"/>
        <w:rPr>
          <w:rFonts w:ascii="宋体" w:hAnsi="宋体" w:cs="宋体" w:eastAsia="宋体" w:hint="default"/>
        </w:rPr>
      </w:pPr>
      <w:r>
        <w:rPr/>
        <w:t>我们相信，我们获取的审计证据是充分、适当的，为发表审计意见提供了基础。 </w:t>
      </w:r>
      <w:r>
        <w:rPr>
          <w:rFonts w:ascii="宋体" w:hAnsi="宋体" w:cs="宋体" w:eastAsia="宋体" w:hint="default"/>
          <w:b/>
          <w:bCs/>
          <w:w w:val="95"/>
        </w:rPr>
        <w:t>三、</w:t>
        <w:tab/>
      </w:r>
      <w:r>
        <w:rPr>
          <w:rFonts w:ascii="宋体" w:hAnsi="宋体" w:cs="宋体" w:eastAsia="宋体" w:hint="default"/>
          <w:b/>
          <w:bCs/>
        </w:rPr>
        <w:t>审计意见</w:t>
      </w:r>
      <w:r>
        <w:rPr>
          <w:rFonts w:ascii="宋体" w:hAnsi="宋体" w:cs="宋体" w:eastAsia="宋体" w:hint="default"/>
        </w:rPr>
      </w:r>
    </w:p>
    <w:p>
      <w:pPr>
        <w:pStyle w:val="BodyText"/>
        <w:spacing w:line="314" w:lineRule="auto" w:before="20"/>
        <w:ind w:right="100" w:firstLine="420"/>
        <w:jc w:val="left"/>
      </w:pPr>
      <w:r>
        <w:rPr>
          <w:spacing w:val="-3"/>
        </w:rPr>
        <w:t>我们认为，贵公司财务报表已经按照企业会计准则的规定编制，在所有重大方面公允反</w:t>
      </w:r>
      <w:r>
        <w:rPr/>
        <w:t> 映了贵公司</w:t>
      </w:r>
      <w:r>
        <w:rPr>
          <w:spacing w:val="-54"/>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日的财务状况以及</w:t>
      </w:r>
      <w:r>
        <w:rPr>
          <w:spacing w:val="-54"/>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年度的经营成果和现金流量。</w:t>
      </w:r>
    </w:p>
    <w:p>
      <w:pPr>
        <w:spacing w:line="240" w:lineRule="auto" w:before="4"/>
        <w:rPr>
          <w:rFonts w:ascii="宋体" w:hAnsi="宋体" w:cs="宋体" w:eastAsia="宋体" w:hint="default"/>
          <w:sz w:val="27"/>
          <w:szCs w:val="27"/>
        </w:rPr>
      </w:pPr>
    </w:p>
    <w:p>
      <w:pPr>
        <w:pStyle w:val="Heading2"/>
        <w:tabs>
          <w:tab w:pos="4997" w:val="left" w:leader="none"/>
        </w:tabs>
        <w:spacing w:line="628" w:lineRule="auto"/>
        <w:ind w:left="4997" w:right="1978" w:hanging="4861"/>
        <w:jc w:val="left"/>
        <w:rPr>
          <w:b w:val="0"/>
          <w:bCs w:val="0"/>
        </w:rPr>
      </w:pPr>
      <w:r>
        <w:rPr>
          <w:w w:val="95"/>
        </w:rPr>
        <w:t>立信会计师事务所有限公司</w:t>
        <w:tab/>
      </w:r>
      <w:r>
        <w:rPr/>
        <w:t>中国注册会计师：</w:t>
      </w:r>
      <w:r>
        <w:rPr>
          <w:spacing w:val="1"/>
          <w:w w:val="99"/>
        </w:rPr>
        <w:t> </w:t>
      </w:r>
      <w:r>
        <w:rPr/>
        <w:t>中国注册会计师：</w:t>
      </w:r>
      <w:r>
        <w:rPr>
          <w:b w:val="0"/>
          <w:bCs w:val="0"/>
        </w:rPr>
      </w:r>
    </w:p>
    <w:p>
      <w:pPr>
        <w:tabs>
          <w:tab w:pos="5038" w:val="left" w:leader="none"/>
        </w:tabs>
        <w:spacing w:before="105"/>
        <w:ind w:left="137" w:right="100" w:firstLine="0"/>
        <w:jc w:val="left"/>
        <w:rPr>
          <w:rFonts w:ascii="宋体" w:hAnsi="宋体" w:cs="宋体" w:eastAsia="宋体" w:hint="default"/>
          <w:sz w:val="21"/>
          <w:szCs w:val="21"/>
        </w:rPr>
      </w:pPr>
      <w:r>
        <w:rPr>
          <w:rFonts w:ascii="宋体" w:hAnsi="宋体" w:cs="宋体" w:eastAsia="宋体" w:hint="default"/>
          <w:b/>
          <w:bCs/>
          <w:w w:val="95"/>
          <w:sz w:val="21"/>
          <w:szCs w:val="21"/>
        </w:rPr>
        <w:t>中国</w:t>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上海</w:t>
        <w:tab/>
      </w:r>
      <w:r>
        <w:rPr>
          <w:rFonts w:ascii="宋体" w:hAnsi="宋体" w:cs="宋体" w:eastAsia="宋体" w:hint="default"/>
          <w:b/>
          <w:bCs/>
          <w:sz w:val="21"/>
          <w:szCs w:val="21"/>
        </w:rPr>
        <w:t>二</w:t>
      </w:r>
      <w:r>
        <w:rPr>
          <w:rFonts w:ascii="宋体" w:hAnsi="宋体" w:cs="宋体" w:eastAsia="宋体" w:hint="default"/>
          <w:b/>
          <w:bCs/>
          <w:spacing w:val="-56"/>
          <w:sz w:val="21"/>
          <w:szCs w:val="21"/>
        </w:rPr>
        <w:t> </w:t>
      </w:r>
      <w:r>
        <w:rPr>
          <w:rFonts w:ascii="Times New Roman" w:hAnsi="Times New Roman" w:cs="Times New Roman" w:eastAsia="Times New Roman" w:hint="default"/>
          <w:b/>
          <w:bCs/>
          <w:sz w:val="21"/>
          <w:szCs w:val="21"/>
        </w:rPr>
        <w:t>O</w:t>
      </w:r>
      <w:r>
        <w:rPr>
          <w:rFonts w:ascii="Times New Roman" w:hAnsi="Times New Roman" w:cs="Times New Roman" w:eastAsia="Times New Roman" w:hint="default"/>
          <w:b/>
          <w:bCs/>
          <w:spacing w:val="-4"/>
          <w:sz w:val="21"/>
          <w:szCs w:val="21"/>
        </w:rPr>
        <w:t> </w:t>
      </w:r>
      <w:r>
        <w:rPr>
          <w:rFonts w:ascii="宋体" w:hAnsi="宋体" w:cs="宋体" w:eastAsia="宋体" w:hint="default"/>
          <w:b/>
          <w:bCs/>
          <w:sz w:val="21"/>
          <w:szCs w:val="21"/>
        </w:rPr>
        <w:t>一一年三月十五日</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51" w:footer="982" w:top="1300" w:bottom="1180" w:left="1660" w:right="1580"/>
        </w:sectPr>
      </w:pPr>
    </w:p>
    <w:p>
      <w:pPr>
        <w:spacing w:line="240" w:lineRule="auto" w:before="11"/>
        <w:rPr>
          <w:rFonts w:ascii="宋体" w:hAnsi="宋体" w:cs="宋体" w:eastAsia="宋体" w:hint="default"/>
          <w:b/>
          <w:bCs/>
          <w:sz w:val="2"/>
          <w:szCs w:val="2"/>
        </w:rPr>
      </w:pPr>
    </w:p>
    <w:p>
      <w:pPr>
        <w:spacing w:line="20" w:lineRule="exact"/>
        <w:ind w:left="10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pStyle w:val="Heading1"/>
        <w:spacing w:line="240" w:lineRule="auto" w:before="34"/>
        <w:ind w:left="137" w:right="0"/>
        <w:jc w:val="left"/>
        <w:rPr>
          <w:b w:val="0"/>
          <w:bCs w:val="0"/>
        </w:rPr>
      </w:pPr>
      <w:r>
        <w:rPr/>
        <w:t>二、财务报表</w:t>
      </w:r>
      <w:r>
        <w:rPr>
          <w:b w:val="0"/>
          <w:bCs w:val="0"/>
        </w:rPr>
      </w:r>
    </w:p>
    <w:p>
      <w:pPr>
        <w:spacing w:line="240" w:lineRule="auto" w:before="4"/>
        <w:rPr>
          <w:rFonts w:ascii="宋体" w:hAnsi="宋体" w:cs="宋体" w:eastAsia="宋体" w:hint="default"/>
          <w:b/>
          <w:bCs/>
          <w:sz w:val="15"/>
          <w:szCs w:val="15"/>
        </w:rPr>
      </w:pPr>
    </w:p>
    <w:p>
      <w:pPr>
        <w:pStyle w:val="Heading2"/>
        <w:spacing w:line="285" w:lineRule="auto" w:before="35"/>
        <w:ind w:left="2872" w:right="3068"/>
        <w:jc w:val="center"/>
        <w:rPr>
          <w:b w:val="0"/>
          <w:bCs w:val="0"/>
        </w:rPr>
      </w:pPr>
      <w:r>
        <w:rPr>
          <w:w w:val="95"/>
        </w:rPr>
        <w:t>北京神州泰岳软件股份有限公司</w:t>
      </w:r>
      <w:r>
        <w:rPr>
          <w:spacing w:val="34"/>
          <w:w w:val="95"/>
        </w:rPr>
        <w:t> </w:t>
      </w:r>
      <w:r>
        <w:rPr>
          <w:spacing w:val="34"/>
          <w:w w:val="95"/>
        </w:rPr>
      </w:r>
      <w:r>
        <w:rPr/>
        <w:t>资产负债表</w:t>
      </w:r>
      <w:r>
        <w:rPr>
          <w:b w:val="0"/>
          <w:bCs w:val="0"/>
        </w:rPr>
      </w:r>
    </w:p>
    <w:p>
      <w:pPr>
        <w:spacing w:before="11"/>
        <w:ind w:left="2872" w:right="3068" w:firstLine="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月</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spacing w:before="43"/>
        <w:ind w:left="2556" w:right="0" w:firstLine="0"/>
        <w:jc w:val="left"/>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0"/>
          <w:szCs w:val="20"/>
        </w:rPr>
      </w:pPr>
    </w:p>
    <w:tbl>
      <w:tblPr>
        <w:tblW w:w="0" w:type="auto"/>
        <w:jc w:val="left"/>
        <w:tblInd w:w="132" w:type="dxa"/>
        <w:tblLayout w:type="fixed"/>
        <w:tblCellMar>
          <w:top w:w="0" w:type="dxa"/>
          <w:left w:w="0" w:type="dxa"/>
          <w:bottom w:w="0" w:type="dxa"/>
          <w:right w:w="0" w:type="dxa"/>
        </w:tblCellMar>
        <w:tblLook w:val="01E0"/>
      </w:tblPr>
      <w:tblGrid>
        <w:gridCol w:w="3542"/>
        <w:gridCol w:w="1063"/>
        <w:gridCol w:w="1962"/>
        <w:gridCol w:w="1961"/>
      </w:tblGrid>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tabs>
                <w:tab w:pos="539" w:val="left" w:leader="none"/>
              </w:tabs>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资</w:t>
              <w:tab/>
              <w:t>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附注十一</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61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615"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29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1,187,235,137.72</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1,867,280,504.76</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3,932,800.00</w:t>
            </w: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（一）</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165,497,327.09</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78,529,102.14</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13,710,190.04</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4,301,811.33</w:t>
            </w:r>
          </w:p>
        </w:tc>
      </w:tr>
      <w:tr>
        <w:trPr>
          <w:trHeight w:val="29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（二）</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116,442,391.17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12,080,474.69</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68,268,990.85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41,972,683.47</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1,555,086,836.87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2,004,164,576.39</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（三）</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281,811,831.30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35,848,720.16</w:t>
            </w:r>
          </w:p>
        </w:tc>
      </w:tr>
      <w:tr>
        <w:trPr>
          <w:trHeight w:val="29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304,964,859.16</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10,112,567.89</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106,947,480.00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65,491,080.00</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19,435,331.13</w:t>
            </w: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z w:val="18"/>
              </w:rPr>
              <w:t>936,313.76</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4,107,539.75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3,343,203.86</w:t>
            </w:r>
          </w:p>
        </w:tc>
      </w:tr>
      <w:tr>
        <w:trPr>
          <w:trHeight w:val="29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717,267,041.34</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115,731,885.67</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2,272,353,878.21</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2,119,896,462.06</w:t>
            </w:r>
          </w:p>
        </w:tc>
      </w:tr>
    </w:tbl>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9"/>
          <w:szCs w:val="29"/>
        </w:rPr>
      </w:pPr>
    </w:p>
    <w:p>
      <w:pPr>
        <w:spacing w:before="44"/>
        <w:ind w:left="13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0"/>
        <w:rPr>
          <w:rFonts w:ascii="宋体" w:hAnsi="宋体" w:cs="宋体" w:eastAsia="宋体" w:hint="default"/>
          <w:sz w:val="18"/>
          <w:szCs w:val="18"/>
        </w:rPr>
      </w:pPr>
    </w:p>
    <w:p>
      <w:pPr>
        <w:tabs>
          <w:tab w:pos="3017" w:val="left" w:leader="none"/>
          <w:tab w:pos="5807" w:val="left" w:leader="none"/>
        </w:tabs>
        <w:spacing w:before="136"/>
        <w:ind w:left="13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t>主管会计工作负责人：</w:t>
        <w:tab/>
        <w:t>会计机构负责人：</w:t>
      </w:r>
    </w:p>
    <w:p>
      <w:pPr>
        <w:spacing w:after="0"/>
        <w:jc w:val="left"/>
        <w:rPr>
          <w:rFonts w:ascii="宋体" w:hAnsi="宋体" w:cs="宋体" w:eastAsia="宋体" w:hint="default"/>
          <w:sz w:val="18"/>
          <w:szCs w:val="18"/>
        </w:rPr>
        <w:sectPr>
          <w:footerReference w:type="default" r:id="rId61"/>
          <w:pgSz w:w="11910" w:h="16840"/>
          <w:pgMar w:footer="982" w:header="851" w:top="1300" w:bottom="1180" w:left="1660" w:right="1460"/>
          <w:pgNumType w:start="79"/>
        </w:sectPr>
      </w:pPr>
    </w:p>
    <w:p>
      <w:pPr>
        <w:pStyle w:val="Heading2"/>
        <w:spacing w:line="285" w:lineRule="auto" w:before="17"/>
        <w:ind w:left="2872" w:right="3068"/>
        <w:jc w:val="center"/>
        <w:rPr>
          <w:b w:val="0"/>
          <w:bCs w:val="0"/>
        </w:rPr>
      </w:pPr>
      <w:r>
        <w:rPr/>
        <w:pict>
          <v:group style="position:absolute;margin-left:88.379997pt;margin-top:2.194001pt;width:418.65pt;height:.1pt;mso-position-horizontal-relative:page;mso-position-vertical-relative:paragraph;z-index:-712312" coordorigin="1768,44" coordsize="8373,2">
            <v:shape style="position:absolute;left:1768;top:44;width:8373;height:2" coordorigin="1768,44" coordsize="8373,0" path="m1768,44l10140,44e" filled="false" stroked="true" strokeweight=".72pt" strokecolor="#000000">
              <v:path arrowok="t"/>
            </v:shape>
            <w10:wrap type="none"/>
          </v:group>
        </w:pict>
      </w:r>
      <w:r>
        <w:rPr>
          <w:w w:val="95"/>
        </w:rPr>
        <w:t>北京神州泰岳软件股份有限公司</w:t>
      </w:r>
      <w:r>
        <w:rPr>
          <w:spacing w:val="34"/>
          <w:w w:val="95"/>
        </w:rPr>
        <w:t> </w:t>
      </w:r>
      <w:r>
        <w:rPr>
          <w:spacing w:val="34"/>
          <w:w w:val="95"/>
        </w:rPr>
      </w:r>
      <w:r>
        <w:rPr/>
        <w:t>资产负债表（续）</w:t>
      </w:r>
      <w:r>
        <w:rPr>
          <w:b w:val="0"/>
          <w:bCs w:val="0"/>
        </w:rPr>
      </w:r>
    </w:p>
    <w:p>
      <w:pPr>
        <w:spacing w:before="11"/>
        <w:ind w:left="2872" w:right="3068" w:firstLine="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月</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spacing w:before="35"/>
        <w:ind w:left="0" w:right="196"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4"/>
          <w:szCs w:val="24"/>
        </w:rPr>
      </w:pPr>
    </w:p>
    <w:tbl>
      <w:tblPr>
        <w:tblW w:w="0" w:type="auto"/>
        <w:jc w:val="left"/>
        <w:tblInd w:w="132" w:type="dxa"/>
        <w:tblLayout w:type="fixed"/>
        <w:tblCellMar>
          <w:top w:w="0" w:type="dxa"/>
          <w:left w:w="0" w:type="dxa"/>
          <w:bottom w:w="0" w:type="dxa"/>
          <w:right w:w="0" w:type="dxa"/>
        </w:tblCellMar>
        <w:tblLook w:val="01E0"/>
      </w:tblPr>
      <w:tblGrid>
        <w:gridCol w:w="3542"/>
        <w:gridCol w:w="1063"/>
        <w:gridCol w:w="1962"/>
        <w:gridCol w:w="1961"/>
      </w:tblGrid>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16" w:right="0"/>
              <w:jc w:val="left"/>
              <w:rPr>
                <w:rFonts w:ascii="宋体" w:hAnsi="宋体" w:cs="宋体" w:eastAsia="宋体" w:hint="default"/>
                <w:sz w:val="18"/>
                <w:szCs w:val="18"/>
              </w:rPr>
            </w:pPr>
            <w:r>
              <w:rPr>
                <w:rFonts w:ascii="宋体" w:hAnsi="宋体" w:cs="宋体" w:eastAsia="宋体" w:hint="default"/>
                <w:sz w:val="18"/>
                <w:szCs w:val="18"/>
              </w:rPr>
              <w:t>负债和所有者权益（或股东权益）</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66" w:right="0"/>
              <w:jc w:val="left"/>
              <w:rPr>
                <w:rFonts w:ascii="宋体" w:hAnsi="宋体" w:cs="宋体" w:eastAsia="宋体" w:hint="default"/>
                <w:sz w:val="18"/>
                <w:szCs w:val="18"/>
              </w:rPr>
            </w:pPr>
            <w:r>
              <w:rPr>
                <w:rFonts w:ascii="宋体" w:hAnsi="宋体" w:cs="宋体" w:eastAsia="宋体" w:hint="default"/>
                <w:sz w:val="18"/>
                <w:szCs w:val="18"/>
              </w:rPr>
              <w:t>附注十一</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61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615"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29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25,459,127.78</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17,374,240.88</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74,305,551.60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41,864,953.08</w:t>
            </w:r>
          </w:p>
        </w:tc>
      </w:tr>
      <w:tr>
        <w:trPr>
          <w:trHeight w:val="29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13,095,631.18</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8,024,949.00</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7,183,791.69</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5,955,902.61</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3,095,173.10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z w:val="18"/>
              </w:rPr>
              <w:t>570,070.15</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123,139,275.35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73,790,115.72</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4,104,804.62</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3,943,694.03</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12,419,520.90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4,822,638.10</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16,524,325.52</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8,766,332.13</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负债合计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139,663,600.87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82,556,447.85</w:t>
            </w:r>
          </w:p>
        </w:tc>
      </w:tr>
      <w:tr>
        <w:trPr>
          <w:trHeight w:val="29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316,000,000.00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126,400,000.00</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1,556,125,401.41</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1,745,103,806.92</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46,500,882.85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33,236,015.99</w:t>
            </w:r>
          </w:p>
        </w:tc>
      </w:tr>
      <w:tr>
        <w:trPr>
          <w:trHeight w:val="29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214,063,993.08</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132,600,191.30</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所有者权益（或股东权益）合计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2,132,690,277.34</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2,037,340,014.21</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负债和所有者权益（或股东权益）总计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2,272,353,878.21</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2,119,896,462.06</w:t>
            </w:r>
          </w:p>
        </w:tc>
      </w:tr>
    </w:tbl>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9"/>
          <w:szCs w:val="29"/>
        </w:rPr>
      </w:pPr>
    </w:p>
    <w:p>
      <w:pPr>
        <w:spacing w:before="44"/>
        <w:ind w:left="13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11"/>
        <w:rPr>
          <w:rFonts w:ascii="宋体" w:hAnsi="宋体" w:cs="宋体" w:eastAsia="宋体" w:hint="default"/>
          <w:sz w:val="24"/>
          <w:szCs w:val="24"/>
        </w:rPr>
      </w:pPr>
    </w:p>
    <w:p>
      <w:pPr>
        <w:tabs>
          <w:tab w:pos="3017" w:val="left" w:leader="none"/>
          <w:tab w:pos="5807" w:val="left" w:leader="none"/>
        </w:tabs>
        <w:spacing w:before="0"/>
        <w:ind w:left="13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t>主管会计工作负责人：</w:t>
        <w:tab/>
        <w:t>会计机构负责人：</w:t>
      </w:r>
    </w:p>
    <w:p>
      <w:pPr>
        <w:spacing w:after="0"/>
        <w:jc w:val="left"/>
        <w:rPr>
          <w:rFonts w:ascii="宋体" w:hAnsi="宋体" w:cs="宋体" w:eastAsia="宋体" w:hint="default"/>
          <w:sz w:val="18"/>
          <w:szCs w:val="18"/>
        </w:rPr>
        <w:sectPr>
          <w:pgSz w:w="11910" w:h="16840"/>
          <w:pgMar w:header="851" w:footer="982" w:top="1300" w:bottom="1180" w:left="1660" w:right="1460"/>
        </w:sectPr>
      </w:pPr>
    </w:p>
    <w:p>
      <w:pPr>
        <w:pStyle w:val="Heading2"/>
        <w:spacing w:line="285" w:lineRule="auto" w:before="17"/>
        <w:ind w:left="3555" w:right="2995" w:hanging="738"/>
        <w:jc w:val="left"/>
        <w:rPr>
          <w:b w:val="0"/>
          <w:bCs w:val="0"/>
        </w:rPr>
      </w:pPr>
      <w:r>
        <w:rPr/>
        <w:pict>
          <v:group style="position:absolute;margin-left:88.379997pt;margin-top:2.194001pt;width:418.65pt;height:.1pt;mso-position-horizontal-relative:page;mso-position-vertical-relative:paragraph;z-index:-712288" coordorigin="1768,44" coordsize="8373,2">
            <v:shape style="position:absolute;left:1768;top:44;width:8373;height:2" coordorigin="1768,44" coordsize="8373,0" path="m1768,44l10140,44e" filled="false" stroked="true" strokeweight=".72pt" strokecolor="#000000">
              <v:path arrowok="t"/>
            </v:shape>
            <w10:wrap type="none"/>
          </v:group>
        </w:pict>
      </w:r>
      <w:r>
        <w:rPr/>
        <w:t>北京神州泰岳软件股份有限公司</w:t>
      </w:r>
      <w:r>
        <w:rPr>
          <w:spacing w:val="1"/>
          <w:w w:val="99"/>
        </w:rPr>
        <w:t> </w:t>
      </w:r>
      <w:r>
        <w:rPr/>
        <w:t>合并资产负债表</w:t>
      </w:r>
      <w:r>
        <w:rPr>
          <w:w w:val="99"/>
        </w:rPr>
        <w:t> </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w:t>
      </w:r>
      <w:r>
        <w:rPr>
          <w:b w:val="0"/>
          <w:bCs w:val="0"/>
        </w:rPr>
      </w:r>
    </w:p>
    <w:p>
      <w:pPr>
        <w:spacing w:before="12"/>
        <w:ind w:left="2290" w:right="0" w:firstLine="0"/>
        <w:jc w:val="left"/>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1"/>
        <w:rPr>
          <w:rFonts w:ascii="宋体" w:hAnsi="宋体" w:cs="宋体" w:eastAsia="宋体" w:hint="default"/>
          <w:b/>
          <w:bCs/>
          <w:sz w:val="27"/>
          <w:szCs w:val="27"/>
        </w:rPr>
      </w:pPr>
    </w:p>
    <w:tbl>
      <w:tblPr>
        <w:tblW w:w="0" w:type="auto"/>
        <w:jc w:val="left"/>
        <w:tblInd w:w="132" w:type="dxa"/>
        <w:tblLayout w:type="fixed"/>
        <w:tblCellMar>
          <w:top w:w="0" w:type="dxa"/>
          <w:left w:w="0" w:type="dxa"/>
          <w:bottom w:w="0" w:type="dxa"/>
          <w:right w:w="0" w:type="dxa"/>
        </w:tblCellMar>
        <w:tblLook w:val="01E0"/>
      </w:tblPr>
      <w:tblGrid>
        <w:gridCol w:w="3542"/>
        <w:gridCol w:w="1063"/>
        <w:gridCol w:w="1962"/>
        <w:gridCol w:w="1961"/>
      </w:tblGrid>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tabs>
                <w:tab w:pos="539" w:val="left" w:leader="none"/>
              </w:tabs>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资</w:t>
              <w:tab/>
              <w:t>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附注五</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61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615"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（一）</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1,677,647,045.37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2,077,612,998.48</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（二）</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3,932,800.00</w:t>
            </w: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（三）</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343,554,805.65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154,109,977.11</w:t>
            </w: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（五）</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15,822,608.75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4,634,990.70</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（四）</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6,995,520.36</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18,819,557.55</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（六）</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70,524,803.06</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42,555,452.82</w:t>
            </w: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2,118,477,583.19</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2,297,732,976.66</w:t>
            </w: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93" w:right="0"/>
              <w:jc w:val="left"/>
              <w:rPr>
                <w:rFonts w:ascii="宋体" w:hAnsi="宋体" w:cs="宋体" w:eastAsia="宋体" w:hint="default"/>
                <w:sz w:val="18"/>
                <w:szCs w:val="18"/>
              </w:rPr>
            </w:pPr>
            <w:r>
              <w:rPr>
                <w:rFonts w:ascii="宋体" w:hAnsi="宋体" w:cs="宋体" w:eastAsia="宋体" w:hint="default"/>
                <w:sz w:val="18"/>
                <w:szCs w:val="18"/>
              </w:rPr>
              <w:t>发放委托贷款及垫款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（八）</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75,874,851.28</w:t>
            </w: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（九）</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380,763,724.69</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21,423,453.90</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（十）</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106,947,480.00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65,491,080.00</w:t>
            </w: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（十一）</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z w:val="18"/>
              </w:rPr>
              <w:t>66,499.99</w:t>
            </w: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（十一）</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19,435,331.13</w:t>
            </w: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（十二）</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33,470,814.63</w:t>
            </w: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（十三）</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z w:val="18"/>
              </w:rPr>
              <w:t>348,508.67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z w:val="18"/>
              </w:rPr>
              <w:t>936,313.76</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（十四）</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7,572,013.96</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5,767,812.55</w:t>
            </w: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624,479,224.35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93,618,660.21</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2,742,956,807.54</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2,391,351,636.87</w:t>
            </w:r>
          </w:p>
        </w:tc>
      </w:tr>
    </w:tbl>
    <w:p>
      <w:pPr>
        <w:spacing w:line="240" w:lineRule="auto" w:before="3"/>
        <w:rPr>
          <w:rFonts w:ascii="宋体" w:hAnsi="宋体" w:cs="宋体" w:eastAsia="宋体" w:hint="default"/>
          <w:b/>
          <w:bCs/>
          <w:sz w:val="21"/>
          <w:szCs w:val="21"/>
        </w:rPr>
      </w:pPr>
    </w:p>
    <w:p>
      <w:pPr>
        <w:spacing w:before="44"/>
        <w:ind w:left="13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0"/>
        <w:rPr>
          <w:rFonts w:ascii="宋体" w:hAnsi="宋体" w:cs="宋体" w:eastAsia="宋体" w:hint="default"/>
          <w:sz w:val="18"/>
          <w:szCs w:val="18"/>
        </w:rPr>
      </w:pPr>
    </w:p>
    <w:p>
      <w:pPr>
        <w:tabs>
          <w:tab w:pos="3017" w:val="left" w:leader="none"/>
          <w:tab w:pos="5807" w:val="left" w:leader="none"/>
        </w:tabs>
        <w:spacing w:before="159"/>
        <w:ind w:left="13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t>主管会计工作负责人：</w:t>
        <w:tab/>
        <w:t>会计机构负责人：</w:t>
      </w:r>
    </w:p>
    <w:p>
      <w:pPr>
        <w:spacing w:after="0"/>
        <w:jc w:val="left"/>
        <w:rPr>
          <w:rFonts w:ascii="宋体" w:hAnsi="宋体" w:cs="宋体" w:eastAsia="宋体" w:hint="default"/>
          <w:sz w:val="18"/>
          <w:szCs w:val="18"/>
        </w:rPr>
        <w:sectPr>
          <w:pgSz w:w="11910" w:h="16840"/>
          <w:pgMar w:header="851" w:footer="982" w:top="1300" w:bottom="1180" w:left="1660" w:right="1460"/>
        </w:sectPr>
      </w:pPr>
    </w:p>
    <w:p>
      <w:pPr>
        <w:pStyle w:val="Heading2"/>
        <w:spacing w:line="285" w:lineRule="auto" w:before="17"/>
        <w:ind w:left="2872" w:right="3068"/>
        <w:jc w:val="center"/>
        <w:rPr>
          <w:b w:val="0"/>
          <w:bCs w:val="0"/>
        </w:rPr>
      </w:pPr>
      <w:r>
        <w:rPr/>
        <w:pict>
          <v:group style="position:absolute;margin-left:88.379997pt;margin-top:2.194001pt;width:418.65pt;height:.1pt;mso-position-horizontal-relative:page;mso-position-vertical-relative:paragraph;z-index:-712264" coordorigin="1768,44" coordsize="8373,2">
            <v:shape style="position:absolute;left:1768;top:44;width:8373;height:2" coordorigin="1768,44" coordsize="8373,0" path="m1768,44l10140,44e" filled="false" stroked="true" strokeweight=".72pt" strokecolor="#000000">
              <v:path arrowok="t"/>
            </v:shape>
            <w10:wrap type="none"/>
          </v:group>
        </w:pict>
      </w:r>
      <w:r>
        <w:rPr>
          <w:w w:val="95"/>
        </w:rPr>
        <w:t>北京神州泰岳软件股份有限公司</w:t>
      </w:r>
      <w:r>
        <w:rPr>
          <w:spacing w:val="34"/>
          <w:w w:val="95"/>
        </w:rPr>
        <w:t> </w:t>
      </w:r>
      <w:r>
        <w:rPr>
          <w:spacing w:val="34"/>
          <w:w w:val="95"/>
        </w:rPr>
      </w:r>
      <w:r>
        <w:rPr/>
        <w:t>合并资产负债表（续）</w:t>
      </w:r>
      <w:r>
        <w:rPr>
          <w:b w:val="0"/>
          <w:bCs w:val="0"/>
        </w:rPr>
      </w:r>
    </w:p>
    <w:p>
      <w:pPr>
        <w:spacing w:before="11"/>
        <w:ind w:left="2872" w:right="3068" w:firstLine="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月</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spacing w:before="55"/>
        <w:ind w:left="0" w:right="197"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8"/>
        <w:rPr>
          <w:rFonts w:ascii="宋体" w:hAnsi="宋体" w:cs="宋体" w:eastAsia="宋体" w:hint="default"/>
          <w:b/>
          <w:bCs/>
          <w:sz w:val="21"/>
          <w:szCs w:val="21"/>
        </w:rPr>
      </w:pPr>
    </w:p>
    <w:tbl>
      <w:tblPr>
        <w:tblW w:w="0" w:type="auto"/>
        <w:jc w:val="left"/>
        <w:tblInd w:w="132" w:type="dxa"/>
        <w:tblLayout w:type="fixed"/>
        <w:tblCellMar>
          <w:top w:w="0" w:type="dxa"/>
          <w:left w:w="0" w:type="dxa"/>
          <w:bottom w:w="0" w:type="dxa"/>
          <w:right w:w="0" w:type="dxa"/>
        </w:tblCellMar>
        <w:tblLook w:val="01E0"/>
      </w:tblPr>
      <w:tblGrid>
        <w:gridCol w:w="3542"/>
        <w:gridCol w:w="1063"/>
        <w:gridCol w:w="1962"/>
        <w:gridCol w:w="1961"/>
      </w:tblGrid>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16" w:right="0"/>
              <w:jc w:val="left"/>
              <w:rPr>
                <w:rFonts w:ascii="宋体" w:hAnsi="宋体" w:cs="宋体" w:eastAsia="宋体" w:hint="default"/>
                <w:sz w:val="18"/>
                <w:szCs w:val="18"/>
              </w:rPr>
            </w:pPr>
            <w:r>
              <w:rPr>
                <w:rFonts w:ascii="宋体" w:hAnsi="宋体" w:cs="宋体" w:eastAsia="宋体" w:hint="default"/>
                <w:sz w:val="18"/>
                <w:szCs w:val="18"/>
              </w:rPr>
              <w:t>负债和所有者权益（或股东权益）</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附注五</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61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615"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（十六）</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43,980,212.41</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36,358,978.94</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（十七）</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75,160,582.79</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42,031,243.58</w:t>
            </w: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（十八）</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42,355,644.79</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25,185,331.51</w:t>
            </w: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（十九）</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5,352,855.67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3,599,993.32</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（二十）</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4,001,972.54</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5,724,454.57</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170,851,268.20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112,900,001.92</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52" w:right="0"/>
              <w:jc w:val="center"/>
              <w:rPr>
                <w:rFonts w:ascii="宋体" w:hAnsi="宋体" w:cs="宋体" w:eastAsia="宋体" w:hint="default"/>
                <w:sz w:val="18"/>
                <w:szCs w:val="18"/>
              </w:rPr>
            </w:pPr>
            <w:r>
              <w:rPr>
                <w:rFonts w:ascii="宋体" w:hAnsi="宋体" w:cs="宋体" w:eastAsia="宋体" w:hint="default"/>
                <w:sz w:val="18"/>
                <w:szCs w:val="18"/>
              </w:rPr>
              <w:t>（二十一）</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4,104,804.62</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3,943,694.03</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52" w:right="0"/>
              <w:jc w:val="center"/>
              <w:rPr>
                <w:rFonts w:ascii="宋体" w:hAnsi="宋体" w:cs="宋体" w:eastAsia="宋体" w:hint="default"/>
                <w:sz w:val="18"/>
                <w:szCs w:val="18"/>
              </w:rPr>
            </w:pPr>
            <w:r>
              <w:rPr>
                <w:rFonts w:ascii="宋体" w:hAnsi="宋体" w:cs="宋体" w:eastAsia="宋体" w:hint="default"/>
                <w:sz w:val="18"/>
                <w:szCs w:val="18"/>
              </w:rPr>
              <w:t>（二十二）</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14,224,520.90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5,822,638.10</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18,329,325.52</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9,766,332.13</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负债合计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189,180,593.72</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122,666,334.05</w:t>
            </w: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52" w:right="0"/>
              <w:jc w:val="center"/>
              <w:rPr>
                <w:rFonts w:ascii="宋体" w:hAnsi="宋体" w:cs="宋体" w:eastAsia="宋体" w:hint="default"/>
                <w:sz w:val="18"/>
                <w:szCs w:val="18"/>
              </w:rPr>
            </w:pPr>
            <w:r>
              <w:rPr>
                <w:rFonts w:ascii="宋体" w:hAnsi="宋体" w:cs="宋体" w:eastAsia="宋体" w:hint="default"/>
                <w:sz w:val="18"/>
                <w:szCs w:val="18"/>
              </w:rPr>
              <w:t>（二十三）</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316,000,000.00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126,400,000.00</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52" w:right="0"/>
              <w:jc w:val="center"/>
              <w:rPr>
                <w:rFonts w:ascii="宋体" w:hAnsi="宋体" w:cs="宋体" w:eastAsia="宋体" w:hint="default"/>
                <w:sz w:val="18"/>
                <w:szCs w:val="18"/>
              </w:rPr>
            </w:pPr>
            <w:r>
              <w:rPr>
                <w:rFonts w:ascii="宋体" w:hAnsi="宋体" w:cs="宋体" w:eastAsia="宋体" w:hint="default"/>
                <w:sz w:val="18"/>
                <w:szCs w:val="18"/>
              </w:rPr>
              <w:t>（二十四）</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1,561,942,524.85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1,758,214,919.92</w:t>
            </w: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52" w:right="0"/>
              <w:jc w:val="center"/>
              <w:rPr>
                <w:rFonts w:ascii="宋体" w:hAnsi="宋体" w:cs="宋体" w:eastAsia="宋体" w:hint="default"/>
                <w:sz w:val="18"/>
                <w:szCs w:val="18"/>
              </w:rPr>
            </w:pPr>
            <w:r>
              <w:rPr>
                <w:rFonts w:ascii="宋体" w:hAnsi="宋体" w:cs="宋体" w:eastAsia="宋体" w:hint="default"/>
                <w:sz w:val="18"/>
                <w:szCs w:val="18"/>
              </w:rPr>
              <w:t>（二十五）</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46,500,882.85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33,236,015.99</w:t>
            </w: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52" w:right="0"/>
              <w:jc w:val="center"/>
              <w:rPr>
                <w:rFonts w:ascii="宋体" w:hAnsi="宋体" w:cs="宋体" w:eastAsia="宋体" w:hint="default"/>
                <w:sz w:val="18"/>
                <w:szCs w:val="18"/>
              </w:rPr>
            </w:pPr>
            <w:r>
              <w:rPr>
                <w:rFonts w:ascii="宋体" w:hAnsi="宋体" w:cs="宋体" w:eastAsia="宋体" w:hint="default"/>
                <w:sz w:val="18"/>
                <w:szCs w:val="18"/>
              </w:rPr>
              <w:t>（二十六）</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626,332,806.12</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349,602,074.34</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2,550,776,213.82</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2,267,453,010.25</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3,000,000.00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1,232,292.57</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所有者权益（或股东权益）合计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2,553,776,213.82</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2,268,685,302.82</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负债和所有者权益（或股东权益）总计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2,742,956,807.54</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2,391,351,636.87</w:t>
            </w:r>
          </w:p>
        </w:tc>
      </w:tr>
    </w:tbl>
    <w:p>
      <w:pPr>
        <w:spacing w:line="240" w:lineRule="auto" w:before="9"/>
        <w:rPr>
          <w:rFonts w:ascii="宋体" w:hAnsi="宋体" w:cs="宋体" w:eastAsia="宋体" w:hint="default"/>
          <w:b/>
          <w:bCs/>
          <w:sz w:val="12"/>
          <w:szCs w:val="12"/>
        </w:rPr>
      </w:pPr>
    </w:p>
    <w:p>
      <w:pPr>
        <w:spacing w:line="234" w:lineRule="exact" w:before="44"/>
        <w:ind w:left="13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3017" w:val="left" w:leader="none"/>
          <w:tab w:pos="5807" w:val="left" w:leader="none"/>
        </w:tabs>
        <w:spacing w:line="234" w:lineRule="exact" w:before="0"/>
        <w:ind w:left="13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t>主管会计工作负责人：</w:t>
        <w:tab/>
        <w:t>会计机构负责人：</w:t>
      </w:r>
    </w:p>
    <w:p>
      <w:pPr>
        <w:spacing w:after="0" w:line="234" w:lineRule="exact"/>
        <w:jc w:val="left"/>
        <w:rPr>
          <w:rFonts w:ascii="宋体" w:hAnsi="宋体" w:cs="宋体" w:eastAsia="宋体" w:hint="default"/>
          <w:sz w:val="18"/>
          <w:szCs w:val="18"/>
        </w:rPr>
        <w:sectPr>
          <w:pgSz w:w="11910" w:h="16840"/>
          <w:pgMar w:header="851" w:footer="982" w:top="1300" w:bottom="1180" w:left="1660" w:right="1460"/>
        </w:sectPr>
      </w:pPr>
    </w:p>
    <w:p>
      <w:pPr>
        <w:pStyle w:val="Heading2"/>
        <w:spacing w:line="285" w:lineRule="auto" w:before="17"/>
        <w:ind w:left="2872" w:right="3068"/>
        <w:jc w:val="center"/>
        <w:rPr>
          <w:b w:val="0"/>
          <w:bCs w:val="0"/>
        </w:rPr>
      </w:pPr>
      <w:r>
        <w:rPr/>
        <w:pict>
          <v:group style="position:absolute;margin-left:88.379997pt;margin-top:2.194001pt;width:418.65pt;height:.1pt;mso-position-horizontal-relative:page;mso-position-vertical-relative:paragraph;z-index:-712240" coordorigin="1768,44" coordsize="8373,2">
            <v:shape style="position:absolute;left:1768;top:44;width:8373;height:2" coordorigin="1768,44" coordsize="8373,0" path="m1768,44l10140,44e" filled="false" stroked="true" strokeweight=".72pt" strokecolor="#000000">
              <v:path arrowok="t"/>
            </v:shape>
            <w10:wrap type="none"/>
          </v:group>
        </w:pict>
      </w:r>
      <w:r>
        <w:rPr>
          <w:w w:val="95"/>
        </w:rPr>
        <w:t>北京神州泰岳软件股份有限公司</w:t>
      </w:r>
      <w:r>
        <w:rPr>
          <w:spacing w:val="34"/>
          <w:w w:val="95"/>
        </w:rPr>
        <w:t> </w:t>
      </w:r>
      <w:r>
        <w:rPr>
          <w:spacing w:val="34"/>
          <w:w w:val="95"/>
        </w:rPr>
      </w:r>
      <w:r>
        <w:rPr/>
        <w:t>利润表</w:t>
      </w:r>
      <w:r>
        <w:rPr>
          <w:b w:val="0"/>
          <w:bCs w:val="0"/>
        </w:rPr>
      </w:r>
    </w:p>
    <w:p>
      <w:pPr>
        <w:tabs>
          <w:tab w:pos="631" w:val="left" w:leader="none"/>
        </w:tabs>
        <w:spacing w:before="11"/>
        <w:ind w:left="0" w:right="194" w:firstLine="0"/>
        <w:jc w:val="center"/>
        <w:rPr>
          <w:rFonts w:ascii="宋体" w:hAnsi="宋体" w:cs="宋体" w:eastAsia="宋体" w:hint="default"/>
          <w:sz w:val="21"/>
          <w:szCs w:val="21"/>
        </w:rPr>
      </w:pPr>
      <w:r>
        <w:rPr>
          <w:rFonts w:ascii="Times New Roman" w:hAnsi="Times New Roman" w:cs="Times New Roman" w:eastAsia="Times New Roman" w:hint="default"/>
          <w:b/>
          <w:bCs/>
          <w:spacing w:val="-1"/>
          <w:sz w:val="21"/>
          <w:szCs w:val="21"/>
        </w:rPr>
        <w:t>2010</w:t>
        <w:tab/>
      </w:r>
      <w:r>
        <w:rPr>
          <w:rFonts w:ascii="宋体" w:hAnsi="宋体" w:cs="宋体" w:eastAsia="宋体" w:hint="default"/>
          <w:b/>
          <w:bCs/>
          <w:sz w:val="21"/>
          <w:szCs w:val="21"/>
        </w:rPr>
        <w:t>年度</w:t>
      </w:r>
      <w:r>
        <w:rPr>
          <w:rFonts w:ascii="宋体" w:hAnsi="宋体" w:cs="宋体" w:eastAsia="宋体" w:hint="default"/>
          <w:sz w:val="21"/>
          <w:szCs w:val="21"/>
        </w:rPr>
      </w:r>
    </w:p>
    <w:p>
      <w:pPr>
        <w:spacing w:before="35"/>
        <w:ind w:left="0" w:right="196"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2"/>
          <w:szCs w:val="12"/>
        </w:rPr>
      </w:pPr>
    </w:p>
    <w:tbl>
      <w:tblPr>
        <w:tblW w:w="0" w:type="auto"/>
        <w:jc w:val="left"/>
        <w:tblInd w:w="132" w:type="dxa"/>
        <w:tblLayout w:type="fixed"/>
        <w:tblCellMar>
          <w:top w:w="0" w:type="dxa"/>
          <w:left w:w="0" w:type="dxa"/>
          <w:bottom w:w="0" w:type="dxa"/>
          <w:right w:w="0" w:type="dxa"/>
        </w:tblCellMar>
        <w:tblLook w:val="01E0"/>
      </w:tblPr>
      <w:tblGrid>
        <w:gridCol w:w="4186"/>
        <w:gridCol w:w="980"/>
        <w:gridCol w:w="1679"/>
        <w:gridCol w:w="1680"/>
      </w:tblGrid>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
              <w:jc w:val="center"/>
              <w:rPr>
                <w:rFonts w:ascii="宋体" w:hAnsi="宋体" w:cs="宋体" w:eastAsia="宋体" w:hint="default"/>
                <w:sz w:val="18"/>
                <w:szCs w:val="18"/>
              </w:rPr>
            </w:pPr>
            <w:r>
              <w:rPr>
                <w:rFonts w:ascii="宋体" w:hAnsi="宋体" w:cs="宋体" w:eastAsia="宋体" w:hint="default"/>
                <w:sz w:val="18"/>
                <w:szCs w:val="18"/>
              </w:rPr>
              <w:t>附注十一</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474"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474"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
              <w:jc w:val="center"/>
              <w:rPr>
                <w:rFonts w:ascii="宋体" w:hAnsi="宋体" w:cs="宋体" w:eastAsia="宋体" w:hint="default"/>
                <w:sz w:val="18"/>
                <w:szCs w:val="18"/>
              </w:rPr>
            </w:pPr>
            <w:r>
              <w:rPr>
                <w:rFonts w:ascii="宋体" w:hAnsi="宋体" w:cs="宋体" w:eastAsia="宋体" w:hint="default"/>
                <w:sz w:val="18"/>
                <w:szCs w:val="18"/>
              </w:rPr>
              <w:t>（四）</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299,336,529.77</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257,910,065.32</w:t>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463"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
              <w:jc w:val="center"/>
              <w:rPr>
                <w:rFonts w:ascii="宋体" w:hAnsi="宋体" w:cs="宋体" w:eastAsia="宋体" w:hint="default"/>
                <w:sz w:val="18"/>
                <w:szCs w:val="18"/>
              </w:rPr>
            </w:pPr>
            <w:r>
              <w:rPr>
                <w:rFonts w:ascii="宋体" w:hAnsi="宋体" w:cs="宋体" w:eastAsia="宋体" w:hint="default"/>
                <w:sz w:val="18"/>
                <w:szCs w:val="18"/>
              </w:rPr>
              <w:t>（四）</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71,685,923.23</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pacing w:val="-1"/>
                <w:sz w:val="18"/>
              </w:rPr>
              <w:t>71,724,875.67</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823"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8,887,397.69</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3"/>
              <w:jc w:val="right"/>
              <w:rPr>
                <w:rFonts w:ascii="Times New Roman" w:hAnsi="Times New Roman" w:cs="Times New Roman" w:eastAsia="Times New Roman" w:hint="default"/>
                <w:sz w:val="18"/>
                <w:szCs w:val="18"/>
              </w:rPr>
            </w:pPr>
            <w:r>
              <w:rPr>
                <w:rFonts w:ascii="Times New Roman"/>
                <w:spacing w:val="-1"/>
                <w:sz w:val="18"/>
              </w:rPr>
              <w:t>6,988,436.54</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82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18,172,576.29</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pacing w:val="-1"/>
                <w:sz w:val="18"/>
              </w:rPr>
              <w:t>10,958,919.53</w:t>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82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92,448,848.61</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3"/>
              <w:jc w:val="right"/>
              <w:rPr>
                <w:rFonts w:ascii="Times New Roman" w:hAnsi="Times New Roman" w:cs="Times New Roman" w:eastAsia="Times New Roman" w:hint="default"/>
                <w:sz w:val="18"/>
                <w:szCs w:val="18"/>
              </w:rPr>
            </w:pPr>
            <w:r>
              <w:rPr>
                <w:rFonts w:ascii="Times New Roman"/>
                <w:spacing w:val="-1"/>
                <w:sz w:val="18"/>
              </w:rPr>
              <w:t>87,737,511.79</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82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-30,938,538.42</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pacing w:val="-1"/>
                <w:sz w:val="18"/>
              </w:rPr>
              <w:t>-3,865,627.75</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82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6,099,378.39</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pacing w:val="-1"/>
                <w:sz w:val="18"/>
              </w:rPr>
              <w:t>-1,406,481.10</w:t>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31"/>
              <w:jc w:val="right"/>
              <w:rPr>
                <w:rFonts w:ascii="宋体" w:hAnsi="宋体" w:cs="宋体" w:eastAsia="宋体" w:hint="default"/>
                <w:sz w:val="18"/>
                <w:szCs w:val="18"/>
              </w:rPr>
            </w:pPr>
            <w:r>
              <w:rPr>
                <w:rFonts w:ascii="宋体" w:hAnsi="宋体" w:cs="宋体" w:eastAsia="宋体" w:hint="default"/>
                <w:spacing w:val="-1"/>
                <w:sz w:val="18"/>
                <w:szCs w:val="18"/>
              </w:rPr>
              <w:t>加：公允价值变动收益（损失以</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号填列）</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single" w:sz="4" w:space="0" w:color="000000"/>
            </w:tcBorders>
          </w:tcPr>
          <w:p>
            <w:pP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82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
              <w:jc w:val="center"/>
              <w:rPr>
                <w:rFonts w:ascii="宋体" w:hAnsi="宋体" w:cs="宋体" w:eastAsia="宋体" w:hint="default"/>
                <w:sz w:val="18"/>
                <w:szCs w:val="18"/>
              </w:rPr>
            </w:pPr>
            <w:r>
              <w:rPr>
                <w:rFonts w:ascii="宋体" w:hAnsi="宋体" w:cs="宋体" w:eastAsia="宋体" w:hint="default"/>
                <w:sz w:val="18"/>
                <w:szCs w:val="18"/>
              </w:rPr>
              <w:t>（五）</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3,530,842.18</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pacing w:val="-1"/>
                <w:sz w:val="18"/>
              </w:rPr>
              <w:t>50,000,000.00</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10"/>
              <w:jc w:val="righ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3,530,842.18</w:t>
            </w:r>
          </w:p>
        </w:tc>
        <w:tc>
          <w:tcPr>
            <w:tcW w:w="1680" w:type="dxa"/>
            <w:tcBorders>
              <w:top w:val="single" w:sz="4" w:space="0" w:color="000000"/>
              <w:left w:val="single" w:sz="4" w:space="0" w:color="000000"/>
              <w:bottom w:val="single" w:sz="4" w:space="0" w:color="000000"/>
              <w:right w:val="single" w:sz="4" w:space="0" w:color="000000"/>
            </w:tcBorders>
          </w:tcPr>
          <w:p>
            <w:pP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136,511,786.16</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135,772,430.64</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46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12,099,837.33</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pacing w:val="-1"/>
                <w:sz w:val="18"/>
              </w:rPr>
              <w:t>16,785,385.92</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46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1,164,702.40</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37,422.00</w:t>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823"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346,819.40</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37,422.00</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147,446,921.09</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152,520,394.56</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46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14,798,252.45</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3"/>
              <w:jc w:val="right"/>
              <w:rPr>
                <w:rFonts w:ascii="Times New Roman" w:hAnsi="Times New Roman" w:cs="Times New Roman" w:eastAsia="Times New Roman" w:hint="default"/>
                <w:sz w:val="18"/>
                <w:szCs w:val="18"/>
              </w:rPr>
            </w:pPr>
            <w:r>
              <w:rPr>
                <w:rFonts w:ascii="Times New Roman"/>
                <w:spacing w:val="-1"/>
                <w:sz w:val="18"/>
              </w:rPr>
              <w:t>10,274,811.08</w:t>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132,648,668.64</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142,245,583.48</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五、其他综合收益</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739,569.10</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pacing w:val="-1"/>
                <w:sz w:val="18"/>
              </w:rPr>
              <w:t>1,440,500.00</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133,388,237.74</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143,686,083.48</w:t>
            </w:r>
          </w:p>
        </w:tc>
      </w:tr>
    </w:tbl>
    <w:p>
      <w:pPr>
        <w:spacing w:line="240" w:lineRule="auto" w:before="3"/>
        <w:rPr>
          <w:rFonts w:ascii="宋体" w:hAnsi="宋体" w:cs="宋体" w:eastAsia="宋体" w:hint="default"/>
          <w:b/>
          <w:bCs/>
          <w:sz w:val="21"/>
          <w:szCs w:val="21"/>
        </w:rPr>
      </w:pPr>
    </w:p>
    <w:p>
      <w:pPr>
        <w:spacing w:before="44"/>
        <w:ind w:left="13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0"/>
        <w:rPr>
          <w:rFonts w:ascii="宋体" w:hAnsi="宋体" w:cs="宋体" w:eastAsia="宋体" w:hint="default"/>
          <w:sz w:val="18"/>
          <w:szCs w:val="18"/>
        </w:rPr>
      </w:pPr>
    </w:p>
    <w:p>
      <w:pPr>
        <w:tabs>
          <w:tab w:pos="3377" w:val="left" w:leader="none"/>
          <w:tab w:pos="6527" w:val="left" w:leader="none"/>
        </w:tabs>
        <w:spacing w:before="126"/>
        <w:ind w:left="13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t>主管会计工作负责人：</w:t>
        <w:tab/>
        <w:t>会计机构负责人：</w:t>
      </w:r>
    </w:p>
    <w:p>
      <w:pPr>
        <w:spacing w:after="0"/>
        <w:jc w:val="left"/>
        <w:rPr>
          <w:rFonts w:ascii="宋体" w:hAnsi="宋体" w:cs="宋体" w:eastAsia="宋体" w:hint="default"/>
          <w:sz w:val="18"/>
          <w:szCs w:val="18"/>
        </w:rPr>
        <w:sectPr>
          <w:pgSz w:w="11910" w:h="16840"/>
          <w:pgMar w:header="851" w:footer="982" w:top="1300" w:bottom="1180" w:left="1660" w:right="1460"/>
        </w:sectPr>
      </w:pPr>
    </w:p>
    <w:p>
      <w:pPr>
        <w:pStyle w:val="Heading2"/>
        <w:spacing w:line="285" w:lineRule="auto" w:before="17"/>
        <w:ind w:left="2872" w:right="3308"/>
        <w:jc w:val="center"/>
        <w:rPr>
          <w:b w:val="0"/>
          <w:bCs w:val="0"/>
        </w:rPr>
      </w:pPr>
      <w:r>
        <w:rPr/>
        <w:pict>
          <v:group style="position:absolute;margin-left:88.379997pt;margin-top:2.194001pt;width:418.65pt;height:.1pt;mso-position-horizontal-relative:page;mso-position-vertical-relative:paragraph;z-index:-712216" coordorigin="1768,44" coordsize="8373,2">
            <v:shape style="position:absolute;left:1768;top:44;width:8373;height:2" coordorigin="1768,44" coordsize="8373,0" path="m1768,44l10140,44e" filled="false" stroked="true" strokeweight=".72pt" strokecolor="#000000">
              <v:path arrowok="t"/>
            </v:shape>
            <w10:wrap type="none"/>
          </v:group>
        </w:pict>
      </w:r>
      <w:r>
        <w:rPr>
          <w:w w:val="95"/>
        </w:rPr>
        <w:t>北京神州泰岳软件股份有限公司</w:t>
      </w:r>
      <w:r>
        <w:rPr>
          <w:spacing w:val="34"/>
          <w:w w:val="95"/>
        </w:rPr>
        <w:t> </w:t>
      </w:r>
      <w:r>
        <w:rPr>
          <w:spacing w:val="34"/>
          <w:w w:val="95"/>
        </w:rPr>
      </w:r>
      <w:r>
        <w:rPr/>
        <w:t>合并利润表</w:t>
      </w:r>
      <w:r>
        <w:rPr>
          <w:b w:val="0"/>
          <w:bCs w:val="0"/>
        </w:rPr>
      </w:r>
    </w:p>
    <w:p>
      <w:pPr>
        <w:tabs>
          <w:tab w:pos="631" w:val="left" w:leader="none"/>
        </w:tabs>
        <w:spacing w:before="11"/>
        <w:ind w:left="0" w:right="434" w:firstLine="0"/>
        <w:jc w:val="center"/>
        <w:rPr>
          <w:rFonts w:ascii="宋体" w:hAnsi="宋体" w:cs="宋体" w:eastAsia="宋体" w:hint="default"/>
          <w:sz w:val="21"/>
          <w:szCs w:val="21"/>
        </w:rPr>
      </w:pPr>
      <w:r>
        <w:rPr>
          <w:rFonts w:ascii="Times New Roman" w:hAnsi="Times New Roman" w:cs="Times New Roman" w:eastAsia="Times New Roman" w:hint="default"/>
          <w:b/>
          <w:bCs/>
          <w:spacing w:val="-1"/>
          <w:sz w:val="21"/>
          <w:szCs w:val="21"/>
        </w:rPr>
        <w:t>2010</w:t>
        <w:tab/>
      </w:r>
      <w:r>
        <w:rPr>
          <w:rFonts w:ascii="宋体" w:hAnsi="宋体" w:cs="宋体" w:eastAsia="宋体" w:hint="default"/>
          <w:b/>
          <w:bCs/>
          <w:sz w:val="21"/>
          <w:szCs w:val="21"/>
        </w:rPr>
        <w:t>年度</w:t>
      </w:r>
      <w:r>
        <w:rPr>
          <w:rFonts w:ascii="宋体" w:hAnsi="宋体" w:cs="宋体" w:eastAsia="宋体" w:hint="default"/>
          <w:sz w:val="21"/>
          <w:szCs w:val="21"/>
        </w:rPr>
      </w:r>
    </w:p>
    <w:p>
      <w:pPr>
        <w:spacing w:before="35"/>
        <w:ind w:left="0" w:right="436"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1"/>
        <w:rPr>
          <w:rFonts w:ascii="宋体" w:hAnsi="宋体" w:cs="宋体" w:eastAsia="宋体" w:hint="default"/>
          <w:b/>
          <w:bCs/>
          <w:sz w:val="21"/>
          <w:szCs w:val="21"/>
        </w:rPr>
      </w:pPr>
    </w:p>
    <w:tbl>
      <w:tblPr>
        <w:tblW w:w="0" w:type="auto"/>
        <w:jc w:val="left"/>
        <w:tblInd w:w="132" w:type="dxa"/>
        <w:tblLayout w:type="fixed"/>
        <w:tblCellMar>
          <w:top w:w="0" w:type="dxa"/>
          <w:left w:w="0" w:type="dxa"/>
          <w:bottom w:w="0" w:type="dxa"/>
          <w:right w:w="0" w:type="dxa"/>
        </w:tblCellMar>
        <w:tblLook w:val="01E0"/>
      </w:tblPr>
      <w:tblGrid>
        <w:gridCol w:w="4186"/>
        <w:gridCol w:w="1201"/>
        <w:gridCol w:w="1686"/>
        <w:gridCol w:w="1687"/>
      </w:tblGrid>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
              <w:jc w:val="center"/>
              <w:rPr>
                <w:rFonts w:ascii="宋体" w:hAnsi="宋体" w:cs="宋体" w:eastAsia="宋体" w:hint="default"/>
                <w:sz w:val="18"/>
                <w:szCs w:val="18"/>
              </w:rPr>
            </w:pPr>
            <w:r>
              <w:rPr>
                <w:rFonts w:ascii="宋体" w:hAnsi="宋体" w:cs="宋体" w:eastAsia="宋体" w:hint="default"/>
                <w:sz w:val="18"/>
                <w:szCs w:val="18"/>
              </w:rPr>
              <w:t>附注五</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77"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78"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1201"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pacing w:val="-1"/>
                <w:sz w:val="18"/>
              </w:rPr>
              <w:t>841,628,987.00</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722,900,469.20</w:t>
            </w:r>
          </w:p>
        </w:tc>
      </w:tr>
      <w:tr>
        <w:trPr>
          <w:trHeight w:val="25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63"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
              <w:jc w:val="center"/>
              <w:rPr>
                <w:rFonts w:ascii="宋体" w:hAnsi="宋体" w:cs="宋体" w:eastAsia="宋体" w:hint="default"/>
                <w:sz w:val="18"/>
                <w:szCs w:val="18"/>
              </w:rPr>
            </w:pPr>
            <w:r>
              <w:rPr>
                <w:rFonts w:ascii="宋体" w:hAnsi="宋体" w:cs="宋体" w:eastAsia="宋体" w:hint="default"/>
                <w:sz w:val="18"/>
                <w:szCs w:val="18"/>
              </w:rPr>
              <w:t>（二十七）</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pacing w:val="-1"/>
                <w:sz w:val="18"/>
              </w:rPr>
              <w:t>841,628,987.00</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722,900,469.20</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1201"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1201"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1201"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1201"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pacing w:val="-1"/>
                <w:sz w:val="18"/>
              </w:rPr>
              <w:t>491,257,270.99</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439,609,501.11</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63"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
              <w:jc w:val="center"/>
              <w:rPr>
                <w:rFonts w:ascii="宋体" w:hAnsi="宋体" w:cs="宋体" w:eastAsia="宋体" w:hint="default"/>
                <w:sz w:val="18"/>
                <w:szCs w:val="18"/>
              </w:rPr>
            </w:pPr>
            <w:r>
              <w:rPr>
                <w:rFonts w:ascii="宋体" w:hAnsi="宋体" w:cs="宋体" w:eastAsia="宋体" w:hint="default"/>
                <w:sz w:val="18"/>
                <w:szCs w:val="18"/>
              </w:rPr>
              <w:t>（二十七）</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pacing w:val="-1"/>
                <w:sz w:val="18"/>
              </w:rPr>
              <w:t>220,052,700.32</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190,645,334.80</w:t>
            </w:r>
          </w:p>
        </w:tc>
      </w:tr>
      <w:tr>
        <w:trPr>
          <w:trHeight w:val="25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1201"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1201"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1201"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1201"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1201"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1201"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1201"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
              <w:jc w:val="center"/>
              <w:rPr>
                <w:rFonts w:ascii="宋体" w:hAnsi="宋体" w:cs="宋体" w:eastAsia="宋体" w:hint="default"/>
                <w:sz w:val="18"/>
                <w:szCs w:val="18"/>
              </w:rPr>
            </w:pPr>
            <w:r>
              <w:rPr>
                <w:rFonts w:ascii="宋体" w:hAnsi="宋体" w:cs="宋体" w:eastAsia="宋体" w:hint="default"/>
                <w:sz w:val="18"/>
                <w:szCs w:val="18"/>
              </w:rPr>
              <w:t>（二十八）</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11,125,004.47</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8,312,086.57</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
              <w:jc w:val="center"/>
              <w:rPr>
                <w:rFonts w:ascii="宋体" w:hAnsi="宋体" w:cs="宋体" w:eastAsia="宋体" w:hint="default"/>
                <w:sz w:val="18"/>
                <w:szCs w:val="18"/>
              </w:rPr>
            </w:pPr>
            <w:r>
              <w:rPr>
                <w:rFonts w:ascii="宋体" w:hAnsi="宋体" w:cs="宋体" w:eastAsia="宋体" w:hint="default"/>
                <w:sz w:val="18"/>
                <w:szCs w:val="18"/>
              </w:rPr>
              <w:t>（二十九）</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28,993,688.35</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19,086,321.57</w:t>
            </w:r>
          </w:p>
        </w:tc>
      </w:tr>
      <w:tr>
        <w:trPr>
          <w:trHeight w:val="25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
              <w:jc w:val="center"/>
              <w:rPr>
                <w:rFonts w:ascii="宋体" w:hAnsi="宋体" w:cs="宋体" w:eastAsia="宋体" w:hint="default"/>
                <w:sz w:val="18"/>
                <w:szCs w:val="18"/>
              </w:rPr>
            </w:pPr>
            <w:r>
              <w:rPr>
                <w:rFonts w:ascii="宋体" w:hAnsi="宋体" w:cs="宋体" w:eastAsia="宋体" w:hint="default"/>
                <w:sz w:val="18"/>
                <w:szCs w:val="18"/>
              </w:rPr>
              <w:t>（三十）</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pacing w:val="-1"/>
                <w:sz w:val="18"/>
              </w:rPr>
              <w:t>252,740,933.71</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223,617,381.06</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
              <w:jc w:val="center"/>
              <w:rPr>
                <w:rFonts w:ascii="宋体" w:hAnsi="宋体" w:cs="宋体" w:eastAsia="宋体" w:hint="default"/>
                <w:sz w:val="18"/>
                <w:szCs w:val="18"/>
              </w:rPr>
            </w:pPr>
            <w:r>
              <w:rPr>
                <w:rFonts w:ascii="宋体" w:hAnsi="宋体" w:cs="宋体" w:eastAsia="宋体" w:hint="default"/>
                <w:sz w:val="18"/>
                <w:szCs w:val="18"/>
              </w:rPr>
              <w:t>（三十一）</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pacing w:val="-1"/>
                <w:sz w:val="18"/>
              </w:rPr>
              <w:t>-32,711,061.63</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-4,497,721.03</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
              <w:jc w:val="center"/>
              <w:rPr>
                <w:rFonts w:ascii="宋体" w:hAnsi="宋体" w:cs="宋体" w:eastAsia="宋体" w:hint="default"/>
                <w:sz w:val="18"/>
                <w:szCs w:val="18"/>
              </w:rPr>
            </w:pPr>
            <w:r>
              <w:rPr>
                <w:rFonts w:ascii="宋体" w:hAnsi="宋体" w:cs="宋体" w:eastAsia="宋体" w:hint="default"/>
                <w:sz w:val="18"/>
                <w:szCs w:val="18"/>
              </w:rPr>
              <w:t>（三十三）</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11,056,005.77</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2,446,098.14</w:t>
            </w:r>
          </w:p>
        </w:tc>
      </w:tr>
      <w:tr>
        <w:trPr>
          <w:trHeight w:val="25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right="50"/>
              <w:jc w:val="right"/>
              <w:rPr>
                <w:rFonts w:ascii="宋体" w:hAnsi="宋体" w:cs="宋体" w:eastAsia="宋体" w:hint="default"/>
                <w:sz w:val="18"/>
                <w:szCs w:val="18"/>
              </w:rPr>
            </w:pPr>
            <w:r>
              <w:rPr>
                <w:rFonts w:ascii="宋体" w:hAnsi="宋体" w:cs="宋体" w:eastAsia="宋体" w:hint="default"/>
                <w:sz w:val="18"/>
                <w:szCs w:val="18"/>
              </w:rPr>
              <w:t>加：公允价值变动收益（损失以“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201"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82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
              <w:jc w:val="center"/>
              <w:rPr>
                <w:rFonts w:ascii="宋体" w:hAnsi="宋体" w:cs="宋体" w:eastAsia="宋体" w:hint="default"/>
                <w:sz w:val="18"/>
                <w:szCs w:val="18"/>
              </w:rPr>
            </w:pPr>
            <w:r>
              <w:rPr>
                <w:rFonts w:ascii="宋体" w:hAnsi="宋体" w:cs="宋体" w:eastAsia="宋体" w:hint="default"/>
                <w:sz w:val="18"/>
                <w:szCs w:val="18"/>
              </w:rPr>
              <w:t>（三十二）</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3,530,842.18</w:t>
            </w: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10"/>
              <w:jc w:val="righ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1201"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3,530,842.18</w:t>
            </w: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1003"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201"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103"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201"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pacing w:val="-1"/>
                <w:sz w:val="18"/>
              </w:rPr>
              <w:t>353,902,558.19</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283,290,968.09</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6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
              <w:jc w:val="center"/>
              <w:rPr>
                <w:rFonts w:ascii="宋体" w:hAnsi="宋体" w:cs="宋体" w:eastAsia="宋体" w:hint="default"/>
                <w:sz w:val="18"/>
                <w:szCs w:val="18"/>
              </w:rPr>
            </w:pPr>
            <w:r>
              <w:rPr>
                <w:rFonts w:ascii="宋体" w:hAnsi="宋体" w:cs="宋体" w:eastAsia="宋体" w:hint="default"/>
                <w:sz w:val="18"/>
                <w:szCs w:val="18"/>
              </w:rPr>
              <w:t>（三十四）</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13,250,687.72</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16,785,385.92</w:t>
            </w:r>
          </w:p>
        </w:tc>
      </w:tr>
      <w:tr>
        <w:trPr>
          <w:trHeight w:val="25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6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
              <w:jc w:val="center"/>
              <w:rPr>
                <w:rFonts w:ascii="宋体" w:hAnsi="宋体" w:cs="宋体" w:eastAsia="宋体" w:hint="default"/>
                <w:sz w:val="18"/>
                <w:szCs w:val="18"/>
              </w:rPr>
            </w:pPr>
            <w:r>
              <w:rPr>
                <w:rFonts w:ascii="宋体" w:hAnsi="宋体" w:cs="宋体" w:eastAsia="宋体" w:hint="default"/>
                <w:sz w:val="18"/>
                <w:szCs w:val="18"/>
              </w:rPr>
              <w:t>（三十五）</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1,745,542.01</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z w:val="18"/>
              </w:rPr>
              <w:t>37,422.00</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823"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1201"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z w:val="18"/>
              </w:rPr>
              <w:t>927,659.01</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z w:val="18"/>
              </w:rPr>
              <w:t>37,422.00</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103" w:right="0"/>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201"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pacing w:val="-1"/>
                <w:sz w:val="18"/>
              </w:rPr>
              <w:t>365,407,703.90</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300,038,932.01</w:t>
            </w:r>
          </w:p>
        </w:tc>
      </w:tr>
      <w:tr>
        <w:trPr>
          <w:trHeight w:val="25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6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
              <w:jc w:val="center"/>
              <w:rPr>
                <w:rFonts w:ascii="宋体" w:hAnsi="宋体" w:cs="宋体" w:eastAsia="宋体" w:hint="default"/>
                <w:sz w:val="18"/>
                <w:szCs w:val="18"/>
              </w:rPr>
            </w:pPr>
            <w:r>
              <w:rPr>
                <w:rFonts w:ascii="宋体" w:hAnsi="宋体" w:cs="宋体" w:eastAsia="宋体" w:hint="default"/>
                <w:sz w:val="18"/>
                <w:szCs w:val="18"/>
              </w:rPr>
              <w:t>（三十六）</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38,230,127.53</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29,934,040.71</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103"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201"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pacing w:val="-1"/>
                <w:sz w:val="18"/>
              </w:rPr>
              <w:t>327,177,576.37</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270,104,891.30</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63" w:right="0"/>
              <w:jc w:val="left"/>
              <w:rPr>
                <w:rFonts w:ascii="宋体" w:hAnsi="宋体" w:cs="宋体" w:eastAsia="宋体" w:hint="default"/>
                <w:sz w:val="18"/>
                <w:szCs w:val="18"/>
              </w:rPr>
            </w:pPr>
            <w:r>
              <w:rPr>
                <w:rFonts w:ascii="宋体" w:hAnsi="宋体" w:cs="宋体" w:eastAsia="宋体" w:hint="default"/>
                <w:sz w:val="18"/>
                <w:szCs w:val="18"/>
              </w:rPr>
              <w:t>其中：被合并方在合并前实现的净利润</w:t>
            </w:r>
          </w:p>
        </w:tc>
        <w:tc>
          <w:tcPr>
            <w:tcW w:w="1201"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z w:val="18"/>
              </w:rPr>
              <w:t>-382,993.73</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z w:val="18"/>
              </w:rPr>
              <w:t>-379,148.06</w:t>
            </w:r>
          </w:p>
        </w:tc>
      </w:tr>
      <w:tr>
        <w:trPr>
          <w:trHeight w:val="25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63"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1201"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pacing w:val="-1"/>
                <w:sz w:val="18"/>
              </w:rPr>
              <w:t>327,915,598.64</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270,372,598.73</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63"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1201"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z w:val="18"/>
              </w:rPr>
              <w:t>-738,022.27</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z w:val="18"/>
              </w:rPr>
              <w:t>-267,707.43</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六、每股收益：</w:t>
            </w:r>
          </w:p>
        </w:tc>
        <w:tc>
          <w:tcPr>
            <w:tcW w:w="1201"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63"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
              <w:jc w:val="center"/>
              <w:rPr>
                <w:rFonts w:ascii="宋体" w:hAnsi="宋体" w:cs="宋体" w:eastAsia="宋体" w:hint="default"/>
                <w:sz w:val="18"/>
                <w:szCs w:val="18"/>
              </w:rPr>
            </w:pPr>
            <w:r>
              <w:rPr>
                <w:rFonts w:ascii="宋体" w:hAnsi="宋体" w:cs="宋体" w:eastAsia="宋体" w:hint="default"/>
                <w:sz w:val="18"/>
                <w:szCs w:val="18"/>
              </w:rPr>
              <w:t>（三十七）</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z w:val="18"/>
              </w:rPr>
              <w:t>1.04</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z w:val="18"/>
              </w:rPr>
              <w:t>1.09</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63"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
              <w:jc w:val="center"/>
              <w:rPr>
                <w:rFonts w:ascii="宋体" w:hAnsi="宋体" w:cs="宋体" w:eastAsia="宋体" w:hint="default"/>
                <w:sz w:val="18"/>
                <w:szCs w:val="18"/>
              </w:rPr>
            </w:pPr>
            <w:r>
              <w:rPr>
                <w:rFonts w:ascii="宋体" w:hAnsi="宋体" w:cs="宋体" w:eastAsia="宋体" w:hint="default"/>
                <w:sz w:val="18"/>
                <w:szCs w:val="18"/>
              </w:rPr>
              <w:t>（三十七）</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z w:val="18"/>
              </w:rPr>
              <w:t>1.04</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z w:val="18"/>
              </w:rPr>
              <w:t>1.09</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七、其他综合收益</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
              <w:jc w:val="center"/>
              <w:rPr>
                <w:rFonts w:ascii="宋体" w:hAnsi="宋体" w:cs="宋体" w:eastAsia="宋体" w:hint="default"/>
                <w:sz w:val="18"/>
                <w:szCs w:val="18"/>
              </w:rPr>
            </w:pPr>
            <w:r>
              <w:rPr>
                <w:rFonts w:ascii="宋体" w:hAnsi="宋体" w:cs="宋体" w:eastAsia="宋体" w:hint="default"/>
                <w:sz w:val="18"/>
                <w:szCs w:val="18"/>
              </w:rPr>
              <w:t>（三十八）</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z w:val="18"/>
              </w:rPr>
              <w:t>739,569.10</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1,440,500.00</w:t>
            </w:r>
          </w:p>
        </w:tc>
      </w:tr>
      <w:tr>
        <w:trPr>
          <w:trHeight w:val="25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八、综合收益总额</w:t>
            </w:r>
          </w:p>
        </w:tc>
        <w:tc>
          <w:tcPr>
            <w:tcW w:w="1201"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pacing w:val="-1"/>
                <w:sz w:val="18"/>
              </w:rPr>
              <w:t>327,917,145.47</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271,545,391.30</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63" w:right="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归属于母公司所有者的综合收益总额</w:t>
            </w:r>
          </w:p>
        </w:tc>
        <w:tc>
          <w:tcPr>
            <w:tcW w:w="1201"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pacing w:val="-1"/>
                <w:sz w:val="18"/>
              </w:rPr>
              <w:t>328,655,167.74</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271,813,098.73</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63"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1201"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z w:val="18"/>
              </w:rPr>
              <w:t>-738,022.27</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z w:val="18"/>
              </w:rPr>
              <w:t>-267,707.43</w:t>
            </w:r>
          </w:p>
        </w:tc>
      </w:tr>
    </w:tbl>
    <w:p>
      <w:pPr>
        <w:spacing w:line="240" w:lineRule="auto" w:before="8"/>
        <w:rPr>
          <w:rFonts w:ascii="宋体" w:hAnsi="宋体" w:cs="宋体" w:eastAsia="宋体" w:hint="default"/>
          <w:b/>
          <w:bCs/>
          <w:sz w:val="9"/>
          <w:szCs w:val="9"/>
        </w:rPr>
      </w:pPr>
    </w:p>
    <w:p>
      <w:pPr>
        <w:spacing w:before="44"/>
        <w:ind w:left="13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9"/>
        <w:rPr>
          <w:rFonts w:ascii="宋体" w:hAnsi="宋体" w:cs="宋体" w:eastAsia="宋体" w:hint="default"/>
          <w:sz w:val="15"/>
          <w:szCs w:val="15"/>
        </w:rPr>
      </w:pPr>
    </w:p>
    <w:p>
      <w:pPr>
        <w:tabs>
          <w:tab w:pos="3377" w:val="left" w:leader="none"/>
          <w:tab w:pos="6527" w:val="left" w:leader="none"/>
        </w:tabs>
        <w:spacing w:before="0"/>
        <w:ind w:left="13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t>主管会计工作负责人：</w:t>
        <w:tab/>
        <w:t>会计机构负责人：</w:t>
      </w:r>
    </w:p>
    <w:p>
      <w:pPr>
        <w:spacing w:after="0"/>
        <w:jc w:val="left"/>
        <w:rPr>
          <w:rFonts w:ascii="宋体" w:hAnsi="宋体" w:cs="宋体" w:eastAsia="宋体" w:hint="default"/>
          <w:sz w:val="18"/>
          <w:szCs w:val="18"/>
        </w:rPr>
        <w:sectPr>
          <w:pgSz w:w="11910" w:h="16840"/>
          <w:pgMar w:header="851" w:footer="982" w:top="1300" w:bottom="1180" w:left="1660" w:right="1220"/>
        </w:sectPr>
      </w:pPr>
    </w:p>
    <w:p>
      <w:pPr>
        <w:pStyle w:val="Heading2"/>
        <w:spacing w:line="285" w:lineRule="auto" w:before="17"/>
        <w:ind w:left="2952" w:right="2968"/>
        <w:jc w:val="center"/>
        <w:rPr>
          <w:b w:val="0"/>
          <w:bCs w:val="0"/>
        </w:rPr>
      </w:pPr>
      <w:r>
        <w:rPr/>
        <w:pict>
          <v:group style="position:absolute;margin-left:88.379997pt;margin-top:2.194001pt;width:418.65pt;height:.1pt;mso-position-horizontal-relative:page;mso-position-vertical-relative:paragraph;z-index:-712192" coordorigin="1768,44" coordsize="8373,2">
            <v:shape style="position:absolute;left:1768;top:44;width:8373;height:2" coordorigin="1768,44" coordsize="8373,0" path="m1768,44l10140,44e" filled="false" stroked="true" strokeweight=".72pt" strokecolor="#000000">
              <v:path arrowok="t"/>
            </v:shape>
            <w10:wrap type="none"/>
          </v:group>
        </w:pict>
      </w:r>
      <w:r>
        <w:rPr>
          <w:w w:val="95"/>
        </w:rPr>
        <w:t>北京神州泰岳软件股份有限公司</w:t>
      </w:r>
      <w:r>
        <w:rPr>
          <w:spacing w:val="34"/>
          <w:w w:val="95"/>
        </w:rPr>
        <w:t> </w:t>
      </w:r>
      <w:r>
        <w:rPr>
          <w:spacing w:val="34"/>
          <w:w w:val="95"/>
        </w:rPr>
      </w:r>
      <w:r>
        <w:rPr/>
        <w:t>现金流量表</w:t>
      </w:r>
      <w:r>
        <w:rPr>
          <w:b w:val="0"/>
          <w:bCs w:val="0"/>
        </w:rPr>
      </w:r>
    </w:p>
    <w:p>
      <w:pPr>
        <w:tabs>
          <w:tab w:pos="631" w:val="left" w:leader="none"/>
        </w:tabs>
        <w:spacing w:before="11"/>
        <w:ind w:left="0" w:right="14" w:firstLine="0"/>
        <w:jc w:val="center"/>
        <w:rPr>
          <w:rFonts w:ascii="宋体" w:hAnsi="宋体" w:cs="宋体" w:eastAsia="宋体" w:hint="default"/>
          <w:sz w:val="21"/>
          <w:szCs w:val="21"/>
        </w:rPr>
      </w:pPr>
      <w:r>
        <w:rPr>
          <w:rFonts w:ascii="Times New Roman" w:hAnsi="Times New Roman" w:cs="Times New Roman" w:eastAsia="Times New Roman" w:hint="default"/>
          <w:b/>
          <w:bCs/>
          <w:spacing w:val="-1"/>
          <w:sz w:val="21"/>
          <w:szCs w:val="21"/>
        </w:rPr>
        <w:t>2010</w:t>
        <w:tab/>
      </w:r>
      <w:r>
        <w:rPr>
          <w:rFonts w:ascii="宋体" w:hAnsi="宋体" w:cs="宋体" w:eastAsia="宋体" w:hint="default"/>
          <w:b/>
          <w:bCs/>
          <w:sz w:val="21"/>
          <w:szCs w:val="21"/>
        </w:rPr>
        <w:t>年度</w:t>
      </w:r>
      <w:r>
        <w:rPr>
          <w:rFonts w:ascii="宋体" w:hAnsi="宋体" w:cs="宋体" w:eastAsia="宋体" w:hint="default"/>
          <w:sz w:val="21"/>
          <w:szCs w:val="21"/>
        </w:rPr>
      </w:r>
    </w:p>
    <w:p>
      <w:pPr>
        <w:spacing w:before="35"/>
        <w:ind w:left="0" w:right="16"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8"/>
        <w:rPr>
          <w:rFonts w:ascii="宋体" w:hAnsi="宋体" w:cs="宋体" w:eastAsia="宋体" w:hint="default"/>
          <w:b/>
          <w:bCs/>
          <w:sz w:val="6"/>
          <w:szCs w:val="6"/>
        </w:rPr>
      </w:pPr>
    </w:p>
    <w:tbl>
      <w:tblPr>
        <w:tblW w:w="0" w:type="auto"/>
        <w:jc w:val="left"/>
        <w:tblInd w:w="104" w:type="dxa"/>
        <w:tblLayout w:type="fixed"/>
        <w:tblCellMar>
          <w:top w:w="0" w:type="dxa"/>
          <w:left w:w="0" w:type="dxa"/>
          <w:bottom w:w="0" w:type="dxa"/>
          <w:right w:w="0" w:type="dxa"/>
        </w:tblCellMar>
        <w:tblLook w:val="01E0"/>
      </w:tblPr>
      <w:tblGrid>
        <w:gridCol w:w="5186"/>
        <w:gridCol w:w="1670"/>
        <w:gridCol w:w="1672"/>
      </w:tblGrid>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70"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70"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1670" w:type="dxa"/>
            <w:tcBorders>
              <w:top w:val="single" w:sz="4" w:space="0" w:color="000000"/>
              <w:left w:val="single" w:sz="4" w:space="0" w:color="000000"/>
              <w:bottom w:val="single" w:sz="4" w:space="0" w:color="000000"/>
              <w:right w:val="single" w:sz="4" w:space="0" w:color="000000"/>
            </w:tcBorders>
          </w:tcPr>
          <w:p>
            <w:pPr/>
          </w:p>
        </w:tc>
        <w:tc>
          <w:tcPr>
            <w:tcW w:w="1672"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8"/>
              <w:jc w:val="right"/>
              <w:rPr>
                <w:rFonts w:ascii="Times New Roman" w:hAnsi="Times New Roman" w:cs="Times New Roman" w:eastAsia="Times New Roman" w:hint="default"/>
                <w:sz w:val="18"/>
                <w:szCs w:val="18"/>
              </w:rPr>
            </w:pPr>
            <w:r>
              <w:rPr>
                <w:rFonts w:ascii="Times New Roman"/>
                <w:spacing w:val="-1"/>
                <w:sz w:val="18"/>
              </w:rPr>
              <w:t>260,767,931.98</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353,826,665.30</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6,892,559.09</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13,368,679.74</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53,263,548.65</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87,193,779.55</w:t>
            </w:r>
          </w:p>
        </w:tc>
      </w:tr>
      <w:tr>
        <w:trPr>
          <w:trHeight w:val="294"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8"/>
              <w:jc w:val="right"/>
              <w:rPr>
                <w:rFonts w:ascii="Times New Roman" w:hAnsi="Times New Roman" w:cs="Times New Roman" w:eastAsia="Times New Roman" w:hint="default"/>
                <w:sz w:val="18"/>
                <w:szCs w:val="18"/>
              </w:rPr>
            </w:pPr>
            <w:r>
              <w:rPr>
                <w:rFonts w:ascii="Times New Roman"/>
                <w:spacing w:val="-1"/>
                <w:sz w:val="18"/>
              </w:rPr>
              <w:t>320,924,039.72</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454,389,124.59</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8"/>
              <w:jc w:val="right"/>
              <w:rPr>
                <w:rFonts w:ascii="Times New Roman" w:hAnsi="Times New Roman" w:cs="Times New Roman" w:eastAsia="Times New Roman" w:hint="default"/>
                <w:sz w:val="18"/>
                <w:szCs w:val="18"/>
              </w:rPr>
            </w:pPr>
            <w:r>
              <w:rPr>
                <w:rFonts w:ascii="Times New Roman"/>
                <w:spacing w:val="-1"/>
                <w:sz w:val="18"/>
              </w:rPr>
              <w:t>117,976,245.35</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86,810,973.18</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64,893,636.39</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66,300,190.79</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36,356,660.95</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53,505,695.28</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8"/>
              <w:jc w:val="right"/>
              <w:rPr>
                <w:rFonts w:ascii="Times New Roman" w:hAnsi="Times New Roman" w:cs="Times New Roman" w:eastAsia="Times New Roman" w:hint="default"/>
                <w:sz w:val="18"/>
                <w:szCs w:val="18"/>
              </w:rPr>
            </w:pPr>
            <w:r>
              <w:rPr>
                <w:rFonts w:ascii="Times New Roman"/>
                <w:spacing w:val="-1"/>
                <w:sz w:val="18"/>
              </w:rPr>
              <w:t>145,821,002.19</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105,825,783.81</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8"/>
              <w:jc w:val="right"/>
              <w:rPr>
                <w:rFonts w:ascii="Times New Roman" w:hAnsi="Times New Roman" w:cs="Times New Roman" w:eastAsia="Times New Roman" w:hint="default"/>
                <w:sz w:val="18"/>
                <w:szCs w:val="18"/>
              </w:rPr>
            </w:pPr>
            <w:r>
              <w:rPr>
                <w:rFonts w:ascii="Times New Roman"/>
                <w:spacing w:val="-1"/>
                <w:sz w:val="18"/>
              </w:rPr>
              <w:t>365,047,544.88</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312,442,643.06</w:t>
            </w:r>
          </w:p>
        </w:tc>
      </w:tr>
      <w:tr>
        <w:trPr>
          <w:trHeight w:val="294"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经营活动产生的现金流量净额</w:t>
            </w:r>
            <w:r>
              <w:rPr>
                <w:rFonts w:ascii="宋体" w:hAnsi="宋体" w:cs="宋体" w:eastAsia="宋体" w:hint="default"/>
                <w:sz w:val="18"/>
                <w:szCs w:val="18"/>
              </w:rPr>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8"/>
              <w:jc w:val="right"/>
              <w:rPr>
                <w:rFonts w:ascii="Times New Roman" w:hAnsi="Times New Roman" w:cs="Times New Roman" w:eastAsia="Times New Roman" w:hint="default"/>
                <w:sz w:val="18"/>
                <w:szCs w:val="18"/>
              </w:rPr>
            </w:pPr>
            <w:r>
              <w:rPr>
                <w:rFonts w:ascii="Times New Roman"/>
                <w:spacing w:val="-1"/>
                <w:sz w:val="18"/>
              </w:rPr>
              <w:t>-44,123,505.16</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141,946,481.53</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1670" w:type="dxa"/>
            <w:tcBorders>
              <w:top w:val="single" w:sz="4" w:space="0" w:color="000000"/>
              <w:left w:val="single" w:sz="4" w:space="0" w:color="000000"/>
              <w:bottom w:val="single" w:sz="4" w:space="0" w:color="000000"/>
              <w:right w:val="single" w:sz="4" w:space="0" w:color="000000"/>
            </w:tcBorders>
          </w:tcPr>
          <w:p>
            <w:pPr/>
          </w:p>
        </w:tc>
        <w:tc>
          <w:tcPr>
            <w:tcW w:w="1672"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2"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取得投资收益所收到的现金</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20,000,000.00</w:t>
            </w:r>
          </w:p>
        </w:tc>
      </w:tr>
      <w:tr>
        <w:trPr>
          <w:trHeight w:val="384"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463"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w:t>
            </w:r>
          </w:p>
          <w:p>
            <w:pPr>
              <w:pStyle w:val="TableParagraph"/>
              <w:spacing w:line="211" w:lineRule="exact"/>
              <w:ind w:left="643" w:right="0"/>
              <w:jc w:val="left"/>
              <w:rPr>
                <w:rFonts w:ascii="宋体" w:hAnsi="宋体" w:cs="宋体" w:eastAsia="宋体" w:hint="default"/>
                <w:sz w:val="18"/>
                <w:szCs w:val="18"/>
              </w:rPr>
            </w:pPr>
            <w:r>
              <w:rPr>
                <w:rFonts w:ascii="宋体" w:hAnsi="宋体" w:cs="宋体" w:eastAsia="宋体" w:hint="default"/>
                <w:sz w:val="18"/>
                <w:szCs w:val="18"/>
              </w:rPr>
              <w:t>的现金净额</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0"/>
              <w:jc w:val="right"/>
              <w:rPr>
                <w:rFonts w:ascii="Times New Roman" w:hAnsi="Times New Roman" w:cs="Times New Roman" w:eastAsia="Times New Roman" w:hint="default"/>
                <w:sz w:val="18"/>
                <w:szCs w:val="18"/>
              </w:rPr>
            </w:pPr>
            <w:r>
              <w:rPr>
                <w:rFonts w:ascii="Times New Roman"/>
                <w:sz w:val="18"/>
              </w:rPr>
              <w:t>22,776.99</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18"/>
                <w:szCs w:val="18"/>
              </w:rPr>
            </w:pPr>
            <w:r>
              <w:rPr>
                <w:rFonts w:ascii="Times New Roman"/>
                <w:sz w:val="18"/>
              </w:rPr>
              <w:t>10,100.00</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291"/>
              <w:jc w:val="righ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2"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2"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9"/>
              <w:jc w:val="right"/>
              <w:rPr>
                <w:rFonts w:ascii="Times New Roman" w:hAnsi="Times New Roman" w:cs="Times New Roman" w:eastAsia="Times New Roman" w:hint="default"/>
                <w:sz w:val="18"/>
                <w:szCs w:val="18"/>
              </w:rPr>
            </w:pPr>
            <w:r>
              <w:rPr>
                <w:rFonts w:ascii="Times New Roman"/>
                <w:sz w:val="18"/>
              </w:rPr>
              <w:t>22,776.99</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20,010,100.00</w:t>
            </w:r>
          </w:p>
        </w:tc>
      </w:tr>
      <w:tr>
        <w:trPr>
          <w:trHeight w:val="384"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463"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w:t>
            </w:r>
          </w:p>
          <w:p>
            <w:pPr>
              <w:pStyle w:val="TableParagraph"/>
              <w:spacing w:line="211" w:lineRule="exact"/>
              <w:ind w:left="643" w:right="0"/>
              <w:jc w:val="left"/>
              <w:rPr>
                <w:rFonts w:ascii="宋体" w:hAnsi="宋体" w:cs="宋体" w:eastAsia="宋体" w:hint="default"/>
                <w:sz w:val="18"/>
                <w:szCs w:val="18"/>
              </w:rPr>
            </w:pPr>
            <w:r>
              <w:rPr>
                <w:rFonts w:ascii="宋体" w:hAnsi="宋体" w:cs="宋体" w:eastAsia="宋体" w:hint="default"/>
                <w:sz w:val="18"/>
                <w:szCs w:val="18"/>
              </w:rPr>
              <w:t>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8"/>
              <w:jc w:val="right"/>
              <w:rPr>
                <w:rFonts w:ascii="Times New Roman" w:hAnsi="Times New Roman" w:cs="Times New Roman" w:eastAsia="Times New Roman" w:hint="default"/>
                <w:sz w:val="18"/>
                <w:szCs w:val="18"/>
              </w:rPr>
            </w:pPr>
            <w:r>
              <w:rPr>
                <w:rFonts w:ascii="Times New Roman"/>
                <w:spacing w:val="-1"/>
                <w:sz w:val="18"/>
              </w:rPr>
              <w:t>355,240,464.39</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18"/>
                <w:szCs w:val="18"/>
              </w:rPr>
            </w:pPr>
            <w:r>
              <w:rPr>
                <w:rFonts w:ascii="Times New Roman"/>
                <w:spacing w:val="-1"/>
                <w:sz w:val="18"/>
              </w:rPr>
              <w:t>68,200,647.07</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8"/>
              <w:jc w:val="right"/>
              <w:rPr>
                <w:rFonts w:ascii="Times New Roman" w:hAnsi="Times New Roman" w:cs="Times New Roman" w:eastAsia="Times New Roman" w:hint="default"/>
                <w:sz w:val="18"/>
                <w:szCs w:val="18"/>
              </w:rPr>
            </w:pPr>
            <w:r>
              <w:rPr>
                <w:rFonts w:ascii="Times New Roman"/>
                <w:spacing w:val="-1"/>
                <w:sz w:val="18"/>
              </w:rPr>
              <w:t>242,510,074.47</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23,500,000.00</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291"/>
              <w:jc w:val="righ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2"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2"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8"/>
              <w:jc w:val="right"/>
              <w:rPr>
                <w:rFonts w:ascii="Times New Roman" w:hAnsi="Times New Roman" w:cs="Times New Roman" w:eastAsia="Times New Roman" w:hint="default"/>
                <w:sz w:val="18"/>
                <w:szCs w:val="18"/>
              </w:rPr>
            </w:pPr>
            <w:r>
              <w:rPr>
                <w:rFonts w:ascii="Times New Roman"/>
                <w:spacing w:val="-1"/>
                <w:sz w:val="18"/>
              </w:rPr>
              <w:t>597,750,538.86</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91,700,647.07</w:t>
            </w:r>
          </w:p>
        </w:tc>
      </w:tr>
      <w:tr>
        <w:trPr>
          <w:trHeight w:val="294"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投资活动产生的现金流量净额</w:t>
            </w:r>
            <w:r>
              <w:rPr>
                <w:rFonts w:ascii="宋体" w:hAnsi="宋体" w:cs="宋体" w:eastAsia="宋体" w:hint="default"/>
                <w:sz w:val="18"/>
                <w:szCs w:val="18"/>
              </w:rPr>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8"/>
              <w:jc w:val="right"/>
              <w:rPr>
                <w:rFonts w:ascii="Times New Roman" w:hAnsi="Times New Roman" w:cs="Times New Roman" w:eastAsia="Times New Roman" w:hint="default"/>
                <w:sz w:val="18"/>
                <w:szCs w:val="18"/>
              </w:rPr>
            </w:pPr>
            <w:r>
              <w:rPr>
                <w:rFonts w:ascii="Times New Roman"/>
                <w:spacing w:val="-1"/>
                <w:sz w:val="18"/>
              </w:rPr>
              <w:t>-597,727,761.87</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-71,690,547.07</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1670" w:type="dxa"/>
            <w:tcBorders>
              <w:top w:val="single" w:sz="4" w:space="0" w:color="000000"/>
              <w:left w:val="single" w:sz="4" w:space="0" w:color="000000"/>
              <w:bottom w:val="single" w:sz="4" w:space="0" w:color="000000"/>
              <w:right w:val="single" w:sz="4" w:space="0" w:color="000000"/>
            </w:tcBorders>
          </w:tcPr>
          <w:p>
            <w:pPr/>
          </w:p>
        </w:tc>
        <w:tc>
          <w:tcPr>
            <w:tcW w:w="1672"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1,784,275,200.00</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2"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2"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9"/>
              <w:jc w:val="right"/>
              <w:rPr>
                <w:rFonts w:ascii="Times New Roman" w:hAnsi="Times New Roman" w:cs="Times New Roman" w:eastAsia="Times New Roman" w:hint="default"/>
                <w:sz w:val="18"/>
                <w:szCs w:val="18"/>
              </w:rPr>
            </w:pPr>
            <w:r>
              <w:rPr>
                <w:rFonts w:ascii="Times New Roman"/>
                <w:sz w:val="18"/>
              </w:rPr>
              <w:t>699,400.00</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3,719,380.34</w:t>
            </w:r>
          </w:p>
        </w:tc>
      </w:tr>
      <w:tr>
        <w:trPr>
          <w:trHeight w:val="294"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9"/>
              <w:jc w:val="right"/>
              <w:rPr>
                <w:rFonts w:ascii="Times New Roman" w:hAnsi="Times New Roman" w:cs="Times New Roman" w:eastAsia="Times New Roman" w:hint="default"/>
                <w:sz w:val="18"/>
                <w:szCs w:val="18"/>
              </w:rPr>
            </w:pPr>
            <w:r>
              <w:rPr>
                <w:rFonts w:ascii="Times New Roman"/>
                <w:sz w:val="18"/>
              </w:rPr>
              <w:t>699,400.00</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1,787,994,580.34</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37,920,000.00</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21,609,700.00</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2,276,334.02</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6,607,899.99</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40,196,334.02</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38,217,599.99</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筹资活动产生的现金流量净额</w:t>
            </w:r>
            <w:r>
              <w:rPr>
                <w:rFonts w:ascii="宋体" w:hAnsi="宋体" w:cs="宋体" w:eastAsia="宋体" w:hint="default"/>
                <w:sz w:val="18"/>
                <w:szCs w:val="18"/>
              </w:rPr>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8"/>
              <w:jc w:val="right"/>
              <w:rPr>
                <w:rFonts w:ascii="Times New Roman" w:hAnsi="Times New Roman" w:cs="Times New Roman" w:eastAsia="Times New Roman" w:hint="default"/>
                <w:sz w:val="18"/>
                <w:szCs w:val="18"/>
              </w:rPr>
            </w:pPr>
            <w:r>
              <w:rPr>
                <w:rFonts w:ascii="Times New Roman"/>
                <w:spacing w:val="-1"/>
                <w:sz w:val="18"/>
              </w:rPr>
              <w:t>-39,496,934.02</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1,749,776,980.35</w:t>
            </w:r>
          </w:p>
        </w:tc>
      </w:tr>
      <w:tr>
        <w:trPr>
          <w:trHeight w:val="294"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四、汇率变动对现金及现金等价物的影响</w:t>
            </w:r>
            <w:r>
              <w:rPr>
                <w:rFonts w:ascii="宋体" w:hAnsi="宋体" w:cs="宋体" w:eastAsia="宋体" w:hint="default"/>
                <w:sz w:val="18"/>
                <w:szCs w:val="18"/>
              </w:rPr>
            </w:r>
          </w:p>
        </w:tc>
        <w:tc>
          <w:tcPr>
            <w:tcW w:w="1670" w:type="dxa"/>
            <w:tcBorders>
              <w:top w:val="single" w:sz="4" w:space="0" w:color="000000"/>
              <w:left w:val="single" w:sz="4" w:space="0" w:color="000000"/>
              <w:bottom w:val="single" w:sz="4" w:space="0" w:color="000000"/>
              <w:right w:val="single" w:sz="4" w:space="0" w:color="000000"/>
            </w:tcBorders>
          </w:tcPr>
          <w:p>
            <w:pPr/>
          </w:p>
        </w:tc>
        <w:tc>
          <w:tcPr>
            <w:tcW w:w="1672"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五、现金及现金等价物净增加额</w:t>
            </w:r>
            <w:r>
              <w:rPr>
                <w:rFonts w:ascii="宋体" w:hAnsi="宋体" w:cs="宋体" w:eastAsia="宋体" w:hint="default"/>
                <w:sz w:val="18"/>
                <w:szCs w:val="18"/>
              </w:rPr>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8"/>
              <w:jc w:val="right"/>
              <w:rPr>
                <w:rFonts w:ascii="Times New Roman" w:hAnsi="Times New Roman" w:cs="Times New Roman" w:eastAsia="Times New Roman" w:hint="default"/>
                <w:sz w:val="18"/>
                <w:szCs w:val="18"/>
              </w:rPr>
            </w:pPr>
            <w:r>
              <w:rPr>
                <w:rFonts w:ascii="Times New Roman"/>
                <w:spacing w:val="-1"/>
                <w:sz w:val="18"/>
              </w:rPr>
              <w:t>-681,348,201.05</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1,820,032,914.81</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1,864,863,276.42</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44,830,361.61</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六、期末现金及现金等价物余额</w:t>
            </w:r>
            <w:r>
              <w:rPr>
                <w:rFonts w:ascii="宋体" w:hAnsi="宋体" w:cs="宋体" w:eastAsia="宋体" w:hint="default"/>
                <w:sz w:val="18"/>
                <w:szCs w:val="18"/>
              </w:rPr>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1,183,515,075.37</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1,864,863,276.42</w:t>
            </w:r>
          </w:p>
        </w:tc>
      </w:tr>
    </w:tbl>
    <w:p>
      <w:pPr>
        <w:spacing w:line="240" w:lineRule="auto" w:before="1"/>
        <w:rPr>
          <w:rFonts w:ascii="宋体" w:hAnsi="宋体" w:cs="宋体" w:eastAsia="宋体" w:hint="default"/>
          <w:b/>
          <w:bCs/>
          <w:sz w:val="11"/>
          <w:szCs w:val="11"/>
        </w:rPr>
      </w:pPr>
    </w:p>
    <w:p>
      <w:pPr>
        <w:spacing w:before="44"/>
        <w:ind w:left="2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3457" w:val="left" w:leader="none"/>
          <w:tab w:pos="6607" w:val="left" w:leader="none"/>
        </w:tabs>
        <w:spacing w:before="92"/>
        <w:ind w:left="21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t>主管会计工作负责人：</w:t>
        <w:tab/>
        <w:t>会计机构负责人：</w:t>
      </w:r>
    </w:p>
    <w:p>
      <w:pPr>
        <w:spacing w:after="0"/>
        <w:jc w:val="left"/>
        <w:rPr>
          <w:rFonts w:ascii="宋体" w:hAnsi="宋体" w:cs="宋体" w:eastAsia="宋体" w:hint="default"/>
          <w:sz w:val="18"/>
          <w:szCs w:val="18"/>
        </w:rPr>
        <w:sectPr>
          <w:pgSz w:w="11910" w:h="16840"/>
          <w:pgMar w:header="851" w:footer="982" w:top="1300" w:bottom="1180" w:left="1580" w:right="1560"/>
        </w:sectPr>
      </w:pPr>
    </w:p>
    <w:p>
      <w:pPr>
        <w:pStyle w:val="Heading2"/>
        <w:spacing w:line="285" w:lineRule="auto" w:before="17"/>
        <w:ind w:left="2271" w:right="2947"/>
        <w:jc w:val="center"/>
        <w:rPr>
          <w:b w:val="0"/>
          <w:bCs w:val="0"/>
        </w:rPr>
      </w:pPr>
      <w:r>
        <w:rPr/>
        <w:pict>
          <v:group style="position:absolute;margin-left:88.379997pt;margin-top:2.194001pt;width:418.65pt;height:.1pt;mso-position-horizontal-relative:page;mso-position-vertical-relative:paragraph;z-index:-712168" coordorigin="1768,44" coordsize="8373,2">
            <v:shape style="position:absolute;left:1768;top:44;width:8373;height:2" coordorigin="1768,44" coordsize="8373,0" path="m1768,44l10140,44e" filled="false" stroked="true" strokeweight=".72pt" strokecolor="#000000">
              <v:path arrowok="t"/>
            </v:shape>
            <w10:wrap type="none"/>
          </v:group>
        </w:pict>
      </w:r>
      <w:r>
        <w:rPr>
          <w:w w:val="95"/>
        </w:rPr>
        <w:t>北京神州泰岳软件股份有限公司</w:t>
      </w:r>
      <w:r>
        <w:rPr>
          <w:spacing w:val="34"/>
          <w:w w:val="95"/>
        </w:rPr>
        <w:t> </w:t>
      </w:r>
      <w:r>
        <w:rPr>
          <w:spacing w:val="34"/>
          <w:w w:val="95"/>
        </w:rPr>
      </w:r>
      <w:r>
        <w:rPr/>
        <w:t>合并现金流量表</w:t>
      </w:r>
      <w:r>
        <w:rPr>
          <w:b w:val="0"/>
          <w:bCs w:val="0"/>
        </w:rPr>
      </w:r>
    </w:p>
    <w:p>
      <w:pPr>
        <w:tabs>
          <w:tab w:pos="631" w:val="left" w:leader="none"/>
        </w:tabs>
        <w:spacing w:before="11"/>
        <w:ind w:left="0" w:right="674" w:firstLine="0"/>
        <w:jc w:val="center"/>
        <w:rPr>
          <w:rFonts w:ascii="宋体" w:hAnsi="宋体" w:cs="宋体" w:eastAsia="宋体" w:hint="default"/>
          <w:sz w:val="21"/>
          <w:szCs w:val="21"/>
        </w:rPr>
      </w:pPr>
      <w:r>
        <w:rPr>
          <w:rFonts w:ascii="Times New Roman" w:hAnsi="Times New Roman" w:cs="Times New Roman" w:eastAsia="Times New Roman" w:hint="default"/>
          <w:b/>
          <w:bCs/>
          <w:spacing w:val="-1"/>
          <w:sz w:val="21"/>
          <w:szCs w:val="21"/>
        </w:rPr>
        <w:t>2010</w:t>
        <w:tab/>
      </w:r>
      <w:r>
        <w:rPr>
          <w:rFonts w:ascii="宋体" w:hAnsi="宋体" w:cs="宋体" w:eastAsia="宋体" w:hint="default"/>
          <w:b/>
          <w:bCs/>
          <w:sz w:val="21"/>
          <w:szCs w:val="21"/>
        </w:rPr>
        <w:t>年度</w:t>
      </w:r>
      <w:r>
        <w:rPr>
          <w:rFonts w:ascii="宋体" w:hAnsi="宋体" w:cs="宋体" w:eastAsia="宋体" w:hint="default"/>
          <w:sz w:val="21"/>
          <w:szCs w:val="21"/>
        </w:rPr>
      </w:r>
    </w:p>
    <w:p>
      <w:pPr>
        <w:spacing w:before="35"/>
        <w:ind w:left="2" w:right="678"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0"/>
          <w:szCs w:val="10"/>
        </w:rPr>
      </w:pPr>
    </w:p>
    <w:tbl>
      <w:tblPr>
        <w:tblW w:w="0" w:type="auto"/>
        <w:jc w:val="left"/>
        <w:tblInd w:w="132" w:type="dxa"/>
        <w:tblLayout w:type="fixed"/>
        <w:tblCellMar>
          <w:top w:w="0" w:type="dxa"/>
          <w:left w:w="0" w:type="dxa"/>
          <w:bottom w:w="0" w:type="dxa"/>
          <w:right w:w="0" w:type="dxa"/>
        </w:tblCellMar>
        <w:tblLook w:val="01E0"/>
      </w:tblPr>
      <w:tblGrid>
        <w:gridCol w:w="4256"/>
        <w:gridCol w:w="1273"/>
        <w:gridCol w:w="1805"/>
        <w:gridCol w:w="1682"/>
      </w:tblGrid>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right="1"/>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73"/>
                <w:sz w:val="15"/>
                <w:szCs w:val="15"/>
              </w:rPr>
              <w:t> </w:t>
            </w:r>
            <w:r>
              <w:rPr>
                <w:rFonts w:ascii="宋体" w:hAnsi="宋体" w:cs="宋体" w:eastAsia="宋体" w:hint="default"/>
                <w:sz w:val="15"/>
                <w:szCs w:val="15"/>
              </w:rPr>
              <w:t>目</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right="0"/>
              <w:jc w:val="center"/>
              <w:rPr>
                <w:rFonts w:ascii="宋体" w:hAnsi="宋体" w:cs="宋体" w:eastAsia="宋体" w:hint="default"/>
                <w:sz w:val="15"/>
                <w:szCs w:val="15"/>
              </w:rPr>
            </w:pPr>
            <w:r>
              <w:rPr>
                <w:rFonts w:ascii="宋体" w:hAnsi="宋体" w:cs="宋体" w:eastAsia="宋体" w:hint="default"/>
                <w:sz w:val="15"/>
                <w:szCs w:val="15"/>
              </w:rPr>
              <w:t>附注五</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596" w:right="0"/>
              <w:jc w:val="left"/>
              <w:rPr>
                <w:rFonts w:ascii="宋体" w:hAnsi="宋体" w:cs="宋体" w:eastAsia="宋体" w:hint="default"/>
                <w:sz w:val="15"/>
                <w:szCs w:val="15"/>
              </w:rPr>
            </w:pPr>
            <w:r>
              <w:rPr>
                <w:rFonts w:ascii="宋体" w:hAnsi="宋体" w:cs="宋体" w:eastAsia="宋体" w:hint="default"/>
                <w:sz w:val="15"/>
                <w:szCs w:val="15"/>
              </w:rPr>
              <w:t>本期金额</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536" w:right="0"/>
              <w:jc w:val="left"/>
              <w:rPr>
                <w:rFonts w:ascii="宋体" w:hAnsi="宋体" w:cs="宋体" w:eastAsia="宋体" w:hint="default"/>
                <w:sz w:val="15"/>
                <w:szCs w:val="15"/>
              </w:rPr>
            </w:pPr>
            <w:r>
              <w:rPr>
                <w:rFonts w:ascii="宋体" w:hAnsi="宋体" w:cs="宋体" w:eastAsia="宋体" w:hint="default"/>
                <w:sz w:val="15"/>
                <w:szCs w:val="15"/>
              </w:rPr>
              <w:t>上期金额</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一、经营活动产生的现金流量</w:t>
            </w:r>
            <w:r>
              <w:rPr>
                <w:rFonts w:ascii="宋体" w:hAnsi="宋体" w:cs="宋体" w:eastAsia="宋体" w:hint="default"/>
                <w:sz w:val="15"/>
                <w:szCs w:val="15"/>
              </w:rPr>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2" w:right="0"/>
              <w:jc w:val="left"/>
              <w:rPr>
                <w:rFonts w:ascii="宋体" w:hAnsi="宋体" w:cs="宋体" w:eastAsia="宋体" w:hint="default"/>
                <w:sz w:val="15"/>
                <w:szCs w:val="15"/>
              </w:rPr>
            </w:pPr>
            <w:r>
              <w:rPr>
                <w:rFonts w:ascii="宋体" w:hAnsi="宋体" w:cs="宋体" w:eastAsia="宋体" w:hint="default"/>
                <w:sz w:val="15"/>
                <w:szCs w:val="15"/>
              </w:rPr>
              <w:t>销售商品、提供劳务收到的现金</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4"/>
              <w:jc w:val="right"/>
              <w:rPr>
                <w:rFonts w:ascii="Times New Roman" w:hAnsi="Times New Roman" w:cs="Times New Roman" w:eastAsia="Times New Roman" w:hint="default"/>
                <w:sz w:val="15"/>
                <w:szCs w:val="15"/>
              </w:rPr>
            </w:pPr>
            <w:r>
              <w:rPr>
                <w:rFonts w:ascii="Times New Roman"/>
                <w:spacing w:val="-1"/>
                <w:sz w:val="15"/>
              </w:rPr>
              <w:t>699,367,081.11</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0"/>
              <w:jc w:val="right"/>
              <w:rPr>
                <w:rFonts w:ascii="Times New Roman" w:hAnsi="Times New Roman" w:cs="Times New Roman" w:eastAsia="Times New Roman" w:hint="default"/>
                <w:sz w:val="15"/>
                <w:szCs w:val="15"/>
              </w:rPr>
            </w:pPr>
            <w:r>
              <w:rPr>
                <w:rFonts w:ascii="Times New Roman"/>
                <w:spacing w:val="-1"/>
                <w:sz w:val="15"/>
              </w:rPr>
              <w:t>743,606,267.58</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2" w:right="0"/>
              <w:jc w:val="left"/>
              <w:rPr>
                <w:rFonts w:ascii="宋体" w:hAnsi="宋体" w:cs="宋体" w:eastAsia="宋体" w:hint="default"/>
                <w:sz w:val="15"/>
                <w:szCs w:val="15"/>
              </w:rPr>
            </w:pPr>
            <w:r>
              <w:rPr>
                <w:rFonts w:ascii="宋体" w:hAnsi="宋体" w:cs="宋体" w:eastAsia="宋体" w:hint="default"/>
                <w:sz w:val="15"/>
                <w:szCs w:val="15"/>
              </w:rPr>
              <w:t>客户存款和同业存放款项净增加额</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2" w:right="0"/>
              <w:jc w:val="left"/>
              <w:rPr>
                <w:rFonts w:ascii="宋体" w:hAnsi="宋体" w:cs="宋体" w:eastAsia="宋体" w:hint="default"/>
                <w:sz w:val="15"/>
                <w:szCs w:val="15"/>
              </w:rPr>
            </w:pPr>
            <w:r>
              <w:rPr>
                <w:rFonts w:ascii="宋体" w:hAnsi="宋体" w:cs="宋体" w:eastAsia="宋体" w:hint="default"/>
                <w:sz w:val="15"/>
                <w:szCs w:val="15"/>
              </w:rPr>
              <w:t>向中央银行借款净增加额</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2" w:right="0"/>
              <w:jc w:val="left"/>
              <w:rPr>
                <w:rFonts w:ascii="宋体" w:hAnsi="宋体" w:cs="宋体" w:eastAsia="宋体" w:hint="default"/>
                <w:sz w:val="15"/>
                <w:szCs w:val="15"/>
              </w:rPr>
            </w:pPr>
            <w:r>
              <w:rPr>
                <w:rFonts w:ascii="宋体" w:hAnsi="宋体" w:cs="宋体" w:eastAsia="宋体" w:hint="default"/>
                <w:sz w:val="15"/>
                <w:szCs w:val="15"/>
              </w:rPr>
              <w:t>向其他金融机构拆入资金净增加额</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2" w:right="0"/>
              <w:jc w:val="left"/>
              <w:rPr>
                <w:rFonts w:ascii="宋体" w:hAnsi="宋体" w:cs="宋体" w:eastAsia="宋体" w:hint="default"/>
                <w:sz w:val="15"/>
                <w:szCs w:val="15"/>
              </w:rPr>
            </w:pPr>
            <w:r>
              <w:rPr>
                <w:rFonts w:ascii="宋体" w:hAnsi="宋体" w:cs="宋体" w:eastAsia="宋体" w:hint="default"/>
                <w:sz w:val="15"/>
                <w:szCs w:val="15"/>
              </w:rPr>
              <w:t>收到原保险合同保费取得的现金</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2" w:right="0"/>
              <w:jc w:val="left"/>
              <w:rPr>
                <w:rFonts w:ascii="宋体" w:hAnsi="宋体" w:cs="宋体" w:eastAsia="宋体" w:hint="default"/>
                <w:sz w:val="15"/>
                <w:szCs w:val="15"/>
              </w:rPr>
            </w:pPr>
            <w:r>
              <w:rPr>
                <w:rFonts w:ascii="宋体" w:hAnsi="宋体" w:cs="宋体" w:eastAsia="宋体" w:hint="default"/>
                <w:sz w:val="15"/>
                <w:szCs w:val="15"/>
              </w:rPr>
              <w:t>收到再保险业务现金净额</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2" w:right="0"/>
              <w:jc w:val="left"/>
              <w:rPr>
                <w:rFonts w:ascii="宋体" w:hAnsi="宋体" w:cs="宋体" w:eastAsia="宋体" w:hint="default"/>
                <w:sz w:val="15"/>
                <w:szCs w:val="15"/>
              </w:rPr>
            </w:pPr>
            <w:r>
              <w:rPr>
                <w:rFonts w:ascii="宋体" w:hAnsi="宋体" w:cs="宋体" w:eastAsia="宋体" w:hint="default"/>
                <w:sz w:val="15"/>
                <w:szCs w:val="15"/>
              </w:rPr>
              <w:t>保户储金及投资款净增加额</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2" w:right="0"/>
              <w:jc w:val="left"/>
              <w:rPr>
                <w:rFonts w:ascii="宋体" w:hAnsi="宋体" w:cs="宋体" w:eastAsia="宋体" w:hint="default"/>
                <w:sz w:val="15"/>
                <w:szCs w:val="15"/>
              </w:rPr>
            </w:pPr>
            <w:r>
              <w:rPr>
                <w:rFonts w:ascii="宋体" w:hAnsi="宋体" w:cs="宋体" w:eastAsia="宋体" w:hint="default"/>
                <w:sz w:val="15"/>
                <w:szCs w:val="15"/>
              </w:rPr>
              <w:t>处置交易性金融资产净增加额</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2" w:right="0"/>
              <w:jc w:val="left"/>
              <w:rPr>
                <w:rFonts w:ascii="宋体" w:hAnsi="宋体" w:cs="宋体" w:eastAsia="宋体" w:hint="default"/>
                <w:sz w:val="15"/>
                <w:szCs w:val="15"/>
              </w:rPr>
            </w:pPr>
            <w:r>
              <w:rPr>
                <w:rFonts w:ascii="宋体" w:hAnsi="宋体" w:cs="宋体" w:eastAsia="宋体" w:hint="default"/>
                <w:sz w:val="15"/>
                <w:szCs w:val="15"/>
              </w:rPr>
              <w:t>收取利息、手续费及佣金的现金</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2" w:right="0"/>
              <w:jc w:val="left"/>
              <w:rPr>
                <w:rFonts w:ascii="宋体" w:hAnsi="宋体" w:cs="宋体" w:eastAsia="宋体" w:hint="default"/>
                <w:sz w:val="15"/>
                <w:szCs w:val="15"/>
              </w:rPr>
            </w:pPr>
            <w:r>
              <w:rPr>
                <w:rFonts w:ascii="宋体" w:hAnsi="宋体" w:cs="宋体" w:eastAsia="宋体" w:hint="default"/>
                <w:sz w:val="15"/>
                <w:szCs w:val="15"/>
              </w:rPr>
              <w:t>拆入资金净增加额</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2" w:right="0"/>
              <w:jc w:val="left"/>
              <w:rPr>
                <w:rFonts w:ascii="宋体" w:hAnsi="宋体" w:cs="宋体" w:eastAsia="宋体" w:hint="default"/>
                <w:sz w:val="15"/>
                <w:szCs w:val="15"/>
              </w:rPr>
            </w:pPr>
            <w:r>
              <w:rPr>
                <w:rFonts w:ascii="宋体" w:hAnsi="宋体" w:cs="宋体" w:eastAsia="宋体" w:hint="default"/>
                <w:sz w:val="15"/>
                <w:szCs w:val="15"/>
              </w:rPr>
              <w:t>回购业务资金净增加额</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收到的税费返还</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2"/>
              <w:jc w:val="right"/>
              <w:rPr>
                <w:rFonts w:ascii="Times New Roman" w:hAnsi="Times New Roman" w:cs="Times New Roman" w:eastAsia="Times New Roman" w:hint="default"/>
                <w:sz w:val="15"/>
                <w:szCs w:val="15"/>
              </w:rPr>
            </w:pPr>
            <w:r>
              <w:rPr>
                <w:rFonts w:ascii="Times New Roman"/>
                <w:spacing w:val="-1"/>
                <w:sz w:val="15"/>
              </w:rPr>
              <w:t>10,583,887.34</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23,803,552.61</w:t>
            </w: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2" w:right="0"/>
              <w:jc w:val="left"/>
              <w:rPr>
                <w:rFonts w:ascii="宋体" w:hAnsi="宋体" w:cs="宋体" w:eastAsia="宋体" w:hint="default"/>
                <w:sz w:val="15"/>
                <w:szCs w:val="15"/>
              </w:rPr>
            </w:pPr>
            <w:r>
              <w:rPr>
                <w:rFonts w:ascii="宋体" w:hAnsi="宋体" w:cs="宋体" w:eastAsia="宋体" w:hint="default"/>
                <w:sz w:val="15"/>
                <w:szCs w:val="15"/>
              </w:rPr>
              <w:t>收到其他与经营活动有关的现金</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0"/>
              <w:jc w:val="center"/>
              <w:rPr>
                <w:rFonts w:ascii="宋体" w:hAnsi="宋体" w:cs="宋体" w:eastAsia="宋体" w:hint="default"/>
                <w:sz w:val="15"/>
                <w:szCs w:val="15"/>
              </w:rPr>
            </w:pPr>
            <w:r>
              <w:rPr>
                <w:rFonts w:ascii="宋体" w:hAnsi="宋体" w:cs="宋体" w:eastAsia="宋体" w:hint="default"/>
                <w:sz w:val="15"/>
                <w:szCs w:val="15"/>
              </w:rPr>
              <w:t>（三十九）</w:t>
            </w:r>
            <w:r>
              <w:rPr>
                <w:rFonts w:ascii="Times New Roman" w:hAnsi="Times New Roman" w:cs="Times New Roman" w:eastAsia="Times New Roman" w:hint="default"/>
                <w:sz w:val="15"/>
                <w:szCs w:val="15"/>
              </w:rPr>
              <w:t>1</w:t>
            </w:r>
            <w:r>
              <w:rPr>
                <w:rFonts w:ascii="宋体" w:hAnsi="宋体" w:cs="宋体" w:eastAsia="宋体" w:hint="default"/>
                <w:sz w:val="15"/>
                <w:szCs w:val="15"/>
              </w:rPr>
              <w:t>、</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2"/>
              <w:jc w:val="right"/>
              <w:rPr>
                <w:rFonts w:ascii="Times New Roman" w:hAnsi="Times New Roman" w:cs="Times New Roman" w:eastAsia="Times New Roman" w:hint="default"/>
                <w:sz w:val="15"/>
                <w:szCs w:val="15"/>
              </w:rPr>
            </w:pPr>
            <w:r>
              <w:rPr>
                <w:rFonts w:ascii="Times New Roman"/>
                <w:spacing w:val="-1"/>
                <w:sz w:val="15"/>
              </w:rPr>
              <w:t>86,283,936.16</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12,844,492.08</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sz w:val="15"/>
                <w:szCs w:val="15"/>
              </w:rPr>
              <w:t>经营活动现金流入小计</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4"/>
              <w:jc w:val="right"/>
              <w:rPr>
                <w:rFonts w:ascii="Times New Roman" w:hAnsi="Times New Roman" w:cs="Times New Roman" w:eastAsia="Times New Roman" w:hint="default"/>
                <w:sz w:val="15"/>
                <w:szCs w:val="15"/>
              </w:rPr>
            </w:pPr>
            <w:r>
              <w:rPr>
                <w:rFonts w:ascii="Times New Roman"/>
                <w:spacing w:val="-1"/>
                <w:sz w:val="15"/>
              </w:rPr>
              <w:t>796,234,904.61</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0"/>
              <w:jc w:val="right"/>
              <w:rPr>
                <w:rFonts w:ascii="Times New Roman" w:hAnsi="Times New Roman" w:cs="Times New Roman" w:eastAsia="Times New Roman" w:hint="default"/>
                <w:sz w:val="15"/>
                <w:szCs w:val="15"/>
              </w:rPr>
            </w:pPr>
            <w:r>
              <w:rPr>
                <w:rFonts w:ascii="Times New Roman"/>
                <w:spacing w:val="-1"/>
                <w:sz w:val="15"/>
              </w:rPr>
              <w:t>780,254,312.27</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购买商品、接受劳务支付的现金</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4"/>
              <w:jc w:val="right"/>
              <w:rPr>
                <w:rFonts w:ascii="Times New Roman" w:hAnsi="Times New Roman" w:cs="Times New Roman" w:eastAsia="Times New Roman" w:hint="default"/>
                <w:sz w:val="15"/>
                <w:szCs w:val="15"/>
              </w:rPr>
            </w:pPr>
            <w:r>
              <w:rPr>
                <w:rFonts w:ascii="Times New Roman"/>
                <w:spacing w:val="-1"/>
                <w:sz w:val="15"/>
              </w:rPr>
              <w:t>206,061,691.61</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0"/>
              <w:jc w:val="right"/>
              <w:rPr>
                <w:rFonts w:ascii="Times New Roman" w:hAnsi="Times New Roman" w:cs="Times New Roman" w:eastAsia="Times New Roman" w:hint="default"/>
                <w:sz w:val="15"/>
                <w:szCs w:val="15"/>
              </w:rPr>
            </w:pPr>
            <w:r>
              <w:rPr>
                <w:rFonts w:ascii="Times New Roman"/>
                <w:spacing w:val="-1"/>
                <w:sz w:val="15"/>
              </w:rPr>
              <w:t>258,636,550.76</w:t>
            </w: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2" w:right="0"/>
              <w:jc w:val="left"/>
              <w:rPr>
                <w:rFonts w:ascii="宋体" w:hAnsi="宋体" w:cs="宋体" w:eastAsia="宋体" w:hint="default"/>
                <w:sz w:val="15"/>
                <w:szCs w:val="15"/>
              </w:rPr>
            </w:pPr>
            <w:r>
              <w:rPr>
                <w:rFonts w:ascii="宋体" w:hAnsi="宋体" w:cs="宋体" w:eastAsia="宋体" w:hint="default"/>
                <w:sz w:val="15"/>
                <w:szCs w:val="15"/>
              </w:rPr>
              <w:t>客户贷款及垫款净增加额</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2" w:right="0"/>
              <w:jc w:val="left"/>
              <w:rPr>
                <w:rFonts w:ascii="宋体" w:hAnsi="宋体" w:cs="宋体" w:eastAsia="宋体" w:hint="default"/>
                <w:sz w:val="15"/>
                <w:szCs w:val="15"/>
              </w:rPr>
            </w:pPr>
            <w:r>
              <w:rPr>
                <w:rFonts w:ascii="宋体" w:hAnsi="宋体" w:cs="宋体" w:eastAsia="宋体" w:hint="default"/>
                <w:sz w:val="15"/>
                <w:szCs w:val="15"/>
              </w:rPr>
              <w:t>存放中央银行和同业款项净增加额</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2" w:right="0"/>
              <w:jc w:val="left"/>
              <w:rPr>
                <w:rFonts w:ascii="宋体" w:hAnsi="宋体" w:cs="宋体" w:eastAsia="宋体" w:hint="default"/>
                <w:sz w:val="15"/>
                <w:szCs w:val="15"/>
              </w:rPr>
            </w:pPr>
            <w:r>
              <w:rPr>
                <w:rFonts w:ascii="宋体" w:hAnsi="宋体" w:cs="宋体" w:eastAsia="宋体" w:hint="default"/>
                <w:sz w:val="15"/>
                <w:szCs w:val="15"/>
              </w:rPr>
              <w:t>支付原保险合同赔付款项的现金</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2" w:right="0"/>
              <w:jc w:val="left"/>
              <w:rPr>
                <w:rFonts w:ascii="宋体" w:hAnsi="宋体" w:cs="宋体" w:eastAsia="宋体" w:hint="default"/>
                <w:sz w:val="15"/>
                <w:szCs w:val="15"/>
              </w:rPr>
            </w:pPr>
            <w:r>
              <w:rPr>
                <w:rFonts w:ascii="宋体" w:hAnsi="宋体" w:cs="宋体" w:eastAsia="宋体" w:hint="default"/>
                <w:sz w:val="15"/>
                <w:szCs w:val="15"/>
              </w:rPr>
              <w:t>支付利息、手续费及佣金的现金</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2" w:right="0"/>
              <w:jc w:val="left"/>
              <w:rPr>
                <w:rFonts w:ascii="宋体" w:hAnsi="宋体" w:cs="宋体" w:eastAsia="宋体" w:hint="default"/>
                <w:sz w:val="15"/>
                <w:szCs w:val="15"/>
              </w:rPr>
            </w:pPr>
            <w:r>
              <w:rPr>
                <w:rFonts w:ascii="宋体" w:hAnsi="宋体" w:cs="宋体" w:eastAsia="宋体" w:hint="default"/>
                <w:sz w:val="15"/>
                <w:szCs w:val="15"/>
              </w:rPr>
              <w:t>支付保单红利的现金</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支付给职工以及为职工支付的现金</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4"/>
              <w:jc w:val="right"/>
              <w:rPr>
                <w:rFonts w:ascii="Times New Roman" w:hAnsi="Times New Roman" w:cs="Times New Roman" w:eastAsia="Times New Roman" w:hint="default"/>
                <w:sz w:val="15"/>
                <w:szCs w:val="15"/>
              </w:rPr>
            </w:pPr>
            <w:r>
              <w:rPr>
                <w:rFonts w:ascii="Times New Roman"/>
                <w:spacing w:val="-1"/>
                <w:sz w:val="15"/>
              </w:rPr>
              <w:t>252,980,216.69</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152,811,392.76</w:t>
            </w: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支付的各项税费</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2"/>
              <w:jc w:val="right"/>
              <w:rPr>
                <w:rFonts w:ascii="Times New Roman" w:hAnsi="Times New Roman" w:cs="Times New Roman" w:eastAsia="Times New Roman" w:hint="default"/>
                <w:sz w:val="15"/>
                <w:szCs w:val="15"/>
              </w:rPr>
            </w:pPr>
            <w:r>
              <w:rPr>
                <w:rFonts w:ascii="Times New Roman"/>
                <w:spacing w:val="-1"/>
                <w:sz w:val="15"/>
              </w:rPr>
              <w:t>67,454,071.80</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92,775,931.21</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支付其他与经营活动有关的现金</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0"/>
              <w:jc w:val="center"/>
              <w:rPr>
                <w:rFonts w:ascii="宋体" w:hAnsi="宋体" w:cs="宋体" w:eastAsia="宋体" w:hint="default"/>
                <w:sz w:val="15"/>
                <w:szCs w:val="15"/>
              </w:rPr>
            </w:pPr>
            <w:r>
              <w:rPr>
                <w:rFonts w:ascii="宋体" w:hAnsi="宋体" w:cs="宋体" w:eastAsia="宋体" w:hint="default"/>
                <w:sz w:val="15"/>
                <w:szCs w:val="15"/>
              </w:rPr>
              <w:t>（三十九）</w:t>
            </w:r>
            <w:r>
              <w:rPr>
                <w:rFonts w:ascii="Times New Roman" w:hAnsi="Times New Roman" w:cs="Times New Roman" w:eastAsia="Times New Roman" w:hint="default"/>
                <w:sz w:val="15"/>
                <w:szCs w:val="15"/>
              </w:rPr>
              <w:t>2</w:t>
            </w:r>
            <w:r>
              <w:rPr>
                <w:rFonts w:ascii="宋体" w:hAnsi="宋体" w:cs="宋体" w:eastAsia="宋体" w:hint="default"/>
                <w:sz w:val="15"/>
                <w:szCs w:val="15"/>
              </w:rPr>
              <w:t>、</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2"/>
              <w:jc w:val="right"/>
              <w:rPr>
                <w:rFonts w:ascii="Times New Roman" w:hAnsi="Times New Roman" w:cs="Times New Roman" w:eastAsia="Times New Roman" w:hint="default"/>
                <w:sz w:val="15"/>
                <w:szCs w:val="15"/>
              </w:rPr>
            </w:pPr>
            <w:r>
              <w:rPr>
                <w:rFonts w:ascii="Times New Roman"/>
                <w:spacing w:val="-1"/>
                <w:sz w:val="15"/>
              </w:rPr>
              <w:t>74,082,304.41</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63,887,482.41</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sz w:val="15"/>
                <w:szCs w:val="15"/>
              </w:rPr>
              <w:t>经营活动现金流出小计</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4"/>
              <w:jc w:val="right"/>
              <w:rPr>
                <w:rFonts w:ascii="Times New Roman" w:hAnsi="Times New Roman" w:cs="Times New Roman" w:eastAsia="Times New Roman" w:hint="default"/>
                <w:sz w:val="15"/>
                <w:szCs w:val="15"/>
              </w:rPr>
            </w:pPr>
            <w:r>
              <w:rPr>
                <w:rFonts w:ascii="Times New Roman"/>
                <w:spacing w:val="-1"/>
                <w:sz w:val="15"/>
              </w:rPr>
              <w:t>600,578,284.51</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2"/>
                <w:sz w:val="15"/>
              </w:rPr>
              <w:t>568,111,357.14</w:t>
            </w: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经营活动产生的现金流量净额</w:t>
            </w:r>
            <w:r>
              <w:rPr>
                <w:rFonts w:ascii="宋体" w:hAnsi="宋体" w:cs="宋体" w:eastAsia="宋体" w:hint="default"/>
                <w:sz w:val="15"/>
                <w:szCs w:val="15"/>
              </w:rPr>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4"/>
              <w:jc w:val="right"/>
              <w:rPr>
                <w:rFonts w:ascii="Times New Roman" w:hAnsi="Times New Roman" w:cs="Times New Roman" w:eastAsia="Times New Roman" w:hint="default"/>
                <w:sz w:val="15"/>
                <w:szCs w:val="15"/>
              </w:rPr>
            </w:pPr>
            <w:r>
              <w:rPr>
                <w:rFonts w:ascii="Times New Roman"/>
                <w:spacing w:val="-1"/>
                <w:sz w:val="15"/>
              </w:rPr>
              <w:t>195,656,620.10</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0"/>
              <w:jc w:val="right"/>
              <w:rPr>
                <w:rFonts w:ascii="Times New Roman" w:hAnsi="Times New Roman" w:cs="Times New Roman" w:eastAsia="Times New Roman" w:hint="default"/>
                <w:sz w:val="15"/>
                <w:szCs w:val="15"/>
              </w:rPr>
            </w:pPr>
            <w:r>
              <w:rPr>
                <w:rFonts w:ascii="Times New Roman"/>
                <w:spacing w:val="-1"/>
                <w:sz w:val="15"/>
              </w:rPr>
              <w:t>212,142,955.13</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二、投资活动产生的现金流量</w:t>
            </w:r>
            <w:r>
              <w:rPr>
                <w:rFonts w:ascii="宋体" w:hAnsi="宋体" w:cs="宋体" w:eastAsia="宋体" w:hint="default"/>
                <w:sz w:val="15"/>
                <w:szCs w:val="15"/>
              </w:rPr>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收回投资收到的现金</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取得投资收益所收到的现金</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379"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58" w:lineRule="exact"/>
              <w:ind w:left="403" w:right="0"/>
              <w:jc w:val="left"/>
              <w:rPr>
                <w:rFonts w:ascii="宋体" w:hAnsi="宋体" w:cs="宋体" w:eastAsia="宋体" w:hint="default"/>
                <w:sz w:val="15"/>
                <w:szCs w:val="15"/>
              </w:rPr>
            </w:pPr>
            <w:r>
              <w:rPr>
                <w:rFonts w:ascii="宋体" w:hAnsi="宋体" w:cs="宋体" w:eastAsia="宋体" w:hint="default"/>
                <w:sz w:val="15"/>
                <w:szCs w:val="15"/>
              </w:rPr>
              <w:t>处置固定资产、无形资产和其他长期资产收回</w:t>
            </w:r>
          </w:p>
          <w:p>
            <w:pPr>
              <w:pStyle w:val="TableParagraph"/>
              <w:spacing w:line="191" w:lineRule="exact"/>
              <w:ind w:left="552" w:right="0"/>
              <w:jc w:val="left"/>
              <w:rPr>
                <w:rFonts w:ascii="宋体" w:hAnsi="宋体" w:cs="宋体" w:eastAsia="宋体" w:hint="default"/>
                <w:sz w:val="15"/>
                <w:szCs w:val="15"/>
              </w:rPr>
            </w:pPr>
            <w:r>
              <w:rPr>
                <w:rFonts w:ascii="宋体" w:hAnsi="宋体" w:cs="宋体" w:eastAsia="宋体" w:hint="default"/>
                <w:sz w:val="15"/>
                <w:szCs w:val="15"/>
              </w:rPr>
              <w:t>的现金净额</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4"/>
              <w:jc w:val="right"/>
              <w:rPr>
                <w:rFonts w:ascii="Times New Roman" w:hAnsi="Times New Roman" w:cs="Times New Roman" w:eastAsia="Times New Roman" w:hint="default"/>
                <w:sz w:val="15"/>
                <w:szCs w:val="15"/>
              </w:rPr>
            </w:pPr>
            <w:r>
              <w:rPr>
                <w:rFonts w:ascii="Times New Roman"/>
                <w:spacing w:val="-1"/>
                <w:sz w:val="15"/>
              </w:rPr>
              <w:t>771,368.99</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5"/>
                <w:szCs w:val="15"/>
              </w:rPr>
            </w:pPr>
            <w:r>
              <w:rPr>
                <w:rFonts w:ascii="Times New Roman"/>
                <w:spacing w:val="-1"/>
                <w:sz w:val="15"/>
              </w:rPr>
              <w:t>10,100.00</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right="991"/>
              <w:jc w:val="right"/>
              <w:rPr>
                <w:rFonts w:ascii="宋体" w:hAnsi="宋体" w:cs="宋体" w:eastAsia="宋体" w:hint="default"/>
                <w:sz w:val="15"/>
                <w:szCs w:val="15"/>
              </w:rPr>
            </w:pPr>
            <w:r>
              <w:rPr>
                <w:rFonts w:ascii="宋体" w:hAnsi="宋体" w:cs="宋体" w:eastAsia="宋体" w:hint="default"/>
                <w:sz w:val="15"/>
                <w:szCs w:val="15"/>
              </w:rPr>
              <w:t>处置子公司及其他营业单位收到的现金净额</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2" w:right="0"/>
              <w:jc w:val="left"/>
              <w:rPr>
                <w:rFonts w:ascii="宋体" w:hAnsi="宋体" w:cs="宋体" w:eastAsia="宋体" w:hint="default"/>
                <w:sz w:val="15"/>
                <w:szCs w:val="15"/>
              </w:rPr>
            </w:pPr>
            <w:r>
              <w:rPr>
                <w:rFonts w:ascii="宋体" w:hAnsi="宋体" w:cs="宋体" w:eastAsia="宋体" w:hint="default"/>
                <w:sz w:val="15"/>
                <w:szCs w:val="15"/>
              </w:rPr>
              <w:t>收到其他与投资活动有关的现金</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sz w:val="15"/>
                <w:szCs w:val="15"/>
              </w:rPr>
              <w:t>投资活动现金流入小计</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4"/>
              <w:jc w:val="right"/>
              <w:rPr>
                <w:rFonts w:ascii="Times New Roman" w:hAnsi="Times New Roman" w:cs="Times New Roman" w:eastAsia="Times New Roman" w:hint="default"/>
                <w:sz w:val="15"/>
                <w:szCs w:val="15"/>
              </w:rPr>
            </w:pPr>
            <w:r>
              <w:rPr>
                <w:rFonts w:ascii="Times New Roman"/>
                <w:spacing w:val="-1"/>
                <w:sz w:val="15"/>
              </w:rPr>
              <w:t>771,368.99</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10,100.00</w:t>
            </w:r>
          </w:p>
        </w:tc>
      </w:tr>
      <w:tr>
        <w:trPr>
          <w:trHeight w:val="379"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58" w:lineRule="exact"/>
              <w:ind w:left="403" w:right="0"/>
              <w:jc w:val="left"/>
              <w:rPr>
                <w:rFonts w:ascii="宋体" w:hAnsi="宋体" w:cs="宋体" w:eastAsia="宋体" w:hint="default"/>
                <w:sz w:val="15"/>
                <w:szCs w:val="15"/>
              </w:rPr>
            </w:pPr>
            <w:r>
              <w:rPr>
                <w:rFonts w:ascii="宋体" w:hAnsi="宋体" w:cs="宋体" w:eastAsia="宋体" w:hint="default"/>
                <w:sz w:val="15"/>
                <w:szCs w:val="15"/>
              </w:rPr>
              <w:t>购建固定资产、无形资产和其他长期资产支付</w:t>
            </w:r>
          </w:p>
          <w:p>
            <w:pPr>
              <w:pStyle w:val="TableParagraph"/>
              <w:spacing w:line="191" w:lineRule="exact"/>
              <w:ind w:left="552" w:right="0"/>
              <w:jc w:val="left"/>
              <w:rPr>
                <w:rFonts w:ascii="宋体" w:hAnsi="宋体" w:cs="宋体" w:eastAsia="宋体" w:hint="default"/>
                <w:sz w:val="15"/>
                <w:szCs w:val="15"/>
              </w:rPr>
            </w:pPr>
            <w:r>
              <w:rPr>
                <w:rFonts w:ascii="宋体" w:hAnsi="宋体" w:cs="宋体" w:eastAsia="宋体" w:hint="default"/>
                <w:sz w:val="15"/>
                <w:szCs w:val="15"/>
              </w:rPr>
              <w:t>的现金</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4"/>
              <w:jc w:val="right"/>
              <w:rPr>
                <w:rFonts w:ascii="Times New Roman" w:hAnsi="Times New Roman" w:cs="Times New Roman" w:eastAsia="Times New Roman" w:hint="default"/>
                <w:sz w:val="15"/>
                <w:szCs w:val="15"/>
              </w:rPr>
            </w:pPr>
            <w:r>
              <w:rPr>
                <w:rFonts w:ascii="Times New Roman"/>
                <w:spacing w:val="-1"/>
                <w:sz w:val="15"/>
              </w:rPr>
              <w:t>424,276,424.39</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5"/>
                <w:szCs w:val="15"/>
              </w:rPr>
            </w:pPr>
            <w:r>
              <w:rPr>
                <w:rFonts w:ascii="Times New Roman"/>
                <w:spacing w:val="-1"/>
                <w:sz w:val="15"/>
              </w:rPr>
              <w:t>77,372,681.07</w:t>
            </w: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投资支付的现金</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2"/>
              <w:jc w:val="right"/>
              <w:rPr>
                <w:rFonts w:ascii="Times New Roman" w:hAnsi="Times New Roman" w:cs="Times New Roman" w:eastAsia="Times New Roman" w:hint="default"/>
                <w:sz w:val="15"/>
                <w:szCs w:val="15"/>
              </w:rPr>
            </w:pPr>
            <w:r>
              <w:rPr>
                <w:rFonts w:ascii="Times New Roman"/>
                <w:spacing w:val="-1"/>
                <w:sz w:val="15"/>
              </w:rPr>
              <w:t>80,210,074.47</w:t>
            </w: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2" w:right="0"/>
              <w:jc w:val="left"/>
              <w:rPr>
                <w:rFonts w:ascii="宋体" w:hAnsi="宋体" w:cs="宋体" w:eastAsia="宋体" w:hint="default"/>
                <w:sz w:val="15"/>
                <w:szCs w:val="15"/>
              </w:rPr>
            </w:pPr>
            <w:r>
              <w:rPr>
                <w:rFonts w:ascii="宋体" w:hAnsi="宋体" w:cs="宋体" w:eastAsia="宋体" w:hint="default"/>
                <w:sz w:val="15"/>
                <w:szCs w:val="15"/>
              </w:rPr>
              <w:t>质押贷款净增加额</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right="991"/>
              <w:jc w:val="right"/>
              <w:rPr>
                <w:rFonts w:ascii="宋体" w:hAnsi="宋体" w:cs="宋体" w:eastAsia="宋体" w:hint="default"/>
                <w:sz w:val="15"/>
                <w:szCs w:val="15"/>
              </w:rPr>
            </w:pPr>
            <w:r>
              <w:rPr>
                <w:rFonts w:ascii="宋体" w:hAnsi="宋体" w:cs="宋体" w:eastAsia="宋体" w:hint="default"/>
                <w:sz w:val="15"/>
                <w:szCs w:val="15"/>
              </w:rPr>
              <w:t>取得子公司及其他营业单位支付的现金净额</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2"/>
              <w:jc w:val="right"/>
              <w:rPr>
                <w:rFonts w:ascii="Times New Roman" w:hAnsi="Times New Roman" w:cs="Times New Roman" w:eastAsia="Times New Roman" w:hint="default"/>
                <w:sz w:val="15"/>
                <w:szCs w:val="15"/>
              </w:rPr>
            </w:pPr>
            <w:r>
              <w:rPr>
                <w:rFonts w:ascii="Times New Roman"/>
                <w:spacing w:val="-1"/>
                <w:sz w:val="15"/>
              </w:rPr>
              <w:t>57,055,890.13</w:t>
            </w: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支付其他与投资活动有关的现金</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sz w:val="15"/>
                <w:szCs w:val="15"/>
              </w:rPr>
              <w:t>投资活动现金流出小计</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4"/>
              <w:jc w:val="right"/>
              <w:rPr>
                <w:rFonts w:ascii="Times New Roman" w:hAnsi="Times New Roman" w:cs="Times New Roman" w:eastAsia="Times New Roman" w:hint="default"/>
                <w:sz w:val="15"/>
                <w:szCs w:val="15"/>
              </w:rPr>
            </w:pPr>
            <w:r>
              <w:rPr>
                <w:rFonts w:ascii="Times New Roman"/>
                <w:spacing w:val="-1"/>
                <w:sz w:val="15"/>
              </w:rPr>
              <w:t>561,542,388.99</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77,372,681.07</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投资活动产生的现金流量净额</w:t>
            </w:r>
            <w:r>
              <w:rPr>
                <w:rFonts w:ascii="宋体" w:hAnsi="宋体" w:cs="宋体" w:eastAsia="宋体" w:hint="default"/>
                <w:sz w:val="15"/>
                <w:szCs w:val="15"/>
              </w:rPr>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2"/>
              <w:jc w:val="right"/>
              <w:rPr>
                <w:rFonts w:ascii="Times New Roman" w:hAnsi="Times New Roman" w:cs="Times New Roman" w:eastAsia="Times New Roman" w:hint="default"/>
                <w:sz w:val="15"/>
                <w:szCs w:val="15"/>
              </w:rPr>
            </w:pPr>
            <w:r>
              <w:rPr>
                <w:rFonts w:ascii="Times New Roman"/>
                <w:spacing w:val="-1"/>
                <w:sz w:val="15"/>
              </w:rPr>
              <w:t>-560,771,020.00</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0"/>
              <w:jc w:val="right"/>
              <w:rPr>
                <w:rFonts w:ascii="Times New Roman" w:hAnsi="Times New Roman" w:cs="Times New Roman" w:eastAsia="Times New Roman" w:hint="default"/>
                <w:sz w:val="15"/>
                <w:szCs w:val="15"/>
              </w:rPr>
            </w:pPr>
            <w:r>
              <w:rPr>
                <w:rFonts w:ascii="Times New Roman"/>
                <w:spacing w:val="-1"/>
                <w:sz w:val="15"/>
              </w:rPr>
              <w:t>-77,362,581.07</w:t>
            </w: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三、筹资活动产生的现金流量</w:t>
            </w:r>
            <w:r>
              <w:rPr>
                <w:rFonts w:ascii="宋体" w:hAnsi="宋体" w:cs="宋体" w:eastAsia="宋体" w:hint="default"/>
                <w:sz w:val="15"/>
                <w:szCs w:val="15"/>
              </w:rPr>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吸收投资收到的现金</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4"/>
              <w:jc w:val="right"/>
              <w:rPr>
                <w:rFonts w:ascii="Times New Roman" w:hAnsi="Times New Roman" w:cs="Times New Roman" w:eastAsia="Times New Roman" w:hint="default"/>
                <w:sz w:val="15"/>
                <w:szCs w:val="15"/>
              </w:rPr>
            </w:pPr>
            <w:r>
              <w:rPr>
                <w:rFonts w:ascii="Times New Roman"/>
                <w:spacing w:val="-1"/>
                <w:sz w:val="15"/>
              </w:rPr>
              <w:t>3,000,000.00</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1,785,775,200.00</w:t>
            </w: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right="991"/>
              <w:jc w:val="right"/>
              <w:rPr>
                <w:rFonts w:ascii="宋体" w:hAnsi="宋体" w:cs="宋体" w:eastAsia="宋体" w:hint="default"/>
                <w:sz w:val="15"/>
                <w:szCs w:val="15"/>
              </w:rPr>
            </w:pPr>
            <w:r>
              <w:rPr>
                <w:rFonts w:ascii="宋体" w:hAnsi="宋体" w:cs="宋体" w:eastAsia="宋体" w:hint="default"/>
                <w:sz w:val="15"/>
                <w:szCs w:val="15"/>
              </w:rPr>
              <w:t>其中：子公司吸收少数股东投资收到的现金</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4"/>
              <w:jc w:val="right"/>
              <w:rPr>
                <w:rFonts w:ascii="Times New Roman" w:hAnsi="Times New Roman" w:cs="Times New Roman" w:eastAsia="Times New Roman" w:hint="default"/>
                <w:sz w:val="15"/>
                <w:szCs w:val="15"/>
              </w:rPr>
            </w:pPr>
            <w:r>
              <w:rPr>
                <w:rFonts w:ascii="Times New Roman"/>
                <w:spacing w:val="-1"/>
                <w:sz w:val="15"/>
              </w:rPr>
              <w:t>3,000,000.00</w:t>
            </w: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取得借款收到的现金</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2" w:right="0"/>
              <w:jc w:val="left"/>
              <w:rPr>
                <w:rFonts w:ascii="宋体" w:hAnsi="宋体" w:cs="宋体" w:eastAsia="宋体" w:hint="default"/>
                <w:sz w:val="15"/>
                <w:szCs w:val="15"/>
              </w:rPr>
            </w:pPr>
            <w:r>
              <w:rPr>
                <w:rFonts w:ascii="宋体" w:hAnsi="宋体" w:cs="宋体" w:eastAsia="宋体" w:hint="default"/>
                <w:sz w:val="15"/>
                <w:szCs w:val="15"/>
              </w:rPr>
              <w:t>发行债券收到的现金</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收到其他与筹资活动有关的现金</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0"/>
              <w:jc w:val="center"/>
              <w:rPr>
                <w:rFonts w:ascii="宋体" w:hAnsi="宋体" w:cs="宋体" w:eastAsia="宋体" w:hint="default"/>
                <w:sz w:val="15"/>
                <w:szCs w:val="15"/>
              </w:rPr>
            </w:pPr>
            <w:r>
              <w:rPr>
                <w:rFonts w:ascii="宋体" w:hAnsi="宋体" w:cs="宋体" w:eastAsia="宋体" w:hint="default"/>
                <w:sz w:val="15"/>
                <w:szCs w:val="15"/>
              </w:rPr>
              <w:t>（三十九）</w:t>
            </w:r>
            <w:r>
              <w:rPr>
                <w:rFonts w:ascii="Times New Roman" w:hAnsi="Times New Roman" w:cs="Times New Roman" w:eastAsia="Times New Roman" w:hint="default"/>
                <w:sz w:val="15"/>
                <w:szCs w:val="15"/>
              </w:rPr>
              <w:t>3</w:t>
            </w:r>
            <w:r>
              <w:rPr>
                <w:rFonts w:ascii="宋体" w:hAnsi="宋体" w:cs="宋体" w:eastAsia="宋体" w:hint="default"/>
                <w:sz w:val="15"/>
                <w:szCs w:val="15"/>
              </w:rPr>
              <w:t>、</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4"/>
              <w:jc w:val="right"/>
              <w:rPr>
                <w:rFonts w:ascii="Times New Roman" w:hAnsi="Times New Roman" w:cs="Times New Roman" w:eastAsia="Times New Roman" w:hint="default"/>
                <w:sz w:val="15"/>
                <w:szCs w:val="15"/>
              </w:rPr>
            </w:pPr>
            <w:r>
              <w:rPr>
                <w:rFonts w:ascii="Times New Roman"/>
                <w:spacing w:val="-1"/>
                <w:sz w:val="15"/>
              </w:rPr>
              <w:t>699,400.00</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0"/>
              <w:jc w:val="right"/>
              <w:rPr>
                <w:rFonts w:ascii="Times New Roman" w:hAnsi="Times New Roman" w:cs="Times New Roman" w:eastAsia="Times New Roman" w:hint="default"/>
                <w:sz w:val="15"/>
                <w:szCs w:val="15"/>
              </w:rPr>
            </w:pPr>
            <w:r>
              <w:rPr>
                <w:rFonts w:ascii="Times New Roman"/>
                <w:spacing w:val="-1"/>
                <w:sz w:val="15"/>
              </w:rPr>
              <w:t>3,719,380.34</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sz w:val="15"/>
                <w:szCs w:val="15"/>
              </w:rPr>
              <w:t>筹资活动现金流入小计</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4"/>
              <w:jc w:val="right"/>
              <w:rPr>
                <w:rFonts w:ascii="Times New Roman" w:hAnsi="Times New Roman" w:cs="Times New Roman" w:eastAsia="Times New Roman" w:hint="default"/>
                <w:sz w:val="15"/>
                <w:szCs w:val="15"/>
              </w:rPr>
            </w:pPr>
            <w:r>
              <w:rPr>
                <w:rFonts w:ascii="Times New Roman"/>
                <w:spacing w:val="-1"/>
                <w:sz w:val="15"/>
              </w:rPr>
              <w:t>3,699,400.00</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1,789,494,580.34</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偿还债务支付的现金</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10,000,000.00</w:t>
            </w: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分配股利、利润或偿付利息支付的现金</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2"/>
              <w:jc w:val="right"/>
              <w:rPr>
                <w:rFonts w:ascii="Times New Roman" w:hAnsi="Times New Roman" w:cs="Times New Roman" w:eastAsia="Times New Roman" w:hint="default"/>
                <w:sz w:val="15"/>
                <w:szCs w:val="15"/>
              </w:rPr>
            </w:pPr>
            <w:r>
              <w:rPr>
                <w:rFonts w:ascii="Times New Roman"/>
                <w:spacing w:val="-1"/>
                <w:sz w:val="15"/>
              </w:rPr>
              <w:t>37,920,000.00</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21,609,700.00</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right="991"/>
              <w:jc w:val="right"/>
              <w:rPr>
                <w:rFonts w:ascii="宋体" w:hAnsi="宋体" w:cs="宋体" w:eastAsia="宋体" w:hint="default"/>
                <w:sz w:val="15"/>
                <w:szCs w:val="15"/>
              </w:rPr>
            </w:pPr>
            <w:r>
              <w:rPr>
                <w:rFonts w:ascii="宋体" w:hAnsi="宋体" w:cs="宋体" w:eastAsia="宋体" w:hint="default"/>
                <w:sz w:val="15"/>
                <w:szCs w:val="15"/>
              </w:rPr>
              <w:t>其中：子公司支付给少数股东的股利、利润</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支付其他与筹资活动有关的现金</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0"/>
              <w:jc w:val="center"/>
              <w:rPr>
                <w:rFonts w:ascii="宋体" w:hAnsi="宋体" w:cs="宋体" w:eastAsia="宋体" w:hint="default"/>
                <w:sz w:val="15"/>
                <w:szCs w:val="15"/>
              </w:rPr>
            </w:pPr>
            <w:r>
              <w:rPr>
                <w:rFonts w:ascii="宋体" w:hAnsi="宋体" w:cs="宋体" w:eastAsia="宋体" w:hint="default"/>
                <w:sz w:val="15"/>
                <w:szCs w:val="15"/>
              </w:rPr>
              <w:t>（三十九）</w:t>
            </w:r>
            <w:r>
              <w:rPr>
                <w:rFonts w:ascii="Times New Roman" w:hAnsi="Times New Roman" w:cs="Times New Roman" w:eastAsia="Times New Roman" w:hint="default"/>
                <w:sz w:val="15"/>
                <w:szCs w:val="15"/>
              </w:rPr>
              <w:t>4</w:t>
            </w:r>
            <w:r>
              <w:rPr>
                <w:rFonts w:ascii="宋体" w:hAnsi="宋体" w:cs="宋体" w:eastAsia="宋体" w:hint="default"/>
                <w:sz w:val="15"/>
                <w:szCs w:val="15"/>
              </w:rPr>
              <w:t>、</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4"/>
              <w:jc w:val="right"/>
              <w:rPr>
                <w:rFonts w:ascii="Times New Roman" w:hAnsi="Times New Roman" w:cs="Times New Roman" w:eastAsia="Times New Roman" w:hint="default"/>
                <w:sz w:val="15"/>
                <w:szCs w:val="15"/>
              </w:rPr>
            </w:pPr>
            <w:r>
              <w:rPr>
                <w:rFonts w:ascii="Times New Roman"/>
                <w:spacing w:val="-1"/>
                <w:sz w:val="15"/>
              </w:rPr>
              <w:t>2,276,334.02</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0"/>
              <w:jc w:val="right"/>
              <w:rPr>
                <w:rFonts w:ascii="Times New Roman" w:hAnsi="Times New Roman" w:cs="Times New Roman" w:eastAsia="Times New Roman" w:hint="default"/>
                <w:sz w:val="15"/>
                <w:szCs w:val="15"/>
              </w:rPr>
            </w:pPr>
            <w:r>
              <w:rPr>
                <w:rFonts w:ascii="Times New Roman"/>
                <w:spacing w:val="-1"/>
                <w:sz w:val="15"/>
              </w:rPr>
              <w:t>6,607,899.99</w:t>
            </w: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sz w:val="15"/>
                <w:szCs w:val="15"/>
              </w:rPr>
              <w:t>筹资活动现金流出小计</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2"/>
              <w:jc w:val="right"/>
              <w:rPr>
                <w:rFonts w:ascii="Times New Roman" w:hAnsi="Times New Roman" w:cs="Times New Roman" w:eastAsia="Times New Roman" w:hint="default"/>
                <w:sz w:val="15"/>
                <w:szCs w:val="15"/>
              </w:rPr>
            </w:pPr>
            <w:r>
              <w:rPr>
                <w:rFonts w:ascii="Times New Roman"/>
                <w:spacing w:val="-1"/>
                <w:sz w:val="15"/>
              </w:rPr>
              <w:t>40,196,334.02</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38,217,599.99</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筹资活动产生的现金流量净额</w:t>
            </w:r>
            <w:r>
              <w:rPr>
                <w:rFonts w:ascii="宋体" w:hAnsi="宋体" w:cs="宋体" w:eastAsia="宋体" w:hint="default"/>
                <w:sz w:val="15"/>
                <w:szCs w:val="15"/>
              </w:rPr>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2"/>
              <w:jc w:val="right"/>
              <w:rPr>
                <w:rFonts w:ascii="Times New Roman" w:hAnsi="Times New Roman" w:cs="Times New Roman" w:eastAsia="Times New Roman" w:hint="default"/>
                <w:sz w:val="15"/>
                <w:szCs w:val="15"/>
              </w:rPr>
            </w:pPr>
            <w:r>
              <w:rPr>
                <w:rFonts w:ascii="Times New Roman"/>
                <w:spacing w:val="-1"/>
                <w:sz w:val="15"/>
              </w:rPr>
              <w:t>-36,496,934.02</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99"/>
              <w:jc w:val="right"/>
              <w:rPr>
                <w:rFonts w:ascii="Times New Roman" w:hAnsi="Times New Roman" w:cs="Times New Roman" w:eastAsia="Times New Roman" w:hint="default"/>
                <w:sz w:val="15"/>
                <w:szCs w:val="15"/>
              </w:rPr>
            </w:pPr>
            <w:r>
              <w:rPr>
                <w:rFonts w:ascii="Times New Roman"/>
                <w:spacing w:val="-1"/>
                <w:sz w:val="15"/>
              </w:rPr>
              <w:t>1,751,276,980.35</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四、汇率变动对现金及现金等价物的影响</w:t>
            </w:r>
            <w:r>
              <w:rPr>
                <w:rFonts w:ascii="宋体" w:hAnsi="宋体" w:cs="宋体" w:eastAsia="宋体" w:hint="default"/>
                <w:sz w:val="15"/>
                <w:szCs w:val="15"/>
              </w:rPr>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五、现金及现金等价物净增加额</w:t>
            </w:r>
            <w:r>
              <w:rPr>
                <w:rFonts w:ascii="宋体" w:hAnsi="宋体" w:cs="宋体" w:eastAsia="宋体" w:hint="default"/>
                <w:sz w:val="15"/>
                <w:szCs w:val="15"/>
              </w:rPr>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3"/>
              <w:jc w:val="right"/>
              <w:rPr>
                <w:rFonts w:ascii="Times New Roman" w:hAnsi="Times New Roman" w:cs="Times New Roman" w:eastAsia="Times New Roman" w:hint="default"/>
                <w:sz w:val="15"/>
                <w:szCs w:val="15"/>
              </w:rPr>
            </w:pPr>
            <w:r>
              <w:rPr>
                <w:rFonts w:ascii="Times New Roman"/>
                <w:spacing w:val="-1"/>
                <w:sz w:val="15"/>
              </w:rPr>
              <w:t>-401,611,333.92</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0"/>
              <w:jc w:val="right"/>
              <w:rPr>
                <w:rFonts w:ascii="Times New Roman" w:hAnsi="Times New Roman" w:cs="Times New Roman" w:eastAsia="Times New Roman" w:hint="default"/>
                <w:sz w:val="15"/>
                <w:szCs w:val="15"/>
              </w:rPr>
            </w:pPr>
            <w:r>
              <w:rPr>
                <w:rFonts w:ascii="Times New Roman"/>
                <w:spacing w:val="-1"/>
                <w:sz w:val="15"/>
              </w:rPr>
              <w:t>1,886,057,354.41</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加：期初现金及现金等价物余额</w:t>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2"/>
              <w:jc w:val="right"/>
              <w:rPr>
                <w:rFonts w:ascii="Times New Roman" w:hAnsi="Times New Roman" w:cs="Times New Roman" w:eastAsia="Times New Roman" w:hint="default"/>
                <w:sz w:val="15"/>
                <w:szCs w:val="15"/>
              </w:rPr>
            </w:pPr>
            <w:r>
              <w:rPr>
                <w:rFonts w:ascii="Times New Roman"/>
                <w:spacing w:val="-1"/>
                <w:sz w:val="15"/>
              </w:rPr>
              <w:t>2,075,195,770.14</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0"/>
              <w:jc w:val="right"/>
              <w:rPr>
                <w:rFonts w:ascii="Times New Roman" w:hAnsi="Times New Roman" w:cs="Times New Roman" w:eastAsia="Times New Roman" w:hint="default"/>
                <w:sz w:val="15"/>
                <w:szCs w:val="15"/>
              </w:rPr>
            </w:pPr>
            <w:r>
              <w:rPr>
                <w:rFonts w:ascii="Times New Roman"/>
                <w:spacing w:val="-1"/>
                <w:sz w:val="15"/>
              </w:rPr>
              <w:t>189,138,415.73</w:t>
            </w: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六、期末现金及现金等价物余额</w:t>
            </w:r>
            <w:r>
              <w:rPr>
                <w:rFonts w:ascii="宋体" w:hAnsi="宋体" w:cs="宋体" w:eastAsia="宋体" w:hint="default"/>
                <w:sz w:val="15"/>
                <w:szCs w:val="15"/>
              </w:rPr>
            </w:r>
          </w:p>
        </w:tc>
        <w:tc>
          <w:tcPr>
            <w:tcW w:w="1273"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2"/>
              <w:jc w:val="right"/>
              <w:rPr>
                <w:rFonts w:ascii="Times New Roman" w:hAnsi="Times New Roman" w:cs="Times New Roman" w:eastAsia="Times New Roman" w:hint="default"/>
                <w:sz w:val="15"/>
                <w:szCs w:val="15"/>
              </w:rPr>
            </w:pPr>
            <w:r>
              <w:rPr>
                <w:rFonts w:ascii="Times New Roman"/>
                <w:spacing w:val="-1"/>
                <w:sz w:val="15"/>
              </w:rPr>
              <w:t>1,673,584,436.22</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2,075,195,770.14</w:t>
            </w:r>
          </w:p>
        </w:tc>
      </w:tr>
    </w:tbl>
    <w:p>
      <w:pPr>
        <w:spacing w:line="240" w:lineRule="auto" w:before="5"/>
        <w:rPr>
          <w:rFonts w:ascii="宋体" w:hAnsi="宋体" w:cs="宋体" w:eastAsia="宋体" w:hint="default"/>
          <w:b/>
          <w:bCs/>
          <w:sz w:val="26"/>
          <w:szCs w:val="26"/>
        </w:rPr>
      </w:pPr>
    </w:p>
    <w:p>
      <w:pPr>
        <w:spacing w:before="44"/>
        <w:ind w:left="137" w:right="1277"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3377" w:val="left" w:leader="none"/>
          <w:tab w:pos="6527" w:val="left" w:leader="none"/>
        </w:tabs>
        <w:spacing w:before="23"/>
        <w:ind w:left="13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t>主管会计工作负责人：</w:t>
        <w:tab/>
        <w:t>会计机构负责人：</w:t>
      </w:r>
    </w:p>
    <w:p>
      <w:pPr>
        <w:spacing w:after="0"/>
        <w:jc w:val="left"/>
        <w:rPr>
          <w:rFonts w:ascii="宋体" w:hAnsi="宋体" w:cs="宋体" w:eastAsia="宋体" w:hint="default"/>
          <w:sz w:val="18"/>
          <w:szCs w:val="18"/>
        </w:rPr>
        <w:sectPr>
          <w:pgSz w:w="11910" w:h="16840"/>
          <w:pgMar w:header="851" w:footer="982" w:top="1300" w:bottom="1180" w:left="1660" w:right="980"/>
        </w:sectPr>
      </w:pPr>
    </w:p>
    <w:p>
      <w:pPr>
        <w:pStyle w:val="Heading2"/>
        <w:spacing w:line="285" w:lineRule="auto" w:before="17"/>
        <w:ind w:left="5175" w:right="5155"/>
        <w:jc w:val="center"/>
        <w:rPr>
          <w:b w:val="0"/>
          <w:bCs w:val="0"/>
        </w:rPr>
      </w:pPr>
      <w:r>
        <w:rPr/>
        <w:pict>
          <v:group style="position:absolute;margin-left:70.490997pt;margin-top:2.193696pt;width:700.95pt;height:.1pt;mso-position-horizontal-relative:page;mso-position-vertical-relative:paragraph;z-index:-712144" coordorigin="1410,44" coordsize="14019,2">
            <v:shape style="position:absolute;left:1410;top:44;width:14019;height:2" coordorigin="1410,44" coordsize="14019,0" path="m1410,44l15428,44e" filled="false" stroked="true" strokeweight=".72pt" strokecolor="#000000">
              <v:path arrowok="t"/>
            </v:shape>
            <w10:wrap type="none"/>
          </v:group>
        </w:pict>
      </w:r>
      <w:r>
        <w:rPr>
          <w:w w:val="95"/>
        </w:rPr>
        <w:t>北京神州泰岳软件股份有限公司</w:t>
      </w:r>
      <w:r>
        <w:rPr>
          <w:spacing w:val="37"/>
          <w:w w:val="95"/>
        </w:rPr>
        <w:t> </w:t>
      </w:r>
      <w:r>
        <w:rPr>
          <w:spacing w:val="37"/>
          <w:w w:val="95"/>
        </w:rPr>
      </w:r>
      <w:r>
        <w:rPr/>
        <w:t>所有者权益变动表</w:t>
      </w:r>
      <w:r>
        <w:rPr>
          <w:b w:val="0"/>
          <w:bCs w:val="0"/>
        </w:rPr>
      </w:r>
    </w:p>
    <w:p>
      <w:pPr>
        <w:tabs>
          <w:tab w:pos="647" w:val="left" w:leader="none"/>
        </w:tabs>
        <w:spacing w:before="10"/>
        <w:ind w:left="16" w:right="0" w:firstLine="0"/>
        <w:jc w:val="center"/>
        <w:rPr>
          <w:rFonts w:ascii="宋体" w:hAnsi="宋体" w:cs="宋体" w:eastAsia="宋体" w:hint="default"/>
          <w:sz w:val="21"/>
          <w:szCs w:val="21"/>
        </w:rPr>
      </w:pPr>
      <w:r>
        <w:rPr>
          <w:rFonts w:ascii="Times New Roman" w:hAnsi="Times New Roman" w:cs="Times New Roman" w:eastAsia="Times New Roman" w:hint="default"/>
          <w:b/>
          <w:bCs/>
          <w:spacing w:val="-1"/>
          <w:sz w:val="21"/>
          <w:szCs w:val="21"/>
        </w:rPr>
        <w:t>2010</w:t>
        <w:tab/>
      </w:r>
      <w:r>
        <w:rPr>
          <w:rFonts w:ascii="宋体" w:hAnsi="宋体" w:cs="宋体" w:eastAsia="宋体" w:hint="default"/>
          <w:b/>
          <w:bCs/>
          <w:sz w:val="21"/>
          <w:szCs w:val="21"/>
        </w:rPr>
        <w:t>年度</w:t>
      </w:r>
      <w:r>
        <w:rPr>
          <w:rFonts w:ascii="宋体" w:hAnsi="宋体" w:cs="宋体" w:eastAsia="宋体" w:hint="default"/>
          <w:sz w:val="21"/>
          <w:szCs w:val="21"/>
        </w:rPr>
      </w:r>
    </w:p>
    <w:p>
      <w:pPr>
        <w:spacing w:before="58"/>
        <w:ind w:left="5175" w:right="5158"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5"/>
        <w:rPr>
          <w:rFonts w:ascii="宋体" w:hAnsi="宋体" w:cs="宋体" w:eastAsia="宋体" w:hint="default"/>
          <w:b/>
          <w:bCs/>
          <w:sz w:val="10"/>
          <w:szCs w:val="10"/>
        </w:rPr>
      </w:pPr>
    </w:p>
    <w:tbl>
      <w:tblPr>
        <w:tblW w:w="0" w:type="auto"/>
        <w:jc w:val="left"/>
        <w:tblInd w:w="107" w:type="dxa"/>
        <w:tblLayout w:type="fixed"/>
        <w:tblCellMar>
          <w:top w:w="0" w:type="dxa"/>
          <w:left w:w="0" w:type="dxa"/>
          <w:bottom w:w="0" w:type="dxa"/>
          <w:right w:w="0" w:type="dxa"/>
        </w:tblCellMar>
        <w:tblLook w:val="01E0"/>
      </w:tblPr>
      <w:tblGrid>
        <w:gridCol w:w="3528"/>
        <w:gridCol w:w="1452"/>
        <w:gridCol w:w="1428"/>
        <w:gridCol w:w="900"/>
        <w:gridCol w:w="1260"/>
        <w:gridCol w:w="1260"/>
        <w:gridCol w:w="1260"/>
        <w:gridCol w:w="1440"/>
        <w:gridCol w:w="1620"/>
      </w:tblGrid>
      <w:tr>
        <w:trPr>
          <w:trHeight w:val="238" w:hRule="exact"/>
        </w:trPr>
        <w:tc>
          <w:tcPr>
            <w:tcW w:w="3528" w:type="dxa"/>
            <w:vMerge w:val="restart"/>
            <w:tcBorders>
              <w:top w:val="single" w:sz="4" w:space="0" w:color="000000"/>
              <w:left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0620" w:type="dxa"/>
            <w:gridSpan w:val="8"/>
            <w:tcBorders>
              <w:top w:val="single" w:sz="4" w:space="0" w:color="000000"/>
              <w:left w:val="single" w:sz="4" w:space="0" w:color="000000"/>
              <w:bottom w:val="single" w:sz="4" w:space="0" w:color="000000"/>
              <w:right w:val="single" w:sz="4" w:space="0" w:color="000000"/>
            </w:tcBorders>
          </w:tcPr>
          <w:p>
            <w:pPr>
              <w:pStyle w:val="TableParagraph"/>
              <w:spacing w:line="176" w:lineRule="exact"/>
              <w:ind w:right="0"/>
              <w:jc w:val="center"/>
              <w:rPr>
                <w:rFonts w:ascii="宋体" w:hAnsi="宋体" w:cs="宋体" w:eastAsia="宋体" w:hint="default"/>
                <w:sz w:val="15"/>
                <w:szCs w:val="15"/>
              </w:rPr>
            </w:pPr>
            <w:r>
              <w:rPr>
                <w:rFonts w:ascii="宋体" w:hAnsi="宋体" w:cs="宋体" w:eastAsia="宋体" w:hint="default"/>
                <w:sz w:val="15"/>
                <w:szCs w:val="15"/>
              </w:rPr>
              <w:t>本期金额</w:t>
            </w:r>
          </w:p>
        </w:tc>
      </w:tr>
      <w:tr>
        <w:trPr>
          <w:trHeight w:val="236" w:hRule="exact"/>
        </w:trPr>
        <w:tc>
          <w:tcPr>
            <w:tcW w:w="3528" w:type="dxa"/>
            <w:vMerge/>
            <w:tcBorders>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right="143"/>
              <w:jc w:val="right"/>
              <w:rPr>
                <w:rFonts w:ascii="Times New Roman" w:hAnsi="Times New Roman" w:cs="Times New Roman" w:eastAsia="Times New Roman" w:hint="default"/>
                <w:sz w:val="15"/>
                <w:szCs w:val="15"/>
              </w:rPr>
            </w:pPr>
            <w:r>
              <w:rPr>
                <w:rFonts w:ascii="宋体" w:hAnsi="宋体" w:cs="宋体" w:eastAsia="宋体" w:hint="default"/>
                <w:sz w:val="15"/>
                <w:szCs w:val="15"/>
              </w:rPr>
              <w:t>实收资本</w:t>
            </w:r>
            <w:r>
              <w:rPr>
                <w:rFonts w:ascii="Times New Roman" w:hAnsi="Times New Roman" w:cs="Times New Roman" w:eastAsia="Times New Roman" w:hint="default"/>
                <w:sz w:val="15"/>
                <w:szCs w:val="15"/>
              </w:rPr>
              <w:t>(</w:t>
            </w:r>
            <w:r>
              <w:rPr>
                <w:rFonts w:ascii="宋体" w:hAnsi="宋体" w:cs="宋体" w:eastAsia="宋体" w:hint="default"/>
                <w:sz w:val="15"/>
                <w:szCs w:val="15"/>
              </w:rPr>
              <w:t>或股本</w:t>
            </w:r>
            <w:r>
              <w:rPr>
                <w:rFonts w:ascii="Times New Roman" w:hAnsi="Times New Roman" w:cs="Times New Roman" w:eastAsia="Times New Roman" w:hint="default"/>
                <w:sz w:val="15"/>
                <w:szCs w:val="15"/>
              </w:rPr>
              <w:t>)</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409"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减</w:t>
            </w:r>
            <w:r>
              <w:rPr>
                <w:rFonts w:ascii="宋体" w:hAnsi="宋体" w:cs="宋体" w:eastAsia="宋体" w:hint="default"/>
                <w:spacing w:val="-66"/>
                <w:sz w:val="15"/>
                <w:szCs w:val="15"/>
              </w:rPr>
              <w:t>：</w:t>
            </w:r>
            <w:r>
              <w:rPr>
                <w:rFonts w:ascii="宋体" w:hAnsi="宋体" w:cs="宋体" w:eastAsia="宋体" w:hint="default"/>
                <w:sz w:val="15"/>
                <w:szCs w:val="15"/>
              </w:rPr>
              <w:t>库存股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325"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325"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75"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339"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279"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126,400,000.00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1,745,103,806.92</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83" w:right="0"/>
              <w:jc w:val="left"/>
              <w:rPr>
                <w:rFonts w:ascii="Times New Roman" w:hAnsi="Times New Roman" w:cs="Times New Roman" w:eastAsia="Times New Roman" w:hint="default"/>
                <w:sz w:val="15"/>
                <w:szCs w:val="15"/>
              </w:rPr>
            </w:pPr>
            <w:r>
              <w:rPr>
                <w:rFonts w:ascii="Times New Roman"/>
                <w:sz w:val="15"/>
              </w:rPr>
              <w:t>33,236,015.99</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132,600,191.30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2,037,340,014.21</w:t>
            </w: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251"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551"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551"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126,400,000.00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1,745,103,806.92</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83" w:right="0"/>
              <w:jc w:val="left"/>
              <w:rPr>
                <w:rFonts w:ascii="Times New Roman" w:hAnsi="Times New Roman" w:cs="Times New Roman" w:eastAsia="Times New Roman" w:hint="default"/>
                <w:sz w:val="15"/>
                <w:szCs w:val="15"/>
              </w:rPr>
            </w:pPr>
            <w:r>
              <w:rPr>
                <w:rFonts w:ascii="Times New Roman"/>
                <w:sz w:val="15"/>
              </w:rPr>
              <w:t>33,236,015.99</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132,600,191.30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2,037,340,014.21</w:t>
            </w: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03" w:right="0"/>
              <w:jc w:val="left"/>
              <w:rPr>
                <w:rFonts w:ascii="宋体" w:hAnsi="宋体" w:cs="宋体" w:eastAsia="宋体" w:hint="default"/>
                <w:sz w:val="15"/>
                <w:szCs w:val="15"/>
              </w:rPr>
            </w:pPr>
            <w:r>
              <w:rPr>
                <w:rFonts w:ascii="宋体" w:hAnsi="宋体" w:cs="宋体" w:eastAsia="宋体" w:hint="default"/>
                <w:sz w:val="15"/>
                <w:szCs w:val="15"/>
              </w:rPr>
              <w:t>三、本期增减变动金额（减少以</w:t>
            </w:r>
            <w:r>
              <w:rPr>
                <w:rFonts w:ascii="Times New Roman" w:hAnsi="Times New Roman" w:cs="Times New Roman" w:eastAsia="Times New Roman" w:hint="default"/>
                <w:sz w:val="15"/>
                <w:szCs w:val="15"/>
              </w:rPr>
              <w:t>“-”</w:t>
            </w:r>
            <w:r>
              <w:rPr>
                <w:rFonts w:ascii="宋体" w:hAnsi="宋体" w:cs="宋体" w:eastAsia="宋体" w:hint="default"/>
                <w:sz w:val="15"/>
                <w:szCs w:val="15"/>
              </w:rPr>
              <w:t>号填列）</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189,600,000.00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-188,978,405.51</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83" w:right="0"/>
              <w:jc w:val="left"/>
              <w:rPr>
                <w:rFonts w:ascii="Times New Roman" w:hAnsi="Times New Roman" w:cs="Times New Roman" w:eastAsia="Times New Roman" w:hint="default"/>
                <w:sz w:val="15"/>
                <w:szCs w:val="15"/>
              </w:rPr>
            </w:pPr>
            <w:r>
              <w:rPr>
                <w:rFonts w:ascii="Times New Roman"/>
                <w:sz w:val="15"/>
              </w:rPr>
              <w:t>13,264,866.86</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81,463,801.78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95,350,263.13</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132,648,668.64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132,648,668.64</w:t>
            </w: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739,569.10</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739,569.10</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77"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739,569.10</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132,648,668.64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133,388,237.74</w:t>
            </w: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2"/>
              <w:jc w:val="right"/>
              <w:rPr>
                <w:rFonts w:ascii="Times New Roman" w:hAnsi="Times New Roman" w:cs="Times New Roman" w:eastAsia="Times New Roman" w:hint="default"/>
                <w:sz w:val="15"/>
                <w:szCs w:val="15"/>
              </w:rPr>
            </w:pPr>
            <w:r>
              <w:rPr>
                <w:rFonts w:ascii="Times New Roman"/>
                <w:spacing w:val="-2"/>
                <w:sz w:val="15"/>
              </w:rPr>
              <w:t>-117,974.61</w:t>
            </w:r>
            <w:r>
              <w:rPr>
                <w:rFonts w:ascii="Times New Roman"/>
                <w:sz w:val="15"/>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2"/>
              <w:jc w:val="right"/>
              <w:rPr>
                <w:rFonts w:ascii="Times New Roman" w:hAnsi="Times New Roman" w:cs="Times New Roman" w:eastAsia="Times New Roman" w:hint="default"/>
                <w:sz w:val="15"/>
                <w:szCs w:val="15"/>
              </w:rPr>
            </w:pPr>
            <w:r>
              <w:rPr>
                <w:rFonts w:ascii="Times New Roman"/>
                <w:spacing w:val="-2"/>
                <w:sz w:val="15"/>
              </w:rPr>
              <w:t>-117,974.61</w:t>
            </w:r>
            <w:r>
              <w:rPr>
                <w:rFonts w:ascii="Times New Roman"/>
                <w:sz w:val="15"/>
              </w:rPr>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2"/>
              <w:jc w:val="right"/>
              <w:rPr>
                <w:rFonts w:ascii="Times New Roman" w:hAnsi="Times New Roman" w:cs="Times New Roman" w:eastAsia="Times New Roman" w:hint="default"/>
                <w:sz w:val="15"/>
                <w:szCs w:val="15"/>
              </w:rPr>
            </w:pPr>
            <w:r>
              <w:rPr>
                <w:rFonts w:ascii="Times New Roman"/>
                <w:spacing w:val="-2"/>
                <w:sz w:val="15"/>
              </w:rPr>
              <w:t>-117,974.61</w:t>
            </w:r>
            <w:r>
              <w:rPr>
                <w:rFonts w:ascii="Times New Roman"/>
                <w:sz w:val="15"/>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2"/>
              <w:jc w:val="right"/>
              <w:rPr>
                <w:rFonts w:ascii="Times New Roman" w:hAnsi="Times New Roman" w:cs="Times New Roman" w:eastAsia="Times New Roman" w:hint="default"/>
                <w:sz w:val="15"/>
                <w:szCs w:val="15"/>
              </w:rPr>
            </w:pPr>
            <w:r>
              <w:rPr>
                <w:rFonts w:ascii="Times New Roman"/>
                <w:spacing w:val="-2"/>
                <w:sz w:val="15"/>
              </w:rPr>
              <w:t>-117,974.61</w:t>
            </w:r>
            <w:r>
              <w:rPr>
                <w:rFonts w:ascii="Times New Roman"/>
                <w:sz w:val="15"/>
              </w:rPr>
            </w: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83" w:right="0"/>
              <w:jc w:val="left"/>
              <w:rPr>
                <w:rFonts w:ascii="Times New Roman" w:hAnsi="Times New Roman" w:cs="Times New Roman" w:eastAsia="Times New Roman" w:hint="default"/>
                <w:sz w:val="15"/>
                <w:szCs w:val="15"/>
              </w:rPr>
            </w:pPr>
            <w:r>
              <w:rPr>
                <w:rFonts w:ascii="Times New Roman"/>
                <w:sz w:val="15"/>
              </w:rPr>
              <w:t>13,264,866.86</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-51,184,866.86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-37,920,000.00</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83" w:right="0"/>
              <w:jc w:val="left"/>
              <w:rPr>
                <w:rFonts w:ascii="Times New Roman" w:hAnsi="Times New Roman" w:cs="Times New Roman" w:eastAsia="Times New Roman" w:hint="default"/>
                <w:sz w:val="15"/>
                <w:szCs w:val="15"/>
              </w:rPr>
            </w:pPr>
            <w:r>
              <w:rPr>
                <w:rFonts w:ascii="Times New Roman"/>
                <w:sz w:val="15"/>
              </w:rPr>
              <w:t>13,264,866.86</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-13,264,866.86</w:t>
            </w: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-37,920,000.00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-37,920,000.00</w:t>
            </w: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189,600,000.00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-189,600,000.00</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189,600,000.00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-189,600,000.00</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316,000,000.00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1,556,125,401.41</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83" w:right="0"/>
              <w:jc w:val="left"/>
              <w:rPr>
                <w:rFonts w:ascii="Times New Roman" w:hAnsi="Times New Roman" w:cs="Times New Roman" w:eastAsia="Times New Roman" w:hint="default"/>
                <w:sz w:val="15"/>
                <w:szCs w:val="15"/>
              </w:rPr>
            </w:pPr>
            <w:r>
              <w:rPr>
                <w:rFonts w:ascii="Times New Roman"/>
                <w:sz w:val="15"/>
              </w:rPr>
              <w:t>46,500,882.85</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214,063,993.08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2,132,690,277.34</w:t>
            </w:r>
          </w:p>
        </w:tc>
      </w:tr>
    </w:tbl>
    <w:p>
      <w:pPr>
        <w:spacing w:after="0" w:line="240" w:lineRule="auto"/>
        <w:jc w:val="right"/>
        <w:rPr>
          <w:rFonts w:ascii="Times New Roman" w:hAnsi="Times New Roman" w:cs="Times New Roman" w:eastAsia="Times New Roman" w:hint="default"/>
          <w:sz w:val="15"/>
          <w:szCs w:val="15"/>
        </w:rPr>
        <w:sectPr>
          <w:headerReference w:type="default" r:id="rId62"/>
          <w:footerReference w:type="default" r:id="rId63"/>
          <w:pgSz w:w="16840" w:h="11910" w:orient="landscape"/>
          <w:pgMar w:header="851" w:footer="1749" w:top="1300" w:bottom="1940" w:left="1220" w:right="1240"/>
          <w:pgNumType w:start="87"/>
        </w:sectPr>
      </w:pPr>
    </w:p>
    <w:p>
      <w:pPr>
        <w:spacing w:line="285" w:lineRule="auto" w:before="17"/>
        <w:ind w:left="5175" w:right="5155" w:firstLine="0"/>
        <w:jc w:val="center"/>
        <w:rPr>
          <w:rFonts w:ascii="宋体" w:hAnsi="宋体" w:cs="宋体" w:eastAsia="宋体" w:hint="default"/>
          <w:sz w:val="21"/>
          <w:szCs w:val="21"/>
        </w:rPr>
      </w:pPr>
      <w:r>
        <w:rPr/>
        <w:pict>
          <v:group style="position:absolute;margin-left:70.490997pt;margin-top:2.193696pt;width:700.95pt;height:.1pt;mso-position-horizontal-relative:page;mso-position-vertical-relative:paragraph;z-index:-712120" coordorigin="1410,44" coordsize="14019,2">
            <v:shape style="position:absolute;left:1410;top:44;width:14019;height:2" coordorigin="1410,44" coordsize="14019,0" path="m1410,44l15428,44e" filled="false" stroked="true" strokeweight=".72pt" strokecolor="#000000">
              <v:path arrowok="t"/>
            </v:shape>
            <w10:wrap type="none"/>
          </v:group>
        </w:pict>
      </w:r>
      <w:r>
        <w:rPr>
          <w:rFonts w:ascii="宋体" w:hAnsi="宋体" w:cs="宋体" w:eastAsia="宋体" w:hint="default"/>
          <w:b/>
          <w:bCs/>
          <w:w w:val="95"/>
          <w:sz w:val="21"/>
          <w:szCs w:val="21"/>
        </w:rPr>
        <w:t>北京神州泰岳软件股份有限公司</w:t>
      </w:r>
      <w:r>
        <w:rPr>
          <w:rFonts w:ascii="宋体" w:hAnsi="宋体" w:cs="宋体" w:eastAsia="宋体" w:hint="default"/>
          <w:b/>
          <w:bCs/>
          <w:spacing w:val="37"/>
          <w:w w:val="95"/>
          <w:sz w:val="21"/>
          <w:szCs w:val="21"/>
        </w:rPr>
        <w:t> </w:t>
      </w:r>
      <w:r>
        <w:rPr>
          <w:rFonts w:ascii="宋体" w:hAnsi="宋体" w:cs="宋体" w:eastAsia="宋体" w:hint="default"/>
          <w:b/>
          <w:bCs/>
          <w:spacing w:val="37"/>
          <w:w w:val="95"/>
          <w:sz w:val="21"/>
          <w:szCs w:val="21"/>
        </w:rPr>
      </w:r>
      <w:r>
        <w:rPr>
          <w:rFonts w:ascii="宋体" w:hAnsi="宋体" w:cs="宋体" w:eastAsia="宋体" w:hint="default"/>
          <w:b/>
          <w:bCs/>
          <w:sz w:val="21"/>
          <w:szCs w:val="21"/>
        </w:rPr>
        <w:t>所有者权益变动表（续）</w:t>
      </w:r>
      <w:r>
        <w:rPr>
          <w:rFonts w:ascii="宋体" w:hAnsi="宋体" w:cs="宋体" w:eastAsia="宋体" w:hint="default"/>
          <w:sz w:val="21"/>
          <w:szCs w:val="21"/>
        </w:rPr>
      </w:r>
    </w:p>
    <w:p>
      <w:pPr>
        <w:tabs>
          <w:tab w:pos="647" w:val="left" w:leader="none"/>
        </w:tabs>
        <w:spacing w:before="11"/>
        <w:ind w:left="16" w:right="0" w:firstLine="0"/>
        <w:jc w:val="center"/>
        <w:rPr>
          <w:rFonts w:ascii="宋体" w:hAnsi="宋体" w:cs="宋体" w:eastAsia="宋体" w:hint="default"/>
          <w:sz w:val="21"/>
          <w:szCs w:val="21"/>
        </w:rPr>
      </w:pPr>
      <w:r>
        <w:rPr>
          <w:rFonts w:ascii="Times New Roman" w:hAnsi="Times New Roman" w:cs="Times New Roman" w:eastAsia="Times New Roman" w:hint="default"/>
          <w:b/>
          <w:bCs/>
          <w:spacing w:val="-1"/>
          <w:sz w:val="21"/>
          <w:szCs w:val="21"/>
        </w:rPr>
        <w:t>2010</w:t>
        <w:tab/>
      </w:r>
      <w:r>
        <w:rPr>
          <w:rFonts w:ascii="宋体" w:hAnsi="宋体" w:cs="宋体" w:eastAsia="宋体" w:hint="default"/>
          <w:b/>
          <w:bCs/>
          <w:sz w:val="21"/>
          <w:szCs w:val="21"/>
        </w:rPr>
        <w:t>年度</w:t>
      </w:r>
      <w:r>
        <w:rPr>
          <w:rFonts w:ascii="宋体" w:hAnsi="宋体" w:cs="宋体" w:eastAsia="宋体" w:hint="default"/>
          <w:sz w:val="21"/>
          <w:szCs w:val="21"/>
        </w:rPr>
      </w:r>
    </w:p>
    <w:p>
      <w:pPr>
        <w:spacing w:before="112"/>
        <w:ind w:left="5175" w:right="5158"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3"/>
        <w:rPr>
          <w:rFonts w:ascii="宋体" w:hAnsi="宋体" w:cs="宋体" w:eastAsia="宋体" w:hint="default"/>
          <w:b/>
          <w:bCs/>
          <w:sz w:val="3"/>
          <w:szCs w:val="3"/>
        </w:rPr>
      </w:pPr>
    </w:p>
    <w:tbl>
      <w:tblPr>
        <w:tblW w:w="0" w:type="auto"/>
        <w:jc w:val="left"/>
        <w:tblInd w:w="107" w:type="dxa"/>
        <w:tblLayout w:type="fixed"/>
        <w:tblCellMar>
          <w:top w:w="0" w:type="dxa"/>
          <w:left w:w="0" w:type="dxa"/>
          <w:bottom w:w="0" w:type="dxa"/>
          <w:right w:w="0" w:type="dxa"/>
        </w:tblCellMar>
        <w:tblLook w:val="01E0"/>
      </w:tblPr>
      <w:tblGrid>
        <w:gridCol w:w="3528"/>
        <w:gridCol w:w="1452"/>
        <w:gridCol w:w="1428"/>
        <w:gridCol w:w="900"/>
        <w:gridCol w:w="1260"/>
        <w:gridCol w:w="1260"/>
        <w:gridCol w:w="1260"/>
        <w:gridCol w:w="1440"/>
        <w:gridCol w:w="1620"/>
      </w:tblGrid>
      <w:tr>
        <w:trPr>
          <w:trHeight w:val="238" w:hRule="exact"/>
        </w:trPr>
        <w:tc>
          <w:tcPr>
            <w:tcW w:w="3528" w:type="dxa"/>
            <w:vMerge w:val="restart"/>
            <w:tcBorders>
              <w:top w:val="single" w:sz="4" w:space="0" w:color="000000"/>
              <w:left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0620" w:type="dxa"/>
            <w:gridSpan w:val="8"/>
            <w:tcBorders>
              <w:top w:val="single" w:sz="4" w:space="0" w:color="000000"/>
              <w:left w:val="single" w:sz="4" w:space="0" w:color="000000"/>
              <w:bottom w:val="single" w:sz="4" w:space="0" w:color="000000"/>
              <w:right w:val="single" w:sz="4" w:space="0" w:color="000000"/>
            </w:tcBorders>
          </w:tcPr>
          <w:p>
            <w:pPr>
              <w:pStyle w:val="TableParagraph"/>
              <w:spacing w:line="176" w:lineRule="exact"/>
              <w:ind w:right="0"/>
              <w:jc w:val="center"/>
              <w:rPr>
                <w:rFonts w:ascii="宋体" w:hAnsi="宋体" w:cs="宋体" w:eastAsia="宋体" w:hint="default"/>
                <w:sz w:val="15"/>
                <w:szCs w:val="15"/>
              </w:rPr>
            </w:pPr>
            <w:r>
              <w:rPr>
                <w:rFonts w:ascii="宋体" w:hAnsi="宋体" w:cs="宋体" w:eastAsia="宋体" w:hint="default"/>
                <w:sz w:val="15"/>
                <w:szCs w:val="15"/>
              </w:rPr>
              <w:t>上年同期金额</w:t>
            </w:r>
          </w:p>
        </w:tc>
      </w:tr>
      <w:tr>
        <w:trPr>
          <w:trHeight w:val="236" w:hRule="exact"/>
        </w:trPr>
        <w:tc>
          <w:tcPr>
            <w:tcW w:w="3528" w:type="dxa"/>
            <w:vMerge/>
            <w:tcBorders>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right="143"/>
              <w:jc w:val="right"/>
              <w:rPr>
                <w:rFonts w:ascii="Times New Roman" w:hAnsi="Times New Roman" w:cs="Times New Roman" w:eastAsia="Times New Roman" w:hint="default"/>
                <w:sz w:val="15"/>
                <w:szCs w:val="15"/>
              </w:rPr>
            </w:pPr>
            <w:r>
              <w:rPr>
                <w:rFonts w:ascii="宋体" w:hAnsi="宋体" w:cs="宋体" w:eastAsia="宋体" w:hint="default"/>
                <w:sz w:val="15"/>
                <w:szCs w:val="15"/>
              </w:rPr>
              <w:t>实收资本</w:t>
            </w:r>
            <w:r>
              <w:rPr>
                <w:rFonts w:ascii="Times New Roman" w:hAnsi="Times New Roman" w:cs="Times New Roman" w:eastAsia="Times New Roman" w:hint="default"/>
                <w:sz w:val="15"/>
                <w:szCs w:val="15"/>
              </w:rPr>
              <w:t>(</w:t>
            </w:r>
            <w:r>
              <w:rPr>
                <w:rFonts w:ascii="宋体" w:hAnsi="宋体" w:cs="宋体" w:eastAsia="宋体" w:hint="default"/>
                <w:sz w:val="15"/>
                <w:szCs w:val="15"/>
              </w:rPr>
              <w:t>或股本</w:t>
            </w:r>
            <w:r>
              <w:rPr>
                <w:rFonts w:ascii="Times New Roman" w:hAnsi="Times New Roman" w:cs="Times New Roman" w:eastAsia="Times New Roman" w:hint="default"/>
                <w:sz w:val="15"/>
                <w:szCs w:val="15"/>
              </w:rPr>
              <w:t>)</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409"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减</w:t>
            </w:r>
            <w:r>
              <w:rPr>
                <w:rFonts w:ascii="宋体" w:hAnsi="宋体" w:cs="宋体" w:eastAsia="宋体" w:hint="default"/>
                <w:spacing w:val="-66"/>
                <w:sz w:val="15"/>
                <w:szCs w:val="15"/>
              </w:rPr>
              <w:t>：</w:t>
            </w:r>
            <w:r>
              <w:rPr>
                <w:rFonts w:ascii="宋体" w:hAnsi="宋体" w:cs="宋体" w:eastAsia="宋体" w:hint="default"/>
                <w:sz w:val="15"/>
                <w:szCs w:val="15"/>
              </w:rPr>
              <w:t>库存股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325"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325"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75"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339"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279"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43,184,000.00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7,892,178.40</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89" w:right="0"/>
              <w:jc w:val="left"/>
              <w:rPr>
                <w:rFonts w:ascii="Times New Roman" w:hAnsi="Times New Roman" w:cs="Times New Roman" w:eastAsia="Times New Roman" w:hint="default"/>
                <w:sz w:val="15"/>
                <w:szCs w:val="15"/>
              </w:rPr>
            </w:pPr>
            <w:r>
              <w:rPr>
                <w:rFonts w:ascii="Times New Roman"/>
                <w:sz w:val="15"/>
              </w:rPr>
              <w:t>19,011,457.64</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69,355,166.17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139,442,802.21</w:t>
            </w: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251"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551"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551"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43,184,000.00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7,892,178.40</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89" w:right="0"/>
              <w:jc w:val="left"/>
              <w:rPr>
                <w:rFonts w:ascii="Times New Roman" w:hAnsi="Times New Roman" w:cs="Times New Roman" w:eastAsia="Times New Roman" w:hint="default"/>
                <w:sz w:val="15"/>
                <w:szCs w:val="15"/>
              </w:rPr>
            </w:pPr>
            <w:r>
              <w:rPr>
                <w:rFonts w:ascii="Times New Roman"/>
                <w:sz w:val="15"/>
              </w:rPr>
              <w:t>19,011,457.64</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69,355,166.17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139,442,802.21</w:t>
            </w: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03" w:right="0"/>
              <w:jc w:val="left"/>
              <w:rPr>
                <w:rFonts w:ascii="宋体" w:hAnsi="宋体" w:cs="宋体" w:eastAsia="宋体" w:hint="default"/>
                <w:sz w:val="15"/>
                <w:szCs w:val="15"/>
              </w:rPr>
            </w:pPr>
            <w:r>
              <w:rPr>
                <w:rFonts w:ascii="宋体" w:hAnsi="宋体" w:cs="宋体" w:eastAsia="宋体" w:hint="default"/>
                <w:sz w:val="15"/>
                <w:szCs w:val="15"/>
              </w:rPr>
              <w:t>三、本期增减变动金额（减少以</w:t>
            </w:r>
            <w:r>
              <w:rPr>
                <w:rFonts w:ascii="Times New Roman" w:hAnsi="Times New Roman" w:cs="Times New Roman" w:eastAsia="Times New Roman" w:hint="default"/>
                <w:sz w:val="15"/>
                <w:szCs w:val="15"/>
              </w:rPr>
              <w:t>“-”</w:t>
            </w:r>
            <w:r>
              <w:rPr>
                <w:rFonts w:ascii="宋体" w:hAnsi="宋体" w:cs="宋体" w:eastAsia="宋体" w:hint="default"/>
                <w:sz w:val="15"/>
                <w:szCs w:val="15"/>
              </w:rPr>
              <w:t>号填列）</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83,216,000.00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1,737,211,628.52</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83" w:right="0"/>
              <w:jc w:val="left"/>
              <w:rPr>
                <w:rFonts w:ascii="Times New Roman" w:hAnsi="Times New Roman" w:cs="Times New Roman" w:eastAsia="Times New Roman" w:hint="default"/>
                <w:sz w:val="15"/>
                <w:szCs w:val="15"/>
              </w:rPr>
            </w:pPr>
            <w:r>
              <w:rPr>
                <w:rFonts w:ascii="Times New Roman"/>
                <w:sz w:val="15"/>
              </w:rPr>
              <w:t>14,224,558.35</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63,245,025.13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1,897,897,212.00</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142,245,583.48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142,245,583.48</w:t>
            </w: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1,440,500.00</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1,440,500.00</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77"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1,440,500.00</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142,245,583.48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143,686,083.48</w:t>
            </w: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40,032,000.00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1,735,771,128.52</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1,775,803,128.52</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40,032,000.00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1,735,771,128.52</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1,775,803,128.52</w:t>
            </w: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83" w:right="0"/>
              <w:jc w:val="left"/>
              <w:rPr>
                <w:rFonts w:ascii="Times New Roman" w:hAnsi="Times New Roman" w:cs="Times New Roman" w:eastAsia="Times New Roman" w:hint="default"/>
                <w:sz w:val="15"/>
                <w:szCs w:val="15"/>
              </w:rPr>
            </w:pPr>
            <w:r>
              <w:rPr>
                <w:rFonts w:ascii="Times New Roman"/>
                <w:sz w:val="15"/>
              </w:rPr>
              <w:t>14,224,558.35</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-35,816,558.35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-21,592,000.00</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83" w:right="0"/>
              <w:jc w:val="left"/>
              <w:rPr>
                <w:rFonts w:ascii="Times New Roman" w:hAnsi="Times New Roman" w:cs="Times New Roman" w:eastAsia="Times New Roman" w:hint="default"/>
                <w:sz w:val="15"/>
                <w:szCs w:val="15"/>
              </w:rPr>
            </w:pPr>
            <w:r>
              <w:rPr>
                <w:rFonts w:ascii="Times New Roman"/>
                <w:sz w:val="15"/>
              </w:rPr>
              <w:t>14,224,558.35</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-14,224,558.35</w:t>
            </w: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-21,592,000.00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-21,592,000.00</w:t>
            </w: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43,184,000.00</w:t>
            </w: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-43,184,000.00</w:t>
            </w: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43,184,000.00</w:t>
            </w: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-43,184,000.00</w:t>
            </w: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126,400,000.00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1,745,103,806.92</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83" w:right="0"/>
              <w:jc w:val="left"/>
              <w:rPr>
                <w:rFonts w:ascii="Times New Roman" w:hAnsi="Times New Roman" w:cs="Times New Roman" w:eastAsia="Times New Roman" w:hint="default"/>
                <w:sz w:val="15"/>
                <w:szCs w:val="15"/>
              </w:rPr>
            </w:pPr>
            <w:r>
              <w:rPr>
                <w:rFonts w:ascii="Times New Roman"/>
                <w:sz w:val="15"/>
              </w:rPr>
              <w:t>33,236,015.99</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132,600,191.30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2,037,340,014.21</w:t>
            </w:r>
          </w:p>
        </w:tc>
      </w:tr>
    </w:tbl>
    <w:p>
      <w:pPr>
        <w:spacing w:after="0" w:line="240" w:lineRule="auto"/>
        <w:jc w:val="right"/>
        <w:rPr>
          <w:rFonts w:ascii="Times New Roman" w:hAnsi="Times New Roman" w:cs="Times New Roman" w:eastAsia="Times New Roman" w:hint="default"/>
          <w:sz w:val="15"/>
          <w:szCs w:val="15"/>
        </w:rPr>
        <w:sectPr>
          <w:pgSz w:w="16840" w:h="11910" w:orient="landscape"/>
          <w:pgMar w:header="851" w:footer="1749" w:top="1300" w:bottom="1940" w:left="1220" w:right="1240"/>
        </w:sectPr>
      </w:pPr>
    </w:p>
    <w:p>
      <w:pPr>
        <w:pStyle w:val="Heading2"/>
        <w:spacing w:line="285" w:lineRule="auto" w:before="17"/>
        <w:ind w:left="5096" w:right="5336"/>
        <w:jc w:val="center"/>
        <w:rPr>
          <w:b w:val="0"/>
          <w:bCs w:val="0"/>
        </w:rPr>
      </w:pPr>
      <w:r>
        <w:rPr/>
        <w:pict>
          <v:group style="position:absolute;margin-left:70.490997pt;margin-top:2.193696pt;width:700.95pt;height:.1pt;mso-position-horizontal-relative:page;mso-position-vertical-relative:paragraph;z-index:-712096" coordorigin="1410,44" coordsize="14019,2">
            <v:shape style="position:absolute;left:1410;top:44;width:14019;height:2" coordorigin="1410,44" coordsize="14019,0" path="m1410,44l15428,44e" filled="false" stroked="true" strokeweight=".72pt" strokecolor="#000000">
              <v:path arrowok="t"/>
            </v:shape>
            <w10:wrap type="none"/>
          </v:group>
        </w:pict>
      </w:r>
      <w:r>
        <w:rPr>
          <w:w w:val="95"/>
        </w:rPr>
        <w:t>北京神州泰岳软件股份有限公司</w:t>
      </w:r>
      <w:r>
        <w:rPr>
          <w:spacing w:val="37"/>
          <w:w w:val="95"/>
        </w:rPr>
        <w:t> </w:t>
      </w:r>
      <w:r>
        <w:rPr>
          <w:spacing w:val="37"/>
          <w:w w:val="95"/>
        </w:rPr>
      </w:r>
      <w:r>
        <w:rPr/>
        <w:t>合并所有者权益变动表</w:t>
      </w:r>
      <w:r>
        <w:rPr>
          <w:b w:val="0"/>
          <w:bCs w:val="0"/>
        </w:rPr>
      </w:r>
    </w:p>
    <w:p>
      <w:pPr>
        <w:tabs>
          <w:tab w:pos="631" w:val="left" w:leader="none"/>
        </w:tabs>
        <w:spacing w:before="10"/>
        <w:ind w:left="0" w:right="241" w:firstLine="0"/>
        <w:jc w:val="center"/>
        <w:rPr>
          <w:rFonts w:ascii="宋体" w:hAnsi="宋体" w:cs="宋体" w:eastAsia="宋体" w:hint="default"/>
          <w:sz w:val="21"/>
          <w:szCs w:val="21"/>
        </w:rPr>
      </w:pPr>
      <w:r>
        <w:rPr>
          <w:rFonts w:ascii="Times New Roman" w:hAnsi="Times New Roman" w:cs="Times New Roman" w:eastAsia="Times New Roman" w:hint="default"/>
          <w:b/>
          <w:bCs/>
          <w:spacing w:val="-1"/>
          <w:sz w:val="21"/>
          <w:szCs w:val="21"/>
        </w:rPr>
        <w:t>2010</w:t>
        <w:tab/>
      </w:r>
      <w:r>
        <w:rPr>
          <w:rFonts w:ascii="宋体" w:hAnsi="宋体" w:cs="宋体" w:eastAsia="宋体" w:hint="default"/>
          <w:b/>
          <w:bCs/>
          <w:sz w:val="21"/>
          <w:szCs w:val="21"/>
        </w:rPr>
        <w:t>年度</w:t>
      </w:r>
      <w:r>
        <w:rPr>
          <w:rFonts w:ascii="宋体" w:hAnsi="宋体" w:cs="宋体" w:eastAsia="宋体" w:hint="default"/>
          <w:sz w:val="21"/>
          <w:szCs w:val="21"/>
        </w:rPr>
      </w:r>
    </w:p>
    <w:p>
      <w:pPr>
        <w:spacing w:before="27"/>
        <w:ind w:left="5096" w:right="5338"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0"/>
        <w:rPr>
          <w:rFonts w:ascii="宋体" w:hAnsi="宋体" w:cs="宋体" w:eastAsia="宋体" w:hint="default"/>
          <w:b/>
          <w:bCs/>
          <w:sz w:val="9"/>
          <w:szCs w:val="9"/>
        </w:rPr>
      </w:pPr>
    </w:p>
    <w:tbl>
      <w:tblPr>
        <w:tblW w:w="0" w:type="auto"/>
        <w:jc w:val="left"/>
        <w:tblInd w:w="135" w:type="dxa"/>
        <w:tblLayout w:type="fixed"/>
        <w:tblCellMar>
          <w:top w:w="0" w:type="dxa"/>
          <w:left w:w="0" w:type="dxa"/>
          <w:bottom w:w="0" w:type="dxa"/>
          <w:right w:w="0" w:type="dxa"/>
        </w:tblCellMar>
        <w:tblLook w:val="01E0"/>
      </w:tblPr>
      <w:tblGrid>
        <w:gridCol w:w="3060"/>
        <w:gridCol w:w="1260"/>
        <w:gridCol w:w="1465"/>
        <w:gridCol w:w="900"/>
        <w:gridCol w:w="659"/>
        <w:gridCol w:w="1260"/>
        <w:gridCol w:w="868"/>
        <w:gridCol w:w="1274"/>
        <w:gridCol w:w="709"/>
        <w:gridCol w:w="1296"/>
        <w:gridCol w:w="1476"/>
      </w:tblGrid>
      <w:tr>
        <w:trPr>
          <w:trHeight w:val="238" w:hRule="exact"/>
        </w:trPr>
        <w:tc>
          <w:tcPr>
            <w:tcW w:w="3060"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1167" w:type="dxa"/>
            <w:gridSpan w:val="10"/>
            <w:tcBorders>
              <w:top w:val="single" w:sz="4" w:space="0" w:color="000000"/>
              <w:left w:val="single" w:sz="4" w:space="0" w:color="000000"/>
              <w:bottom w:val="single" w:sz="4" w:space="0" w:color="000000"/>
              <w:right w:val="single" w:sz="4" w:space="0" w:color="000000"/>
            </w:tcBorders>
          </w:tcPr>
          <w:p>
            <w:pPr>
              <w:pStyle w:val="TableParagraph"/>
              <w:spacing w:line="176" w:lineRule="exact"/>
              <w:ind w:right="0"/>
              <w:jc w:val="center"/>
              <w:rPr>
                <w:rFonts w:ascii="宋体" w:hAnsi="宋体" w:cs="宋体" w:eastAsia="宋体" w:hint="default"/>
                <w:sz w:val="15"/>
                <w:szCs w:val="15"/>
              </w:rPr>
            </w:pPr>
            <w:r>
              <w:rPr>
                <w:rFonts w:ascii="宋体" w:hAnsi="宋体" w:cs="宋体" w:eastAsia="宋体" w:hint="default"/>
                <w:sz w:val="15"/>
                <w:szCs w:val="15"/>
              </w:rPr>
              <w:t>本期金额</w:t>
            </w:r>
          </w:p>
        </w:tc>
      </w:tr>
      <w:tr>
        <w:trPr>
          <w:trHeight w:val="236" w:hRule="exact"/>
        </w:trPr>
        <w:tc>
          <w:tcPr>
            <w:tcW w:w="3060" w:type="dxa"/>
            <w:vMerge/>
            <w:tcBorders>
              <w:left w:val="single" w:sz="4" w:space="0" w:color="000000"/>
              <w:right w:val="single" w:sz="4" w:space="0" w:color="000000"/>
            </w:tcBorders>
          </w:tcPr>
          <w:p>
            <w:pPr/>
          </w:p>
        </w:tc>
        <w:tc>
          <w:tcPr>
            <w:tcW w:w="8395" w:type="dxa"/>
            <w:gridSpan w:val="8"/>
            <w:tcBorders>
              <w:top w:val="single" w:sz="4" w:space="0" w:color="000000"/>
              <w:left w:val="single" w:sz="4" w:space="0" w:color="000000"/>
              <w:bottom w:val="single" w:sz="4" w:space="0" w:color="000000"/>
              <w:right w:val="single" w:sz="4" w:space="0" w:color="000000"/>
            </w:tcBorders>
          </w:tcPr>
          <w:p>
            <w:pPr>
              <w:pStyle w:val="TableParagraph"/>
              <w:spacing w:line="176" w:lineRule="exact"/>
              <w:ind w:right="1"/>
              <w:jc w:val="center"/>
              <w:rPr>
                <w:rFonts w:ascii="宋体" w:hAnsi="宋体" w:cs="宋体" w:eastAsia="宋体" w:hint="default"/>
                <w:sz w:val="15"/>
                <w:szCs w:val="15"/>
              </w:rPr>
            </w:pPr>
            <w:r>
              <w:rPr>
                <w:rFonts w:ascii="宋体" w:hAnsi="宋体" w:cs="宋体" w:eastAsia="宋体" w:hint="default"/>
                <w:sz w:val="15"/>
                <w:szCs w:val="15"/>
              </w:rPr>
              <w:t>归属于母公司所有者权益</w:t>
            </w:r>
          </w:p>
        </w:tc>
        <w:tc>
          <w:tcPr>
            <w:tcW w:w="1296"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left="193" w:right="0"/>
              <w:jc w:val="left"/>
              <w:rPr>
                <w:rFonts w:ascii="宋体" w:hAnsi="宋体" w:cs="宋体" w:eastAsia="宋体" w:hint="default"/>
                <w:sz w:val="15"/>
                <w:szCs w:val="15"/>
              </w:rPr>
            </w:pPr>
            <w:r>
              <w:rPr>
                <w:rFonts w:ascii="宋体" w:hAnsi="宋体" w:cs="宋体" w:eastAsia="宋体" w:hint="default"/>
                <w:sz w:val="15"/>
                <w:szCs w:val="15"/>
              </w:rPr>
              <w:t>少数股东权益</w:t>
            </w:r>
          </w:p>
        </w:tc>
        <w:tc>
          <w:tcPr>
            <w:tcW w:w="1476"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left="207"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322" w:hRule="exact"/>
        </w:trPr>
        <w:tc>
          <w:tcPr>
            <w:tcW w:w="3060" w:type="dxa"/>
            <w:vMerge/>
            <w:tcBorders>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25" w:lineRule="exact"/>
              <w:ind w:right="0"/>
              <w:jc w:val="center"/>
              <w:rPr>
                <w:rFonts w:ascii="宋体" w:hAnsi="宋体" w:cs="宋体" w:eastAsia="宋体" w:hint="default"/>
                <w:sz w:val="15"/>
                <w:szCs w:val="15"/>
              </w:rPr>
            </w:pPr>
            <w:r>
              <w:rPr>
                <w:rFonts w:ascii="宋体" w:hAnsi="宋体" w:cs="宋体" w:eastAsia="宋体" w:hint="default"/>
                <w:sz w:val="15"/>
                <w:szCs w:val="15"/>
              </w:rPr>
              <w:t>实收资本</w:t>
            </w:r>
            <w:r>
              <w:rPr>
                <w:rFonts w:ascii="Times New Roman" w:hAnsi="Times New Roman" w:cs="Times New Roman" w:eastAsia="Times New Roman" w:hint="default"/>
                <w:sz w:val="15"/>
                <w:szCs w:val="15"/>
              </w:rPr>
              <w:t>(</w:t>
            </w:r>
            <w:r>
              <w:rPr>
                <w:rFonts w:ascii="宋体" w:hAnsi="宋体" w:cs="宋体" w:eastAsia="宋体" w:hint="default"/>
                <w:sz w:val="15"/>
                <w:szCs w:val="15"/>
              </w:rPr>
              <w:t>或股</w:t>
            </w:r>
          </w:p>
          <w:p>
            <w:pPr>
              <w:pStyle w:val="TableParagraph"/>
              <w:spacing w:line="182" w:lineRule="exact"/>
              <w:ind w:right="1"/>
              <w:jc w:val="center"/>
              <w:rPr>
                <w:rFonts w:ascii="Times New Roman" w:hAnsi="Times New Roman" w:cs="Times New Roman" w:eastAsia="Times New Roman" w:hint="default"/>
                <w:sz w:val="15"/>
                <w:szCs w:val="15"/>
              </w:rPr>
            </w:pPr>
            <w:r>
              <w:rPr>
                <w:rFonts w:ascii="宋体" w:hAnsi="宋体" w:cs="宋体" w:eastAsia="宋体" w:hint="default"/>
                <w:sz w:val="15"/>
                <w:szCs w:val="15"/>
              </w:rPr>
              <w:t>本</w:t>
            </w:r>
            <w:r>
              <w:rPr>
                <w:rFonts w:ascii="Times New Roman" w:hAnsi="Times New Roman" w:cs="Times New Roman" w:eastAsia="Times New Roman" w:hint="default"/>
                <w:sz w:val="15"/>
                <w:szCs w:val="15"/>
              </w:rPr>
              <w:t>)</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27"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03" w:right="0"/>
              <w:jc w:val="left"/>
              <w:rPr>
                <w:rFonts w:ascii="宋体" w:hAnsi="宋体" w:cs="宋体" w:eastAsia="宋体" w:hint="default"/>
                <w:sz w:val="15"/>
                <w:szCs w:val="15"/>
              </w:rPr>
            </w:pPr>
            <w:r>
              <w:rPr>
                <w:rFonts w:ascii="宋体" w:hAnsi="宋体" w:cs="宋体" w:eastAsia="宋体" w:hint="default"/>
                <w:sz w:val="15"/>
                <w:szCs w:val="15"/>
              </w:rPr>
              <w:t>减</w:t>
            </w:r>
            <w:r>
              <w:rPr>
                <w:rFonts w:ascii="宋体" w:hAnsi="宋体" w:cs="宋体" w:eastAsia="宋体" w:hint="default"/>
                <w:spacing w:val="-66"/>
                <w:sz w:val="15"/>
                <w:szCs w:val="15"/>
              </w:rPr>
              <w:t>：</w:t>
            </w:r>
            <w:r>
              <w:rPr>
                <w:rFonts w:ascii="宋体" w:hAnsi="宋体" w:cs="宋体" w:eastAsia="宋体" w:hint="default"/>
                <w:sz w:val="15"/>
                <w:szCs w:val="15"/>
              </w:rPr>
              <w:t>库存股</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120" w:lineRule="exact"/>
              <w:ind w:left="173" w:right="0"/>
              <w:jc w:val="left"/>
              <w:rPr>
                <w:rFonts w:ascii="宋体" w:hAnsi="宋体" w:cs="宋体" w:eastAsia="宋体" w:hint="default"/>
                <w:sz w:val="15"/>
                <w:szCs w:val="15"/>
              </w:rPr>
            </w:pPr>
            <w:r>
              <w:rPr>
                <w:rFonts w:ascii="宋体" w:hAnsi="宋体" w:cs="宋体" w:eastAsia="宋体" w:hint="default"/>
                <w:sz w:val="15"/>
                <w:szCs w:val="15"/>
              </w:rPr>
              <w:t>专项</w:t>
            </w:r>
          </w:p>
          <w:p>
            <w:pPr>
              <w:pStyle w:val="TableParagraph"/>
              <w:spacing w:line="176" w:lineRule="exact"/>
              <w:ind w:left="173" w:right="0"/>
              <w:jc w:val="left"/>
              <w:rPr>
                <w:rFonts w:ascii="宋体" w:hAnsi="宋体" w:cs="宋体" w:eastAsia="宋体" w:hint="default"/>
                <w:sz w:val="15"/>
                <w:szCs w:val="15"/>
              </w:rPr>
            </w:pPr>
            <w:r>
              <w:rPr>
                <w:rFonts w:ascii="宋体" w:hAnsi="宋体" w:cs="宋体" w:eastAsia="宋体" w:hint="default"/>
                <w:sz w:val="15"/>
                <w:szCs w:val="15"/>
              </w:rPr>
              <w:t>储备</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325"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868" w:type="dxa"/>
            <w:tcBorders>
              <w:top w:val="single" w:sz="4" w:space="0" w:color="000000"/>
              <w:left w:val="single" w:sz="4" w:space="0" w:color="000000"/>
              <w:bottom w:val="single" w:sz="4" w:space="0" w:color="000000"/>
              <w:right w:val="single" w:sz="4" w:space="0" w:color="000000"/>
            </w:tcBorders>
          </w:tcPr>
          <w:p>
            <w:pPr>
              <w:pStyle w:val="TableParagraph"/>
              <w:spacing w:line="120" w:lineRule="exact"/>
              <w:ind w:right="1"/>
              <w:jc w:val="center"/>
              <w:rPr>
                <w:rFonts w:ascii="宋体" w:hAnsi="宋体" w:cs="宋体" w:eastAsia="宋体" w:hint="default"/>
                <w:sz w:val="15"/>
                <w:szCs w:val="15"/>
              </w:rPr>
            </w:pPr>
            <w:r>
              <w:rPr>
                <w:rFonts w:ascii="宋体" w:hAnsi="宋体" w:cs="宋体" w:eastAsia="宋体" w:hint="default"/>
                <w:sz w:val="15"/>
                <w:szCs w:val="15"/>
              </w:rPr>
              <w:t>一般风险</w:t>
            </w:r>
          </w:p>
          <w:p>
            <w:pPr>
              <w:pStyle w:val="TableParagraph"/>
              <w:spacing w:line="176" w:lineRule="exact"/>
              <w:ind w:right="1"/>
              <w:jc w:val="center"/>
              <w:rPr>
                <w:rFonts w:ascii="宋体" w:hAnsi="宋体" w:cs="宋体" w:eastAsia="宋体" w:hint="default"/>
                <w:sz w:val="15"/>
                <w:szCs w:val="15"/>
              </w:rPr>
            </w:pPr>
            <w:r>
              <w:rPr>
                <w:rFonts w:ascii="宋体" w:hAnsi="宋体" w:cs="宋体" w:eastAsia="宋体" w:hint="default"/>
                <w:sz w:val="15"/>
                <w:szCs w:val="15"/>
              </w:rPr>
              <w:t>准备</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56"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99"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296" w:type="dxa"/>
            <w:vMerge/>
            <w:tcBorders>
              <w:left w:val="single" w:sz="4" w:space="0" w:color="000000"/>
              <w:bottom w:val="single" w:sz="4" w:space="0" w:color="000000"/>
              <w:right w:val="single" w:sz="4" w:space="0" w:color="000000"/>
            </w:tcBorders>
          </w:tcPr>
          <w:p>
            <w:pPr/>
          </w:p>
        </w:tc>
        <w:tc>
          <w:tcPr>
            <w:tcW w:w="1476" w:type="dxa"/>
            <w:vMerge/>
            <w:tcBorders>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126,400,000.00</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1,758,214,919.92</w:t>
            </w: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83" w:right="0"/>
              <w:jc w:val="left"/>
              <w:rPr>
                <w:rFonts w:ascii="Times New Roman" w:hAnsi="Times New Roman" w:cs="Times New Roman" w:eastAsia="Times New Roman" w:hint="default"/>
                <w:sz w:val="15"/>
                <w:szCs w:val="15"/>
              </w:rPr>
            </w:pPr>
            <w:r>
              <w:rPr>
                <w:rFonts w:ascii="Times New Roman"/>
                <w:sz w:val="15"/>
              </w:rPr>
              <w:t>33,236,015.99</w:t>
            </w: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23" w:right="0"/>
              <w:jc w:val="left"/>
              <w:rPr>
                <w:rFonts w:ascii="Times New Roman" w:hAnsi="Times New Roman" w:cs="Times New Roman" w:eastAsia="Times New Roman" w:hint="default"/>
                <w:sz w:val="15"/>
                <w:szCs w:val="15"/>
              </w:rPr>
            </w:pPr>
            <w:r>
              <w:rPr>
                <w:rFonts w:ascii="Times New Roman"/>
                <w:sz w:val="15"/>
              </w:rPr>
              <w:t>349,602,074.34</w:t>
            </w: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1,232,292.57</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2,268,685,302.82</w:t>
            </w: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251"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551"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551"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126,400,000.00</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1,758,214,919.92</w:t>
            </w: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83" w:right="0"/>
              <w:jc w:val="left"/>
              <w:rPr>
                <w:rFonts w:ascii="Times New Roman" w:hAnsi="Times New Roman" w:cs="Times New Roman" w:eastAsia="Times New Roman" w:hint="default"/>
                <w:sz w:val="15"/>
                <w:szCs w:val="15"/>
              </w:rPr>
            </w:pPr>
            <w:r>
              <w:rPr>
                <w:rFonts w:ascii="Times New Roman"/>
                <w:sz w:val="15"/>
              </w:rPr>
              <w:t>33,236,015.99</w:t>
            </w: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23" w:right="0"/>
              <w:jc w:val="left"/>
              <w:rPr>
                <w:rFonts w:ascii="Times New Roman" w:hAnsi="Times New Roman" w:cs="Times New Roman" w:eastAsia="Times New Roman" w:hint="default"/>
                <w:sz w:val="15"/>
                <w:szCs w:val="15"/>
              </w:rPr>
            </w:pPr>
            <w:r>
              <w:rPr>
                <w:rFonts w:ascii="Times New Roman"/>
                <w:sz w:val="15"/>
              </w:rPr>
              <w:t>349,602,074.34</w:t>
            </w: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1,232,292.57</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2,268,685,302.82</w:t>
            </w: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03" w:right="0"/>
              <w:jc w:val="left"/>
              <w:rPr>
                <w:rFonts w:ascii="宋体" w:hAnsi="宋体" w:cs="宋体" w:eastAsia="宋体" w:hint="default"/>
                <w:sz w:val="15"/>
                <w:szCs w:val="15"/>
              </w:rPr>
            </w:pPr>
            <w:r>
              <w:rPr>
                <w:rFonts w:ascii="宋体" w:hAnsi="宋体" w:cs="宋体" w:eastAsia="宋体" w:hint="default"/>
                <w:sz w:val="15"/>
                <w:szCs w:val="15"/>
              </w:rPr>
              <w:t>三、本期增减变动金额（减少以</w:t>
            </w:r>
            <w:r>
              <w:rPr>
                <w:rFonts w:ascii="Times New Roman" w:hAnsi="Times New Roman" w:cs="Times New Roman" w:eastAsia="Times New Roman" w:hint="default"/>
                <w:sz w:val="15"/>
                <w:szCs w:val="15"/>
              </w:rPr>
              <w:t>“-”</w:t>
            </w:r>
            <w:r>
              <w:rPr>
                <w:rFonts w:ascii="宋体" w:hAnsi="宋体" w:cs="宋体" w:eastAsia="宋体" w:hint="default"/>
                <w:sz w:val="15"/>
                <w:szCs w:val="15"/>
              </w:rPr>
              <w:t>号填列）</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189,600,000.00</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-196,272,395.07</w:t>
            </w: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83" w:right="0"/>
              <w:jc w:val="left"/>
              <w:rPr>
                <w:rFonts w:ascii="Times New Roman" w:hAnsi="Times New Roman" w:cs="Times New Roman" w:eastAsia="Times New Roman" w:hint="default"/>
                <w:sz w:val="15"/>
                <w:szCs w:val="15"/>
              </w:rPr>
            </w:pPr>
            <w:r>
              <w:rPr>
                <w:rFonts w:ascii="Times New Roman"/>
                <w:sz w:val="15"/>
              </w:rPr>
              <w:t>13,264,866.86</w:t>
            </w: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23" w:right="0"/>
              <w:jc w:val="left"/>
              <w:rPr>
                <w:rFonts w:ascii="Times New Roman" w:hAnsi="Times New Roman" w:cs="Times New Roman" w:eastAsia="Times New Roman" w:hint="default"/>
                <w:sz w:val="15"/>
                <w:szCs w:val="15"/>
              </w:rPr>
            </w:pPr>
            <w:r>
              <w:rPr>
                <w:rFonts w:ascii="Times New Roman"/>
                <w:sz w:val="15"/>
              </w:rPr>
              <w:t>276,730,731.78</w:t>
            </w: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1,767,707.43</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285,090,911.00</w:t>
            </w: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23" w:right="0"/>
              <w:jc w:val="left"/>
              <w:rPr>
                <w:rFonts w:ascii="Times New Roman" w:hAnsi="Times New Roman" w:cs="Times New Roman" w:eastAsia="Times New Roman" w:hint="default"/>
                <w:sz w:val="15"/>
                <w:szCs w:val="15"/>
              </w:rPr>
            </w:pPr>
            <w:r>
              <w:rPr>
                <w:rFonts w:ascii="Times New Roman"/>
                <w:sz w:val="15"/>
              </w:rPr>
              <w:t>327,915,598.64</w:t>
            </w: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-738,022.27</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327,177,576.37</w:t>
            </w: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739,569.10</w:t>
            </w: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739,569.10</w:t>
            </w: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77"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739,569.10</w:t>
            </w: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23" w:right="0"/>
              <w:jc w:val="left"/>
              <w:rPr>
                <w:rFonts w:ascii="Times New Roman" w:hAnsi="Times New Roman" w:cs="Times New Roman" w:eastAsia="Times New Roman" w:hint="default"/>
                <w:sz w:val="15"/>
                <w:szCs w:val="15"/>
              </w:rPr>
            </w:pPr>
            <w:r>
              <w:rPr>
                <w:rFonts w:ascii="Times New Roman"/>
                <w:sz w:val="15"/>
              </w:rPr>
              <w:t>327,915,598.64</w:t>
            </w: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-738,022.27</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327,917,145.47</w:t>
            </w: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2"/>
              <w:jc w:val="right"/>
              <w:rPr>
                <w:rFonts w:ascii="Times New Roman" w:hAnsi="Times New Roman" w:cs="Times New Roman" w:eastAsia="Times New Roman" w:hint="default"/>
                <w:sz w:val="15"/>
                <w:szCs w:val="15"/>
              </w:rPr>
            </w:pPr>
            <w:r>
              <w:rPr>
                <w:rFonts w:ascii="Times New Roman"/>
                <w:spacing w:val="-2"/>
                <w:sz w:val="15"/>
              </w:rPr>
              <w:t>-7,411,964.17</w:t>
            </w:r>
            <w:r>
              <w:rPr>
                <w:rFonts w:ascii="Times New Roman"/>
                <w:sz w:val="15"/>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3,000,000.00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-4,411,964.17</w:t>
            </w: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3,000,000.00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3,000,000.00</w:t>
            </w: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2"/>
              <w:jc w:val="right"/>
              <w:rPr>
                <w:rFonts w:ascii="Times New Roman" w:hAnsi="Times New Roman" w:cs="Times New Roman" w:eastAsia="Times New Roman" w:hint="default"/>
                <w:sz w:val="15"/>
                <w:szCs w:val="15"/>
              </w:rPr>
            </w:pPr>
            <w:r>
              <w:rPr>
                <w:rFonts w:ascii="Times New Roman"/>
                <w:spacing w:val="-2"/>
                <w:sz w:val="15"/>
              </w:rPr>
              <w:t>-7,411,964.17</w:t>
            </w:r>
            <w:r>
              <w:rPr>
                <w:rFonts w:ascii="Times New Roman"/>
                <w:sz w:val="15"/>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2"/>
              <w:jc w:val="right"/>
              <w:rPr>
                <w:rFonts w:ascii="Times New Roman" w:hAnsi="Times New Roman" w:cs="Times New Roman" w:eastAsia="Times New Roman" w:hint="default"/>
                <w:sz w:val="15"/>
                <w:szCs w:val="15"/>
              </w:rPr>
            </w:pPr>
            <w:r>
              <w:rPr>
                <w:rFonts w:ascii="Times New Roman"/>
                <w:spacing w:val="-2"/>
                <w:sz w:val="15"/>
              </w:rPr>
              <w:t>-7,411,964.17</w:t>
            </w:r>
            <w:r>
              <w:rPr>
                <w:rFonts w:ascii="Times New Roman"/>
                <w:sz w:val="15"/>
              </w:rPr>
            </w: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83" w:right="0"/>
              <w:jc w:val="left"/>
              <w:rPr>
                <w:rFonts w:ascii="Times New Roman" w:hAnsi="Times New Roman" w:cs="Times New Roman" w:eastAsia="Times New Roman" w:hint="default"/>
                <w:sz w:val="15"/>
                <w:szCs w:val="15"/>
              </w:rPr>
            </w:pPr>
            <w:r>
              <w:rPr>
                <w:rFonts w:ascii="Times New Roman"/>
                <w:sz w:val="15"/>
              </w:rPr>
              <w:t>13,264,866.86</w:t>
            </w: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48" w:right="0"/>
              <w:jc w:val="left"/>
              <w:rPr>
                <w:rFonts w:ascii="Times New Roman" w:hAnsi="Times New Roman" w:cs="Times New Roman" w:eastAsia="Times New Roman" w:hint="default"/>
                <w:sz w:val="15"/>
                <w:szCs w:val="15"/>
              </w:rPr>
            </w:pPr>
            <w:r>
              <w:rPr>
                <w:rFonts w:ascii="Times New Roman"/>
                <w:sz w:val="15"/>
              </w:rPr>
              <w:t>-51,184,866.86</w:t>
            </w: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-37,920,000.00</w:t>
            </w: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83" w:right="0"/>
              <w:jc w:val="left"/>
              <w:rPr>
                <w:rFonts w:ascii="Times New Roman" w:hAnsi="Times New Roman" w:cs="Times New Roman" w:eastAsia="Times New Roman" w:hint="default"/>
                <w:sz w:val="15"/>
                <w:szCs w:val="15"/>
              </w:rPr>
            </w:pPr>
            <w:r>
              <w:rPr>
                <w:rFonts w:ascii="Times New Roman"/>
                <w:sz w:val="15"/>
              </w:rPr>
              <w:t>13,264,866.86</w:t>
            </w: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48" w:right="0"/>
              <w:jc w:val="left"/>
              <w:rPr>
                <w:rFonts w:ascii="Times New Roman" w:hAnsi="Times New Roman" w:cs="Times New Roman" w:eastAsia="Times New Roman" w:hint="default"/>
                <w:sz w:val="15"/>
                <w:szCs w:val="15"/>
              </w:rPr>
            </w:pPr>
            <w:r>
              <w:rPr>
                <w:rFonts w:ascii="Times New Roman"/>
                <w:sz w:val="15"/>
              </w:rPr>
              <w:t>-13,264,866.86</w:t>
            </w: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48" w:right="0"/>
              <w:jc w:val="left"/>
              <w:rPr>
                <w:rFonts w:ascii="Times New Roman" w:hAnsi="Times New Roman" w:cs="Times New Roman" w:eastAsia="Times New Roman" w:hint="default"/>
                <w:sz w:val="15"/>
                <w:szCs w:val="15"/>
              </w:rPr>
            </w:pPr>
            <w:r>
              <w:rPr>
                <w:rFonts w:ascii="Times New Roman"/>
                <w:sz w:val="15"/>
              </w:rPr>
              <w:t>-37,920,000.00</w:t>
            </w: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-37,920,000.00</w:t>
            </w: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189,600,000.00</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-189,600,000.00</w:t>
            </w: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2"/>
              <w:jc w:val="right"/>
              <w:rPr>
                <w:rFonts w:ascii="Times New Roman" w:hAnsi="Times New Roman" w:cs="Times New Roman" w:eastAsia="Times New Roman" w:hint="default"/>
                <w:sz w:val="15"/>
                <w:szCs w:val="15"/>
              </w:rPr>
            </w:pPr>
            <w:r>
              <w:rPr>
                <w:rFonts w:ascii="Times New Roman"/>
                <w:spacing w:val="-1"/>
                <w:sz w:val="15"/>
              </w:rPr>
              <w:t>-494,270.30</w:t>
            </w:r>
            <w:r>
              <w:rPr>
                <w:rFonts w:ascii="Times New Roman"/>
                <w:sz w:val="15"/>
              </w:rPr>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2"/>
              <w:jc w:val="right"/>
              <w:rPr>
                <w:rFonts w:ascii="Times New Roman" w:hAnsi="Times New Roman" w:cs="Times New Roman" w:eastAsia="Times New Roman" w:hint="default"/>
                <w:sz w:val="15"/>
                <w:szCs w:val="15"/>
              </w:rPr>
            </w:pPr>
            <w:r>
              <w:rPr>
                <w:rFonts w:ascii="Times New Roman"/>
                <w:spacing w:val="-1"/>
                <w:sz w:val="15"/>
              </w:rPr>
              <w:t>-494,270.30</w:t>
            </w:r>
            <w:r>
              <w:rPr>
                <w:rFonts w:ascii="Times New Roman"/>
                <w:sz w:val="15"/>
              </w:rPr>
            </w: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189,600,000.00</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-189,600,000.00</w:t>
            </w: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2"/>
              <w:jc w:val="right"/>
              <w:rPr>
                <w:rFonts w:ascii="Times New Roman" w:hAnsi="Times New Roman" w:cs="Times New Roman" w:eastAsia="Times New Roman" w:hint="default"/>
                <w:sz w:val="15"/>
                <w:szCs w:val="15"/>
              </w:rPr>
            </w:pPr>
            <w:r>
              <w:rPr>
                <w:rFonts w:ascii="Times New Roman"/>
                <w:spacing w:val="-1"/>
                <w:sz w:val="15"/>
              </w:rPr>
              <w:t>-494,270.30</w:t>
            </w:r>
            <w:r>
              <w:rPr>
                <w:rFonts w:ascii="Times New Roman"/>
                <w:sz w:val="15"/>
              </w:rPr>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2"/>
              <w:jc w:val="right"/>
              <w:rPr>
                <w:rFonts w:ascii="Times New Roman" w:hAnsi="Times New Roman" w:cs="Times New Roman" w:eastAsia="Times New Roman" w:hint="default"/>
                <w:sz w:val="15"/>
                <w:szCs w:val="15"/>
              </w:rPr>
            </w:pPr>
            <w:r>
              <w:rPr>
                <w:rFonts w:ascii="Times New Roman"/>
                <w:spacing w:val="-1"/>
                <w:sz w:val="15"/>
              </w:rPr>
              <w:t>-494,270.30</w:t>
            </w:r>
            <w:r>
              <w:rPr>
                <w:rFonts w:ascii="Times New Roman"/>
                <w:sz w:val="15"/>
              </w:rPr>
            </w: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316,000,000.00</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1,561,942,524.85</w:t>
            </w:r>
          </w:p>
        </w:tc>
        <w:tc>
          <w:tcPr>
            <w:tcW w:w="900"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83" w:right="0"/>
              <w:jc w:val="left"/>
              <w:rPr>
                <w:rFonts w:ascii="Times New Roman" w:hAnsi="Times New Roman" w:cs="Times New Roman" w:eastAsia="Times New Roman" w:hint="default"/>
                <w:sz w:val="15"/>
                <w:szCs w:val="15"/>
              </w:rPr>
            </w:pPr>
            <w:r>
              <w:rPr>
                <w:rFonts w:ascii="Times New Roman"/>
                <w:sz w:val="15"/>
              </w:rPr>
              <w:t>46,500,882.85</w:t>
            </w:r>
          </w:p>
        </w:tc>
        <w:tc>
          <w:tcPr>
            <w:tcW w:w="86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23" w:right="0"/>
              <w:jc w:val="left"/>
              <w:rPr>
                <w:rFonts w:ascii="Times New Roman" w:hAnsi="Times New Roman" w:cs="Times New Roman" w:eastAsia="Times New Roman" w:hint="default"/>
                <w:sz w:val="15"/>
                <w:szCs w:val="15"/>
              </w:rPr>
            </w:pPr>
            <w:r>
              <w:rPr>
                <w:rFonts w:ascii="Times New Roman"/>
                <w:sz w:val="15"/>
              </w:rPr>
              <w:t>626,332,806.12</w:t>
            </w:r>
          </w:p>
        </w:tc>
        <w:tc>
          <w:tcPr>
            <w:tcW w:w="70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3,000,000.00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2,553,776,213.82</w:t>
            </w:r>
          </w:p>
        </w:tc>
      </w:tr>
    </w:tbl>
    <w:p>
      <w:pPr>
        <w:spacing w:after="0" w:line="240" w:lineRule="auto"/>
        <w:jc w:val="right"/>
        <w:rPr>
          <w:rFonts w:ascii="Times New Roman" w:hAnsi="Times New Roman" w:cs="Times New Roman" w:eastAsia="Times New Roman" w:hint="default"/>
          <w:sz w:val="15"/>
          <w:szCs w:val="15"/>
        </w:rPr>
        <w:sectPr>
          <w:footerReference w:type="default" r:id="rId64"/>
          <w:pgSz w:w="16840" w:h="11910" w:orient="landscape"/>
          <w:pgMar w:footer="1462" w:header="851" w:top="1300" w:bottom="1660" w:left="1300" w:right="1060"/>
          <w:pgNumType w:start="89"/>
        </w:sectPr>
      </w:pPr>
    </w:p>
    <w:p>
      <w:pPr>
        <w:tabs>
          <w:tab w:pos="6274" w:val="left" w:leader="none"/>
        </w:tabs>
        <w:spacing w:line="285" w:lineRule="auto" w:before="17"/>
        <w:ind w:left="5643" w:right="6023" w:firstLine="0"/>
        <w:jc w:val="center"/>
        <w:rPr>
          <w:rFonts w:ascii="宋体" w:hAnsi="宋体" w:cs="宋体" w:eastAsia="宋体" w:hint="default"/>
          <w:sz w:val="21"/>
          <w:szCs w:val="21"/>
        </w:rPr>
      </w:pPr>
      <w:r>
        <w:rPr/>
        <w:pict>
          <v:group style="position:absolute;margin-left:70.490997pt;margin-top:2.193696pt;width:700.95pt;height:.1pt;mso-position-horizontal-relative:page;mso-position-vertical-relative:paragraph;z-index:-712072" coordorigin="1410,44" coordsize="14019,2">
            <v:shape style="position:absolute;left:1410;top:44;width:14019;height:2" coordorigin="1410,44" coordsize="14019,0" path="m1410,44l15428,44e" filled="false" stroked="true" strokeweight=".72pt" strokecolor="#000000">
              <v:path arrowok="t"/>
            </v:shape>
            <w10:wrap type="none"/>
          </v:group>
        </w:pict>
      </w:r>
      <w:r>
        <w:rPr>
          <w:rFonts w:ascii="宋体" w:hAnsi="宋体" w:cs="宋体" w:eastAsia="宋体" w:hint="default"/>
          <w:b/>
          <w:bCs/>
          <w:w w:val="95"/>
          <w:sz w:val="21"/>
          <w:szCs w:val="21"/>
        </w:rPr>
        <w:t>北京神州泰岳软件股份有限公司</w:t>
      </w:r>
      <w:r>
        <w:rPr>
          <w:rFonts w:ascii="宋体" w:hAnsi="宋体" w:cs="宋体" w:eastAsia="宋体" w:hint="default"/>
          <w:b/>
          <w:bCs/>
          <w:spacing w:val="37"/>
          <w:w w:val="95"/>
          <w:sz w:val="21"/>
          <w:szCs w:val="21"/>
        </w:rPr>
        <w:t> </w:t>
      </w:r>
      <w:r>
        <w:rPr>
          <w:rFonts w:ascii="宋体" w:hAnsi="宋体" w:cs="宋体" w:eastAsia="宋体" w:hint="default"/>
          <w:b/>
          <w:bCs/>
          <w:spacing w:val="37"/>
          <w:w w:val="95"/>
          <w:sz w:val="21"/>
          <w:szCs w:val="21"/>
        </w:rPr>
      </w:r>
      <w:r>
        <w:rPr>
          <w:rFonts w:ascii="宋体" w:hAnsi="宋体" w:cs="宋体" w:eastAsia="宋体" w:hint="default"/>
          <w:b/>
          <w:bCs/>
          <w:sz w:val="21"/>
          <w:szCs w:val="21"/>
        </w:rPr>
        <w:t>合并所有者权益变动表（续）</w:t>
      </w:r>
      <w:r>
        <w:rPr>
          <w:rFonts w:ascii="宋体" w:hAnsi="宋体" w:cs="宋体" w:eastAsia="宋体" w:hint="default"/>
          <w:b/>
          <w:bCs/>
          <w:spacing w:val="1"/>
          <w:w w:val="99"/>
          <w:sz w:val="21"/>
          <w:szCs w:val="21"/>
        </w:rPr>
        <w:t> </w:t>
      </w:r>
      <w:r>
        <w:rPr>
          <w:rFonts w:ascii="Times New Roman" w:hAnsi="Times New Roman" w:cs="Times New Roman" w:eastAsia="Times New Roman" w:hint="default"/>
          <w:b/>
          <w:bCs/>
          <w:spacing w:val="-1"/>
          <w:sz w:val="21"/>
          <w:szCs w:val="21"/>
        </w:rPr>
        <w:t>2010</w:t>
        <w:tab/>
      </w:r>
      <w:r>
        <w:rPr>
          <w:rFonts w:ascii="宋体" w:hAnsi="宋体" w:cs="宋体" w:eastAsia="宋体" w:hint="default"/>
          <w:b/>
          <w:bCs/>
          <w:sz w:val="21"/>
          <w:szCs w:val="21"/>
        </w:rPr>
        <w:t>年度</w:t>
      </w:r>
      <w:r>
        <w:rPr>
          <w:rFonts w:ascii="宋体" w:hAnsi="宋体" w:cs="宋体" w:eastAsia="宋体" w:hint="default"/>
          <w:sz w:val="21"/>
          <w:szCs w:val="21"/>
        </w:rPr>
      </w:r>
    </w:p>
    <w:p>
      <w:pPr>
        <w:spacing w:before="14"/>
        <w:ind w:left="5097" w:right="5477"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
        <w:rPr>
          <w:rFonts w:ascii="宋体" w:hAnsi="宋体" w:cs="宋体" w:eastAsia="宋体" w:hint="default"/>
          <w:b/>
          <w:bCs/>
          <w:sz w:val="8"/>
          <w:szCs w:val="8"/>
        </w:rPr>
      </w:pPr>
    </w:p>
    <w:tbl>
      <w:tblPr>
        <w:tblW w:w="0" w:type="auto"/>
        <w:jc w:val="left"/>
        <w:tblInd w:w="135" w:type="dxa"/>
        <w:tblLayout w:type="fixed"/>
        <w:tblCellMar>
          <w:top w:w="0" w:type="dxa"/>
          <w:left w:w="0" w:type="dxa"/>
          <w:bottom w:w="0" w:type="dxa"/>
          <w:right w:w="0" w:type="dxa"/>
        </w:tblCellMar>
        <w:tblLook w:val="01E0"/>
      </w:tblPr>
      <w:tblGrid>
        <w:gridCol w:w="3060"/>
        <w:gridCol w:w="1260"/>
        <w:gridCol w:w="1440"/>
        <w:gridCol w:w="720"/>
        <w:gridCol w:w="864"/>
        <w:gridCol w:w="1260"/>
        <w:gridCol w:w="868"/>
        <w:gridCol w:w="1440"/>
        <w:gridCol w:w="685"/>
        <w:gridCol w:w="1296"/>
        <w:gridCol w:w="1476"/>
      </w:tblGrid>
      <w:tr>
        <w:trPr>
          <w:trHeight w:val="236" w:hRule="exact"/>
        </w:trPr>
        <w:tc>
          <w:tcPr>
            <w:tcW w:w="3060"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1309" w:type="dxa"/>
            <w:gridSpan w:val="10"/>
            <w:tcBorders>
              <w:top w:val="single" w:sz="4" w:space="0" w:color="000000"/>
              <w:left w:val="single" w:sz="4" w:space="0" w:color="000000"/>
              <w:bottom w:val="single" w:sz="4" w:space="0" w:color="000000"/>
              <w:right w:val="single" w:sz="4" w:space="0" w:color="000000"/>
            </w:tcBorders>
          </w:tcPr>
          <w:p>
            <w:pPr>
              <w:pStyle w:val="TableParagraph"/>
              <w:spacing w:line="176" w:lineRule="exact"/>
              <w:ind w:right="0"/>
              <w:jc w:val="center"/>
              <w:rPr>
                <w:rFonts w:ascii="宋体" w:hAnsi="宋体" w:cs="宋体" w:eastAsia="宋体" w:hint="default"/>
                <w:sz w:val="15"/>
                <w:szCs w:val="15"/>
              </w:rPr>
            </w:pPr>
            <w:r>
              <w:rPr>
                <w:rFonts w:ascii="宋体" w:hAnsi="宋体" w:cs="宋体" w:eastAsia="宋体" w:hint="default"/>
                <w:sz w:val="15"/>
                <w:szCs w:val="15"/>
              </w:rPr>
              <w:t>上年同期金额</w:t>
            </w:r>
          </w:p>
        </w:tc>
      </w:tr>
      <w:tr>
        <w:trPr>
          <w:trHeight w:val="238" w:hRule="exact"/>
        </w:trPr>
        <w:tc>
          <w:tcPr>
            <w:tcW w:w="3060" w:type="dxa"/>
            <w:vMerge/>
            <w:tcBorders>
              <w:left w:val="single" w:sz="4" w:space="0" w:color="000000"/>
              <w:right w:val="single" w:sz="4" w:space="0" w:color="000000"/>
            </w:tcBorders>
          </w:tcPr>
          <w:p>
            <w:pPr/>
          </w:p>
        </w:tc>
        <w:tc>
          <w:tcPr>
            <w:tcW w:w="8537" w:type="dxa"/>
            <w:gridSpan w:val="8"/>
            <w:tcBorders>
              <w:top w:val="single" w:sz="4" w:space="0" w:color="000000"/>
              <w:left w:val="single" w:sz="4" w:space="0" w:color="000000"/>
              <w:bottom w:val="single" w:sz="4" w:space="0" w:color="000000"/>
              <w:right w:val="single" w:sz="4" w:space="0" w:color="000000"/>
            </w:tcBorders>
          </w:tcPr>
          <w:p>
            <w:pPr>
              <w:pStyle w:val="TableParagraph"/>
              <w:spacing w:line="176" w:lineRule="exact"/>
              <w:ind w:right="1"/>
              <w:jc w:val="center"/>
              <w:rPr>
                <w:rFonts w:ascii="宋体" w:hAnsi="宋体" w:cs="宋体" w:eastAsia="宋体" w:hint="default"/>
                <w:sz w:val="15"/>
                <w:szCs w:val="15"/>
              </w:rPr>
            </w:pPr>
            <w:r>
              <w:rPr>
                <w:rFonts w:ascii="宋体" w:hAnsi="宋体" w:cs="宋体" w:eastAsia="宋体" w:hint="default"/>
                <w:sz w:val="15"/>
                <w:szCs w:val="15"/>
              </w:rPr>
              <w:t>归属于母公司所有者权益</w:t>
            </w:r>
          </w:p>
        </w:tc>
        <w:tc>
          <w:tcPr>
            <w:tcW w:w="1296"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left="193" w:right="0"/>
              <w:jc w:val="left"/>
              <w:rPr>
                <w:rFonts w:ascii="宋体" w:hAnsi="宋体" w:cs="宋体" w:eastAsia="宋体" w:hint="default"/>
                <w:sz w:val="15"/>
                <w:szCs w:val="15"/>
              </w:rPr>
            </w:pPr>
            <w:r>
              <w:rPr>
                <w:rFonts w:ascii="宋体" w:hAnsi="宋体" w:cs="宋体" w:eastAsia="宋体" w:hint="default"/>
                <w:sz w:val="15"/>
                <w:szCs w:val="15"/>
              </w:rPr>
              <w:t>少数股东权益</w:t>
            </w:r>
          </w:p>
        </w:tc>
        <w:tc>
          <w:tcPr>
            <w:tcW w:w="1476"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left="207"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320" w:hRule="exact"/>
        </w:trPr>
        <w:tc>
          <w:tcPr>
            <w:tcW w:w="3060" w:type="dxa"/>
            <w:vMerge/>
            <w:tcBorders>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25" w:lineRule="exact"/>
              <w:ind w:right="0"/>
              <w:jc w:val="center"/>
              <w:rPr>
                <w:rFonts w:ascii="宋体" w:hAnsi="宋体" w:cs="宋体" w:eastAsia="宋体" w:hint="default"/>
                <w:sz w:val="15"/>
                <w:szCs w:val="15"/>
              </w:rPr>
            </w:pPr>
            <w:r>
              <w:rPr>
                <w:rFonts w:ascii="宋体" w:hAnsi="宋体" w:cs="宋体" w:eastAsia="宋体" w:hint="default"/>
                <w:sz w:val="15"/>
                <w:szCs w:val="15"/>
              </w:rPr>
              <w:t>实收资本</w:t>
            </w:r>
            <w:r>
              <w:rPr>
                <w:rFonts w:ascii="Times New Roman" w:hAnsi="Times New Roman" w:cs="Times New Roman" w:eastAsia="Times New Roman" w:hint="default"/>
                <w:sz w:val="15"/>
                <w:szCs w:val="15"/>
              </w:rPr>
              <w:t>(</w:t>
            </w:r>
            <w:r>
              <w:rPr>
                <w:rFonts w:ascii="宋体" w:hAnsi="宋体" w:cs="宋体" w:eastAsia="宋体" w:hint="default"/>
                <w:sz w:val="15"/>
                <w:szCs w:val="15"/>
              </w:rPr>
              <w:t>或股</w:t>
            </w:r>
          </w:p>
          <w:p>
            <w:pPr>
              <w:pStyle w:val="TableParagraph"/>
              <w:spacing w:line="181" w:lineRule="exact"/>
              <w:ind w:right="1"/>
              <w:jc w:val="center"/>
              <w:rPr>
                <w:rFonts w:ascii="Times New Roman" w:hAnsi="Times New Roman" w:cs="Times New Roman" w:eastAsia="Times New Roman" w:hint="default"/>
                <w:sz w:val="15"/>
                <w:szCs w:val="15"/>
              </w:rPr>
            </w:pPr>
            <w:r>
              <w:rPr>
                <w:rFonts w:ascii="宋体" w:hAnsi="宋体" w:cs="宋体" w:eastAsia="宋体" w:hint="default"/>
                <w:sz w:val="15"/>
                <w:szCs w:val="15"/>
              </w:rPr>
              <w:t>本</w:t>
            </w:r>
            <w:r>
              <w:rPr>
                <w:rFonts w:ascii="Times New Roman" w:hAnsi="Times New Roman" w:cs="Times New Roman" w:eastAsia="Times New Roman" w:hint="default"/>
                <w:sz w:val="15"/>
                <w:szCs w:val="15"/>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15"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119" w:lineRule="exact"/>
              <w:ind w:left="205" w:right="0" w:hanging="76"/>
              <w:jc w:val="left"/>
              <w:rPr>
                <w:rFonts w:ascii="宋体" w:hAnsi="宋体" w:cs="宋体" w:eastAsia="宋体" w:hint="default"/>
                <w:sz w:val="15"/>
                <w:szCs w:val="15"/>
              </w:rPr>
            </w:pPr>
            <w:r>
              <w:rPr>
                <w:rFonts w:ascii="宋体" w:hAnsi="宋体" w:cs="宋体" w:eastAsia="宋体" w:hint="default"/>
                <w:sz w:val="15"/>
                <w:szCs w:val="15"/>
              </w:rPr>
              <w:t>减：库</w:t>
            </w:r>
          </w:p>
          <w:p>
            <w:pPr>
              <w:pStyle w:val="TableParagraph"/>
              <w:spacing w:line="176" w:lineRule="exact"/>
              <w:ind w:left="205" w:right="0"/>
              <w:jc w:val="left"/>
              <w:rPr>
                <w:rFonts w:ascii="宋体" w:hAnsi="宋体" w:cs="宋体" w:eastAsia="宋体" w:hint="default"/>
                <w:sz w:val="15"/>
                <w:szCs w:val="15"/>
              </w:rPr>
            </w:pPr>
            <w:r>
              <w:rPr>
                <w:rFonts w:ascii="宋体" w:hAnsi="宋体" w:cs="宋体" w:eastAsia="宋体" w:hint="default"/>
                <w:sz w:val="15"/>
                <w:szCs w:val="15"/>
              </w:rPr>
              <w:t>存股</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27"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325"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868" w:type="dxa"/>
            <w:tcBorders>
              <w:top w:val="single" w:sz="4" w:space="0" w:color="000000"/>
              <w:left w:val="single" w:sz="4" w:space="0" w:color="000000"/>
              <w:bottom w:val="single" w:sz="4" w:space="0" w:color="000000"/>
              <w:right w:val="single" w:sz="4" w:space="0" w:color="000000"/>
            </w:tcBorders>
          </w:tcPr>
          <w:p>
            <w:pPr>
              <w:pStyle w:val="TableParagraph"/>
              <w:spacing w:line="119" w:lineRule="exact"/>
              <w:ind w:right="1"/>
              <w:jc w:val="center"/>
              <w:rPr>
                <w:rFonts w:ascii="宋体" w:hAnsi="宋体" w:cs="宋体" w:eastAsia="宋体" w:hint="default"/>
                <w:sz w:val="15"/>
                <w:szCs w:val="15"/>
              </w:rPr>
            </w:pPr>
            <w:r>
              <w:rPr>
                <w:rFonts w:ascii="宋体" w:hAnsi="宋体" w:cs="宋体" w:eastAsia="宋体" w:hint="default"/>
                <w:sz w:val="15"/>
                <w:szCs w:val="15"/>
              </w:rPr>
              <w:t>一般风险</w:t>
            </w:r>
          </w:p>
          <w:p>
            <w:pPr>
              <w:pStyle w:val="TableParagraph"/>
              <w:spacing w:line="176" w:lineRule="exact"/>
              <w:ind w:right="1"/>
              <w:jc w:val="center"/>
              <w:rPr>
                <w:rFonts w:ascii="宋体" w:hAnsi="宋体" w:cs="宋体" w:eastAsia="宋体" w:hint="default"/>
                <w:sz w:val="15"/>
                <w:szCs w:val="15"/>
              </w:rPr>
            </w:pPr>
            <w:r>
              <w:rPr>
                <w:rFonts w:ascii="宋体" w:hAnsi="宋体" w:cs="宋体" w:eastAsia="宋体" w:hint="default"/>
                <w:sz w:val="15"/>
                <w:szCs w:val="15"/>
              </w:rPr>
              <w:t>准备</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339"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88"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296" w:type="dxa"/>
            <w:vMerge/>
            <w:tcBorders>
              <w:left w:val="single" w:sz="4" w:space="0" w:color="000000"/>
              <w:bottom w:val="single" w:sz="4" w:space="0" w:color="000000"/>
              <w:right w:val="single" w:sz="4" w:space="0" w:color="000000"/>
            </w:tcBorders>
          </w:tcPr>
          <w:p>
            <w:pPr/>
          </w:p>
        </w:tc>
        <w:tc>
          <w:tcPr>
            <w:tcW w:w="1476" w:type="dxa"/>
            <w:vMerge/>
            <w:tcBorders>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43,184,000.00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13,263,689.75</w:t>
            </w: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89" w:right="0"/>
              <w:jc w:val="left"/>
              <w:rPr>
                <w:rFonts w:ascii="Times New Roman" w:hAnsi="Times New Roman" w:cs="Times New Roman" w:eastAsia="Times New Roman" w:hint="default"/>
                <w:sz w:val="15"/>
                <w:szCs w:val="15"/>
              </w:rPr>
            </w:pPr>
            <w:r>
              <w:rPr>
                <w:rFonts w:ascii="Times New Roman"/>
                <w:sz w:val="15"/>
              </w:rPr>
              <w:t>19,011,457.64</w:t>
            </w: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388" w:right="0"/>
              <w:jc w:val="left"/>
              <w:rPr>
                <w:rFonts w:ascii="Times New Roman" w:hAnsi="Times New Roman" w:cs="Times New Roman" w:eastAsia="Times New Roman" w:hint="default"/>
                <w:sz w:val="15"/>
                <w:szCs w:val="15"/>
              </w:rPr>
            </w:pPr>
            <w:r>
              <w:rPr>
                <w:rFonts w:ascii="Times New Roman"/>
                <w:sz w:val="15"/>
              </w:rPr>
              <w:t>158,230,033.96</w:t>
            </w: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233,689,181.35</w:t>
            </w: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251"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551"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551"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43,184,000.00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13,263,689.75</w:t>
            </w: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89" w:right="0"/>
              <w:jc w:val="left"/>
              <w:rPr>
                <w:rFonts w:ascii="Times New Roman" w:hAnsi="Times New Roman" w:cs="Times New Roman" w:eastAsia="Times New Roman" w:hint="default"/>
                <w:sz w:val="15"/>
                <w:szCs w:val="15"/>
              </w:rPr>
            </w:pPr>
            <w:r>
              <w:rPr>
                <w:rFonts w:ascii="Times New Roman"/>
                <w:sz w:val="15"/>
              </w:rPr>
              <w:t>19,011,457.64</w:t>
            </w: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388" w:right="0"/>
              <w:jc w:val="left"/>
              <w:rPr>
                <w:rFonts w:ascii="Times New Roman" w:hAnsi="Times New Roman" w:cs="Times New Roman" w:eastAsia="Times New Roman" w:hint="default"/>
                <w:sz w:val="15"/>
                <w:szCs w:val="15"/>
              </w:rPr>
            </w:pPr>
            <w:r>
              <w:rPr>
                <w:rFonts w:ascii="Times New Roman"/>
                <w:sz w:val="15"/>
              </w:rPr>
              <w:t>158,230,033.96</w:t>
            </w: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233,689,181.35</w:t>
            </w: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03" w:right="0"/>
              <w:jc w:val="left"/>
              <w:rPr>
                <w:rFonts w:ascii="宋体" w:hAnsi="宋体" w:cs="宋体" w:eastAsia="宋体" w:hint="default"/>
                <w:sz w:val="15"/>
                <w:szCs w:val="15"/>
              </w:rPr>
            </w:pPr>
            <w:r>
              <w:rPr>
                <w:rFonts w:ascii="宋体" w:hAnsi="宋体" w:cs="宋体" w:eastAsia="宋体" w:hint="default"/>
                <w:sz w:val="15"/>
                <w:szCs w:val="15"/>
              </w:rPr>
              <w:t>三、本期增减变动金额（减少以</w:t>
            </w:r>
            <w:r>
              <w:rPr>
                <w:rFonts w:ascii="Times New Roman" w:hAnsi="Times New Roman" w:cs="Times New Roman" w:eastAsia="Times New Roman" w:hint="default"/>
                <w:sz w:val="15"/>
                <w:szCs w:val="15"/>
              </w:rPr>
              <w:t>“-”</w:t>
            </w:r>
            <w:r>
              <w:rPr>
                <w:rFonts w:ascii="宋体" w:hAnsi="宋体" w:cs="宋体" w:eastAsia="宋体" w:hint="default"/>
                <w:sz w:val="15"/>
                <w:szCs w:val="15"/>
              </w:rPr>
              <w:t>号填列）</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83,216,000.00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1,744,951,230.17</w:t>
            </w: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83" w:right="0"/>
              <w:jc w:val="left"/>
              <w:rPr>
                <w:rFonts w:ascii="Times New Roman" w:hAnsi="Times New Roman" w:cs="Times New Roman" w:eastAsia="Times New Roman" w:hint="default"/>
                <w:sz w:val="15"/>
                <w:szCs w:val="15"/>
              </w:rPr>
            </w:pPr>
            <w:r>
              <w:rPr>
                <w:rFonts w:ascii="Times New Roman"/>
                <w:sz w:val="15"/>
              </w:rPr>
              <w:t>14,224,558.35</w:t>
            </w: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388" w:right="0"/>
              <w:jc w:val="left"/>
              <w:rPr>
                <w:rFonts w:ascii="Times New Roman" w:hAnsi="Times New Roman" w:cs="Times New Roman" w:eastAsia="Times New Roman" w:hint="default"/>
                <w:sz w:val="15"/>
                <w:szCs w:val="15"/>
              </w:rPr>
            </w:pPr>
            <w:r>
              <w:rPr>
                <w:rFonts w:ascii="Times New Roman"/>
                <w:sz w:val="15"/>
              </w:rPr>
              <w:t>191,372,040.38</w:t>
            </w: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1,232,292.57</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2,034,996,121.47</w:t>
            </w: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388" w:right="0"/>
              <w:jc w:val="left"/>
              <w:rPr>
                <w:rFonts w:ascii="Times New Roman" w:hAnsi="Times New Roman" w:cs="Times New Roman" w:eastAsia="Times New Roman" w:hint="default"/>
                <w:sz w:val="15"/>
                <w:szCs w:val="15"/>
              </w:rPr>
            </w:pPr>
            <w:r>
              <w:rPr>
                <w:rFonts w:ascii="Times New Roman"/>
                <w:sz w:val="15"/>
              </w:rPr>
              <w:t>270,372,598.73</w:t>
            </w: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-267,707.43</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270,104,891.30</w:t>
            </w: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1,440,500.00</w:t>
            </w: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1,440,500.00</w:t>
            </w: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77"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1,440,500.00</w:t>
            </w: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388" w:right="0"/>
              <w:jc w:val="left"/>
              <w:rPr>
                <w:rFonts w:ascii="Times New Roman" w:hAnsi="Times New Roman" w:cs="Times New Roman" w:eastAsia="Times New Roman" w:hint="default"/>
                <w:sz w:val="15"/>
                <w:szCs w:val="15"/>
              </w:rPr>
            </w:pPr>
            <w:r>
              <w:rPr>
                <w:rFonts w:ascii="Times New Roman"/>
                <w:sz w:val="15"/>
              </w:rPr>
              <w:t>270,372,598.73</w:t>
            </w: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-267,707.43</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271,545,391.30</w:t>
            </w: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40,032,000.00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1,743,510,730.17</w:t>
            </w: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1,500,000.00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1,785,042,730.17</w:t>
            </w: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40,032,000.00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1,735,771,128.52</w:t>
            </w: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1,500,000.00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1,777,303,128.52</w:t>
            </w: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7,739,601.65</w:t>
            </w: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7,739,601.65</w:t>
            </w: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83" w:right="0"/>
              <w:jc w:val="left"/>
              <w:rPr>
                <w:rFonts w:ascii="Times New Roman" w:hAnsi="Times New Roman" w:cs="Times New Roman" w:eastAsia="Times New Roman" w:hint="default"/>
                <w:sz w:val="15"/>
                <w:szCs w:val="15"/>
              </w:rPr>
            </w:pPr>
            <w:r>
              <w:rPr>
                <w:rFonts w:ascii="Times New Roman"/>
                <w:sz w:val="15"/>
              </w:rPr>
              <w:t>14,224,558.35</w:t>
            </w: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13" w:right="0"/>
              <w:jc w:val="left"/>
              <w:rPr>
                <w:rFonts w:ascii="Times New Roman" w:hAnsi="Times New Roman" w:cs="Times New Roman" w:eastAsia="Times New Roman" w:hint="default"/>
                <w:sz w:val="15"/>
                <w:szCs w:val="15"/>
              </w:rPr>
            </w:pPr>
            <w:r>
              <w:rPr>
                <w:rFonts w:ascii="Times New Roman"/>
                <w:sz w:val="15"/>
              </w:rPr>
              <w:t>-35,816,558.35</w:t>
            </w: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-21,592,000.00</w:t>
            </w: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83" w:right="0"/>
              <w:jc w:val="left"/>
              <w:rPr>
                <w:rFonts w:ascii="Times New Roman" w:hAnsi="Times New Roman" w:cs="Times New Roman" w:eastAsia="Times New Roman" w:hint="default"/>
                <w:sz w:val="15"/>
                <w:szCs w:val="15"/>
              </w:rPr>
            </w:pPr>
            <w:r>
              <w:rPr>
                <w:rFonts w:ascii="Times New Roman"/>
                <w:sz w:val="15"/>
              </w:rPr>
              <w:t>14,224,558.35</w:t>
            </w: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13" w:right="0"/>
              <w:jc w:val="left"/>
              <w:rPr>
                <w:rFonts w:ascii="Times New Roman" w:hAnsi="Times New Roman" w:cs="Times New Roman" w:eastAsia="Times New Roman" w:hint="default"/>
                <w:sz w:val="15"/>
                <w:szCs w:val="15"/>
              </w:rPr>
            </w:pPr>
            <w:r>
              <w:rPr>
                <w:rFonts w:ascii="Times New Roman"/>
                <w:sz w:val="15"/>
              </w:rPr>
              <w:t>-14,224,558.35</w:t>
            </w: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13" w:right="0"/>
              <w:jc w:val="left"/>
              <w:rPr>
                <w:rFonts w:ascii="Times New Roman" w:hAnsi="Times New Roman" w:cs="Times New Roman" w:eastAsia="Times New Roman" w:hint="default"/>
                <w:sz w:val="15"/>
                <w:szCs w:val="15"/>
              </w:rPr>
            </w:pPr>
            <w:r>
              <w:rPr>
                <w:rFonts w:ascii="Times New Roman"/>
                <w:sz w:val="15"/>
              </w:rPr>
              <w:t>-21,592,000.00</w:t>
            </w: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-21,592,000.00</w:t>
            </w: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43,184,000.00</w:t>
            </w:r>
          </w:p>
        </w:tc>
        <w:tc>
          <w:tcPr>
            <w:tcW w:w="144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13" w:right="0"/>
              <w:jc w:val="left"/>
              <w:rPr>
                <w:rFonts w:ascii="Times New Roman" w:hAnsi="Times New Roman" w:cs="Times New Roman" w:eastAsia="Times New Roman" w:hint="default"/>
                <w:sz w:val="15"/>
                <w:szCs w:val="15"/>
              </w:rPr>
            </w:pPr>
            <w:r>
              <w:rPr>
                <w:rFonts w:ascii="Times New Roman"/>
                <w:sz w:val="15"/>
              </w:rPr>
              <w:t>-43,184,000.00</w:t>
            </w: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43,184,000.00</w:t>
            </w:r>
          </w:p>
        </w:tc>
        <w:tc>
          <w:tcPr>
            <w:tcW w:w="144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13" w:right="0"/>
              <w:jc w:val="left"/>
              <w:rPr>
                <w:rFonts w:ascii="Times New Roman" w:hAnsi="Times New Roman" w:cs="Times New Roman" w:eastAsia="Times New Roman" w:hint="default"/>
                <w:sz w:val="15"/>
                <w:szCs w:val="15"/>
              </w:rPr>
            </w:pPr>
            <w:r>
              <w:rPr>
                <w:rFonts w:ascii="Times New Roman"/>
                <w:sz w:val="15"/>
              </w:rPr>
              <w:t>-43,184,000.00</w:t>
            </w: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126,400,000.00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1,758,214,919.92</w:t>
            </w:r>
          </w:p>
        </w:tc>
        <w:tc>
          <w:tcPr>
            <w:tcW w:w="72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83" w:right="0"/>
              <w:jc w:val="left"/>
              <w:rPr>
                <w:rFonts w:ascii="Times New Roman" w:hAnsi="Times New Roman" w:cs="Times New Roman" w:eastAsia="Times New Roman" w:hint="default"/>
                <w:sz w:val="15"/>
                <w:szCs w:val="15"/>
              </w:rPr>
            </w:pPr>
            <w:r>
              <w:rPr>
                <w:rFonts w:ascii="Times New Roman"/>
                <w:sz w:val="15"/>
              </w:rPr>
              <w:t>33,236,015.99</w:t>
            </w:r>
          </w:p>
        </w:tc>
        <w:tc>
          <w:tcPr>
            <w:tcW w:w="8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388" w:right="0"/>
              <w:jc w:val="left"/>
              <w:rPr>
                <w:rFonts w:ascii="Times New Roman" w:hAnsi="Times New Roman" w:cs="Times New Roman" w:eastAsia="Times New Roman" w:hint="default"/>
                <w:sz w:val="15"/>
                <w:szCs w:val="15"/>
              </w:rPr>
            </w:pPr>
            <w:r>
              <w:rPr>
                <w:rFonts w:ascii="Times New Roman"/>
                <w:sz w:val="15"/>
              </w:rPr>
              <w:t>349,602,074.34</w:t>
            </w:r>
          </w:p>
        </w:tc>
        <w:tc>
          <w:tcPr>
            <w:tcW w:w="68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1,232,292.57</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5"/>
                <w:szCs w:val="15"/>
              </w:rPr>
            </w:pPr>
            <w:r>
              <w:rPr>
                <w:rFonts w:ascii="Times New Roman"/>
                <w:spacing w:val="-1"/>
                <w:sz w:val="15"/>
              </w:rPr>
              <w:t>2,268,685,302.82</w:t>
            </w:r>
          </w:p>
        </w:tc>
      </w:tr>
    </w:tbl>
    <w:p>
      <w:pPr>
        <w:spacing w:after="0" w:line="240" w:lineRule="auto"/>
        <w:jc w:val="right"/>
        <w:rPr>
          <w:rFonts w:ascii="Times New Roman" w:hAnsi="Times New Roman" w:cs="Times New Roman" w:eastAsia="Times New Roman" w:hint="default"/>
          <w:sz w:val="15"/>
          <w:szCs w:val="15"/>
        </w:rPr>
        <w:sectPr>
          <w:pgSz w:w="16840" w:h="11910" w:orient="landscape"/>
          <w:pgMar w:header="851" w:footer="1462" w:top="1300" w:bottom="1660" w:left="1300" w:right="920"/>
        </w:sectPr>
      </w:pPr>
    </w:p>
    <w:p>
      <w:pPr>
        <w:spacing w:line="240" w:lineRule="auto" w:before="13"/>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headerReference w:type="default" r:id="rId65"/>
          <w:footerReference w:type="default" r:id="rId66"/>
          <w:pgSz w:w="11910" w:h="16840"/>
          <w:pgMar w:header="851" w:footer="982" w:top="1300" w:bottom="1180" w:left="1660" w:right="1060"/>
          <w:pgNumType w:start="91"/>
        </w:sectPr>
      </w:pPr>
    </w:p>
    <w:p>
      <w:pPr>
        <w:pStyle w:val="Heading1"/>
        <w:spacing w:line="240" w:lineRule="auto"/>
        <w:ind w:left="140" w:right="-20"/>
        <w:jc w:val="left"/>
        <w:rPr>
          <w:b w:val="0"/>
          <w:bCs w:val="0"/>
        </w:rPr>
      </w:pPr>
      <w:r>
        <w:rPr/>
        <w:t>三、财务报表附注</w:t>
      </w:r>
      <w:r>
        <w:rPr>
          <w:b w:val="0"/>
          <w:bCs w:val="0"/>
        </w:rPr>
      </w:r>
    </w:p>
    <w:p>
      <w:pPr>
        <w:spacing w:line="240" w:lineRule="auto" w:before="9"/>
        <w:rPr>
          <w:rFonts w:ascii="宋体" w:hAnsi="宋体" w:cs="宋体" w:eastAsia="宋体" w:hint="default"/>
          <w:b/>
          <w:bCs/>
          <w:sz w:val="45"/>
          <w:szCs w:val="45"/>
        </w:rPr>
      </w:pPr>
      <w:r>
        <w:rPr/>
        <w:br w:type="column"/>
      </w:r>
      <w:r>
        <w:rPr>
          <w:rFonts w:ascii="宋体"/>
          <w:b/>
          <w:sz w:val="45"/>
        </w:rPr>
      </w:r>
    </w:p>
    <w:p>
      <w:pPr>
        <w:spacing w:line="416" w:lineRule="exact" w:before="0"/>
        <w:ind w:left="371" w:right="2360" w:hanging="232"/>
        <w:jc w:val="left"/>
        <w:rPr>
          <w:rFonts w:ascii="宋体" w:hAnsi="宋体" w:cs="宋体" w:eastAsia="宋体" w:hint="default"/>
          <w:sz w:val="32"/>
          <w:szCs w:val="32"/>
        </w:rPr>
      </w:pPr>
      <w:r>
        <w:rPr>
          <w:rFonts w:ascii="宋体" w:hAnsi="宋体" w:cs="宋体" w:eastAsia="宋体" w:hint="default"/>
          <w:b/>
          <w:bCs/>
          <w:sz w:val="32"/>
          <w:szCs w:val="32"/>
        </w:rPr>
        <w:t>北京神州泰岳软件股份有限公司</w:t>
      </w:r>
      <w:r>
        <w:rPr>
          <w:rFonts w:ascii="宋体" w:hAnsi="宋体" w:cs="宋体" w:eastAsia="宋体" w:hint="default"/>
          <w:b/>
          <w:bCs/>
          <w:w w:val="99"/>
          <w:sz w:val="32"/>
          <w:szCs w:val="32"/>
        </w:rPr>
        <w:t> </w:t>
      </w:r>
      <w:r>
        <w:rPr>
          <w:rFonts w:ascii="宋体" w:hAnsi="宋体" w:cs="宋体" w:eastAsia="宋体" w:hint="default"/>
          <w:b/>
          <w:bCs/>
          <w:sz w:val="32"/>
          <w:szCs w:val="32"/>
        </w:rPr>
        <w:t>二</w:t>
      </w:r>
      <w:r>
        <w:rPr>
          <w:rFonts w:ascii="宋体" w:hAnsi="宋体" w:cs="宋体" w:eastAsia="宋体" w:hint="default"/>
          <w:b/>
          <w:bCs/>
          <w:spacing w:val="-82"/>
          <w:sz w:val="32"/>
          <w:szCs w:val="32"/>
        </w:rPr>
        <w:t> </w:t>
      </w:r>
      <w:r>
        <w:rPr>
          <w:rFonts w:ascii="Times New Roman" w:hAnsi="Times New Roman" w:cs="Times New Roman" w:eastAsia="Times New Roman" w:hint="default"/>
          <w:b/>
          <w:bCs/>
          <w:sz w:val="32"/>
          <w:szCs w:val="32"/>
        </w:rPr>
        <w:t>O</w:t>
      </w:r>
      <w:r>
        <w:rPr>
          <w:rFonts w:ascii="Times New Roman" w:hAnsi="Times New Roman" w:cs="Times New Roman" w:eastAsia="Times New Roman" w:hint="default"/>
          <w:b/>
          <w:bCs/>
          <w:spacing w:val="-2"/>
          <w:sz w:val="32"/>
          <w:szCs w:val="32"/>
        </w:rPr>
        <w:t> </w:t>
      </w:r>
      <w:r>
        <w:rPr>
          <w:rFonts w:ascii="宋体" w:hAnsi="宋体" w:cs="宋体" w:eastAsia="宋体" w:hint="default"/>
          <w:b/>
          <w:bCs/>
          <w:sz w:val="32"/>
          <w:szCs w:val="32"/>
        </w:rPr>
        <w:t>一</w:t>
      </w:r>
      <w:r>
        <w:rPr>
          <w:rFonts w:ascii="宋体" w:hAnsi="宋体" w:cs="宋体" w:eastAsia="宋体" w:hint="default"/>
          <w:b/>
          <w:bCs/>
          <w:spacing w:val="-83"/>
          <w:sz w:val="32"/>
          <w:szCs w:val="32"/>
        </w:rPr>
        <w:t> </w:t>
      </w:r>
      <w:r>
        <w:rPr>
          <w:rFonts w:ascii="Times New Roman" w:hAnsi="Times New Roman" w:cs="Times New Roman" w:eastAsia="Times New Roman" w:hint="default"/>
          <w:b/>
          <w:bCs/>
          <w:sz w:val="32"/>
          <w:szCs w:val="32"/>
        </w:rPr>
        <w:t>O</w:t>
      </w:r>
      <w:r>
        <w:rPr>
          <w:rFonts w:ascii="Times New Roman" w:hAnsi="Times New Roman" w:cs="Times New Roman" w:eastAsia="Times New Roman" w:hint="default"/>
          <w:b/>
          <w:bCs/>
          <w:spacing w:val="-2"/>
          <w:sz w:val="32"/>
          <w:szCs w:val="32"/>
        </w:rPr>
        <w:t> </w:t>
      </w:r>
      <w:r>
        <w:rPr>
          <w:rFonts w:ascii="宋体" w:hAnsi="宋体" w:cs="宋体" w:eastAsia="宋体" w:hint="default"/>
          <w:b/>
          <w:bCs/>
          <w:sz w:val="32"/>
          <w:szCs w:val="32"/>
        </w:rPr>
        <w:t>年度财务报表附注</w:t>
      </w:r>
      <w:r>
        <w:rPr>
          <w:rFonts w:ascii="宋体" w:hAnsi="宋体" w:cs="宋体" w:eastAsia="宋体" w:hint="default"/>
          <w:sz w:val="32"/>
          <w:szCs w:val="32"/>
        </w:rPr>
      </w:r>
    </w:p>
    <w:p>
      <w:pPr>
        <w:spacing w:after="0" w:line="416" w:lineRule="exact"/>
        <w:jc w:val="left"/>
        <w:rPr>
          <w:rFonts w:ascii="宋体" w:hAnsi="宋体" w:cs="宋体" w:eastAsia="宋体" w:hint="default"/>
          <w:sz w:val="32"/>
          <w:szCs w:val="32"/>
        </w:rPr>
        <w:sectPr>
          <w:type w:val="continuous"/>
          <w:pgSz w:w="11910" w:h="16840"/>
          <w:pgMar w:top="1360" w:bottom="1180" w:left="1660" w:right="1060"/>
          <w:cols w:num="2" w:equalWidth="0">
            <w:col w:w="2069" w:space="98"/>
            <w:col w:w="7023"/>
          </w:cols>
        </w:sectPr>
      </w:pPr>
    </w:p>
    <w:p>
      <w:pPr>
        <w:spacing w:line="240" w:lineRule="auto" w:before="0"/>
        <w:rPr>
          <w:rFonts w:ascii="宋体" w:hAnsi="宋体" w:cs="宋体" w:eastAsia="宋体" w:hint="default"/>
          <w:b/>
          <w:bCs/>
          <w:sz w:val="20"/>
          <w:szCs w:val="20"/>
        </w:rPr>
      </w:pPr>
    </w:p>
    <w:p>
      <w:pPr>
        <w:pStyle w:val="Heading1"/>
        <w:tabs>
          <w:tab w:pos="729" w:val="left" w:leader="none"/>
        </w:tabs>
        <w:spacing w:line="240" w:lineRule="auto" w:before="199"/>
        <w:ind w:right="6758"/>
        <w:jc w:val="center"/>
        <w:rPr>
          <w:b w:val="0"/>
          <w:bCs w:val="0"/>
        </w:rPr>
      </w:pPr>
      <w:r>
        <w:rPr>
          <w:w w:val="95"/>
        </w:rPr>
        <w:t>一、</w:t>
        <w:tab/>
      </w:r>
      <w:r>
        <w:rPr/>
        <w:t>公司基本情况</w:t>
      </w:r>
      <w:r>
        <w:rPr>
          <w:b w:val="0"/>
          <w:bCs w:val="0"/>
        </w:rPr>
      </w:r>
    </w:p>
    <w:p>
      <w:pPr>
        <w:pStyle w:val="BodyText"/>
        <w:spacing w:line="331" w:lineRule="auto" w:before="129"/>
        <w:ind w:left="857" w:right="205"/>
        <w:jc w:val="left"/>
      </w:pPr>
      <w:r>
        <w:rPr>
          <w:spacing w:val="-1"/>
        </w:rPr>
        <w:t>北京神州泰岳软件股份有限公司（以下简称</w:t>
      </w:r>
      <w:r>
        <w:rPr>
          <w:rFonts w:ascii="Times New Roman" w:hAnsi="Times New Roman" w:cs="Times New Roman" w:eastAsia="Times New Roman" w:hint="default"/>
          <w:spacing w:val="-1"/>
        </w:rPr>
        <w:t>“</w:t>
      </w:r>
      <w:r>
        <w:rPr>
          <w:spacing w:val="-1"/>
        </w:rPr>
        <w:t>公司</w:t>
      </w:r>
      <w:r>
        <w:rPr>
          <w:rFonts w:ascii="Times New Roman" w:hAnsi="Times New Roman" w:cs="Times New Roman" w:eastAsia="Times New Roman" w:hint="default"/>
          <w:spacing w:val="-1"/>
        </w:rPr>
        <w:t>”</w:t>
      </w:r>
      <w:r>
        <w:rPr>
          <w:spacing w:val="-1"/>
        </w:rPr>
        <w:t>或</w:t>
      </w:r>
      <w:r>
        <w:rPr>
          <w:rFonts w:ascii="Times New Roman" w:hAnsi="Times New Roman" w:cs="Times New Roman" w:eastAsia="Times New Roman" w:hint="default"/>
          <w:spacing w:val="-1"/>
        </w:rPr>
        <w:t>“</w:t>
      </w:r>
      <w:r>
        <w:rPr>
          <w:spacing w:val="-1"/>
        </w:rPr>
        <w:t>本公司</w:t>
      </w:r>
      <w:r>
        <w:rPr>
          <w:rFonts w:ascii="Times New Roman" w:hAnsi="Times New Roman" w:cs="Times New Roman" w:eastAsia="Times New Roman" w:hint="default"/>
          <w:spacing w:val="-1"/>
        </w:rPr>
        <w:t>”</w:t>
      </w:r>
      <w:r>
        <w:rPr>
          <w:spacing w:val="-1"/>
        </w:rPr>
        <w:t>）前身系北京神州泰岳软件</w:t>
      </w:r>
      <w:r>
        <w:rPr>
          <w:spacing w:val="-95"/>
        </w:rPr>
        <w:t> </w:t>
      </w:r>
      <w:r>
        <w:rPr>
          <w:spacing w:val="-95"/>
        </w:rPr>
      </w:r>
      <w:r>
        <w:rPr/>
        <w:t>有限公司，成立于</w:t>
      </w:r>
      <w:r>
        <w:rPr>
          <w:spacing w:val="-55"/>
        </w:rPr>
        <w:t> </w:t>
      </w:r>
      <w:r>
        <w:rPr>
          <w:rFonts w:ascii="Times New Roman" w:hAnsi="Times New Roman" w:cs="Times New Roman" w:eastAsia="Times New Roman" w:hint="default"/>
        </w:rPr>
        <w:t>2001</w:t>
      </w:r>
      <w:r>
        <w:rPr>
          <w:rFonts w:ascii="Times New Roman" w:hAnsi="Times New Roman" w:cs="Times New Roman" w:eastAsia="Times New Roman" w:hint="default"/>
          <w:spacing w:val="-3"/>
        </w:rPr>
        <w:t> </w:t>
      </w:r>
      <w:r>
        <w:rPr/>
        <w:t>年</w:t>
      </w:r>
      <w:r>
        <w:rPr>
          <w:spacing w:val="-55"/>
        </w:rPr>
        <w:t> </w:t>
      </w:r>
      <w:r>
        <w:rPr>
          <w:rFonts w:ascii="Times New Roman" w:hAnsi="Times New Roman" w:cs="Times New Roman" w:eastAsia="Times New Roman" w:hint="default"/>
        </w:rPr>
        <w:t>5</w:t>
      </w:r>
      <w:r>
        <w:rPr>
          <w:rFonts w:ascii="Times New Roman" w:hAnsi="Times New Roman" w:cs="Times New Roman" w:eastAsia="Times New Roman" w:hint="default"/>
          <w:spacing w:val="-2"/>
        </w:rPr>
        <w:t> </w:t>
      </w:r>
      <w:r>
        <w:rPr/>
        <w:t>月</w:t>
      </w:r>
      <w:r>
        <w:rPr>
          <w:spacing w:val="-56"/>
        </w:rPr>
        <w:t> </w:t>
      </w:r>
      <w:r>
        <w:rPr>
          <w:rFonts w:ascii="Times New Roman" w:hAnsi="Times New Roman" w:cs="Times New Roman" w:eastAsia="Times New Roman" w:hint="default"/>
        </w:rPr>
        <w:t>18</w:t>
      </w:r>
      <w:r>
        <w:rPr>
          <w:rFonts w:ascii="Times New Roman" w:hAnsi="Times New Roman" w:cs="Times New Roman" w:eastAsia="Times New Roman" w:hint="default"/>
          <w:spacing w:val="-2"/>
        </w:rPr>
        <w:t> </w:t>
      </w:r>
      <w:r>
        <w:rPr/>
        <w:t>日，成立时注册资本为人民币</w:t>
      </w:r>
      <w:r>
        <w:rPr>
          <w:spacing w:val="-55"/>
        </w:rPr>
        <w:t> </w:t>
      </w:r>
      <w:r>
        <w:rPr>
          <w:rFonts w:ascii="Times New Roman" w:hAnsi="Times New Roman" w:cs="Times New Roman" w:eastAsia="Times New Roman" w:hint="default"/>
        </w:rPr>
        <w:t>1,000</w:t>
      </w:r>
      <w:r>
        <w:rPr>
          <w:rFonts w:ascii="Times New Roman" w:hAnsi="Times New Roman" w:cs="Times New Roman" w:eastAsia="Times New Roman" w:hint="default"/>
          <w:spacing w:val="-2"/>
        </w:rPr>
        <w:t> </w:t>
      </w:r>
      <w:r>
        <w:rPr/>
        <w:t>万元。</w:t>
      </w:r>
    </w:p>
    <w:p>
      <w:pPr>
        <w:spacing w:line="240" w:lineRule="auto" w:before="1"/>
        <w:rPr>
          <w:rFonts w:ascii="宋体" w:hAnsi="宋体" w:cs="宋体" w:eastAsia="宋体" w:hint="default"/>
          <w:sz w:val="32"/>
          <w:szCs w:val="32"/>
        </w:rPr>
      </w:pPr>
    </w:p>
    <w:p>
      <w:pPr>
        <w:pStyle w:val="BodyText"/>
        <w:spacing w:line="331" w:lineRule="auto"/>
        <w:ind w:left="857" w:right="103"/>
        <w:jc w:val="left"/>
        <w:rPr>
          <w:rFonts w:ascii="Times New Roman" w:hAnsi="Times New Roman" w:cs="Times New Roman" w:eastAsia="Times New Roman" w:hint="default"/>
        </w:rPr>
      </w:pPr>
      <w:r>
        <w:rPr>
          <w:rFonts w:ascii="Times New Roman" w:hAnsi="Times New Roman" w:cs="Times New Roman" w:eastAsia="Times New Roman" w:hint="default"/>
        </w:rPr>
        <w:t>2002</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5</w:t>
      </w:r>
      <w:r>
        <w:rPr>
          <w:rFonts w:ascii="Times New Roman" w:hAnsi="Times New Roman" w:cs="Times New Roman" w:eastAsia="Times New Roman" w:hint="default"/>
          <w:spacing w:val="-4"/>
        </w:rPr>
        <w:t> </w:t>
      </w:r>
      <w:r>
        <w:rPr/>
        <w:t>月</w:t>
      </w:r>
      <w:r>
        <w:rPr>
          <w:spacing w:val="-57"/>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日，经股东会表决通过，以截至</w:t>
      </w:r>
      <w:r>
        <w:rPr>
          <w:spacing w:val="-56"/>
        </w:rPr>
        <w:t> </w:t>
      </w:r>
      <w:r>
        <w:rPr>
          <w:rFonts w:ascii="Times New Roman" w:hAnsi="Times New Roman" w:cs="Times New Roman" w:eastAsia="Times New Roman" w:hint="default"/>
        </w:rPr>
        <w:t>2002</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4</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30</w:t>
      </w:r>
      <w:r>
        <w:rPr>
          <w:rFonts w:ascii="Times New Roman" w:hAnsi="Times New Roman" w:cs="Times New Roman" w:eastAsia="Times New Roman" w:hint="default"/>
          <w:spacing w:val="-4"/>
        </w:rPr>
        <w:t> </w:t>
      </w:r>
      <w:r>
        <w:rPr/>
        <w:t>日经审计的净资产为基数， 按照</w:t>
      </w:r>
      <w:r>
        <w:rPr>
          <w:spacing w:val="-43"/>
        </w:rPr>
        <w:t> </w:t>
      </w:r>
      <w:r>
        <w:rPr>
          <w:rFonts w:ascii="Times New Roman" w:hAnsi="Times New Roman" w:cs="Times New Roman" w:eastAsia="Times New Roman" w:hint="default"/>
        </w:rPr>
        <w:t>1</w:t>
      </w:r>
      <w:r>
        <w:rPr/>
        <w:t>：</w:t>
      </w:r>
      <w:r>
        <w:rPr>
          <w:rFonts w:ascii="Times New Roman" w:hAnsi="Times New Roman" w:cs="Times New Roman" w:eastAsia="Times New Roman" w:hint="default"/>
        </w:rPr>
        <w:t>1</w:t>
      </w:r>
      <w:r>
        <w:rPr>
          <w:rFonts w:ascii="Times New Roman" w:hAnsi="Times New Roman" w:cs="Times New Roman" w:eastAsia="Times New Roman" w:hint="default"/>
          <w:spacing w:val="10"/>
        </w:rPr>
        <w:t> </w:t>
      </w:r>
      <w:r>
        <w:rPr/>
        <w:t>的比例折股，整体变更设立为股份有限公司。</w:t>
      </w:r>
      <w:r>
        <w:rPr>
          <w:rFonts w:ascii="Times New Roman" w:hAnsi="Times New Roman" w:cs="Times New Roman" w:eastAsia="Times New Roman" w:hint="default"/>
        </w:rPr>
        <w:t>2002</w:t>
      </w:r>
      <w:r>
        <w:rPr>
          <w:rFonts w:ascii="Times New Roman" w:hAnsi="Times New Roman" w:cs="Times New Roman" w:eastAsia="Times New Roman" w:hint="default"/>
          <w:spacing w:val="10"/>
        </w:rPr>
        <w:t> </w:t>
      </w:r>
      <w:r>
        <w:rPr/>
        <w:t>年</w:t>
      </w:r>
      <w:r>
        <w:rPr>
          <w:spacing w:val="-43"/>
        </w:rPr>
        <w:t> </w:t>
      </w:r>
      <w:r>
        <w:rPr>
          <w:rFonts w:ascii="Times New Roman" w:hAnsi="Times New Roman" w:cs="Times New Roman" w:eastAsia="Times New Roman" w:hint="default"/>
        </w:rPr>
        <w:t>5</w:t>
      </w:r>
      <w:r>
        <w:rPr>
          <w:rFonts w:ascii="Times New Roman" w:hAnsi="Times New Roman" w:cs="Times New Roman" w:eastAsia="Times New Roman" w:hint="default"/>
          <w:spacing w:val="10"/>
        </w:rPr>
        <w:t> </w:t>
      </w:r>
      <w:r>
        <w:rPr/>
        <w:t>月</w:t>
      </w:r>
      <w:r>
        <w:rPr>
          <w:spacing w:val="-43"/>
        </w:rPr>
        <w:t> </w:t>
      </w:r>
      <w:r>
        <w:rPr>
          <w:rFonts w:ascii="Times New Roman" w:hAnsi="Times New Roman" w:cs="Times New Roman" w:eastAsia="Times New Roman" w:hint="default"/>
        </w:rPr>
        <w:t>27</w:t>
      </w:r>
      <w:r>
        <w:rPr>
          <w:rFonts w:ascii="Times New Roman" w:hAnsi="Times New Roman" w:cs="Times New Roman" w:eastAsia="Times New Roman" w:hint="default"/>
          <w:spacing w:val="10"/>
        </w:rPr>
        <w:t> </w:t>
      </w:r>
      <w:r>
        <w:rPr/>
        <w:t>日，北京市人民 政府经济体制改革办公室出具京政体改股函【</w:t>
      </w:r>
      <w:r>
        <w:rPr>
          <w:rFonts w:ascii="Times New Roman" w:hAnsi="Times New Roman" w:cs="Times New Roman" w:eastAsia="Times New Roman" w:hint="default"/>
        </w:rPr>
        <w:t>2002</w:t>
      </w:r>
      <w:r>
        <w:rPr/>
        <w:t>】</w:t>
      </w:r>
      <w:r>
        <w:rPr>
          <w:rFonts w:ascii="Times New Roman" w:hAnsi="Times New Roman" w:cs="Times New Roman" w:eastAsia="Times New Roman" w:hint="default"/>
        </w:rPr>
        <w:t>7</w:t>
      </w:r>
      <w:r>
        <w:rPr>
          <w:rFonts w:ascii="Times New Roman" w:hAnsi="Times New Roman" w:cs="Times New Roman" w:eastAsia="Times New Roman" w:hint="default"/>
          <w:spacing w:val="-9"/>
        </w:rPr>
        <w:t> </w:t>
      </w:r>
      <w:r>
        <w:rPr/>
        <w:t>号文批准了公司的上述整体改制方 </w:t>
      </w:r>
      <w:r>
        <w:rPr>
          <w:spacing w:val="-13"/>
        </w:rPr>
        <w:t>案。</w:t>
      </w:r>
      <w:r>
        <w:rPr>
          <w:rFonts w:ascii="Times New Roman" w:hAnsi="Times New Roman" w:cs="Times New Roman" w:eastAsia="Times New Roman" w:hint="default"/>
          <w:spacing w:val="-13"/>
        </w:rPr>
        <w:t>2002</w:t>
      </w:r>
      <w:r>
        <w:rPr>
          <w:rFonts w:ascii="Times New Roman" w:hAnsi="Times New Roman" w:cs="Times New Roman" w:eastAsia="Times New Roman" w:hint="default"/>
          <w:spacing w:val="5"/>
        </w:rPr>
        <w:t> </w:t>
      </w:r>
      <w:r>
        <w:rPr/>
        <w:t>年</w:t>
      </w:r>
      <w:r>
        <w:rPr>
          <w:spacing w:val="-50"/>
        </w:rPr>
        <w:t> </w:t>
      </w:r>
      <w:r>
        <w:rPr>
          <w:rFonts w:ascii="Times New Roman" w:hAnsi="Times New Roman" w:cs="Times New Roman" w:eastAsia="Times New Roman" w:hint="default"/>
        </w:rPr>
        <w:t>5</w:t>
      </w:r>
      <w:r>
        <w:rPr>
          <w:rFonts w:ascii="Times New Roman" w:hAnsi="Times New Roman" w:cs="Times New Roman" w:eastAsia="Times New Roman" w:hint="default"/>
          <w:spacing w:val="5"/>
        </w:rPr>
        <w:t> </w:t>
      </w:r>
      <w:r>
        <w:rPr/>
        <w:t>月</w:t>
      </w:r>
      <w:r>
        <w:rPr>
          <w:spacing w:val="-50"/>
        </w:rPr>
        <w:t> </w:t>
      </w:r>
      <w:r>
        <w:rPr>
          <w:rFonts w:ascii="Times New Roman" w:hAnsi="Times New Roman" w:cs="Times New Roman" w:eastAsia="Times New Roman" w:hint="default"/>
        </w:rPr>
        <w:t>27</w:t>
      </w:r>
      <w:r>
        <w:rPr>
          <w:rFonts w:ascii="Times New Roman" w:hAnsi="Times New Roman" w:cs="Times New Roman" w:eastAsia="Times New Roman" w:hint="default"/>
          <w:spacing w:val="5"/>
        </w:rPr>
        <w:t> </w:t>
      </w:r>
      <w:r>
        <w:rPr>
          <w:spacing w:val="-8"/>
        </w:rPr>
        <w:t>日，北京京都会计师事务所有限公司出具北京京都验字〔</w:t>
      </w:r>
      <w:r>
        <w:rPr>
          <w:rFonts w:ascii="Times New Roman" w:hAnsi="Times New Roman" w:cs="Times New Roman" w:eastAsia="Times New Roman" w:hint="default"/>
          <w:spacing w:val="-8"/>
        </w:rPr>
        <w:t>2002</w:t>
      </w:r>
      <w:r>
        <w:rPr>
          <w:spacing w:val="-8"/>
        </w:rPr>
        <w:t>〕第</w:t>
      </w:r>
      <w:r>
        <w:rPr>
          <w:spacing w:val="-47"/>
        </w:rPr>
        <w:t> </w:t>
      </w:r>
      <w:r>
        <w:rPr>
          <w:rFonts w:ascii="Times New Roman" w:hAnsi="Times New Roman" w:cs="Times New Roman" w:eastAsia="Times New Roman" w:hint="default"/>
        </w:rPr>
        <w:t>0025</w:t>
      </w:r>
    </w:p>
    <w:p>
      <w:pPr>
        <w:pStyle w:val="BodyText"/>
        <w:spacing w:line="328" w:lineRule="auto" w:before="22"/>
        <w:ind w:left="857" w:right="103"/>
        <w:jc w:val="left"/>
      </w:pPr>
      <w:r>
        <w:rPr/>
        <w:t>号《验资报告》审验确认，公司注册资本人民币</w:t>
      </w:r>
      <w:r>
        <w:rPr>
          <w:spacing w:val="-57"/>
        </w:rPr>
        <w:t> </w:t>
      </w:r>
      <w:r>
        <w:rPr>
          <w:rFonts w:ascii="Times New Roman" w:hAnsi="Times New Roman" w:cs="Times New Roman" w:eastAsia="Times New Roman" w:hint="default"/>
        </w:rPr>
        <w:t>2,159.20</w:t>
      </w:r>
      <w:r>
        <w:rPr>
          <w:rFonts w:ascii="Times New Roman" w:hAnsi="Times New Roman" w:cs="Times New Roman" w:eastAsia="Times New Roman" w:hint="default"/>
          <w:spacing w:val="-6"/>
        </w:rPr>
        <w:t> </w:t>
      </w:r>
      <w:r>
        <w:rPr/>
        <w:t>万元已缴足。</w:t>
      </w:r>
      <w:r>
        <w:rPr>
          <w:rFonts w:ascii="Times New Roman" w:hAnsi="Times New Roman" w:cs="Times New Roman" w:eastAsia="Times New Roman" w:hint="default"/>
        </w:rPr>
        <w:t>2002</w:t>
      </w:r>
      <w:r>
        <w:rPr>
          <w:rFonts w:ascii="Times New Roman" w:hAnsi="Times New Roman" w:cs="Times New Roman" w:eastAsia="Times New Roman" w:hint="default"/>
          <w:spacing w:val="-5"/>
        </w:rPr>
        <w:t> </w:t>
      </w:r>
      <w:r>
        <w:rPr/>
        <w:t>年</w:t>
      </w:r>
      <w:r>
        <w:rPr>
          <w:spacing w:val="-59"/>
        </w:rPr>
        <w:t> </w:t>
      </w:r>
      <w:r>
        <w:rPr>
          <w:rFonts w:ascii="Times New Roman" w:hAnsi="Times New Roman" w:cs="Times New Roman" w:eastAsia="Times New Roman" w:hint="default"/>
        </w:rPr>
        <w:t>6</w:t>
      </w:r>
      <w:r>
        <w:rPr>
          <w:rFonts w:ascii="Times New Roman" w:hAnsi="Times New Roman" w:cs="Times New Roman" w:eastAsia="Times New Roman" w:hint="default"/>
          <w:spacing w:val="-6"/>
        </w:rPr>
        <w:t> </w:t>
      </w:r>
      <w:r>
        <w:rPr/>
        <w:t>月</w:t>
      </w:r>
      <w:r>
        <w:rPr>
          <w:spacing w:val="-58"/>
        </w:rPr>
        <w:t> </w:t>
      </w:r>
      <w:r>
        <w:rPr>
          <w:rFonts w:ascii="Times New Roman" w:hAnsi="Times New Roman" w:cs="Times New Roman" w:eastAsia="Times New Roman" w:hint="default"/>
        </w:rPr>
        <w:t>3</w:t>
      </w:r>
      <w:r>
        <w:rPr>
          <w:rFonts w:ascii="Times New Roman" w:hAnsi="Times New Roman" w:cs="Times New Roman" w:eastAsia="Times New Roman" w:hint="default"/>
          <w:spacing w:val="-5"/>
        </w:rPr>
        <w:t> </w:t>
      </w:r>
      <w:r>
        <w:rPr/>
        <w:t>日，</w:t>
      </w:r>
      <w:r>
        <w:rPr>
          <w:spacing w:val="-2"/>
        </w:rPr>
        <w:t> </w:t>
      </w:r>
      <w:r>
        <w:rPr/>
        <w:t>公司在北京市工商行政管理局注册登记并取得注册号为</w:t>
      </w:r>
      <w:r>
        <w:rPr>
          <w:spacing w:val="-54"/>
        </w:rPr>
        <w:t> </w:t>
      </w:r>
      <w:r>
        <w:rPr>
          <w:rFonts w:ascii="Times New Roman" w:hAnsi="Times New Roman" w:cs="Times New Roman" w:eastAsia="Times New Roman" w:hint="default"/>
        </w:rPr>
        <w:t>1100001270093</w:t>
      </w:r>
      <w:r>
        <w:rPr>
          <w:rFonts w:ascii="Times New Roman" w:hAnsi="Times New Roman" w:cs="Times New Roman" w:eastAsia="Times New Roman" w:hint="default"/>
          <w:spacing w:val="-2"/>
        </w:rPr>
        <w:t> </w:t>
      </w:r>
      <w:r>
        <w:rPr>
          <w:spacing w:val="-10"/>
        </w:rPr>
        <w:t>的《企业法人营业</w:t>
      </w:r>
      <w:r>
        <w:rPr/>
        <w:t> 执照》。</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BodyText"/>
        <w:spacing w:line="240" w:lineRule="auto"/>
        <w:ind w:left="857" w:right="312"/>
        <w:jc w:val="left"/>
      </w:pPr>
      <w:r>
        <w:rPr/>
        <w:t>经历次股权转让和增资，至</w:t>
      </w:r>
      <w:r>
        <w:rPr>
          <w:spacing w:val="-54"/>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25</w:t>
      </w:r>
      <w:r>
        <w:rPr>
          <w:rFonts w:ascii="Times New Roman" w:hAnsi="Times New Roman" w:cs="Times New Roman" w:eastAsia="Times New Roman" w:hint="default"/>
          <w:spacing w:val="-1"/>
        </w:rPr>
        <w:t> </w:t>
      </w:r>
      <w:r>
        <w:rPr/>
        <w:t>日，公司注册资本为人民币</w:t>
      </w:r>
      <w:r>
        <w:rPr>
          <w:spacing w:val="-54"/>
        </w:rPr>
        <w:t> </w:t>
      </w:r>
      <w:r>
        <w:rPr>
          <w:rFonts w:ascii="Times New Roman" w:hAnsi="Times New Roman" w:cs="Times New Roman" w:eastAsia="Times New Roman" w:hint="default"/>
        </w:rPr>
        <w:t>9,480</w:t>
      </w:r>
      <w:r>
        <w:rPr>
          <w:rFonts w:ascii="Times New Roman" w:hAnsi="Times New Roman" w:cs="Times New Roman" w:eastAsia="Times New Roman" w:hint="default"/>
          <w:spacing w:val="-1"/>
        </w:rPr>
        <w:t> </w:t>
      </w:r>
      <w:r>
        <w:rPr/>
        <w:t>万元。</w:t>
      </w:r>
    </w:p>
    <w:p>
      <w:pPr>
        <w:pStyle w:val="BodyText"/>
        <w:spacing w:line="331" w:lineRule="auto" w:before="109"/>
        <w:ind w:left="857" w:right="95"/>
        <w:jc w:val="left"/>
      </w:pPr>
      <w:r>
        <w:rPr>
          <w:rFonts w:ascii="Times New Roman" w:hAnsi="Times New Roman" w:cs="Times New Roman" w:eastAsia="Times New Roman" w:hint="default"/>
        </w:rPr>
        <w:t>2009</w:t>
      </w:r>
      <w:r>
        <w:rPr>
          <w:rFonts w:ascii="Times New Roman" w:hAnsi="Times New Roman" w:cs="Times New Roman" w:eastAsia="Times New Roman" w:hint="default"/>
          <w:spacing w:val="8"/>
        </w:rPr>
        <w:t> </w:t>
      </w:r>
      <w:r>
        <w:rPr/>
        <w:t>年</w:t>
      </w:r>
      <w:r>
        <w:rPr>
          <w:spacing w:val="-45"/>
        </w:rPr>
        <w:t> </w:t>
      </w:r>
      <w:r>
        <w:rPr>
          <w:rFonts w:ascii="Times New Roman" w:hAnsi="Times New Roman" w:cs="Times New Roman" w:eastAsia="Times New Roman" w:hint="default"/>
        </w:rPr>
        <w:t>9</w:t>
      </w:r>
      <w:r>
        <w:rPr>
          <w:rFonts w:ascii="Times New Roman" w:hAnsi="Times New Roman" w:cs="Times New Roman" w:eastAsia="Times New Roman" w:hint="default"/>
          <w:spacing w:val="8"/>
        </w:rPr>
        <w:t> </w:t>
      </w:r>
      <w:r>
        <w:rPr/>
        <w:t>月</w:t>
      </w:r>
      <w:r>
        <w:rPr>
          <w:spacing w:val="-46"/>
        </w:rPr>
        <w:t> </w:t>
      </w:r>
      <w:r>
        <w:rPr>
          <w:rFonts w:ascii="Times New Roman" w:hAnsi="Times New Roman" w:cs="Times New Roman" w:eastAsia="Times New Roman" w:hint="default"/>
        </w:rPr>
        <w:t>20</w:t>
      </w:r>
      <w:r>
        <w:rPr>
          <w:rFonts w:ascii="Times New Roman" w:hAnsi="Times New Roman" w:cs="Times New Roman" w:eastAsia="Times New Roman" w:hint="default"/>
          <w:spacing w:val="8"/>
        </w:rPr>
        <w:t> </w:t>
      </w:r>
      <w:r>
        <w:rPr/>
        <w:t>日，经中国证券监督管理委员会以</w:t>
      </w:r>
      <w:r>
        <w:rPr>
          <w:rFonts w:ascii="Times New Roman" w:hAnsi="Times New Roman" w:cs="Times New Roman" w:eastAsia="Times New Roman" w:hint="default"/>
        </w:rPr>
        <w:t>“</w:t>
      </w:r>
      <w:r>
        <w:rPr/>
        <w:t>证监许可【</w:t>
      </w:r>
      <w:r>
        <w:rPr>
          <w:rFonts w:ascii="Times New Roman" w:hAnsi="Times New Roman" w:cs="Times New Roman" w:eastAsia="Times New Roman" w:hint="default"/>
        </w:rPr>
        <w:t>2009</w:t>
      </w:r>
      <w:r>
        <w:rPr/>
        <w:t>】</w:t>
      </w:r>
      <w:r>
        <w:rPr>
          <w:rFonts w:ascii="Times New Roman" w:hAnsi="Times New Roman" w:cs="Times New Roman" w:eastAsia="Times New Roman" w:hint="default"/>
        </w:rPr>
        <w:t>952</w:t>
      </w:r>
      <w:r>
        <w:rPr>
          <w:rFonts w:ascii="Times New Roman" w:hAnsi="Times New Roman" w:cs="Times New Roman" w:eastAsia="Times New Roman" w:hint="default"/>
          <w:spacing w:val="7"/>
        </w:rPr>
        <w:t> </w:t>
      </w:r>
      <w:r>
        <w:rPr/>
        <w:t>号</w:t>
      </w:r>
      <w:r>
        <w:rPr>
          <w:rFonts w:ascii="Times New Roman" w:hAnsi="Times New Roman" w:cs="Times New Roman" w:eastAsia="Times New Roman" w:hint="default"/>
        </w:rPr>
        <w:t>”</w:t>
      </w:r>
      <w:r>
        <w:rPr/>
        <w:t>文核准，向 </w:t>
      </w:r>
      <w:r>
        <w:rPr>
          <w:spacing w:val="-4"/>
        </w:rPr>
        <w:t>社会公众公开发行境内上市内资（</w:t>
      </w:r>
      <w:r>
        <w:rPr>
          <w:rFonts w:ascii="Times New Roman" w:hAnsi="Times New Roman" w:cs="Times New Roman" w:eastAsia="Times New Roman" w:hint="default"/>
          <w:spacing w:val="-4"/>
        </w:rPr>
        <w:t>A </w:t>
      </w:r>
      <w:r>
        <w:rPr>
          <w:spacing w:val="-16"/>
        </w:rPr>
        <w:t>股）股票 </w:t>
      </w:r>
      <w:r>
        <w:rPr>
          <w:rFonts w:ascii="Times New Roman" w:hAnsi="Times New Roman" w:cs="Times New Roman" w:eastAsia="Times New Roman" w:hint="default"/>
        </w:rPr>
        <w:t>3,160</w:t>
      </w:r>
      <w:r>
        <w:rPr>
          <w:rFonts w:ascii="Times New Roman" w:hAnsi="Times New Roman" w:cs="Times New Roman" w:eastAsia="Times New Roman" w:hint="default"/>
          <w:spacing w:val="-34"/>
        </w:rPr>
        <w:t> </w:t>
      </w:r>
      <w:r>
        <w:rPr/>
        <w:t>万股并在深圳交易所创业板上市交易。 </w:t>
      </w:r>
      <w:r>
        <w:rPr>
          <w:rFonts w:ascii="Times New Roman" w:hAnsi="Times New Roman" w:cs="Times New Roman" w:eastAsia="Times New Roman" w:hint="default"/>
        </w:rPr>
        <w:t>2009 </w:t>
      </w:r>
      <w:r>
        <w:rPr>
          <w:rFonts w:ascii="Times New Roman" w:hAnsi="Times New Roman" w:cs="Times New Roman" w:eastAsia="Times New Roman" w:hint="default"/>
          <w:spacing w:val="25"/>
        </w:rPr>
        <w:t> </w:t>
      </w:r>
      <w:r>
        <w:rPr/>
        <w:t>年</w:t>
      </w:r>
      <w:r>
        <w:rPr>
          <w:spacing w:val="24"/>
        </w:rPr>
        <w:t> </w:t>
      </w:r>
      <w:r>
        <w:rPr>
          <w:rFonts w:ascii="Times New Roman" w:hAnsi="Times New Roman" w:cs="Times New Roman" w:eastAsia="Times New Roman" w:hint="default"/>
        </w:rPr>
        <w:t>12 </w:t>
      </w:r>
      <w:r>
        <w:rPr>
          <w:rFonts w:ascii="Times New Roman" w:hAnsi="Times New Roman" w:cs="Times New Roman" w:eastAsia="Times New Roman" w:hint="default"/>
          <w:spacing w:val="25"/>
        </w:rPr>
        <w:t> </w:t>
      </w:r>
      <w:r>
        <w:rPr/>
        <w:t>月</w:t>
      </w:r>
      <w:r>
        <w:rPr>
          <w:spacing w:val="24"/>
        </w:rPr>
        <w:t> </w:t>
      </w:r>
      <w:r>
        <w:rPr>
          <w:rFonts w:ascii="Times New Roman" w:hAnsi="Times New Roman" w:cs="Times New Roman" w:eastAsia="Times New Roman" w:hint="default"/>
        </w:rPr>
        <w:t>4 </w:t>
      </w:r>
      <w:r>
        <w:rPr>
          <w:rFonts w:ascii="Times New Roman" w:hAnsi="Times New Roman" w:cs="Times New Roman" w:eastAsia="Times New Roman" w:hint="default"/>
          <w:spacing w:val="25"/>
        </w:rPr>
        <w:t> </w:t>
      </w:r>
      <w:r>
        <w:rPr>
          <w:spacing w:val="23"/>
        </w:rPr>
        <w:t>日，由北京市工商行政管理局换发企业法人营业执照，</w:t>
      </w:r>
      <w:r>
        <w:rPr>
          <w:spacing w:val="-82"/>
        </w:rPr>
        <w:t> </w:t>
      </w:r>
      <w:r>
        <w:rPr>
          <w:spacing w:val="15"/>
        </w:rPr>
        <w:t>注册号</w:t>
      </w:r>
    </w:p>
    <w:p>
      <w:pPr>
        <w:pStyle w:val="BodyText"/>
        <w:spacing w:line="240" w:lineRule="auto" w:before="20"/>
        <w:ind w:left="857" w:right="312"/>
        <w:jc w:val="left"/>
      </w:pPr>
      <w:r>
        <w:rPr>
          <w:rFonts w:ascii="Times New Roman" w:hAnsi="Times New Roman" w:cs="Times New Roman" w:eastAsia="Times New Roman" w:hint="default"/>
        </w:rPr>
        <w:t>110000002700930</w:t>
      </w:r>
      <w:r>
        <w:rPr/>
        <w:t>。</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BodyText"/>
        <w:spacing w:line="240" w:lineRule="auto"/>
        <w:ind w:left="857" w:right="103"/>
        <w:jc w:val="left"/>
      </w:pPr>
      <w:r>
        <w:rPr>
          <w:rFonts w:ascii="Times New Roman" w:hAnsi="Times New Roman" w:cs="Times New Roman" w:eastAsia="Times New Roman" w:hint="default"/>
        </w:rPr>
        <w:t>2010</w:t>
      </w:r>
      <w:r>
        <w:rPr>
          <w:rFonts w:ascii="Times New Roman" w:hAnsi="Times New Roman" w:cs="Times New Roman" w:eastAsia="Times New Roman" w:hint="default"/>
          <w:spacing w:val="6"/>
        </w:rPr>
        <w:t> </w:t>
      </w:r>
      <w:r>
        <w:rPr/>
        <w:t>年</w:t>
      </w:r>
      <w:r>
        <w:rPr>
          <w:spacing w:val="-49"/>
        </w:rPr>
        <w:t> </w:t>
      </w:r>
      <w:r>
        <w:rPr>
          <w:rFonts w:ascii="Times New Roman" w:hAnsi="Times New Roman" w:cs="Times New Roman" w:eastAsia="Times New Roman" w:hint="default"/>
        </w:rPr>
        <w:t>4</w:t>
      </w:r>
      <w:r>
        <w:rPr>
          <w:rFonts w:ascii="Times New Roman" w:hAnsi="Times New Roman" w:cs="Times New Roman" w:eastAsia="Times New Roman" w:hint="default"/>
          <w:spacing w:val="5"/>
        </w:rPr>
        <w:t> </w:t>
      </w:r>
      <w:r>
        <w:rPr/>
        <w:t>月</w:t>
      </w:r>
      <w:r>
        <w:rPr>
          <w:spacing w:val="-49"/>
        </w:rPr>
        <w:t> </w:t>
      </w:r>
      <w:r>
        <w:rPr>
          <w:rFonts w:ascii="Times New Roman" w:hAnsi="Times New Roman" w:cs="Times New Roman" w:eastAsia="Times New Roman" w:hint="default"/>
        </w:rPr>
        <w:t>8</w:t>
      </w:r>
      <w:r>
        <w:rPr>
          <w:rFonts w:ascii="Times New Roman" w:hAnsi="Times New Roman" w:cs="Times New Roman" w:eastAsia="Times New Roman" w:hint="default"/>
          <w:spacing w:val="5"/>
        </w:rPr>
        <w:t> </w:t>
      </w:r>
      <w:r>
        <w:rPr/>
        <w:t>日，经公司</w:t>
      </w:r>
      <w:r>
        <w:rPr>
          <w:spacing w:val="-48"/>
        </w:rPr>
        <w:t> </w:t>
      </w:r>
      <w:r>
        <w:rPr>
          <w:rFonts w:ascii="Times New Roman" w:hAnsi="Times New Roman" w:cs="Times New Roman" w:eastAsia="Times New Roman" w:hint="default"/>
        </w:rPr>
        <w:t>2009</w:t>
      </w:r>
      <w:r>
        <w:rPr>
          <w:rFonts w:ascii="Times New Roman" w:hAnsi="Times New Roman" w:cs="Times New Roman" w:eastAsia="Times New Roman" w:hint="default"/>
          <w:spacing w:val="6"/>
        </w:rPr>
        <w:t> </w:t>
      </w:r>
      <w:r>
        <w:rPr/>
        <w:t>年度股东大会决议通过，以</w:t>
      </w:r>
      <w:r>
        <w:rPr>
          <w:spacing w:val="-48"/>
        </w:rPr>
        <w:t> </w:t>
      </w:r>
      <w:r>
        <w:rPr>
          <w:rFonts w:ascii="Times New Roman" w:hAnsi="Times New Roman" w:cs="Times New Roman" w:eastAsia="Times New Roman" w:hint="default"/>
        </w:rPr>
        <w:t>2009</w:t>
      </w:r>
      <w:r>
        <w:rPr>
          <w:rFonts w:ascii="Times New Roman" w:hAnsi="Times New Roman" w:cs="Times New Roman" w:eastAsia="Times New Roman" w:hint="default"/>
          <w:spacing w:val="5"/>
        </w:rPr>
        <w:t> </w:t>
      </w:r>
      <w:r>
        <w:rPr/>
        <w:t>年</w:t>
      </w:r>
      <w:r>
        <w:rPr>
          <w:spacing w:val="-48"/>
        </w:rPr>
        <w:t> </w:t>
      </w:r>
      <w:r>
        <w:rPr>
          <w:rFonts w:ascii="Times New Roman" w:hAnsi="Times New Roman" w:cs="Times New Roman" w:eastAsia="Times New Roman" w:hint="default"/>
        </w:rPr>
        <w:t>12</w:t>
      </w:r>
      <w:r>
        <w:rPr>
          <w:rFonts w:ascii="Times New Roman" w:hAnsi="Times New Roman" w:cs="Times New Roman" w:eastAsia="Times New Roman" w:hint="default"/>
          <w:spacing w:val="5"/>
        </w:rPr>
        <w:t> </w:t>
      </w:r>
      <w:r>
        <w:rPr/>
        <w:t>月</w:t>
      </w:r>
      <w:r>
        <w:rPr>
          <w:spacing w:val="-49"/>
        </w:rPr>
        <w:t> </w:t>
      </w:r>
      <w:r>
        <w:rPr>
          <w:rFonts w:ascii="Times New Roman" w:hAnsi="Times New Roman" w:cs="Times New Roman" w:eastAsia="Times New Roman" w:hint="default"/>
        </w:rPr>
        <w:t>31</w:t>
      </w:r>
      <w:r>
        <w:rPr>
          <w:rFonts w:ascii="Times New Roman" w:hAnsi="Times New Roman" w:cs="Times New Roman" w:eastAsia="Times New Roman" w:hint="default"/>
          <w:spacing w:val="5"/>
        </w:rPr>
        <w:t> </w:t>
      </w:r>
      <w:r>
        <w:rPr/>
        <w:t>日公司总股</w:t>
      </w:r>
    </w:p>
    <w:p>
      <w:pPr>
        <w:pStyle w:val="BodyText"/>
        <w:spacing w:line="240" w:lineRule="auto" w:before="109"/>
        <w:ind w:left="857" w:right="103"/>
        <w:jc w:val="left"/>
        <w:rPr>
          <w:rFonts w:ascii="Times New Roman" w:hAnsi="Times New Roman" w:cs="Times New Roman" w:eastAsia="Times New Roman" w:hint="default"/>
        </w:rPr>
      </w:pPr>
      <w:r>
        <w:rPr/>
        <w:t>本</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2</w:t>
      </w:r>
      <w:r>
        <w:rPr>
          <w:rFonts w:ascii="Times New Roman" w:hAnsi="Times New Roman" w:cs="Times New Roman" w:eastAsia="Times New Roman" w:hint="default"/>
        </w:rPr>
        <w:t>,</w:t>
      </w:r>
      <w:r>
        <w:rPr>
          <w:rFonts w:ascii="Times New Roman" w:hAnsi="Times New Roman" w:cs="Times New Roman" w:eastAsia="Times New Roman" w:hint="default"/>
          <w:spacing w:val="-1"/>
        </w:rPr>
        <w:t>6</w:t>
      </w:r>
      <w:r>
        <w:rPr>
          <w:rFonts w:ascii="Times New Roman" w:hAnsi="Times New Roman" w:cs="Times New Roman" w:eastAsia="Times New Roman" w:hint="default"/>
        </w:rPr>
        <w:t>40 </w:t>
      </w:r>
      <w:r>
        <w:rPr>
          <w:spacing w:val="-2"/>
        </w:rPr>
        <w:t>万</w:t>
      </w:r>
      <w:r>
        <w:rPr/>
        <w:t>股为基数</w:t>
      </w:r>
      <w:r>
        <w:rPr>
          <w:spacing w:val="-91"/>
        </w:rPr>
        <w:t>，</w:t>
      </w:r>
      <w:r>
        <w:rPr/>
        <w:t>以资本公积金向全体股东每</w:t>
      </w:r>
      <w:r>
        <w:rPr>
          <w:spacing w:val="-53"/>
        </w:rPr>
        <w:t> </w:t>
      </w:r>
      <w:r>
        <w:rPr>
          <w:rFonts w:ascii="Times New Roman" w:hAnsi="Times New Roman" w:cs="Times New Roman" w:eastAsia="Times New Roman" w:hint="default"/>
        </w:rPr>
        <w:t>10  </w:t>
      </w:r>
      <w:r>
        <w:rPr/>
        <w:t>股</w:t>
      </w:r>
      <w:r>
        <w:rPr>
          <w:spacing w:val="-2"/>
        </w:rPr>
        <w:t>转</w:t>
      </w:r>
      <w:r>
        <w:rPr/>
        <w:t>增</w:t>
      </w:r>
      <w:r>
        <w:rPr>
          <w:spacing w:val="-53"/>
        </w:rPr>
        <w:t> </w:t>
      </w:r>
      <w:r>
        <w:rPr>
          <w:rFonts w:ascii="Times New Roman" w:hAnsi="Times New Roman" w:cs="Times New Roman" w:eastAsia="Times New Roman" w:hint="default"/>
          <w:spacing w:val="-1"/>
        </w:rPr>
        <w:t>1</w:t>
      </w:r>
      <w:r>
        <w:rPr>
          <w:rFonts w:ascii="Times New Roman" w:hAnsi="Times New Roman" w:cs="Times New Roman" w:eastAsia="Times New Roman" w:hint="default"/>
        </w:rPr>
        <w:t>5 </w:t>
      </w:r>
      <w:r>
        <w:rPr/>
        <w:t>股</w:t>
      </w:r>
      <w:r>
        <w:rPr>
          <w:spacing w:val="-91"/>
        </w:rPr>
        <w:t>，</w:t>
      </w:r>
      <w:r>
        <w:rPr>
          <w:spacing w:val="-2"/>
        </w:rPr>
        <w:t>合</w:t>
      </w:r>
      <w:r>
        <w:rPr/>
        <w:t>计转增股本</w:t>
      </w:r>
      <w:r>
        <w:rPr>
          <w:spacing w:val="-53"/>
        </w:rPr>
        <w:t> </w:t>
      </w:r>
      <w:r>
        <w:rPr>
          <w:rFonts w:ascii="Times New Roman" w:hAnsi="Times New Roman" w:cs="Times New Roman" w:eastAsia="Times New Roman" w:hint="default"/>
          <w:spacing w:val="-1"/>
        </w:rPr>
        <w:t>1</w:t>
      </w:r>
      <w:r>
        <w:rPr>
          <w:rFonts w:ascii="Times New Roman" w:hAnsi="Times New Roman" w:cs="Times New Roman" w:eastAsia="Times New Roman" w:hint="default"/>
        </w:rPr>
        <w:t>8</w:t>
      </w:r>
      <w:r>
        <w:rPr>
          <w:rFonts w:ascii="Times New Roman" w:hAnsi="Times New Roman" w:cs="Times New Roman" w:eastAsia="Times New Roman" w:hint="default"/>
          <w:spacing w:val="-1"/>
        </w:rPr>
        <w:t>,9</w:t>
      </w:r>
      <w:r>
        <w:rPr>
          <w:rFonts w:ascii="Times New Roman" w:hAnsi="Times New Roman" w:cs="Times New Roman" w:eastAsia="Times New Roman" w:hint="default"/>
        </w:rPr>
        <w:t>60</w:t>
      </w:r>
    </w:p>
    <w:p>
      <w:pPr>
        <w:pStyle w:val="BodyText"/>
        <w:spacing w:line="240" w:lineRule="auto" w:before="110"/>
        <w:ind w:left="857" w:right="312"/>
        <w:jc w:val="left"/>
      </w:pPr>
      <w:r>
        <w:rPr/>
        <w:t>万股。</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BodyText"/>
        <w:spacing w:line="240" w:lineRule="auto"/>
        <w:ind w:left="857" w:right="103"/>
        <w:jc w:val="left"/>
      </w:pPr>
      <w:r>
        <w:rPr/>
        <w:t>截至</w:t>
      </w:r>
      <w:r>
        <w:rPr>
          <w:spacing w:val="-57"/>
        </w:rPr>
        <w:t> </w:t>
      </w:r>
      <w:r>
        <w:rPr>
          <w:rFonts w:ascii="Times New Roman" w:hAnsi="Times New Roman" w:cs="Times New Roman" w:eastAsia="Times New Roman" w:hint="default"/>
        </w:rPr>
        <w:t>2010</w:t>
      </w:r>
      <w:r>
        <w:rPr>
          <w:rFonts w:ascii="Times New Roman" w:hAnsi="Times New Roman" w:cs="Times New Roman" w:eastAsia="Times New Roman" w:hint="default"/>
          <w:spacing w:val="-4"/>
        </w:rPr>
        <w:t> </w:t>
      </w:r>
      <w:r>
        <w:rPr/>
        <w:t>年</w:t>
      </w:r>
      <w:r>
        <w:rPr>
          <w:spacing w:val="-58"/>
        </w:rPr>
        <w:t> </w:t>
      </w:r>
      <w:r>
        <w:rPr>
          <w:rFonts w:ascii="Times New Roman" w:hAnsi="Times New Roman" w:cs="Times New Roman" w:eastAsia="Times New Roman" w:hint="default"/>
        </w:rPr>
        <w:t>12</w:t>
      </w:r>
      <w:r>
        <w:rPr>
          <w:rFonts w:ascii="Times New Roman" w:hAnsi="Times New Roman" w:cs="Times New Roman" w:eastAsia="Times New Roman" w:hint="default"/>
          <w:spacing w:val="-5"/>
        </w:rPr>
        <w:t> </w:t>
      </w:r>
      <w:r>
        <w:rPr/>
        <w:t>月</w:t>
      </w:r>
      <w:r>
        <w:rPr>
          <w:spacing w:val="-57"/>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t>日止，本公司累计的股本总数为</w:t>
      </w:r>
      <w:r>
        <w:rPr>
          <w:spacing w:val="-57"/>
        </w:rPr>
        <w:t> </w:t>
      </w:r>
      <w:r>
        <w:rPr>
          <w:rFonts w:ascii="Times New Roman" w:hAnsi="Times New Roman" w:cs="Times New Roman" w:eastAsia="Times New Roman" w:hint="default"/>
        </w:rPr>
        <w:t>31,600</w:t>
      </w:r>
      <w:r>
        <w:rPr>
          <w:rFonts w:ascii="Times New Roman" w:hAnsi="Times New Roman" w:cs="Times New Roman" w:eastAsia="Times New Roman" w:hint="default"/>
          <w:spacing w:val="-5"/>
        </w:rPr>
        <w:t> </w:t>
      </w:r>
      <w:r>
        <w:rPr/>
        <w:t>万股，公司注册资本为人民</w:t>
      </w:r>
    </w:p>
    <w:p>
      <w:pPr>
        <w:pStyle w:val="BodyText"/>
        <w:spacing w:line="240" w:lineRule="auto" w:before="110"/>
        <w:ind w:left="856" w:right="103"/>
        <w:jc w:val="left"/>
        <w:rPr>
          <w:rFonts w:ascii="Times New Roman" w:hAnsi="Times New Roman" w:cs="Times New Roman" w:eastAsia="Times New Roman" w:hint="default"/>
        </w:rPr>
      </w:pPr>
      <w:r>
        <w:rPr/>
        <w:t>币</w:t>
      </w:r>
      <w:r>
        <w:rPr>
          <w:spacing w:val="-46"/>
        </w:rPr>
        <w:t> </w:t>
      </w:r>
      <w:r>
        <w:rPr>
          <w:rFonts w:ascii="Times New Roman" w:hAnsi="Times New Roman" w:cs="Times New Roman" w:eastAsia="Times New Roman" w:hint="default"/>
        </w:rPr>
        <w:t>31,600</w:t>
      </w:r>
      <w:r>
        <w:rPr>
          <w:rFonts w:ascii="Times New Roman" w:hAnsi="Times New Roman" w:cs="Times New Roman" w:eastAsia="Times New Roman" w:hint="default"/>
          <w:spacing w:val="7"/>
        </w:rPr>
        <w:t> </w:t>
      </w:r>
      <w:r>
        <w:rPr>
          <w:spacing w:val="-9"/>
        </w:rPr>
        <w:t>万元，业经立信会计师事务所有限公司验证，并出具信会师报字（</w:t>
      </w:r>
      <w:r>
        <w:rPr>
          <w:rFonts w:ascii="Times New Roman" w:hAnsi="Times New Roman" w:cs="Times New Roman" w:eastAsia="Times New Roman" w:hint="default"/>
          <w:spacing w:val="-9"/>
        </w:rPr>
        <w:t>2010</w:t>
      </w:r>
      <w:r>
        <w:rPr>
          <w:spacing w:val="-9"/>
        </w:rPr>
        <w:t>）第</w:t>
      </w:r>
      <w:r>
        <w:rPr>
          <w:spacing w:val="-48"/>
        </w:rPr>
        <w:t> </w:t>
      </w:r>
      <w:r>
        <w:rPr>
          <w:rFonts w:ascii="Times New Roman" w:hAnsi="Times New Roman" w:cs="Times New Roman" w:eastAsia="Times New Roman" w:hint="default"/>
        </w:rPr>
        <w:t>11710</w:t>
      </w:r>
    </w:p>
    <w:p>
      <w:pPr>
        <w:pStyle w:val="BodyText"/>
        <w:spacing w:line="240" w:lineRule="auto" w:before="109"/>
        <w:ind w:left="856" w:right="312"/>
        <w:jc w:val="left"/>
      </w:pPr>
      <w:r>
        <w:rPr/>
        <w:t>号验资报告。</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BodyText"/>
        <w:spacing w:line="348" w:lineRule="auto"/>
        <w:ind w:left="856" w:right="205"/>
        <w:jc w:val="left"/>
      </w:pPr>
      <w:r>
        <w:rPr/>
        <w:t>本公司所处行业：计算机应用服务业。 </w:t>
      </w:r>
      <w:r>
        <w:rPr>
          <w:spacing w:val="-3"/>
        </w:rPr>
        <w:t>公司经营范围：计算机网络综合管理及网络系统集成开发、技术服务、技术转让、技术培</w:t>
      </w:r>
      <w:r>
        <w:rPr>
          <w:spacing w:val="-68"/>
        </w:rPr>
        <w:t> </w:t>
      </w:r>
      <w:r>
        <w:rPr>
          <w:spacing w:val="-68"/>
        </w:rPr>
      </w:r>
      <w:r>
        <w:rPr>
          <w:spacing w:val="-3"/>
        </w:rPr>
        <w:t>训；电子信息技术咨询（中介除外）；销售计算机网络软硬件产品；电子信息技术系统工</w:t>
      </w:r>
    </w:p>
    <w:p>
      <w:pPr>
        <w:spacing w:after="0" w:line="348" w:lineRule="auto"/>
        <w:jc w:val="left"/>
        <w:sectPr>
          <w:type w:val="continuous"/>
          <w:pgSz w:w="11910" w:h="16840"/>
          <w:pgMar w:top="1360" w:bottom="1180" w:left="1660" w:right="1060"/>
        </w:sectPr>
      </w:pPr>
    </w:p>
    <w:p>
      <w:pPr>
        <w:spacing w:line="240" w:lineRule="auto" w:before="6"/>
        <w:rPr>
          <w:rFonts w:ascii="宋体" w:hAnsi="宋体" w:cs="宋体" w:eastAsia="宋体" w:hint="default"/>
          <w:sz w:val="10"/>
          <w:szCs w:val="10"/>
        </w:rPr>
      </w:pPr>
    </w:p>
    <w:p>
      <w:pPr>
        <w:pStyle w:val="BodyText"/>
        <w:spacing w:line="240" w:lineRule="auto" w:before="35"/>
        <w:ind w:left="857" w:right="312"/>
        <w:jc w:val="left"/>
      </w:pPr>
      <w:r>
        <w:rPr/>
        <w:t>程设计；技术进出口、代理进出口、货物进出口。</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BodyText"/>
        <w:spacing w:line="328" w:lineRule="auto"/>
        <w:ind w:left="857" w:right="210"/>
        <w:jc w:val="both"/>
      </w:pPr>
      <w:r>
        <w:rPr/>
        <w:t>公司的主营业务为向国内电信、金融、能源等行业的大中型企业和政府部门提供 </w:t>
      </w:r>
      <w:r>
        <w:rPr>
          <w:rFonts w:ascii="Times New Roman" w:hAnsi="Times New Roman" w:cs="Times New Roman" w:eastAsia="Times New Roman" w:hint="default"/>
        </w:rPr>
        <w:t>IT</w:t>
      </w:r>
      <w:r>
        <w:rPr>
          <w:rFonts w:ascii="Times New Roman" w:hAnsi="Times New Roman" w:cs="Times New Roman" w:eastAsia="Times New Roman" w:hint="default"/>
          <w:spacing w:val="-13"/>
        </w:rPr>
        <w:t> </w:t>
      </w:r>
      <w:r>
        <w:rPr/>
        <w:t>运维 </w:t>
      </w:r>
      <w:r>
        <w:rPr>
          <w:spacing w:val="-1"/>
        </w:rPr>
        <w:t>管理的整体解决方案，以及以</w:t>
      </w:r>
      <w:r>
        <w:rPr>
          <w:rFonts w:ascii="Times New Roman" w:hAnsi="Times New Roman" w:cs="Times New Roman" w:eastAsia="Times New Roman" w:hint="default"/>
          <w:spacing w:val="-1"/>
        </w:rPr>
        <w:t>“</w:t>
      </w:r>
      <w:r>
        <w:rPr>
          <w:spacing w:val="-1"/>
        </w:rPr>
        <w:t>飞信</w:t>
      </w:r>
      <w:r>
        <w:rPr>
          <w:rFonts w:ascii="Times New Roman" w:hAnsi="Times New Roman" w:cs="Times New Roman" w:eastAsia="Times New Roman" w:hint="default"/>
          <w:spacing w:val="-1"/>
        </w:rPr>
        <w:t>”</w:t>
      </w:r>
      <w:r>
        <w:rPr>
          <w:spacing w:val="-1"/>
        </w:rPr>
        <w:t>、</w:t>
      </w:r>
      <w:r>
        <w:rPr>
          <w:rFonts w:ascii="Times New Roman" w:hAnsi="Times New Roman" w:cs="Times New Roman" w:eastAsia="Times New Roman" w:hint="default"/>
          <w:spacing w:val="-1"/>
        </w:rPr>
        <w:t>“</w:t>
      </w:r>
      <w:r>
        <w:rPr>
          <w:spacing w:val="-1"/>
        </w:rPr>
        <w:t>农信通</w:t>
      </w:r>
      <w:r>
        <w:rPr>
          <w:rFonts w:ascii="Times New Roman" w:hAnsi="Times New Roman" w:cs="Times New Roman" w:eastAsia="Times New Roman" w:hint="default"/>
          <w:spacing w:val="-1"/>
        </w:rPr>
        <w:t>”</w:t>
      </w:r>
      <w:r>
        <w:rPr>
          <w:spacing w:val="-1"/>
        </w:rPr>
        <w:t>为代表的移动互联网开发及运维支撑服务</w:t>
      </w:r>
      <w:r>
        <w:rPr>
          <w:spacing w:val="-95"/>
        </w:rPr>
        <w:t> </w:t>
      </w:r>
      <w:r>
        <w:rPr/>
        <w:t>业务。</w:t>
      </w:r>
    </w:p>
    <w:p>
      <w:pPr>
        <w:pStyle w:val="BodyText"/>
        <w:spacing w:line="240" w:lineRule="auto" w:before="48"/>
        <w:ind w:left="857" w:right="312"/>
        <w:jc w:val="left"/>
      </w:pPr>
      <w:r>
        <w:rPr/>
        <w:t>公司法定代表人：王宁。</w:t>
      </w:r>
    </w:p>
    <w:p>
      <w:pPr>
        <w:pStyle w:val="BodyText"/>
        <w:spacing w:line="328" w:lineRule="auto" w:before="125"/>
        <w:ind w:left="857" w:right="1391"/>
        <w:jc w:val="left"/>
      </w:pPr>
      <w:r>
        <w:rPr/>
        <w:t>公司注册地址：北京市海淀区万泉庄路</w:t>
      </w:r>
      <w:r>
        <w:rPr>
          <w:spacing w:val="-54"/>
        </w:rPr>
        <w:t> </w:t>
      </w:r>
      <w:r>
        <w:rPr>
          <w:rFonts w:ascii="Times New Roman" w:hAnsi="Times New Roman" w:cs="Times New Roman" w:eastAsia="Times New Roman" w:hint="default"/>
        </w:rPr>
        <w:t>28</w:t>
      </w:r>
      <w:r>
        <w:rPr>
          <w:rFonts w:ascii="Times New Roman" w:hAnsi="Times New Roman" w:cs="Times New Roman" w:eastAsia="Times New Roman" w:hint="default"/>
          <w:spacing w:val="-1"/>
        </w:rPr>
        <w:t> </w:t>
      </w:r>
      <w:r>
        <w:rPr/>
        <w:t>号万柳新贵大厦</w:t>
      </w:r>
      <w:r>
        <w:rPr>
          <w:spacing w:val="-54"/>
        </w:rPr>
        <w:t> </w:t>
      </w:r>
      <w:r>
        <w:rPr>
          <w:rFonts w:ascii="Times New Roman" w:hAnsi="Times New Roman" w:cs="Times New Roman" w:eastAsia="Times New Roman" w:hint="default"/>
        </w:rPr>
        <w:t>A</w:t>
      </w:r>
      <w:r>
        <w:rPr>
          <w:rFonts w:ascii="Times New Roman" w:hAnsi="Times New Roman" w:cs="Times New Roman" w:eastAsia="Times New Roman" w:hint="default"/>
          <w:spacing w:val="-2"/>
        </w:rPr>
        <w:t> </w:t>
      </w:r>
      <w:r>
        <w:rPr/>
        <w:t>座</w:t>
      </w:r>
      <w:r>
        <w:rPr>
          <w:spacing w:val="-54"/>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层。 公司办公地址：北京市朝阳区北苑路甲</w:t>
      </w:r>
      <w:r>
        <w:rPr>
          <w:spacing w:val="-55"/>
        </w:rPr>
        <w:t> </w:t>
      </w:r>
      <w:r>
        <w:rPr>
          <w:rFonts w:ascii="Times New Roman" w:hAnsi="Times New Roman" w:cs="Times New Roman" w:eastAsia="Times New Roman" w:hint="default"/>
        </w:rPr>
        <w:t>13</w:t>
      </w:r>
      <w:r>
        <w:rPr>
          <w:rFonts w:ascii="Times New Roman" w:hAnsi="Times New Roman" w:cs="Times New Roman" w:eastAsia="Times New Roman" w:hint="default"/>
          <w:spacing w:val="-2"/>
        </w:rPr>
        <w:t> </w:t>
      </w:r>
      <w:r>
        <w:rPr/>
        <w:t>号院</w:t>
      </w:r>
      <w:r>
        <w:rPr>
          <w:spacing w:val="-56"/>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号楼北辰泰岳大厦</w:t>
      </w:r>
      <w:r>
        <w:rPr>
          <w:spacing w:val="-55"/>
        </w:rPr>
        <w:t> </w:t>
      </w:r>
      <w:r>
        <w:rPr>
          <w:rFonts w:ascii="Times New Roman" w:hAnsi="Times New Roman" w:cs="Times New Roman" w:eastAsia="Times New Roman" w:hint="default"/>
        </w:rPr>
        <w:t>22</w:t>
      </w:r>
      <w:r>
        <w:rPr>
          <w:rFonts w:ascii="Times New Roman" w:hAnsi="Times New Roman" w:cs="Times New Roman" w:eastAsia="Times New Roman" w:hint="default"/>
          <w:spacing w:val="-2"/>
        </w:rPr>
        <w:t> </w:t>
      </w:r>
      <w:r>
        <w:rPr/>
        <w:t>层。</w:t>
      </w:r>
    </w:p>
    <w:p>
      <w:pPr>
        <w:spacing w:line="240" w:lineRule="auto" w:before="1"/>
        <w:rPr>
          <w:rFonts w:ascii="宋体" w:hAnsi="宋体" w:cs="宋体" w:eastAsia="宋体" w:hint="default"/>
          <w:sz w:val="29"/>
          <w:szCs w:val="29"/>
        </w:rPr>
      </w:pPr>
    </w:p>
    <w:p>
      <w:pPr>
        <w:pStyle w:val="Heading1"/>
        <w:tabs>
          <w:tab w:pos="853" w:val="left" w:leader="none"/>
        </w:tabs>
        <w:spacing w:line="240" w:lineRule="auto" w:before="0"/>
        <w:ind w:left="124" w:right="312"/>
        <w:jc w:val="left"/>
        <w:rPr>
          <w:b w:val="0"/>
          <w:bCs w:val="0"/>
        </w:rPr>
      </w:pPr>
      <w:r>
        <w:rPr>
          <w:w w:val="95"/>
        </w:rPr>
        <w:t>二、</w:t>
        <w:tab/>
      </w:r>
      <w:r>
        <w:rPr/>
        <w:t>主要会计政策、会计估计和前期差错</w:t>
      </w:r>
      <w:r>
        <w:rPr>
          <w:b w:val="0"/>
          <w:bCs w:val="0"/>
        </w:rPr>
      </w:r>
    </w:p>
    <w:p>
      <w:pPr>
        <w:spacing w:line="240" w:lineRule="auto" w:before="0"/>
        <w:rPr>
          <w:rFonts w:ascii="宋体" w:hAnsi="宋体" w:cs="宋体" w:eastAsia="宋体" w:hint="default"/>
          <w:b/>
          <w:bCs/>
          <w:sz w:val="24"/>
          <w:szCs w:val="24"/>
        </w:rPr>
      </w:pPr>
    </w:p>
    <w:p>
      <w:pPr>
        <w:pStyle w:val="BodyText"/>
        <w:tabs>
          <w:tab w:pos="853" w:val="left" w:leader="none"/>
        </w:tabs>
        <w:spacing w:line="328" w:lineRule="auto" w:before="215"/>
        <w:ind w:left="857" w:right="134" w:hanging="732"/>
        <w:jc w:val="left"/>
      </w:pPr>
      <w:r>
        <w:rPr>
          <w:rFonts w:ascii="Times New Roman" w:hAnsi="Times New Roman" w:cs="Times New Roman" w:eastAsia="Times New Roman" w:hint="default"/>
          <w:b/>
          <w:bCs/>
          <w:w w:val="95"/>
        </w:rPr>
        <w:t>(</w:t>
      </w:r>
      <w:r>
        <w:rPr>
          <w:rFonts w:ascii="宋体" w:hAnsi="宋体" w:cs="宋体" w:eastAsia="宋体" w:hint="default"/>
          <w:b/>
          <w:bCs/>
          <w:w w:val="95"/>
        </w:rPr>
        <w:t>一</w:t>
      </w:r>
      <w:r>
        <w:rPr>
          <w:rFonts w:ascii="Times New Roman" w:hAnsi="Times New Roman" w:cs="Times New Roman" w:eastAsia="Times New Roman" w:hint="default"/>
          <w:b/>
          <w:bCs/>
          <w:w w:val="95"/>
        </w:rPr>
        <w:t>)</w:t>
        <w:tab/>
      </w:r>
      <w:r>
        <w:rPr>
          <w:rFonts w:ascii="宋体" w:hAnsi="宋体" w:cs="宋体" w:eastAsia="宋体" w:hint="default"/>
          <w:b/>
          <w:bCs/>
        </w:rPr>
        <w:t>财务报表的编制基础</w:t>
      </w:r>
      <w:r>
        <w:rPr>
          <w:rFonts w:ascii="宋体" w:hAnsi="宋体" w:cs="宋体" w:eastAsia="宋体" w:hint="default"/>
          <w:b/>
          <w:bCs/>
          <w:spacing w:val="1"/>
          <w:w w:val="99"/>
        </w:rPr>
        <w:t> </w:t>
      </w:r>
      <w:r>
        <w:rPr/>
        <w:t>公司以持续经营为基础，根据实际发生的交易和事项，按照《企业会计准则</w:t>
      </w:r>
      <w:r>
        <w:rPr>
          <w:rFonts w:ascii="Times New Roman" w:hAnsi="Times New Roman" w:cs="Times New Roman" w:eastAsia="Times New Roman" w:hint="default"/>
        </w:rPr>
        <w:t>—</w:t>
      </w:r>
      <w:r>
        <w:rPr/>
        <w:t>基本准则》 和其他各项会计准则及其他相关规定进行确认和计量，在此基础上编制财务报表。</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tabs>
          <w:tab w:pos="853" w:val="left" w:leader="none"/>
        </w:tabs>
        <w:spacing w:line="340" w:lineRule="auto" w:before="0"/>
        <w:ind w:left="857" w:right="210" w:hanging="732"/>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遵循企业会计准则的声明</w:t>
      </w:r>
      <w:r>
        <w:rPr>
          <w:rFonts w:ascii="宋体" w:hAnsi="宋体" w:cs="宋体" w:eastAsia="宋体" w:hint="default"/>
          <w:b/>
          <w:bCs/>
          <w:w w:val="99"/>
          <w:sz w:val="21"/>
          <w:szCs w:val="21"/>
        </w:rPr>
        <w:t> </w:t>
      </w:r>
      <w:r>
        <w:rPr>
          <w:rFonts w:ascii="宋体" w:hAnsi="宋体" w:cs="宋体" w:eastAsia="宋体" w:hint="default"/>
          <w:spacing w:val="-2"/>
          <w:sz w:val="21"/>
          <w:szCs w:val="21"/>
        </w:rPr>
        <w:t>公司所编制的财务报表符合企业会计准则的要求，真实、完整地反映了报告期公司的财务</w:t>
      </w:r>
      <w:r>
        <w:rPr>
          <w:rFonts w:ascii="宋体" w:hAnsi="宋体" w:cs="宋体" w:eastAsia="宋体" w:hint="default"/>
          <w:sz w:val="21"/>
          <w:szCs w:val="21"/>
        </w:rPr>
        <w:t> 状况、经营成果、现金流量等有关信息。</w:t>
      </w:r>
    </w:p>
    <w:p>
      <w:pPr>
        <w:spacing w:line="240" w:lineRule="auto" w:before="0"/>
        <w:rPr>
          <w:rFonts w:ascii="宋体" w:hAnsi="宋体" w:cs="宋体" w:eastAsia="宋体" w:hint="default"/>
          <w:sz w:val="20"/>
          <w:szCs w:val="20"/>
        </w:rPr>
      </w:pPr>
    </w:p>
    <w:p>
      <w:pPr>
        <w:pStyle w:val="Heading2"/>
        <w:tabs>
          <w:tab w:pos="853" w:val="left" w:leader="none"/>
        </w:tabs>
        <w:spacing w:line="240" w:lineRule="auto" w:before="174"/>
        <w:ind w:right="312"/>
        <w:jc w:val="left"/>
        <w:rPr>
          <w:b w:val="0"/>
          <w:bCs w:val="0"/>
        </w:rPr>
      </w:pPr>
      <w:r>
        <w:rPr>
          <w:rFonts w:ascii="Times New Roman" w:hAnsi="Times New Roman" w:cs="Times New Roman" w:eastAsia="Times New Roman" w:hint="default"/>
          <w:w w:val="95"/>
        </w:rPr>
        <w:t>(</w:t>
      </w:r>
      <w:r>
        <w:rPr>
          <w:w w:val="95"/>
        </w:rPr>
        <w:t>三</w:t>
      </w:r>
      <w:r>
        <w:rPr>
          <w:rFonts w:ascii="Times New Roman" w:hAnsi="Times New Roman" w:cs="Times New Roman" w:eastAsia="Times New Roman" w:hint="default"/>
          <w:w w:val="95"/>
        </w:rPr>
        <w:t>)</w:t>
        <w:tab/>
      </w:r>
      <w:r>
        <w:rPr>
          <w:spacing w:val="1"/>
        </w:rPr>
        <w:t>会计期间</w:t>
      </w:r>
      <w:r>
        <w:rPr>
          <w:b w:val="0"/>
          <w:bCs w:val="0"/>
        </w:rPr>
      </w:r>
    </w:p>
    <w:p>
      <w:pPr>
        <w:pStyle w:val="BodyText"/>
        <w:spacing w:line="240" w:lineRule="auto" w:before="110"/>
        <w:ind w:left="857" w:right="312"/>
        <w:jc w:val="left"/>
      </w:pPr>
      <w:r>
        <w:rPr/>
        <w:t>自公历</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日至</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日止为一个会计年度。</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tabs>
          <w:tab w:pos="853" w:val="left" w:leader="none"/>
        </w:tabs>
        <w:spacing w:line="331" w:lineRule="auto" w:before="0"/>
        <w:ind w:left="856" w:right="5805" w:hanging="732"/>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四</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记账本位币</w:t>
      </w:r>
      <w:r>
        <w:rPr>
          <w:rFonts w:ascii="宋体" w:hAnsi="宋体" w:cs="宋体" w:eastAsia="宋体" w:hint="default"/>
          <w:b/>
          <w:bCs/>
          <w:w w:val="99"/>
          <w:sz w:val="21"/>
          <w:szCs w:val="21"/>
        </w:rPr>
        <w:t> </w:t>
      </w:r>
      <w:r>
        <w:rPr>
          <w:rFonts w:ascii="宋体" w:hAnsi="宋体" w:cs="宋体" w:eastAsia="宋体" w:hint="default"/>
          <w:sz w:val="21"/>
          <w:szCs w:val="21"/>
        </w:rPr>
        <w:t>采用人民币为记账本位币。</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Heading2"/>
        <w:tabs>
          <w:tab w:pos="852" w:val="left" w:leader="none"/>
        </w:tabs>
        <w:spacing w:line="240" w:lineRule="auto"/>
        <w:ind w:left="124" w:right="312"/>
        <w:jc w:val="left"/>
        <w:rPr>
          <w:b w:val="0"/>
          <w:bCs w:val="0"/>
        </w:rPr>
      </w:pPr>
      <w:r>
        <w:rPr>
          <w:rFonts w:ascii="Times New Roman" w:hAnsi="Times New Roman" w:cs="Times New Roman" w:eastAsia="Times New Roman" w:hint="default"/>
          <w:w w:val="95"/>
        </w:rPr>
        <w:t>(</w:t>
      </w:r>
      <w:r>
        <w:rPr>
          <w:w w:val="95"/>
        </w:rPr>
        <w:t>五</w:t>
      </w:r>
      <w:r>
        <w:rPr>
          <w:rFonts w:ascii="Times New Roman" w:hAnsi="Times New Roman" w:cs="Times New Roman" w:eastAsia="Times New Roman" w:hint="default"/>
          <w:w w:val="95"/>
        </w:rPr>
        <w:t>)</w:t>
        <w:tab/>
      </w:r>
      <w:r>
        <w:rPr/>
        <w:t>同一控制下和非同一控制下企业合并的会计处理方法</w:t>
      </w:r>
      <w:r>
        <w:rPr>
          <w:b w:val="0"/>
          <w:bCs w:val="0"/>
        </w:rPr>
      </w:r>
    </w:p>
    <w:p>
      <w:pPr>
        <w:pStyle w:val="BodyText"/>
        <w:tabs>
          <w:tab w:pos="1395" w:val="left" w:leader="none"/>
        </w:tabs>
        <w:spacing w:line="345" w:lineRule="auto" w:before="110"/>
        <w:ind w:left="1398" w:right="107" w:hanging="543"/>
        <w:jc w:val="left"/>
      </w:pP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rPr>
        <w:t>同一控制下企业合并</w:t>
      </w:r>
      <w:r>
        <w:rPr>
          <w:rFonts w:ascii="宋体" w:hAnsi="宋体" w:cs="宋体" w:eastAsia="宋体" w:hint="default"/>
          <w:b/>
          <w:bCs/>
          <w:spacing w:val="1"/>
          <w:w w:val="99"/>
        </w:rPr>
        <w:t> </w:t>
      </w:r>
      <w:r>
        <w:rPr/>
        <w:t>本公司在企业合并中取得的资产和负债，按照合并日在被合并方的账面价值计量。 </w:t>
      </w:r>
      <w:r>
        <w:rPr>
          <w:spacing w:val="-3"/>
        </w:rPr>
        <w:t>在合并中取得的净资产账面价值与支付的合并对价账面价值（或发行股份面值总额）</w:t>
      </w:r>
      <w:r>
        <w:rPr/>
        <w:t> 的差额，调整资本公积，资本公积不足冲减的，调整留存收益。 本公司为进行企业合并而发生的各项直接相关费用，包括为进行企业合并而支付的 审计费用、评估费用、法律服务费等，于发生时计入当期损益。 企业合并中发行权益性证券发生的手续费、佣金等，抵减权益性证券溢价收入，溢 价收入不足冲减的，冲减留存收益。</w:t>
      </w:r>
    </w:p>
    <w:p>
      <w:pPr>
        <w:spacing w:after="0" w:line="345" w:lineRule="auto"/>
        <w:jc w:val="left"/>
        <w:sectPr>
          <w:pgSz w:w="11910" w:h="16840"/>
          <w:pgMar w:header="851" w:footer="982" w:top="1360" w:bottom="1180" w:left="1660" w:right="10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BodyText"/>
        <w:spacing w:line="348" w:lineRule="auto"/>
        <w:ind w:left="1400" w:right="184"/>
        <w:jc w:val="left"/>
      </w:pPr>
      <w:r>
        <w:rPr/>
        <w:t>被合并各方采用的会计政策与本公司不一致的，本公司在合并日按照本公司会计政</w:t>
      </w:r>
      <w:r>
        <w:rPr>
          <w:spacing w:val="-97"/>
        </w:rPr>
        <w:t> </w:t>
      </w:r>
      <w:r>
        <w:rPr>
          <w:spacing w:val="-97"/>
        </w:rPr>
      </w:r>
      <w:r>
        <w:rPr/>
        <w:t>策进行调整，在此基础上按照企业会计准则规定确认。</w:t>
      </w:r>
    </w:p>
    <w:p>
      <w:pPr>
        <w:spacing w:line="240" w:lineRule="auto" w:before="0"/>
        <w:rPr>
          <w:rFonts w:ascii="宋体" w:hAnsi="宋体" w:cs="宋体" w:eastAsia="宋体" w:hint="default"/>
          <w:sz w:val="20"/>
          <w:szCs w:val="20"/>
        </w:rPr>
      </w:pPr>
    </w:p>
    <w:p>
      <w:pPr>
        <w:pStyle w:val="BodyText"/>
        <w:tabs>
          <w:tab w:pos="1396" w:val="left" w:leader="none"/>
        </w:tabs>
        <w:spacing w:line="348" w:lineRule="auto" w:before="169"/>
        <w:ind w:left="1400" w:right="98" w:hanging="543"/>
        <w:jc w:val="left"/>
      </w:pPr>
      <w:r>
        <w:rPr>
          <w:rFonts w:ascii="Times New Roman" w:hAnsi="Times New Roman" w:cs="Times New Roman" w:eastAsia="Times New Roman" w:hint="default"/>
          <w:b/>
          <w:bCs/>
          <w:w w:val="95"/>
        </w:rPr>
        <w:t>2</w:t>
      </w:r>
      <w:r>
        <w:rPr>
          <w:rFonts w:ascii="宋体" w:hAnsi="宋体" w:cs="宋体" w:eastAsia="宋体" w:hint="default"/>
          <w:b/>
          <w:bCs/>
          <w:w w:val="95"/>
        </w:rPr>
        <w:t>、</w:t>
        <w:tab/>
      </w:r>
      <w:r>
        <w:rPr>
          <w:rFonts w:ascii="宋体" w:hAnsi="宋体" w:cs="宋体" w:eastAsia="宋体" w:hint="default"/>
          <w:b/>
          <w:bCs/>
        </w:rPr>
        <w:t>非同一控制下的企业合并</w:t>
      </w:r>
      <w:r>
        <w:rPr>
          <w:rFonts w:ascii="宋体" w:hAnsi="宋体" w:cs="宋体" w:eastAsia="宋体" w:hint="default"/>
          <w:b/>
          <w:bCs/>
          <w:w w:val="99"/>
        </w:rPr>
        <w:t> </w:t>
      </w:r>
      <w:r>
        <w:rPr/>
        <w:t>本公司在购买日对作为企业合并对价付出的资产、发生或承担的负债按照公允价值 计量。公允价值与其账面价值的差额，计入当期损益。 本公司在购买日对合并成本进行分配。 本公司对合并成本大于合并中取得的被购买方可辨认净资产公允价值份额的差额， 确认为商誉；合并成本小于合并中取得的被购买方可辨认净资产公允价值份额的差 额，计入当期损益。 企业合并中取得的被购买方除无形资产外的其他各项资产（不仅限于被购买方原已 </w:t>
      </w:r>
      <w:r>
        <w:rPr>
          <w:spacing w:val="-3"/>
        </w:rPr>
        <w:t>确认的资产），其所带来的经济利益很可能流入本公司且公允价值能够可靠计量的，</w:t>
      </w:r>
      <w:r>
        <w:rPr/>
        <w:t> 单独确认并按公允价值计量；公允价值能够可靠计量的无形资产，单独确认为无形 资产并按公允价值计量；取得的被购买方除或有负债以外的其他各项负债，履行有 关义务很可能导致经济利益流出本公司且公允价值能够可靠计量的，单独确认并按 照公允价值计量；取得的被购买方或有负债，其公允价值能可靠计量的，单独确认 为负债并按照公允价值计量。</w:t>
      </w:r>
    </w:p>
    <w:p>
      <w:pPr>
        <w:spacing w:line="240" w:lineRule="auto" w:before="0"/>
        <w:rPr>
          <w:rFonts w:ascii="宋体" w:hAnsi="宋体" w:cs="宋体" w:eastAsia="宋体" w:hint="default"/>
          <w:sz w:val="20"/>
          <w:szCs w:val="20"/>
        </w:rPr>
      </w:pPr>
    </w:p>
    <w:p>
      <w:pPr>
        <w:pStyle w:val="BodyText"/>
        <w:tabs>
          <w:tab w:pos="853" w:val="left" w:leader="none"/>
        </w:tabs>
        <w:spacing w:line="348" w:lineRule="auto" w:before="168"/>
        <w:ind w:left="857" w:right="114" w:hanging="732"/>
        <w:jc w:val="left"/>
      </w:pPr>
      <w:r>
        <w:rPr>
          <w:rFonts w:ascii="Times New Roman" w:hAnsi="Times New Roman" w:cs="Times New Roman" w:eastAsia="Times New Roman" w:hint="default"/>
          <w:b/>
          <w:bCs/>
          <w:w w:val="95"/>
        </w:rPr>
        <w:t>(</w:t>
      </w:r>
      <w:r>
        <w:rPr>
          <w:rFonts w:ascii="宋体" w:hAnsi="宋体" w:cs="宋体" w:eastAsia="宋体" w:hint="default"/>
          <w:b/>
          <w:bCs/>
          <w:w w:val="95"/>
        </w:rPr>
        <w:t>六</w:t>
      </w:r>
      <w:r>
        <w:rPr>
          <w:rFonts w:ascii="Times New Roman" w:hAnsi="Times New Roman" w:cs="Times New Roman" w:eastAsia="Times New Roman" w:hint="default"/>
          <w:b/>
          <w:bCs/>
          <w:w w:val="95"/>
        </w:rPr>
        <w:t>)</w:t>
        <w:tab/>
      </w:r>
      <w:r>
        <w:rPr>
          <w:rFonts w:ascii="宋体" w:hAnsi="宋体" w:cs="宋体" w:eastAsia="宋体" w:hint="default"/>
          <w:b/>
          <w:bCs/>
        </w:rPr>
        <w:t>合并财务报表的编制方法</w:t>
      </w:r>
      <w:r>
        <w:rPr>
          <w:rFonts w:ascii="宋体" w:hAnsi="宋体" w:cs="宋体" w:eastAsia="宋体" w:hint="default"/>
          <w:b/>
          <w:bCs/>
          <w:w w:val="99"/>
        </w:rPr>
        <w:t> </w:t>
      </w:r>
      <w:r>
        <w:rPr/>
        <w:t>本公司合并财务报表的合并范围以控制为基础确定，所有子公司均纳入合并财务报表。 </w:t>
      </w:r>
      <w:r>
        <w:rPr>
          <w:spacing w:val="-2"/>
        </w:rPr>
        <w:t>所有纳入合并财务报表合并范围的子公司所采用的会计政策、会计期间与本公司一致，如</w:t>
      </w:r>
      <w:r>
        <w:rPr/>
        <w:t> </w:t>
      </w:r>
      <w:r>
        <w:rPr>
          <w:spacing w:val="-2"/>
        </w:rPr>
        <w:t>子公司采用的会计政策、会计期间与本公司不一致的，在编制合并财务报表时，按本公司</w:t>
      </w:r>
      <w:r>
        <w:rPr/>
        <w:t> 的会计政策、会计期间进行必要的调整。 </w:t>
      </w:r>
      <w:r>
        <w:rPr>
          <w:spacing w:val="-2"/>
        </w:rPr>
        <w:t>合并财务报表以本公司及子公司的财务报表为基础，根据其他有关资料，按照权益法调整</w:t>
      </w:r>
      <w:r>
        <w:rPr/>
        <w:t> 对子公司的长期股权投资后，由本公司编制。 </w:t>
      </w:r>
      <w:r>
        <w:rPr>
          <w:spacing w:val="-2"/>
        </w:rPr>
        <w:t>合并财务报表时抵销本公司与各子公司、各子公司相互之间发生的内部交易对合并资产负</w:t>
      </w:r>
      <w:r>
        <w:rPr/>
        <w:t> 债表、合并利润表、合并现金流量表、合并所有者权益变动表的影响。 </w:t>
      </w:r>
      <w:r>
        <w:rPr>
          <w:spacing w:val="3"/>
        </w:rPr>
        <w:t>子公司少数股东分担的当期亏损超过了少数股东在该子公司期初所有者权益中所享有份</w:t>
      </w:r>
      <w:r>
        <w:rPr>
          <w:spacing w:val="3"/>
        </w:rPr>
        <w:t> </w:t>
      </w:r>
      <w:r>
        <w:rPr/>
        <w:t>额而形成的余额，冲减少数股东权益。</w:t>
      </w:r>
      <w:r>
        <w:rPr/>
        <w:t> 在报告期内，若因同一控制下企业合并增加子公司的，则调整合并资产负债表的期初数； </w:t>
      </w:r>
      <w:r>
        <w:rPr>
          <w:spacing w:val="-2"/>
        </w:rPr>
        <w:t>将子公司合并当期期初至报告期末的收入、费用、利润纳入合并利润表；将子公司合并当</w:t>
      </w:r>
      <w:r>
        <w:rPr/>
        <w:t> 期期初至报告期末的现金流量纳入合并现金流量表。</w:t>
      </w:r>
    </w:p>
    <w:p>
      <w:pPr>
        <w:spacing w:after="0" w:line="348" w:lineRule="auto"/>
        <w:jc w:val="left"/>
        <w:sectPr>
          <w:pgSz w:w="11910" w:h="16840"/>
          <w:pgMar w:header="851" w:footer="982" w:top="1360" w:bottom="1180" w:left="1660" w:right="10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BodyText"/>
        <w:spacing w:line="350" w:lineRule="auto"/>
        <w:ind w:left="857" w:right="103"/>
        <w:jc w:val="left"/>
      </w:pPr>
      <w:r>
        <w:rPr>
          <w:spacing w:val="-5"/>
        </w:rPr>
        <w:t>在报告期内，若因非同一控制下企业合并增加子公司的，则不调整合并资产负债表期初数；</w:t>
      </w:r>
      <w:r>
        <w:rPr>
          <w:spacing w:val="-87"/>
        </w:rPr>
        <w:t> </w:t>
      </w:r>
      <w:r>
        <w:rPr>
          <w:spacing w:val="-87"/>
        </w:rPr>
      </w:r>
      <w:r>
        <w:rPr/>
        <w:t>将子公司自购买日至报告期末的收入、费用、利润纳入合并利润表；该子公司自购买日至</w:t>
      </w:r>
      <w:r>
        <w:rPr/>
        <w:t> 报告期末的现金流量纳入合并现金流量表。 </w:t>
      </w:r>
      <w:r>
        <w:rPr>
          <w:spacing w:val="-3"/>
        </w:rPr>
        <w:t>在报告期内，本公司处置子公司，则该子公司期初至处置日的收入、费用、利润纳入合并</w:t>
      </w:r>
      <w:r>
        <w:rPr>
          <w:spacing w:val="-68"/>
        </w:rPr>
        <w:t> </w:t>
      </w:r>
      <w:r>
        <w:rPr>
          <w:spacing w:val="-68"/>
        </w:rPr>
      </w:r>
      <w:r>
        <w:rPr/>
        <w:t>利润表；该子公司期初至处置日的现金流量纳入合并现金流量表。</w:t>
      </w:r>
    </w:p>
    <w:p>
      <w:pPr>
        <w:spacing w:line="240" w:lineRule="auto" w:before="0"/>
        <w:rPr>
          <w:rFonts w:ascii="宋体" w:hAnsi="宋体" w:cs="宋体" w:eastAsia="宋体" w:hint="default"/>
          <w:sz w:val="20"/>
          <w:szCs w:val="20"/>
        </w:rPr>
      </w:pPr>
    </w:p>
    <w:p>
      <w:pPr>
        <w:pStyle w:val="BodyText"/>
        <w:tabs>
          <w:tab w:pos="853" w:val="left" w:leader="none"/>
        </w:tabs>
        <w:spacing w:line="343" w:lineRule="auto" w:before="167"/>
        <w:ind w:left="857" w:right="211" w:hanging="732"/>
        <w:jc w:val="left"/>
      </w:pPr>
      <w:r>
        <w:rPr>
          <w:rFonts w:ascii="Times New Roman" w:hAnsi="Times New Roman" w:cs="Times New Roman" w:eastAsia="Times New Roman" w:hint="default"/>
          <w:b/>
          <w:bCs/>
          <w:w w:val="95"/>
        </w:rPr>
        <w:t>(</w:t>
      </w:r>
      <w:r>
        <w:rPr>
          <w:rFonts w:ascii="宋体" w:hAnsi="宋体" w:cs="宋体" w:eastAsia="宋体" w:hint="default"/>
          <w:b/>
          <w:bCs/>
          <w:w w:val="95"/>
        </w:rPr>
        <w:t>七</w:t>
      </w:r>
      <w:r>
        <w:rPr>
          <w:rFonts w:ascii="Times New Roman" w:hAnsi="Times New Roman" w:cs="Times New Roman" w:eastAsia="Times New Roman" w:hint="default"/>
          <w:b/>
          <w:bCs/>
          <w:w w:val="95"/>
        </w:rPr>
        <w:t>)</w:t>
        <w:tab/>
      </w:r>
      <w:r>
        <w:rPr>
          <w:rFonts w:ascii="宋体" w:hAnsi="宋体" w:cs="宋体" w:eastAsia="宋体" w:hint="default"/>
          <w:b/>
          <w:bCs/>
        </w:rPr>
        <w:t>现金及现金等价物的确定标准</w:t>
      </w:r>
      <w:r>
        <w:rPr>
          <w:rFonts w:ascii="宋体" w:hAnsi="宋体" w:cs="宋体" w:eastAsia="宋体" w:hint="default"/>
          <w:b/>
          <w:bCs/>
          <w:spacing w:val="1"/>
          <w:w w:val="99"/>
        </w:rPr>
        <w:t> </w:t>
      </w:r>
      <w:r>
        <w:rPr>
          <w:spacing w:val="-2"/>
        </w:rPr>
        <w:t>在编制现金流量表时，将本公司库存现金以及可以随时用于支付的存款确认为现金。将同</w:t>
      </w:r>
      <w:r>
        <w:rPr/>
        <w:t> </w:t>
      </w:r>
      <w:r>
        <w:rPr>
          <w:spacing w:val="-3"/>
        </w:rPr>
        <w:t>时具备期限短（从购买日起三个月内到期）、流动性强、易于转换为已知现金、价值变动</w:t>
      </w:r>
      <w:r>
        <w:rPr/>
        <w:t> 风险很小四个条件的投资，确定为现金等价物。</w:t>
      </w:r>
    </w:p>
    <w:p>
      <w:pPr>
        <w:spacing w:line="240" w:lineRule="auto" w:before="0"/>
        <w:rPr>
          <w:rFonts w:ascii="宋体" w:hAnsi="宋体" w:cs="宋体" w:eastAsia="宋体" w:hint="default"/>
          <w:sz w:val="20"/>
          <w:szCs w:val="20"/>
        </w:rPr>
      </w:pPr>
    </w:p>
    <w:p>
      <w:pPr>
        <w:pStyle w:val="Heading2"/>
        <w:tabs>
          <w:tab w:pos="853" w:val="left" w:leader="none"/>
        </w:tabs>
        <w:spacing w:line="240" w:lineRule="auto" w:before="172"/>
        <w:ind w:right="312"/>
        <w:jc w:val="left"/>
        <w:rPr>
          <w:b w:val="0"/>
          <w:bCs w:val="0"/>
        </w:rPr>
      </w:pPr>
      <w:r>
        <w:rPr>
          <w:rFonts w:ascii="Times New Roman" w:hAnsi="Times New Roman" w:cs="Times New Roman" w:eastAsia="Times New Roman" w:hint="default"/>
          <w:w w:val="95"/>
        </w:rPr>
        <w:t>(</w:t>
      </w:r>
      <w:r>
        <w:rPr>
          <w:w w:val="95"/>
        </w:rPr>
        <w:t>八</w:t>
      </w:r>
      <w:r>
        <w:rPr>
          <w:rFonts w:ascii="Times New Roman" w:hAnsi="Times New Roman" w:cs="Times New Roman" w:eastAsia="Times New Roman" w:hint="default"/>
          <w:w w:val="95"/>
        </w:rPr>
        <w:t>)</w:t>
        <w:tab/>
      </w:r>
      <w:r>
        <w:rPr/>
        <w:t>外币业务和外币报表折算</w:t>
      </w:r>
      <w:r>
        <w:rPr>
          <w:b w:val="0"/>
          <w:bCs w:val="0"/>
        </w:rPr>
      </w:r>
    </w:p>
    <w:p>
      <w:pPr>
        <w:tabs>
          <w:tab w:pos="1396" w:val="left" w:leader="none"/>
        </w:tabs>
        <w:spacing w:before="110"/>
        <w:ind w:left="857" w:right="312"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pacing w:val="1"/>
          <w:sz w:val="21"/>
          <w:szCs w:val="21"/>
        </w:rPr>
        <w:t>外币业务</w:t>
      </w:r>
      <w:r>
        <w:rPr>
          <w:rFonts w:ascii="宋体" w:hAnsi="宋体" w:cs="宋体" w:eastAsia="宋体" w:hint="default"/>
          <w:sz w:val="21"/>
          <w:szCs w:val="21"/>
        </w:rPr>
      </w:r>
    </w:p>
    <w:p>
      <w:pPr>
        <w:pStyle w:val="BodyText"/>
        <w:spacing w:line="331" w:lineRule="auto" w:before="88"/>
        <w:ind w:left="1399" w:right="205"/>
        <w:jc w:val="left"/>
      </w:pPr>
      <w:r>
        <w:rPr/>
        <w:t>外币业务采用交易发生日的即期汇率作为折算汇率折合成人民币记账。 外币货币性项目余额按资产负债表日即期汇率折算，由此产生的汇兑差额，除属于</w:t>
      </w:r>
      <w:r>
        <w:rPr>
          <w:spacing w:val="-97"/>
        </w:rPr>
        <w:t> </w:t>
      </w:r>
      <w:r>
        <w:rPr>
          <w:spacing w:val="-97"/>
        </w:rPr>
      </w:r>
      <w:r>
        <w:rPr/>
        <w:t>与购建符合资本化条件的资产相关的外币专门借款产生的汇兑差额按照借款费用资</w:t>
      </w:r>
      <w:r>
        <w:rPr>
          <w:spacing w:val="-97"/>
        </w:rPr>
        <w:t> </w:t>
      </w:r>
      <w:r>
        <w:rPr>
          <w:spacing w:val="-97"/>
        </w:rPr>
      </w:r>
      <w:r>
        <w:rPr/>
        <w:t>本化的原则处理外，均计入当期损益。以历史成本计量的外币非货币性项目，仍采</w:t>
      </w:r>
      <w:r>
        <w:rPr>
          <w:spacing w:val="-97"/>
        </w:rPr>
        <w:t> </w:t>
      </w:r>
      <w:r>
        <w:rPr>
          <w:spacing w:val="-97"/>
        </w:rPr>
      </w:r>
      <w:r>
        <w:rPr/>
        <w:t>用交易发生日的即期汇率折算，不改变其记账本位币金额。以公允价值计量的外币</w:t>
      </w:r>
      <w:r>
        <w:rPr>
          <w:spacing w:val="-97"/>
        </w:rPr>
        <w:t> </w:t>
      </w:r>
      <w:r>
        <w:rPr>
          <w:spacing w:val="-97"/>
        </w:rPr>
      </w:r>
      <w:r>
        <w:rPr/>
        <w:t>非货币性项目，采用公允价值确定日的即期汇率折算，由此产生的汇兑差额计入当</w:t>
      </w:r>
      <w:r>
        <w:rPr>
          <w:spacing w:val="-97"/>
        </w:rPr>
        <w:t> </w:t>
      </w:r>
      <w:r>
        <w:rPr>
          <w:spacing w:val="-97"/>
        </w:rPr>
      </w:r>
      <w:r>
        <w:rPr/>
        <w:t>期损益或资本公积。</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pStyle w:val="BodyText"/>
        <w:tabs>
          <w:tab w:pos="1396" w:val="left" w:leader="none"/>
        </w:tabs>
        <w:spacing w:line="326" w:lineRule="auto"/>
        <w:ind w:left="1399" w:right="208" w:hanging="543"/>
        <w:jc w:val="left"/>
      </w:pPr>
      <w:r>
        <w:rPr>
          <w:rFonts w:ascii="Times New Roman" w:hAnsi="Times New Roman" w:cs="Times New Roman" w:eastAsia="Times New Roman" w:hint="default"/>
          <w:b/>
          <w:bCs/>
          <w:w w:val="95"/>
        </w:rPr>
        <w:t>2</w:t>
      </w:r>
      <w:r>
        <w:rPr>
          <w:rFonts w:ascii="宋体" w:hAnsi="宋体" w:cs="宋体" w:eastAsia="宋体" w:hint="default"/>
          <w:b/>
          <w:bCs/>
          <w:w w:val="95"/>
        </w:rPr>
        <w:t>、</w:t>
        <w:tab/>
      </w:r>
      <w:r>
        <w:rPr>
          <w:rFonts w:ascii="宋体" w:hAnsi="宋体" w:cs="宋体" w:eastAsia="宋体" w:hint="default"/>
          <w:b/>
          <w:bCs/>
        </w:rPr>
        <w:t>外币财务报表的折算</w:t>
      </w:r>
      <w:r>
        <w:rPr>
          <w:rFonts w:ascii="宋体" w:hAnsi="宋体" w:cs="宋体" w:eastAsia="宋体" w:hint="default"/>
          <w:b/>
          <w:bCs/>
          <w:spacing w:val="1"/>
          <w:w w:val="99"/>
        </w:rPr>
        <w:t> </w:t>
      </w:r>
      <w:r>
        <w:rPr/>
        <w:t>资产负债表中的资产和负债项目，采用资产负债表日的即期汇率折算；所有者权益 项目除</w:t>
      </w:r>
      <w:r>
        <w:rPr>
          <w:rFonts w:ascii="Times New Roman" w:hAnsi="Times New Roman" w:cs="Times New Roman" w:eastAsia="Times New Roman" w:hint="default"/>
        </w:rPr>
        <w:t>“</w:t>
      </w:r>
      <w:r>
        <w:rPr/>
        <w:t>未分配利润</w:t>
      </w:r>
      <w:r>
        <w:rPr>
          <w:rFonts w:ascii="Times New Roman" w:hAnsi="Times New Roman" w:cs="Times New Roman" w:eastAsia="Times New Roman" w:hint="default"/>
        </w:rPr>
        <w:t>”</w:t>
      </w:r>
      <w:r>
        <w:rPr/>
        <w:t>项目外，其他项目采用发生时的即期汇率折算。利润表中的收</w:t>
      </w:r>
      <w:r>
        <w:rPr>
          <w:spacing w:val="1"/>
        </w:rPr>
        <w:t> </w:t>
      </w:r>
      <w:r>
        <w:rPr/>
        <w:t>入和费用项目，采用交易发生日的即期汇率折算。按照上述折算产生的外币财务报</w:t>
      </w:r>
      <w:r>
        <w:rPr/>
        <w:t> 表折算差额，在资产负债表所有者权益项目下单独列示。 处置境外经营时，将资产负债表中所有者权益项目下列示的、与该境外经营相关的 外币财务报表折算差额，自所有者权益项目转入处置当期损益；部分处置境外经营 的，按处置的比例计算处置部分的外币财务报表折算差额，转入处置当期损益。</w:t>
      </w:r>
    </w:p>
    <w:p>
      <w:pPr>
        <w:spacing w:after="0" w:line="326" w:lineRule="auto"/>
        <w:jc w:val="left"/>
        <w:sectPr>
          <w:pgSz w:w="11910" w:h="16840"/>
          <w:pgMar w:header="851" w:footer="982" w:top="1360" w:bottom="1180" w:left="1660" w:right="10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1"/>
          <w:szCs w:val="21"/>
        </w:rPr>
      </w:pPr>
    </w:p>
    <w:p>
      <w:pPr>
        <w:tabs>
          <w:tab w:pos="853" w:val="left" w:leader="none"/>
        </w:tabs>
        <w:spacing w:line="314" w:lineRule="auto" w:before="35"/>
        <w:ind w:left="857" w:right="3854" w:hanging="732"/>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九</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金融工具</w:t>
      </w:r>
      <w:r>
        <w:rPr>
          <w:rFonts w:ascii="宋体" w:hAnsi="宋体" w:cs="宋体" w:eastAsia="宋体" w:hint="default"/>
          <w:b/>
          <w:bCs/>
          <w:spacing w:val="1"/>
          <w:w w:val="99"/>
          <w:sz w:val="21"/>
          <w:szCs w:val="21"/>
        </w:rPr>
        <w:t> </w:t>
      </w:r>
      <w:r>
        <w:rPr>
          <w:rFonts w:ascii="宋体" w:hAnsi="宋体" w:cs="宋体" w:eastAsia="宋体" w:hint="default"/>
          <w:sz w:val="21"/>
          <w:szCs w:val="21"/>
        </w:rPr>
        <w:t>金融工具包括金融资产、金融负债和权益工具。</w:t>
      </w:r>
    </w:p>
    <w:p>
      <w:pPr>
        <w:spacing w:line="240" w:lineRule="auto" w:before="0"/>
        <w:rPr>
          <w:rFonts w:ascii="宋体" w:hAnsi="宋体" w:cs="宋体" w:eastAsia="宋体" w:hint="default"/>
          <w:sz w:val="20"/>
          <w:szCs w:val="20"/>
        </w:rPr>
      </w:pPr>
    </w:p>
    <w:p>
      <w:pPr>
        <w:pStyle w:val="BodyText"/>
        <w:tabs>
          <w:tab w:pos="1396" w:val="left" w:leader="none"/>
        </w:tabs>
        <w:spacing w:line="321" w:lineRule="auto" w:before="158"/>
        <w:ind w:left="1400" w:right="151" w:hanging="543"/>
        <w:jc w:val="left"/>
      </w:pP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rPr>
        <w:t>金融工具的分类</w:t>
      </w:r>
      <w:r>
        <w:rPr>
          <w:rFonts w:ascii="宋体" w:hAnsi="宋体" w:cs="宋体" w:eastAsia="宋体" w:hint="default"/>
          <w:b/>
          <w:bCs/>
          <w:w w:val="99"/>
        </w:rPr>
        <w:t> </w:t>
      </w:r>
      <w:r>
        <w:rPr/>
        <w:t>管理层按照取得持有金融资产和承担金融负债的目的，将其划分为：以公允价值计 量且其变动计入当期损益的金融资产或金融负债，包括交易性金融资产或金融负债</w:t>
      </w:r>
    </w:p>
    <w:p>
      <w:pPr>
        <w:pStyle w:val="BodyText"/>
        <w:spacing w:line="331" w:lineRule="auto" w:before="34"/>
        <w:ind w:left="1400" w:right="144"/>
        <w:jc w:val="left"/>
      </w:pPr>
      <w:r>
        <w:rPr>
          <w:spacing w:val="-6"/>
        </w:rPr>
        <w:t>（和直接指定为以公允价值计量且其变动计入当期损益的金融资产或金融负债）；持</w:t>
      </w:r>
      <w:r>
        <w:rPr>
          <w:spacing w:val="-82"/>
        </w:rPr>
        <w:t> </w:t>
      </w:r>
      <w:r>
        <w:rPr>
          <w:spacing w:val="-82"/>
        </w:rPr>
      </w:r>
      <w:r>
        <w:rPr/>
        <w:t>有至到期投资；应收款项；可供出售金融资产；其他金融负债等。</w:t>
      </w:r>
    </w:p>
    <w:p>
      <w:pPr>
        <w:spacing w:line="240" w:lineRule="auto" w:before="0"/>
        <w:rPr>
          <w:rFonts w:ascii="宋体" w:hAnsi="宋体" w:cs="宋体" w:eastAsia="宋体" w:hint="default"/>
          <w:sz w:val="20"/>
          <w:szCs w:val="20"/>
        </w:rPr>
      </w:pPr>
    </w:p>
    <w:p>
      <w:pPr>
        <w:pStyle w:val="Heading2"/>
        <w:tabs>
          <w:tab w:pos="1396" w:val="left" w:leader="none"/>
        </w:tabs>
        <w:spacing w:line="240" w:lineRule="auto" w:before="163"/>
        <w:ind w:left="857" w:right="3854"/>
        <w:jc w:val="left"/>
        <w:rPr>
          <w:b w:val="0"/>
          <w:bCs w:val="0"/>
        </w:rPr>
      </w:pPr>
      <w:r>
        <w:rPr>
          <w:rFonts w:ascii="Times New Roman" w:hAnsi="Times New Roman" w:cs="Times New Roman" w:eastAsia="Times New Roman" w:hint="default"/>
          <w:w w:val="95"/>
        </w:rPr>
        <w:t>2</w:t>
      </w:r>
      <w:r>
        <w:rPr>
          <w:w w:val="95"/>
        </w:rPr>
        <w:t>、</w:t>
        <w:tab/>
      </w:r>
      <w:r>
        <w:rPr/>
        <w:t>金融工具的确认依据和计量方法</w:t>
      </w:r>
      <w:r>
        <w:rPr>
          <w:b w:val="0"/>
          <w:bCs w:val="0"/>
        </w:rPr>
      </w:r>
    </w:p>
    <w:p>
      <w:pPr>
        <w:pStyle w:val="BodyText"/>
        <w:spacing w:line="345" w:lineRule="auto" w:before="109"/>
        <w:ind w:left="1400" w:right="144"/>
        <w:jc w:val="left"/>
      </w:pPr>
      <w:r>
        <w:rPr/>
        <w:t>（</w:t>
      </w:r>
      <w:r>
        <w:rPr>
          <w:rFonts w:ascii="Times New Roman" w:hAnsi="Times New Roman" w:cs="Times New Roman" w:eastAsia="Times New Roman" w:hint="default"/>
        </w:rPr>
        <w:t>1</w:t>
      </w:r>
      <w:r>
        <w:rPr/>
        <w:t>）以公允价值计量且其变动计入当期损益的金融资产（金融负债） 取得时以公允价值（扣除已宣告但尚未发放的现金股利或已到付息期但尚未领取的</w:t>
      </w:r>
      <w:r>
        <w:rPr>
          <w:spacing w:val="-97"/>
        </w:rPr>
        <w:t> </w:t>
      </w:r>
      <w:r>
        <w:rPr>
          <w:spacing w:val="-97"/>
        </w:rPr>
      </w:r>
      <w:r>
        <w:rPr/>
        <w:t>债券利息）作为初始确认金额，相关的交易费用计入当期损益。 持有期间将取得的利息或现金股利确认为投资收益，期末将公允价值变动计入当期</w:t>
      </w:r>
      <w:r>
        <w:rPr>
          <w:spacing w:val="-97"/>
        </w:rPr>
        <w:t> </w:t>
      </w:r>
      <w:r>
        <w:rPr>
          <w:spacing w:val="-97"/>
        </w:rPr>
      </w:r>
      <w:r>
        <w:rPr/>
        <w:t>损益。 处置时，其公允价值与初始入账金额之间的差额确认为投资收益，同时调整公允价</w:t>
      </w:r>
      <w:r>
        <w:rPr>
          <w:spacing w:val="-97"/>
        </w:rPr>
        <w:t> </w:t>
      </w:r>
      <w:r>
        <w:rPr>
          <w:spacing w:val="-97"/>
        </w:rPr>
      </w:r>
      <w:r>
        <w:rPr/>
        <w:t>值变动损益。</w:t>
      </w:r>
    </w:p>
    <w:p>
      <w:pPr>
        <w:spacing w:line="240" w:lineRule="auto" w:before="0"/>
        <w:rPr>
          <w:rFonts w:ascii="宋体" w:hAnsi="宋体" w:cs="宋体" w:eastAsia="宋体" w:hint="default"/>
          <w:sz w:val="20"/>
          <w:szCs w:val="20"/>
        </w:rPr>
      </w:pPr>
    </w:p>
    <w:p>
      <w:pPr>
        <w:pStyle w:val="BodyText"/>
        <w:spacing w:line="345" w:lineRule="auto" w:before="171"/>
        <w:ind w:left="1400" w:right="144"/>
        <w:jc w:val="left"/>
      </w:pPr>
      <w:r>
        <w:rPr/>
        <w:t>（</w:t>
      </w:r>
      <w:r>
        <w:rPr>
          <w:rFonts w:ascii="Times New Roman" w:hAnsi="Times New Roman" w:cs="Times New Roman" w:eastAsia="Times New Roman" w:hint="default"/>
        </w:rPr>
        <w:t>2</w:t>
      </w:r>
      <w:r>
        <w:rPr/>
        <w:t>）持有至到期投资 取得时按公允价值（扣除已到付息期但尚未领取的债券利息）和相关交易费用之和</w:t>
      </w:r>
      <w:r>
        <w:rPr>
          <w:spacing w:val="-97"/>
        </w:rPr>
        <w:t> </w:t>
      </w:r>
      <w:r>
        <w:rPr>
          <w:spacing w:val="-97"/>
        </w:rPr>
      </w:r>
      <w:r>
        <w:rPr/>
        <w:t>作为初始确认金额。 期间按照摊余成本和实际利率（如实际利率与票面利率差别较小的，按票面利率）</w:t>
      </w:r>
      <w:r>
        <w:rPr>
          <w:spacing w:val="-97"/>
        </w:rPr>
        <w:t> </w:t>
      </w:r>
      <w:r>
        <w:rPr>
          <w:spacing w:val="-97"/>
        </w:rPr>
      </w:r>
      <w:r>
        <w:rPr/>
        <w:t>计算确认利息收入，计入投资收益。实际利率在取得时确定，在该预期存续期间或</w:t>
      </w:r>
      <w:r>
        <w:rPr>
          <w:spacing w:val="-97"/>
        </w:rPr>
        <w:t> </w:t>
      </w:r>
      <w:r>
        <w:rPr>
          <w:spacing w:val="-97"/>
        </w:rPr>
      </w:r>
      <w:r>
        <w:rPr/>
        <w:t>适用的更短期间内保持不变。 处置时，将所取得价款与该投资账面价值之间的差额计入投资收益。</w:t>
      </w:r>
    </w:p>
    <w:p>
      <w:pPr>
        <w:spacing w:line="240" w:lineRule="auto" w:before="0"/>
        <w:rPr>
          <w:rFonts w:ascii="宋体" w:hAnsi="宋体" w:cs="宋体" w:eastAsia="宋体" w:hint="default"/>
          <w:sz w:val="20"/>
          <w:szCs w:val="20"/>
        </w:rPr>
      </w:pPr>
    </w:p>
    <w:p>
      <w:pPr>
        <w:pStyle w:val="BodyText"/>
        <w:spacing w:line="345" w:lineRule="auto" w:before="171"/>
        <w:ind w:left="1400" w:right="144"/>
        <w:jc w:val="left"/>
      </w:pPr>
      <w:r>
        <w:rPr/>
        <w:t>（</w:t>
      </w:r>
      <w:r>
        <w:rPr>
          <w:rFonts w:ascii="Times New Roman" w:hAnsi="Times New Roman" w:cs="Times New Roman" w:eastAsia="Times New Roman" w:hint="default"/>
        </w:rPr>
        <w:t>3</w:t>
      </w:r>
      <w:r>
        <w:rPr/>
        <w:t>）应收款项 公司对外销售商品或提供劳务形成的应收债权，以及公司持有的其他企业的不包括</w:t>
      </w:r>
      <w:r>
        <w:rPr>
          <w:spacing w:val="-97"/>
        </w:rPr>
        <w:t> </w:t>
      </w:r>
      <w:r>
        <w:rPr>
          <w:spacing w:val="-97"/>
        </w:rPr>
      </w:r>
      <w:r>
        <w:rPr/>
        <w:t>在活跃市场上有报价的债务工具的债权，包括应收账款、其他应收款、应收票据、</w:t>
      </w:r>
      <w:r>
        <w:rPr>
          <w:spacing w:val="-97"/>
        </w:rPr>
        <w:t> </w:t>
      </w:r>
      <w:r>
        <w:rPr>
          <w:spacing w:val="-97"/>
        </w:rPr>
      </w:r>
      <w:r>
        <w:rPr/>
        <w:t>预付账款、长期应收款等，以向购货方应收的合同或协议价款作为初始确认金额；</w:t>
      </w:r>
      <w:r>
        <w:rPr>
          <w:spacing w:val="-97"/>
        </w:rPr>
        <w:t> </w:t>
      </w:r>
      <w:r>
        <w:rPr>
          <w:spacing w:val="-97"/>
        </w:rPr>
      </w:r>
      <w:r>
        <w:rPr/>
        <w:t>具有融资性质的，按其现值进行初始确认。 收回或处置时，将取得的价款与该应收款项账面价值之间的差额计入当期损益。</w:t>
      </w:r>
    </w:p>
    <w:p>
      <w:pPr>
        <w:spacing w:after="0" w:line="345" w:lineRule="auto"/>
        <w:jc w:val="left"/>
        <w:sectPr>
          <w:pgSz w:w="11910" w:h="16840"/>
          <w:pgMar w:header="851" w:footer="982" w:top="1360" w:bottom="1180" w:left="1660" w:right="1120"/>
        </w:sectPr>
      </w:pPr>
    </w:p>
    <w:p>
      <w:pPr>
        <w:spacing w:line="240" w:lineRule="auto" w:before="6"/>
        <w:rPr>
          <w:rFonts w:ascii="宋体" w:hAnsi="宋体" w:cs="宋体" w:eastAsia="宋体" w:hint="default"/>
          <w:sz w:val="10"/>
          <w:szCs w:val="10"/>
        </w:rPr>
      </w:pPr>
    </w:p>
    <w:p>
      <w:pPr>
        <w:pStyle w:val="BodyText"/>
        <w:spacing w:line="345" w:lineRule="auto" w:before="35"/>
        <w:ind w:left="1400" w:right="204"/>
        <w:jc w:val="left"/>
      </w:pPr>
      <w:r>
        <w:rPr/>
        <w:t>（</w:t>
      </w:r>
      <w:r>
        <w:rPr>
          <w:rFonts w:ascii="Times New Roman" w:hAnsi="Times New Roman" w:cs="Times New Roman" w:eastAsia="Times New Roman" w:hint="default"/>
        </w:rPr>
        <w:t>4</w:t>
      </w:r>
      <w:r>
        <w:rPr/>
        <w:t>）可供出售金融资产 取得时按公允价值（扣除已宣告但尚未发放的现金股利或已到付息期但尚未领取的</w:t>
      </w:r>
      <w:r>
        <w:rPr>
          <w:spacing w:val="-97"/>
        </w:rPr>
        <w:t> </w:t>
      </w:r>
      <w:r>
        <w:rPr>
          <w:spacing w:val="-97"/>
        </w:rPr>
      </w:r>
      <w:r>
        <w:rPr/>
        <w:t>债券利息）和相关交易费用之和作为初始确认金额。 持有期间将取得的利息或现金股利确认为投资收益。期末以公允价值计量且将公允</w:t>
      </w:r>
      <w:r>
        <w:rPr>
          <w:spacing w:val="-97"/>
        </w:rPr>
        <w:t> </w:t>
      </w:r>
      <w:r>
        <w:rPr>
          <w:spacing w:val="-97"/>
        </w:rPr>
      </w:r>
      <w:r>
        <w:rPr>
          <w:spacing w:val="-6"/>
        </w:rPr>
        <w:t>价值变动计入资本公积（其他资本公积）。</w:t>
      </w:r>
      <w:r>
        <w:rPr>
          <w:spacing w:val="-96"/>
        </w:rPr>
        <w:t> </w:t>
      </w:r>
      <w:r>
        <w:rPr>
          <w:spacing w:val="-96"/>
        </w:rPr>
      </w:r>
      <w:r>
        <w:rPr/>
        <w:t>处置时，将取得的价款与该金融资产账面价值之间的差额，计入投资损益；同时，</w:t>
      </w:r>
      <w:r>
        <w:rPr>
          <w:spacing w:val="-97"/>
        </w:rPr>
        <w:t> </w:t>
      </w:r>
      <w:r>
        <w:rPr>
          <w:spacing w:val="-97"/>
        </w:rPr>
      </w:r>
      <w:r>
        <w:rPr/>
        <w:t>将原直接计入所有者权益的公允价值变动累计额对应处置部分的金额转出，计入投</w:t>
      </w:r>
      <w:r>
        <w:rPr>
          <w:spacing w:val="-97"/>
        </w:rPr>
        <w:t> </w:t>
      </w:r>
      <w:r>
        <w:rPr>
          <w:spacing w:val="-97"/>
        </w:rPr>
      </w:r>
      <w:r>
        <w:rPr/>
        <w:t>资损益。</w:t>
      </w:r>
    </w:p>
    <w:p>
      <w:pPr>
        <w:spacing w:line="240" w:lineRule="auto" w:before="0"/>
        <w:rPr>
          <w:rFonts w:ascii="宋体" w:hAnsi="宋体" w:cs="宋体" w:eastAsia="宋体" w:hint="default"/>
          <w:sz w:val="20"/>
          <w:szCs w:val="20"/>
        </w:rPr>
      </w:pPr>
    </w:p>
    <w:p>
      <w:pPr>
        <w:pStyle w:val="BodyText"/>
        <w:spacing w:line="328" w:lineRule="auto" w:before="171"/>
        <w:ind w:left="1400" w:right="105"/>
        <w:jc w:val="left"/>
      </w:pPr>
      <w:r>
        <w:rPr/>
        <w:t>（</w:t>
      </w:r>
      <w:r>
        <w:rPr>
          <w:rFonts w:ascii="Times New Roman" w:hAnsi="Times New Roman" w:cs="Times New Roman" w:eastAsia="Times New Roman" w:hint="default"/>
        </w:rPr>
        <w:t>5</w:t>
      </w:r>
      <w:r>
        <w:rPr/>
        <w:t>）其他金融负债 </w:t>
      </w:r>
      <w:r>
        <w:rPr>
          <w:spacing w:val="-3"/>
        </w:rPr>
        <w:t>按其公允价值和相关交易费用之和作为初始确认金额。采用摊余成本进行后续计量。</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BodyText"/>
        <w:tabs>
          <w:tab w:pos="1396" w:val="left" w:leader="none"/>
        </w:tabs>
        <w:spacing w:line="345" w:lineRule="auto"/>
        <w:ind w:left="1400" w:right="211" w:hanging="543"/>
        <w:jc w:val="left"/>
      </w:pPr>
      <w:r>
        <w:rPr>
          <w:rFonts w:ascii="Times New Roman" w:hAnsi="Times New Roman" w:cs="Times New Roman" w:eastAsia="Times New Roman" w:hint="default"/>
          <w:b/>
          <w:bCs/>
          <w:w w:val="95"/>
        </w:rPr>
        <w:t>3</w:t>
      </w:r>
      <w:r>
        <w:rPr>
          <w:rFonts w:ascii="宋体" w:hAnsi="宋体" w:cs="宋体" w:eastAsia="宋体" w:hint="default"/>
          <w:b/>
          <w:bCs/>
          <w:w w:val="95"/>
        </w:rPr>
        <w:t>、</w:t>
        <w:tab/>
      </w:r>
      <w:r>
        <w:rPr>
          <w:rFonts w:ascii="宋体" w:hAnsi="宋体" w:cs="宋体" w:eastAsia="宋体" w:hint="default"/>
          <w:b/>
          <w:bCs/>
        </w:rPr>
        <w:t>金融资产转移的确认依据和计量方法</w:t>
      </w:r>
      <w:r>
        <w:rPr>
          <w:rFonts w:ascii="宋体" w:hAnsi="宋体" w:cs="宋体" w:eastAsia="宋体" w:hint="default"/>
          <w:b/>
          <w:bCs/>
          <w:w w:val="99"/>
        </w:rPr>
        <w:t> </w:t>
      </w:r>
      <w:r>
        <w:rPr/>
        <w:t>公司发生金融资产转移时，如已将金融资产所有权上几乎所有的风险和报酬转移给 转入方，则终止确认该金融资产；如保留了金融资产所有权上几乎所有的风险和报 酬的，则不终止确认该金融资产。 在判断金融资产转移是否满足上述金融资产终止确认条件时，采用实质重于形式的 原则。公司将金融资产转移区分为金融资产整体转移和部分转移。金融资产整体转 移满足终止确认条件的，将下列两项金额的差额计入当期损益：</w:t>
      </w:r>
    </w:p>
    <w:p>
      <w:pPr>
        <w:pStyle w:val="BodyText"/>
        <w:spacing w:line="240" w:lineRule="auto" w:before="32"/>
        <w:ind w:left="1400" w:right="312"/>
        <w:jc w:val="left"/>
      </w:pPr>
      <w:r>
        <w:rPr/>
        <w:t>（</w:t>
      </w:r>
      <w:r>
        <w:rPr>
          <w:rFonts w:ascii="Times New Roman" w:hAnsi="Times New Roman" w:cs="Times New Roman" w:eastAsia="Times New Roman" w:hint="default"/>
        </w:rPr>
        <w:t>1</w:t>
      </w:r>
      <w:r>
        <w:rPr/>
        <w:t>）所转移金融资产的账面价值；</w:t>
      </w:r>
    </w:p>
    <w:p>
      <w:pPr>
        <w:pStyle w:val="BodyText"/>
        <w:spacing w:line="345" w:lineRule="auto" w:before="110"/>
        <w:ind w:left="1400" w:right="204"/>
        <w:jc w:val="left"/>
      </w:pPr>
      <w:r>
        <w:rPr>
          <w:spacing w:val="-3"/>
        </w:rPr>
        <w:t>（</w:t>
      </w:r>
      <w:r>
        <w:rPr>
          <w:rFonts w:ascii="Times New Roman" w:hAnsi="Times New Roman" w:cs="Times New Roman" w:eastAsia="Times New Roman" w:hint="default"/>
          <w:spacing w:val="-3"/>
        </w:rPr>
        <w:t>2</w:t>
      </w:r>
      <w:r>
        <w:rPr>
          <w:spacing w:val="-3"/>
        </w:rPr>
        <w:t>）因转移而收到的对价，与原直接计入所有者权益的公允价值变动累计额（涉及</w:t>
      </w:r>
      <w:r>
        <w:rPr>
          <w:spacing w:val="-90"/>
        </w:rPr>
        <w:t> </w:t>
      </w:r>
      <w:r>
        <w:rPr>
          <w:spacing w:val="-90"/>
        </w:rPr>
      </w:r>
      <w:r>
        <w:rPr/>
        <w:t>转移的金融资产为可供出售金融资产的情形）之和。 金融资产部分转移满足终止确认条件的，将所转移金融资产整体的账面价值，在终</w:t>
      </w:r>
      <w:r>
        <w:rPr>
          <w:spacing w:val="-97"/>
        </w:rPr>
        <w:t> </w:t>
      </w:r>
      <w:r>
        <w:rPr>
          <w:spacing w:val="-97"/>
        </w:rPr>
      </w:r>
      <w:r>
        <w:rPr/>
        <w:t>止确认部分和未终止确认部分之间，按照各自的相对公允价值进行分摊，并将下列</w:t>
      </w:r>
      <w:r>
        <w:rPr>
          <w:spacing w:val="-97"/>
        </w:rPr>
        <w:t> </w:t>
      </w:r>
      <w:r>
        <w:rPr>
          <w:spacing w:val="-97"/>
        </w:rPr>
      </w:r>
      <w:r>
        <w:rPr/>
        <w:t>两项金额的差额计入当期损益：</w:t>
      </w:r>
    </w:p>
    <w:p>
      <w:pPr>
        <w:pStyle w:val="BodyText"/>
        <w:spacing w:line="240" w:lineRule="auto" w:before="32"/>
        <w:ind w:left="1400" w:right="312"/>
        <w:jc w:val="left"/>
      </w:pPr>
      <w:r>
        <w:rPr/>
        <w:t>（</w:t>
      </w:r>
      <w:r>
        <w:rPr>
          <w:rFonts w:ascii="Times New Roman" w:hAnsi="Times New Roman" w:cs="Times New Roman" w:eastAsia="Times New Roman" w:hint="default"/>
        </w:rPr>
        <w:t>1</w:t>
      </w:r>
      <w:r>
        <w:rPr/>
        <w:t>）终止确认部分的账面价值；</w:t>
      </w:r>
    </w:p>
    <w:p>
      <w:pPr>
        <w:pStyle w:val="BodyText"/>
        <w:spacing w:line="343" w:lineRule="auto" w:before="110"/>
        <w:ind w:left="1400" w:right="204"/>
        <w:jc w:val="left"/>
      </w:pPr>
      <w:r>
        <w:rPr>
          <w:spacing w:val="-3"/>
        </w:rPr>
        <w:t>（</w:t>
      </w:r>
      <w:r>
        <w:rPr>
          <w:rFonts w:ascii="Times New Roman" w:hAnsi="Times New Roman" w:cs="Times New Roman" w:eastAsia="Times New Roman" w:hint="default"/>
          <w:spacing w:val="-3"/>
        </w:rPr>
        <w:t>2</w:t>
      </w:r>
      <w:r>
        <w:rPr>
          <w:spacing w:val="-3"/>
        </w:rPr>
        <w:t>）终止确认部分的对价，与原直接计入所有者权益的公允价值变动累计额中对应</w:t>
      </w:r>
      <w:r>
        <w:rPr>
          <w:spacing w:val="-88"/>
        </w:rPr>
        <w:t> </w:t>
      </w:r>
      <w:r>
        <w:rPr>
          <w:spacing w:val="-88"/>
        </w:rPr>
      </w:r>
      <w:r>
        <w:rPr/>
        <w:t>终止确认部分的金额（涉及转移的金融资产为可供出售金融资产的情形）之和。 金融资产转移不满足终止确认条件的，继续确认该金融资产，所收到的对价确认为</w:t>
      </w:r>
      <w:r>
        <w:rPr>
          <w:spacing w:val="-97"/>
        </w:rPr>
        <w:t> </w:t>
      </w:r>
      <w:r>
        <w:rPr>
          <w:spacing w:val="-97"/>
        </w:rPr>
      </w:r>
      <w:r>
        <w:rPr/>
        <w:t>一项金融负债。</w:t>
      </w:r>
    </w:p>
    <w:p>
      <w:pPr>
        <w:spacing w:line="240" w:lineRule="auto" w:before="6"/>
        <w:rPr>
          <w:rFonts w:ascii="宋体" w:hAnsi="宋体" w:cs="宋体" w:eastAsia="宋体" w:hint="default"/>
          <w:sz w:val="26"/>
          <w:szCs w:val="26"/>
        </w:rPr>
      </w:pPr>
    </w:p>
    <w:p>
      <w:pPr>
        <w:pStyle w:val="BodyText"/>
        <w:tabs>
          <w:tab w:pos="1396" w:val="left" w:leader="none"/>
        </w:tabs>
        <w:spacing w:line="343" w:lineRule="auto"/>
        <w:ind w:left="1400" w:right="211" w:hanging="543"/>
        <w:jc w:val="left"/>
      </w:pPr>
      <w:r>
        <w:rPr>
          <w:rFonts w:ascii="Times New Roman" w:hAnsi="Times New Roman" w:cs="Times New Roman" w:eastAsia="Times New Roman" w:hint="default"/>
          <w:b/>
          <w:bCs/>
          <w:w w:val="95"/>
        </w:rPr>
        <w:t>4</w:t>
      </w:r>
      <w:r>
        <w:rPr>
          <w:rFonts w:ascii="宋体" w:hAnsi="宋体" w:cs="宋体" w:eastAsia="宋体" w:hint="default"/>
          <w:b/>
          <w:bCs/>
          <w:w w:val="95"/>
        </w:rPr>
        <w:t>、</w:t>
        <w:tab/>
      </w:r>
      <w:r>
        <w:rPr>
          <w:rFonts w:ascii="宋体" w:hAnsi="宋体" w:cs="宋体" w:eastAsia="宋体" w:hint="default"/>
          <w:b/>
          <w:bCs/>
        </w:rPr>
        <w:t>金融负债终止确认条件</w:t>
      </w:r>
      <w:r>
        <w:rPr>
          <w:rFonts w:ascii="宋体" w:hAnsi="宋体" w:cs="宋体" w:eastAsia="宋体" w:hint="default"/>
          <w:b/>
          <w:bCs/>
          <w:w w:val="99"/>
        </w:rPr>
        <w:t> </w:t>
      </w:r>
      <w:r>
        <w:rPr/>
        <w:t>金融负债的现时义务全部或部分已经解除的，则终止确认该金融负债或其一部分； 本公司若与债权人签定协议，以承担新金融负债方式替换现存金融负债，且新金融 负债与现存金融负债的合同条款实质上不同的，则终止确认现存金融负债，并同时</w:t>
      </w:r>
    </w:p>
    <w:p>
      <w:pPr>
        <w:spacing w:after="0" w:line="343" w:lineRule="auto"/>
        <w:jc w:val="left"/>
        <w:sectPr>
          <w:pgSz w:w="11910" w:h="16840"/>
          <w:pgMar w:header="851" w:footer="982" w:top="1360" w:bottom="1180" w:left="1660" w:right="1060"/>
        </w:sectPr>
      </w:pPr>
    </w:p>
    <w:p>
      <w:pPr>
        <w:spacing w:line="240" w:lineRule="auto" w:before="6"/>
        <w:rPr>
          <w:rFonts w:ascii="宋体" w:hAnsi="宋体" w:cs="宋体" w:eastAsia="宋体" w:hint="default"/>
          <w:sz w:val="10"/>
          <w:szCs w:val="10"/>
        </w:rPr>
      </w:pPr>
    </w:p>
    <w:p>
      <w:pPr>
        <w:pStyle w:val="BodyText"/>
        <w:spacing w:line="350" w:lineRule="auto" w:before="35"/>
        <w:ind w:left="1400" w:right="204"/>
        <w:jc w:val="left"/>
      </w:pPr>
      <w:r>
        <w:rPr/>
        <w:t>确认新金融负债。 对现存金融负债全部或部分合同条款作出实质性修改的，则终止确认现存金融负债</w:t>
      </w:r>
      <w:r>
        <w:rPr>
          <w:spacing w:val="-97"/>
        </w:rPr>
        <w:t> </w:t>
      </w:r>
      <w:r>
        <w:rPr>
          <w:spacing w:val="-97"/>
        </w:rPr>
      </w:r>
      <w:r>
        <w:rPr/>
        <w:t>或其一部分，同时将修改条款后的金融负债确认为一项新金融负债。 金融负债全部或部分终止确认时，终止确认的金融负债账面价值与支付对价（包括</w:t>
      </w:r>
      <w:r>
        <w:rPr>
          <w:spacing w:val="-97"/>
        </w:rPr>
        <w:t> </w:t>
      </w:r>
      <w:r>
        <w:rPr>
          <w:spacing w:val="-97"/>
        </w:rPr>
      </w:r>
      <w:r>
        <w:rPr/>
        <w:t>转出的非现金资产或承担的新金融负债）之间的差额，计入当期损益。</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5"/>
          <w:szCs w:val="15"/>
        </w:rPr>
      </w:pPr>
    </w:p>
    <w:p>
      <w:pPr>
        <w:pStyle w:val="BodyText"/>
        <w:spacing w:line="384" w:lineRule="auto"/>
        <w:ind w:left="1400" w:right="211"/>
        <w:jc w:val="both"/>
      </w:pPr>
      <w:r>
        <w:rPr/>
        <w:t>本公司若回购部分金融负债的，在回购日按照继续确认部分与终止确认部分的相对</w:t>
      </w:r>
      <w:r>
        <w:rPr>
          <w:spacing w:val="-97"/>
        </w:rPr>
        <w:t> </w:t>
      </w:r>
      <w:r>
        <w:rPr>
          <w:spacing w:val="-97"/>
        </w:rPr>
      </w:r>
      <w:r>
        <w:rPr/>
        <w:t>公允价值，将该金融负债整体的账面价值进行分配。分配给终止确认部分的账面价</w:t>
      </w:r>
      <w:r>
        <w:rPr>
          <w:spacing w:val="-97"/>
        </w:rPr>
        <w:t> </w:t>
      </w:r>
      <w:r>
        <w:rPr>
          <w:spacing w:val="-97"/>
        </w:rPr>
      </w:r>
      <w:r>
        <w:rPr/>
        <w:t>值与支付的对价（包括转出的非现金资产或承担的新金融负债）之间的差额，计入</w:t>
      </w:r>
      <w:r>
        <w:rPr>
          <w:spacing w:val="-97"/>
        </w:rPr>
        <w:t> </w:t>
      </w:r>
      <w:r>
        <w:rPr>
          <w:spacing w:val="-97"/>
        </w:rPr>
      </w:r>
      <w:r>
        <w:rPr/>
        <w:t>当期损益。</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tabs>
          <w:tab w:pos="1396" w:val="left" w:leader="none"/>
        </w:tabs>
        <w:spacing w:line="374" w:lineRule="auto" w:before="0"/>
        <w:ind w:left="1400" w:right="211"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r>
      <w:r>
        <w:rPr>
          <w:rFonts w:ascii="宋体" w:hAnsi="宋体" w:cs="宋体" w:eastAsia="宋体" w:hint="default"/>
          <w:b/>
          <w:bCs/>
          <w:sz w:val="21"/>
          <w:szCs w:val="21"/>
        </w:rPr>
        <w:t>金融资产和金融负债公允价值的确定方法</w:t>
      </w:r>
      <w:r>
        <w:rPr>
          <w:rFonts w:ascii="宋体" w:hAnsi="宋体" w:cs="宋体" w:eastAsia="宋体" w:hint="default"/>
          <w:b/>
          <w:bCs/>
          <w:spacing w:val="1"/>
          <w:w w:val="99"/>
          <w:sz w:val="21"/>
          <w:szCs w:val="21"/>
        </w:rPr>
        <w:t> </w:t>
      </w:r>
      <w:r>
        <w:rPr>
          <w:rFonts w:ascii="宋体" w:hAnsi="宋体" w:cs="宋体" w:eastAsia="宋体" w:hint="default"/>
          <w:sz w:val="21"/>
          <w:szCs w:val="21"/>
        </w:rPr>
        <w:t>本公司采用公允价值计量的金融资产和金融负债全部直接参考期末活跃市场中的报 价。</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Heading2"/>
        <w:tabs>
          <w:tab w:pos="1396" w:val="left" w:leader="none"/>
        </w:tabs>
        <w:spacing w:line="240" w:lineRule="auto"/>
        <w:ind w:left="857" w:right="312"/>
        <w:jc w:val="left"/>
        <w:rPr>
          <w:b w:val="0"/>
          <w:bCs w:val="0"/>
        </w:rPr>
      </w:pPr>
      <w:r>
        <w:rPr>
          <w:rFonts w:ascii="Times New Roman" w:hAnsi="Times New Roman" w:cs="Times New Roman" w:eastAsia="Times New Roman" w:hint="default"/>
          <w:w w:val="95"/>
        </w:rPr>
        <w:t>6</w:t>
      </w:r>
      <w:r>
        <w:rPr>
          <w:w w:val="95"/>
        </w:rPr>
        <w:t>、</w:t>
        <w:tab/>
      </w:r>
      <w:r>
        <w:rPr/>
        <w:t>金融资产（不含应收款项）减值准备计提</w:t>
      </w:r>
      <w:r>
        <w:rPr>
          <w:b w:val="0"/>
          <w:bCs w:val="0"/>
        </w:rPr>
      </w:r>
    </w:p>
    <w:p>
      <w:pPr>
        <w:pStyle w:val="BodyText"/>
        <w:spacing w:line="376" w:lineRule="auto" w:before="149"/>
        <w:ind w:left="1400" w:right="204"/>
        <w:jc w:val="left"/>
      </w:pPr>
      <w:r>
        <w:rPr/>
        <w:t>（</w:t>
      </w:r>
      <w:r>
        <w:rPr>
          <w:rFonts w:ascii="Times New Roman" w:hAnsi="Times New Roman" w:cs="Times New Roman" w:eastAsia="Times New Roman" w:hint="default"/>
        </w:rPr>
        <w:t>1</w:t>
      </w:r>
      <w:r>
        <w:rPr/>
        <w:t>）可供出售金融资产的减值准备： 期末如果可供出售金融资产的公允价值发生较大幅度下降，或在综合考虑各种相关</w:t>
      </w:r>
      <w:r>
        <w:rPr>
          <w:spacing w:val="-97"/>
        </w:rPr>
        <w:t> </w:t>
      </w:r>
      <w:r>
        <w:rPr>
          <w:spacing w:val="-97"/>
        </w:rPr>
      </w:r>
      <w:r>
        <w:rPr/>
        <w:t>因素后，预期这种下降趋势属于非暂时性的，就认定其已发生减值，将原直接计入</w:t>
      </w:r>
      <w:r>
        <w:rPr>
          <w:spacing w:val="-97"/>
        </w:rPr>
        <w:t> </w:t>
      </w:r>
      <w:r>
        <w:rPr>
          <w:spacing w:val="-97"/>
        </w:rPr>
      </w:r>
      <w:r>
        <w:rPr/>
        <w:t>所有者权益的公允价值下降形成的累计损失一并转出，确认减值损失。</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7"/>
          <w:szCs w:val="17"/>
        </w:rPr>
      </w:pPr>
    </w:p>
    <w:p>
      <w:pPr>
        <w:pStyle w:val="BodyText"/>
        <w:spacing w:line="362" w:lineRule="auto"/>
        <w:ind w:left="1400" w:right="1254"/>
        <w:jc w:val="left"/>
      </w:pPr>
      <w:r>
        <w:rPr/>
        <w:t>（</w:t>
      </w:r>
      <w:r>
        <w:rPr>
          <w:rFonts w:ascii="Times New Roman" w:hAnsi="Times New Roman" w:cs="Times New Roman" w:eastAsia="Times New Roman" w:hint="default"/>
        </w:rPr>
        <w:t>2</w:t>
      </w:r>
      <w:r>
        <w:rPr/>
        <w:t>）持有至到期投资的减值准备： 持有至到期投资减值损失的计量比照应收款项减值损失计量方法处理。</w:t>
      </w:r>
    </w:p>
    <w:p>
      <w:pPr>
        <w:spacing w:line="240" w:lineRule="auto" w:before="0"/>
        <w:rPr>
          <w:rFonts w:ascii="宋体" w:hAnsi="宋体" w:cs="宋体" w:eastAsia="宋体" w:hint="default"/>
          <w:sz w:val="20"/>
          <w:szCs w:val="20"/>
        </w:rPr>
      </w:pPr>
    </w:p>
    <w:p>
      <w:pPr>
        <w:pStyle w:val="Heading2"/>
        <w:tabs>
          <w:tab w:pos="853" w:val="left" w:leader="none"/>
        </w:tabs>
        <w:spacing w:line="240" w:lineRule="auto" w:before="156"/>
        <w:ind w:right="312"/>
        <w:jc w:val="left"/>
        <w:rPr>
          <w:b w:val="0"/>
          <w:bCs w:val="0"/>
        </w:rPr>
      </w:pPr>
      <w:r>
        <w:rPr>
          <w:rFonts w:ascii="Times New Roman" w:hAnsi="Times New Roman" w:cs="Times New Roman" w:eastAsia="Times New Roman" w:hint="default"/>
          <w:w w:val="95"/>
        </w:rPr>
        <w:t>(</w:t>
      </w:r>
      <w:r>
        <w:rPr>
          <w:w w:val="95"/>
        </w:rPr>
        <w:t>十</w:t>
      </w:r>
      <w:r>
        <w:rPr>
          <w:rFonts w:ascii="Times New Roman" w:hAnsi="Times New Roman" w:cs="Times New Roman" w:eastAsia="Times New Roman" w:hint="default"/>
          <w:w w:val="95"/>
        </w:rPr>
        <w:t>)</w:t>
        <w:tab/>
      </w:r>
      <w:r>
        <w:rPr>
          <w:spacing w:val="1"/>
        </w:rPr>
        <w:t>应收款项</w:t>
      </w:r>
      <w:r>
        <w:rPr>
          <w:b w:val="0"/>
          <w:bCs w:val="0"/>
        </w:rPr>
      </w:r>
    </w:p>
    <w:p>
      <w:pPr>
        <w:tabs>
          <w:tab w:pos="1396" w:val="left" w:leader="none"/>
        </w:tabs>
        <w:spacing w:line="328" w:lineRule="auto" w:before="109"/>
        <w:ind w:left="1399" w:right="1391"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单项金额重大并单项计提坏账准备的应收款项：</w:t>
      </w:r>
      <w:r>
        <w:rPr>
          <w:rFonts w:ascii="宋体" w:hAnsi="宋体" w:cs="宋体" w:eastAsia="宋体" w:hint="default"/>
          <w:b/>
          <w:bCs/>
          <w:w w:val="99"/>
          <w:sz w:val="21"/>
          <w:szCs w:val="21"/>
        </w:rPr>
        <w:t> </w:t>
      </w:r>
      <w:r>
        <w:rPr>
          <w:rFonts w:ascii="宋体" w:hAnsi="宋体" w:cs="宋体" w:eastAsia="宋体" w:hint="default"/>
          <w:sz w:val="21"/>
          <w:szCs w:val="21"/>
        </w:rPr>
        <w:t>单项金额重大的判断依据或金额标准：</w:t>
      </w:r>
    </w:p>
    <w:p>
      <w:pPr>
        <w:pStyle w:val="BodyText"/>
        <w:spacing w:line="362" w:lineRule="auto" w:before="88"/>
        <w:ind w:left="1399" w:right="820"/>
        <w:jc w:val="left"/>
      </w:pPr>
      <w:r>
        <w:rPr/>
        <w:t>单项金额重大的应收账款是指：余额前五名或占余额</w:t>
      </w:r>
      <w:r>
        <w:rPr>
          <w:spacing w:val="-55"/>
        </w:rPr>
        <w:t> </w:t>
      </w:r>
      <w:r>
        <w:rPr>
          <w:rFonts w:ascii="Times New Roman" w:hAnsi="Times New Roman" w:cs="Times New Roman" w:eastAsia="Times New Roman" w:hint="default"/>
        </w:rPr>
        <w:t>10%</w:t>
      </w:r>
      <w:r>
        <w:rPr/>
        <w:t>以上的明细之和。 单项金额重大的其他应收款是指：余额大于</w:t>
      </w:r>
      <w:r>
        <w:rPr>
          <w:spacing w:val="-55"/>
        </w:rPr>
        <w:t> </w:t>
      </w:r>
      <w:r>
        <w:rPr>
          <w:rFonts w:ascii="Times New Roman" w:hAnsi="Times New Roman" w:cs="Times New Roman" w:eastAsia="Times New Roman" w:hint="default"/>
        </w:rPr>
        <w:t>200</w:t>
      </w:r>
      <w:r>
        <w:rPr>
          <w:rFonts w:ascii="Times New Roman" w:hAnsi="Times New Roman" w:cs="Times New Roman" w:eastAsia="Times New Roman" w:hint="default"/>
          <w:spacing w:val="-2"/>
        </w:rPr>
        <w:t> </w:t>
      </w:r>
      <w:r>
        <w:rPr/>
        <w:t>万元的款项。</w:t>
      </w:r>
    </w:p>
    <w:p>
      <w:pPr>
        <w:spacing w:line="240" w:lineRule="auto" w:before="12"/>
        <w:rPr>
          <w:rFonts w:ascii="宋体" w:hAnsi="宋体" w:cs="宋体" w:eastAsia="宋体" w:hint="default"/>
          <w:sz w:val="29"/>
          <w:szCs w:val="29"/>
        </w:rPr>
      </w:pPr>
    </w:p>
    <w:p>
      <w:pPr>
        <w:pStyle w:val="BodyText"/>
        <w:spacing w:line="384" w:lineRule="auto"/>
        <w:ind w:left="1399" w:right="103"/>
        <w:jc w:val="left"/>
      </w:pPr>
      <w:r>
        <w:rPr/>
        <w:t>单项金额重大并单项计提坏账准备的计提方法： </w:t>
      </w:r>
      <w:r>
        <w:rPr>
          <w:spacing w:val="-3"/>
        </w:rPr>
        <w:t>单独进行减值测试，按预计未来现金流量现值低于其账面价值的差额计提坏账准备，</w:t>
      </w:r>
    </w:p>
    <w:p>
      <w:pPr>
        <w:spacing w:after="0" w:line="384" w:lineRule="auto"/>
        <w:jc w:val="left"/>
        <w:sectPr>
          <w:pgSz w:w="11910" w:h="16840"/>
          <w:pgMar w:header="851" w:footer="982" w:top="1360" w:bottom="1180" w:left="1660" w:right="1060"/>
        </w:sectPr>
      </w:pPr>
    </w:p>
    <w:p>
      <w:pPr>
        <w:spacing w:line="240" w:lineRule="auto" w:before="7"/>
        <w:rPr>
          <w:rFonts w:ascii="宋体" w:hAnsi="宋体" w:cs="宋体" w:eastAsia="宋体" w:hint="default"/>
          <w:sz w:val="13"/>
          <w:szCs w:val="13"/>
        </w:rPr>
      </w:pPr>
    </w:p>
    <w:p>
      <w:pPr>
        <w:pStyle w:val="BodyText"/>
        <w:spacing w:line="384" w:lineRule="auto" w:before="35"/>
        <w:ind w:left="1400" w:right="144"/>
        <w:jc w:val="left"/>
      </w:pPr>
      <w:r>
        <w:rPr/>
        <w:t>计入当期损益。单独测试未发生减值的，除公司向子公司下拨的募投资金专用款项</w:t>
      </w:r>
      <w:r>
        <w:rPr>
          <w:spacing w:val="-97"/>
        </w:rPr>
        <w:t> </w:t>
      </w:r>
      <w:r>
        <w:rPr>
          <w:spacing w:val="-97"/>
        </w:rPr>
      </w:r>
      <w:r>
        <w:rPr/>
        <w:t>外，一般仍以账龄为组合计提坏账准备。</w:t>
      </w:r>
    </w:p>
    <w:p>
      <w:pPr>
        <w:spacing w:line="240" w:lineRule="auto" w:before="0"/>
        <w:rPr>
          <w:rFonts w:ascii="宋体" w:hAnsi="宋体" w:cs="宋体" w:eastAsia="宋体" w:hint="default"/>
          <w:sz w:val="20"/>
          <w:szCs w:val="20"/>
        </w:rPr>
      </w:pPr>
    </w:p>
    <w:p>
      <w:pPr>
        <w:pStyle w:val="Heading2"/>
        <w:tabs>
          <w:tab w:pos="1396" w:val="left" w:leader="none"/>
        </w:tabs>
        <w:spacing w:line="240" w:lineRule="auto" w:before="137"/>
        <w:ind w:left="857" w:right="3854"/>
        <w:jc w:val="left"/>
        <w:rPr>
          <w:b w:val="0"/>
          <w:bCs w:val="0"/>
        </w:rPr>
      </w:pPr>
      <w:r>
        <w:rPr/>
        <w:pict>
          <v:group style="position:absolute;margin-left:147.600006pt;margin-top:22.929956pt;width:383pt;height:.1pt;mso-position-horizontal-relative:page;mso-position-vertical-relative:paragraph;z-index:-712048" coordorigin="2952,459" coordsize="7660,2">
            <v:shape style="position:absolute;left:2952;top:459;width:7660;height:2" coordorigin="2952,459" coordsize="7660,0" path="m2952,459l10612,459e" filled="false" stroked="true" strokeweight="1.5pt" strokecolor="#000000">
              <v:path arrowok="t"/>
            </v:shape>
            <w10:wrap type="none"/>
          </v:group>
        </w:pict>
      </w:r>
      <w:r>
        <w:rPr/>
        <w:pict>
          <v:shape style="position:absolute;margin-left:146.960007pt;margin-top:41.759956pt;width:380.849952pt;height:20.767500pt;mso-position-horizontal-relative:page;mso-position-vertical-relative:paragraph;z-index:-712024" type="#_x0000_t75" stroked="false">
            <v:imagedata r:id="rId67" o:title=""/>
          </v:shape>
        </w:pict>
      </w:r>
      <w:r>
        <w:rPr>
          <w:rFonts w:ascii="Times New Roman" w:hAnsi="Times New Roman" w:cs="Times New Roman" w:eastAsia="Times New Roman" w:hint="default"/>
          <w:w w:val="95"/>
        </w:rPr>
        <w:t>2</w:t>
      </w:r>
      <w:r>
        <w:rPr>
          <w:w w:val="95"/>
        </w:rPr>
        <w:t>、</w:t>
        <w:tab/>
      </w:r>
      <w:r>
        <w:rPr/>
        <w:t>按组合计提坏账准备应收款项：</w:t>
      </w:r>
      <w:r>
        <w:rPr>
          <w:b w:val="0"/>
          <w:bCs w:val="0"/>
        </w:rPr>
      </w:r>
    </w:p>
    <w:p>
      <w:pPr>
        <w:spacing w:line="240" w:lineRule="auto" w:before="5"/>
        <w:rPr>
          <w:rFonts w:ascii="宋体" w:hAnsi="宋体" w:cs="宋体" w:eastAsia="宋体" w:hint="default"/>
          <w:b/>
          <w:bCs/>
          <w:sz w:val="2"/>
          <w:szCs w:val="2"/>
        </w:rPr>
      </w:pPr>
    </w:p>
    <w:tbl>
      <w:tblPr>
        <w:tblW w:w="0" w:type="auto"/>
        <w:jc w:val="left"/>
        <w:tblInd w:w="1291" w:type="dxa"/>
        <w:tblLayout w:type="fixed"/>
        <w:tblCellMar>
          <w:top w:w="0" w:type="dxa"/>
          <w:left w:w="0" w:type="dxa"/>
          <w:bottom w:w="0" w:type="dxa"/>
          <w:right w:w="0" w:type="dxa"/>
        </w:tblCellMar>
        <w:tblLook w:val="01E0"/>
      </w:tblPr>
      <w:tblGrid>
        <w:gridCol w:w="1533"/>
        <w:gridCol w:w="2097"/>
      </w:tblGrid>
      <w:tr>
        <w:trPr>
          <w:trHeight w:val="393" w:hRule="exact"/>
        </w:trPr>
        <w:tc>
          <w:tcPr>
            <w:tcW w:w="363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1"/>
              <w:ind w:left="108" w:right="0"/>
              <w:jc w:val="left"/>
              <w:rPr>
                <w:rFonts w:ascii="宋体" w:hAnsi="宋体" w:cs="宋体" w:eastAsia="宋体" w:hint="default"/>
                <w:sz w:val="21"/>
                <w:szCs w:val="21"/>
              </w:rPr>
            </w:pPr>
            <w:r>
              <w:rPr>
                <w:rFonts w:ascii="宋体" w:hAnsi="宋体" w:cs="宋体" w:eastAsia="宋体" w:hint="default"/>
                <w:sz w:val="21"/>
                <w:szCs w:val="21"/>
              </w:rPr>
              <w:t>确定组合的依据</w:t>
            </w:r>
          </w:p>
        </w:tc>
      </w:tr>
      <w:tr>
        <w:trPr>
          <w:trHeight w:val="390" w:hRule="exact"/>
        </w:trPr>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组合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p>
        </w:tc>
        <w:tc>
          <w:tcPr>
            <w:tcW w:w="2097" w:type="dxa"/>
            <w:tcBorders>
              <w:top w:val="nil" w:sz="6" w:space="0" w:color="auto"/>
              <w:left w:val="nil" w:sz="6" w:space="0" w:color="auto"/>
              <w:bottom w:val="nil" w:sz="6" w:space="0" w:color="auto"/>
              <w:right w:val="nil" w:sz="6" w:space="0" w:color="auto"/>
            </w:tcBorders>
          </w:tcPr>
          <w:p>
            <w:pPr>
              <w:pStyle w:val="TableParagraph"/>
              <w:spacing w:line="240" w:lineRule="auto" w:before="22"/>
              <w:ind w:left="846" w:right="0"/>
              <w:jc w:val="left"/>
              <w:rPr>
                <w:rFonts w:ascii="宋体" w:hAnsi="宋体" w:cs="宋体" w:eastAsia="宋体" w:hint="default"/>
                <w:sz w:val="21"/>
                <w:szCs w:val="21"/>
              </w:rPr>
            </w:pPr>
            <w:r>
              <w:rPr>
                <w:rFonts w:ascii="宋体" w:hAnsi="宋体" w:cs="宋体" w:eastAsia="宋体" w:hint="default"/>
                <w:sz w:val="21"/>
                <w:szCs w:val="21"/>
              </w:rPr>
              <w:t>账龄</w:t>
            </w:r>
          </w:p>
        </w:tc>
      </w:tr>
      <w:tr>
        <w:trPr>
          <w:trHeight w:val="379" w:hRule="exact"/>
        </w:trPr>
        <w:tc>
          <w:tcPr>
            <w:tcW w:w="363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按组合计提坏账准备的计提方法</w:t>
            </w:r>
          </w:p>
        </w:tc>
      </w:tr>
      <w:tr>
        <w:trPr>
          <w:trHeight w:val="396" w:hRule="exact"/>
        </w:trPr>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组合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p>
        </w:tc>
        <w:tc>
          <w:tcPr>
            <w:tcW w:w="2097" w:type="dxa"/>
            <w:tcBorders>
              <w:top w:val="nil" w:sz="6" w:space="0" w:color="auto"/>
              <w:left w:val="nil" w:sz="6" w:space="0" w:color="auto"/>
              <w:bottom w:val="nil" w:sz="6" w:space="0" w:color="auto"/>
              <w:right w:val="nil" w:sz="6" w:space="0" w:color="auto"/>
            </w:tcBorders>
          </w:tcPr>
          <w:p>
            <w:pPr>
              <w:pStyle w:val="TableParagraph"/>
              <w:spacing w:line="240" w:lineRule="auto" w:before="22"/>
              <w:ind w:left="846" w:right="0"/>
              <w:jc w:val="left"/>
              <w:rPr>
                <w:rFonts w:ascii="宋体" w:hAnsi="宋体" w:cs="宋体" w:eastAsia="宋体" w:hint="default"/>
                <w:sz w:val="21"/>
                <w:szCs w:val="21"/>
              </w:rPr>
            </w:pPr>
            <w:r>
              <w:rPr>
                <w:rFonts w:ascii="宋体" w:hAnsi="宋体" w:cs="宋体" w:eastAsia="宋体" w:hint="default"/>
                <w:sz w:val="21"/>
                <w:szCs w:val="21"/>
              </w:rPr>
              <w:t>账龄分析法</w:t>
            </w:r>
          </w:p>
        </w:tc>
      </w:tr>
    </w:tbl>
    <w:p>
      <w:pPr>
        <w:spacing w:line="240" w:lineRule="auto" w:before="5"/>
        <w:rPr>
          <w:rFonts w:ascii="宋体" w:hAnsi="宋体" w:cs="宋体" w:eastAsia="宋体" w:hint="default"/>
          <w:b/>
          <w:bCs/>
          <w:sz w:val="29"/>
          <w:szCs w:val="29"/>
        </w:rPr>
      </w:pPr>
    </w:p>
    <w:p>
      <w:pPr>
        <w:pStyle w:val="BodyText"/>
        <w:spacing w:line="240" w:lineRule="auto" w:before="35"/>
        <w:ind w:left="1400" w:right="144"/>
        <w:jc w:val="left"/>
      </w:pPr>
      <w:r>
        <w:rPr/>
        <w:pict>
          <v:group style="position:absolute;margin-left:146.130005pt;margin-top:-39.846039pt;width:385.6pt;height:21.35pt;mso-position-horizontal-relative:page;mso-position-vertical-relative:paragraph;z-index:-712000" coordorigin="2923,-797" coordsize="7712,427">
            <v:group style="position:absolute;left:2938;top:-385;width:2282;height:2" coordorigin="2938,-385" coordsize="2282,2">
              <v:shape style="position:absolute;left:2938;top:-385;width:2282;height:2" coordorigin="2938,-385" coordsize="2282,0" path="m2938,-385l5219,-385e" filled="false" stroked="true" strokeweight="1.5pt" strokecolor="#000000">
                <v:path arrowok="t"/>
              </v:shape>
              <v:shape style="position:absolute;left:2939;top:-797;width:7678;height:397" type="#_x0000_t75" stroked="false">
                <v:imagedata r:id="rId68" o:title=""/>
              </v:shape>
            </v:group>
            <v:group style="position:absolute;left:5219;top:-385;width:5400;height:2" coordorigin="5219,-385" coordsize="5400,2">
              <v:shape style="position:absolute;left:5219;top:-385;width:5400;height:2" coordorigin="5219,-385" coordsize="5400,0" path="m5219,-385l10619,-385e" filled="false" stroked="true" strokeweight="1.5pt" strokecolor="#000000">
                <v:path arrowok="t"/>
              </v:shape>
            </v:group>
            <w10:wrap type="none"/>
          </v:group>
        </w:pict>
      </w:r>
      <w:r>
        <w:rPr/>
        <w:pict>
          <v:group style="position:absolute;margin-left:146.639999pt;margin-top:17.733948pt;width:385.2pt;height:136.2pt;mso-position-horizontal-relative:page;mso-position-vertical-relative:paragraph;z-index:-711976" coordorigin="2933,355" coordsize="7704,2724">
            <v:shape style="position:absolute;left:5736;top:355;width:2383;height:434" type="#_x0000_t75" stroked="false">
              <v:imagedata r:id="rId69" o:title=""/>
            </v:shape>
            <v:shape style="position:absolute;left:2933;top:753;width:7704;height:2326" type="#_x0000_t75" stroked="false">
              <v:imagedata r:id="rId70" o:title=""/>
            </v:shape>
            <w10:wrap type="none"/>
          </v:group>
        </w:pict>
      </w:r>
      <w:r>
        <w:rPr/>
        <w:t>组合中，采用账龄分析法计提坏账准备的：</w:t>
      </w:r>
    </w:p>
    <w:p>
      <w:pPr>
        <w:spacing w:line="240" w:lineRule="auto" w:before="6"/>
        <w:rPr>
          <w:rFonts w:ascii="宋体" w:hAnsi="宋体" w:cs="宋体" w:eastAsia="宋体" w:hint="default"/>
          <w:sz w:val="2"/>
          <w:szCs w:val="2"/>
        </w:rPr>
      </w:pPr>
    </w:p>
    <w:tbl>
      <w:tblPr>
        <w:tblW w:w="0" w:type="auto"/>
        <w:jc w:val="left"/>
        <w:tblInd w:w="1291" w:type="dxa"/>
        <w:tblLayout w:type="fixed"/>
        <w:tblCellMar>
          <w:top w:w="0" w:type="dxa"/>
          <w:left w:w="0" w:type="dxa"/>
          <w:bottom w:w="0" w:type="dxa"/>
          <w:right w:w="0" w:type="dxa"/>
        </w:tblCellMar>
        <w:tblLook w:val="01E0"/>
      </w:tblPr>
      <w:tblGrid>
        <w:gridCol w:w="2462"/>
        <w:gridCol w:w="2676"/>
        <w:gridCol w:w="2521"/>
      </w:tblGrid>
      <w:tr>
        <w:trPr>
          <w:trHeight w:val="450" w:hRule="exact"/>
        </w:trPr>
        <w:tc>
          <w:tcPr>
            <w:tcW w:w="2462" w:type="dxa"/>
            <w:tcBorders>
              <w:top w:val="single" w:sz="12" w:space="0" w:color="000000"/>
              <w:left w:val="nil" w:sz="6" w:space="0" w:color="auto"/>
              <w:bottom w:val="nil" w:sz="6" w:space="0" w:color="auto"/>
              <w:right w:val="nil" w:sz="6" w:space="0" w:color="auto"/>
            </w:tcBorders>
          </w:tcPr>
          <w:p>
            <w:pPr>
              <w:pStyle w:val="TableParagraph"/>
              <w:spacing w:line="240" w:lineRule="auto" w:before="28"/>
              <w:ind w:left="343"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2676" w:type="dxa"/>
            <w:tcBorders>
              <w:top w:val="single" w:sz="12" w:space="0" w:color="000000"/>
              <w:left w:val="nil" w:sz="6" w:space="0" w:color="auto"/>
              <w:bottom w:val="nil" w:sz="6" w:space="0" w:color="auto"/>
              <w:right w:val="nil" w:sz="6" w:space="0" w:color="auto"/>
            </w:tcBorders>
          </w:tcPr>
          <w:p>
            <w:pPr>
              <w:pStyle w:val="TableParagraph"/>
              <w:spacing w:line="240" w:lineRule="auto" w:before="93"/>
              <w:ind w:left="350"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应收账款计提比例</w:t>
            </w:r>
            <w:r>
              <w:rPr>
                <w:rFonts w:ascii="Times New Roman" w:hAnsi="Times New Roman" w:cs="Times New Roman" w:eastAsia="Times New Roman" w:hint="default"/>
                <w:sz w:val="21"/>
                <w:szCs w:val="21"/>
              </w:rPr>
              <w:t>(%)</w:t>
            </w:r>
          </w:p>
        </w:tc>
        <w:tc>
          <w:tcPr>
            <w:tcW w:w="2521" w:type="dxa"/>
            <w:tcBorders>
              <w:top w:val="single" w:sz="12" w:space="0" w:color="000000"/>
              <w:left w:val="nil" w:sz="6" w:space="0" w:color="auto"/>
              <w:bottom w:val="nil" w:sz="6" w:space="0" w:color="auto"/>
              <w:right w:val="nil" w:sz="6" w:space="0" w:color="auto"/>
            </w:tcBorders>
          </w:tcPr>
          <w:p>
            <w:pPr>
              <w:pStyle w:val="TableParagraph"/>
              <w:spacing w:line="240" w:lineRule="auto" w:before="28"/>
              <w:ind w:left="14"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其他应收款计提比例</w:t>
            </w:r>
            <w:r>
              <w:rPr>
                <w:rFonts w:ascii="Times New Roman" w:hAnsi="Times New Roman" w:cs="Times New Roman" w:eastAsia="Times New Roman" w:hint="default"/>
                <w:sz w:val="21"/>
                <w:szCs w:val="21"/>
              </w:rPr>
              <w:t>(%)</w:t>
            </w:r>
          </w:p>
        </w:tc>
      </w:tr>
      <w:tr>
        <w:trPr>
          <w:trHeight w:val="359" w:hRule="exact"/>
        </w:trPr>
        <w:tc>
          <w:tcPr>
            <w:tcW w:w="2462" w:type="dxa"/>
            <w:tcBorders>
              <w:top w:val="nil" w:sz="6" w:space="0" w:color="auto"/>
              <w:left w:val="nil" w:sz="6" w:space="0" w:color="auto"/>
              <w:bottom w:val="nil" w:sz="6" w:space="0" w:color="auto"/>
              <w:right w:val="nil" w:sz="6" w:space="0" w:color="auto"/>
            </w:tcBorders>
          </w:tcPr>
          <w:p>
            <w:pPr>
              <w:pStyle w:val="TableParagraph"/>
              <w:spacing w:line="282" w:lineRule="exact"/>
              <w:ind w:left="1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年以内（含</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267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49" w:right="0"/>
              <w:jc w:val="center"/>
              <w:rPr>
                <w:rFonts w:ascii="Times New Roman" w:hAnsi="Times New Roman" w:cs="Times New Roman" w:eastAsia="Times New Roman" w:hint="default"/>
                <w:sz w:val="21"/>
                <w:szCs w:val="21"/>
              </w:rPr>
            </w:pPr>
            <w:r>
              <w:rPr>
                <w:rFonts w:ascii="Times New Roman"/>
                <w:sz w:val="21"/>
              </w:rPr>
              <w:t>5</w:t>
            </w:r>
          </w:p>
        </w:tc>
        <w:tc>
          <w:tcPr>
            <w:tcW w:w="252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 w:right="0"/>
              <w:jc w:val="center"/>
              <w:rPr>
                <w:rFonts w:ascii="Times New Roman" w:hAnsi="Times New Roman" w:cs="Times New Roman" w:eastAsia="Times New Roman" w:hint="default"/>
                <w:sz w:val="21"/>
                <w:szCs w:val="21"/>
              </w:rPr>
            </w:pPr>
            <w:r>
              <w:rPr>
                <w:rFonts w:ascii="Times New Roman"/>
                <w:sz w:val="21"/>
              </w:rPr>
              <w:t>5</w:t>
            </w:r>
          </w:p>
        </w:tc>
      </w:tr>
      <w:tr>
        <w:trPr>
          <w:trHeight w:val="384" w:hRule="exact"/>
        </w:trPr>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 </w:t>
            </w:r>
            <w:r>
              <w:rPr>
                <w:rFonts w:ascii="宋体" w:hAnsi="宋体" w:cs="宋体" w:eastAsia="宋体" w:hint="default"/>
                <w:sz w:val="21"/>
                <w:szCs w:val="21"/>
              </w:rPr>
              <w:t>年</w:t>
            </w:r>
          </w:p>
        </w:tc>
        <w:tc>
          <w:tcPr>
            <w:tcW w:w="267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0" w:right="0"/>
              <w:jc w:val="center"/>
              <w:rPr>
                <w:rFonts w:ascii="Times New Roman" w:hAnsi="Times New Roman" w:cs="Times New Roman" w:eastAsia="Times New Roman" w:hint="default"/>
                <w:sz w:val="21"/>
                <w:szCs w:val="21"/>
              </w:rPr>
            </w:pPr>
            <w:r>
              <w:rPr>
                <w:rFonts w:ascii="Times New Roman"/>
                <w:sz w:val="21"/>
              </w:rPr>
              <w:t>10</w:t>
            </w:r>
          </w:p>
        </w:tc>
        <w:tc>
          <w:tcPr>
            <w:tcW w:w="252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 w:right="0"/>
              <w:jc w:val="center"/>
              <w:rPr>
                <w:rFonts w:ascii="Times New Roman" w:hAnsi="Times New Roman" w:cs="Times New Roman" w:eastAsia="Times New Roman" w:hint="default"/>
                <w:sz w:val="21"/>
                <w:szCs w:val="21"/>
              </w:rPr>
            </w:pPr>
            <w:r>
              <w:rPr>
                <w:rFonts w:ascii="Times New Roman"/>
                <w:sz w:val="21"/>
              </w:rPr>
              <w:t>10</w:t>
            </w:r>
          </w:p>
        </w:tc>
      </w:tr>
      <w:tr>
        <w:trPr>
          <w:trHeight w:val="385" w:hRule="exact"/>
        </w:trPr>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3 </w:t>
            </w:r>
            <w:r>
              <w:rPr>
                <w:rFonts w:ascii="宋体" w:hAnsi="宋体" w:cs="宋体" w:eastAsia="宋体" w:hint="default"/>
                <w:sz w:val="21"/>
                <w:szCs w:val="21"/>
              </w:rPr>
              <w:t>年</w:t>
            </w:r>
          </w:p>
        </w:tc>
        <w:tc>
          <w:tcPr>
            <w:tcW w:w="267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0" w:right="0"/>
              <w:jc w:val="center"/>
              <w:rPr>
                <w:rFonts w:ascii="Times New Roman" w:hAnsi="Times New Roman" w:cs="Times New Roman" w:eastAsia="Times New Roman" w:hint="default"/>
                <w:sz w:val="21"/>
                <w:szCs w:val="21"/>
              </w:rPr>
            </w:pPr>
            <w:r>
              <w:rPr>
                <w:rFonts w:ascii="Times New Roman"/>
                <w:sz w:val="21"/>
              </w:rPr>
              <w:t>30</w:t>
            </w:r>
          </w:p>
        </w:tc>
        <w:tc>
          <w:tcPr>
            <w:tcW w:w="252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 w:right="0"/>
              <w:jc w:val="center"/>
              <w:rPr>
                <w:rFonts w:ascii="Times New Roman" w:hAnsi="Times New Roman" w:cs="Times New Roman" w:eastAsia="Times New Roman" w:hint="default"/>
                <w:sz w:val="21"/>
                <w:szCs w:val="21"/>
              </w:rPr>
            </w:pPr>
            <w:r>
              <w:rPr>
                <w:rFonts w:ascii="Times New Roman"/>
                <w:sz w:val="21"/>
              </w:rPr>
              <w:t>30</w:t>
            </w:r>
          </w:p>
        </w:tc>
      </w:tr>
      <w:tr>
        <w:trPr>
          <w:trHeight w:val="385" w:hRule="exact"/>
        </w:trPr>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Times New Roman" w:hAnsi="Times New Roman" w:cs="Times New Roman" w:eastAsia="Times New Roman" w:hint="default"/>
                <w:sz w:val="21"/>
                <w:szCs w:val="21"/>
              </w:rPr>
              <w:t>4 </w:t>
            </w:r>
            <w:r>
              <w:rPr>
                <w:rFonts w:ascii="宋体" w:hAnsi="宋体" w:cs="宋体" w:eastAsia="宋体" w:hint="default"/>
                <w:sz w:val="21"/>
                <w:szCs w:val="21"/>
              </w:rPr>
              <w:t>年</w:t>
            </w:r>
          </w:p>
        </w:tc>
        <w:tc>
          <w:tcPr>
            <w:tcW w:w="2676" w:type="dxa"/>
            <w:tcBorders>
              <w:top w:val="nil" w:sz="6" w:space="0" w:color="auto"/>
              <w:left w:val="nil" w:sz="6" w:space="0" w:color="auto"/>
              <w:bottom w:val="nil" w:sz="6" w:space="0" w:color="auto"/>
              <w:right w:val="nil" w:sz="6" w:space="0" w:color="auto"/>
            </w:tcBorders>
          </w:tcPr>
          <w:p>
            <w:pPr>
              <w:pStyle w:val="TableParagraph"/>
              <w:spacing w:line="240" w:lineRule="auto" w:before="66"/>
              <w:ind w:left="350" w:right="0"/>
              <w:jc w:val="center"/>
              <w:rPr>
                <w:rFonts w:ascii="Times New Roman" w:hAnsi="Times New Roman" w:cs="Times New Roman" w:eastAsia="Times New Roman" w:hint="default"/>
                <w:sz w:val="21"/>
                <w:szCs w:val="21"/>
              </w:rPr>
            </w:pPr>
            <w:r>
              <w:rPr>
                <w:rFonts w:ascii="Times New Roman"/>
                <w:sz w:val="21"/>
              </w:rPr>
              <w:t>50</w:t>
            </w:r>
          </w:p>
        </w:tc>
        <w:tc>
          <w:tcPr>
            <w:tcW w:w="2521" w:type="dxa"/>
            <w:tcBorders>
              <w:top w:val="nil" w:sz="6" w:space="0" w:color="auto"/>
              <w:left w:val="nil" w:sz="6" w:space="0" w:color="auto"/>
              <w:bottom w:val="nil" w:sz="6" w:space="0" w:color="auto"/>
              <w:right w:val="nil" w:sz="6" w:space="0" w:color="auto"/>
            </w:tcBorders>
          </w:tcPr>
          <w:p>
            <w:pPr>
              <w:pStyle w:val="TableParagraph"/>
              <w:spacing w:line="240" w:lineRule="auto" w:before="66"/>
              <w:ind w:left="13" w:right="0"/>
              <w:jc w:val="center"/>
              <w:rPr>
                <w:rFonts w:ascii="Times New Roman" w:hAnsi="Times New Roman" w:cs="Times New Roman" w:eastAsia="Times New Roman" w:hint="default"/>
                <w:sz w:val="21"/>
                <w:szCs w:val="21"/>
              </w:rPr>
            </w:pPr>
            <w:r>
              <w:rPr>
                <w:rFonts w:ascii="Times New Roman"/>
                <w:sz w:val="21"/>
              </w:rPr>
              <w:t>50</w:t>
            </w:r>
          </w:p>
        </w:tc>
      </w:tr>
      <w:tr>
        <w:trPr>
          <w:trHeight w:val="384" w:hRule="exact"/>
        </w:trPr>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w:t>
            </w:r>
            <w:r>
              <w:rPr>
                <w:rFonts w:ascii="Times New Roman" w:hAnsi="Times New Roman" w:cs="Times New Roman" w:eastAsia="Times New Roman" w:hint="default"/>
                <w:sz w:val="21"/>
                <w:szCs w:val="21"/>
              </w:rPr>
              <w:t>5 </w:t>
            </w:r>
            <w:r>
              <w:rPr>
                <w:rFonts w:ascii="宋体" w:hAnsi="宋体" w:cs="宋体" w:eastAsia="宋体" w:hint="default"/>
                <w:sz w:val="21"/>
                <w:szCs w:val="21"/>
              </w:rPr>
              <w:t>年</w:t>
            </w:r>
          </w:p>
        </w:tc>
        <w:tc>
          <w:tcPr>
            <w:tcW w:w="267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0" w:right="0"/>
              <w:jc w:val="center"/>
              <w:rPr>
                <w:rFonts w:ascii="Times New Roman" w:hAnsi="Times New Roman" w:cs="Times New Roman" w:eastAsia="Times New Roman" w:hint="default"/>
                <w:sz w:val="21"/>
                <w:szCs w:val="21"/>
              </w:rPr>
            </w:pPr>
            <w:r>
              <w:rPr>
                <w:rFonts w:ascii="Times New Roman"/>
                <w:sz w:val="21"/>
              </w:rPr>
              <w:t>80</w:t>
            </w:r>
          </w:p>
        </w:tc>
        <w:tc>
          <w:tcPr>
            <w:tcW w:w="252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 w:right="0"/>
              <w:jc w:val="center"/>
              <w:rPr>
                <w:rFonts w:ascii="Times New Roman" w:hAnsi="Times New Roman" w:cs="Times New Roman" w:eastAsia="Times New Roman" w:hint="default"/>
                <w:sz w:val="21"/>
                <w:szCs w:val="21"/>
              </w:rPr>
            </w:pPr>
            <w:r>
              <w:rPr>
                <w:rFonts w:ascii="Times New Roman"/>
                <w:sz w:val="21"/>
              </w:rPr>
              <w:t>80</w:t>
            </w:r>
          </w:p>
        </w:tc>
      </w:tr>
      <w:tr>
        <w:trPr>
          <w:trHeight w:val="391" w:hRule="exact"/>
        </w:trPr>
        <w:tc>
          <w:tcPr>
            <w:tcW w:w="2462"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 </w:t>
            </w:r>
            <w:r>
              <w:rPr>
                <w:rFonts w:ascii="宋体" w:hAnsi="宋体" w:cs="宋体" w:eastAsia="宋体" w:hint="default"/>
                <w:sz w:val="21"/>
                <w:szCs w:val="21"/>
              </w:rPr>
              <w:t>年以上</w:t>
            </w:r>
          </w:p>
        </w:tc>
        <w:tc>
          <w:tcPr>
            <w:tcW w:w="2676"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348" w:right="0"/>
              <w:jc w:val="center"/>
              <w:rPr>
                <w:rFonts w:ascii="Times New Roman" w:hAnsi="Times New Roman" w:cs="Times New Roman" w:eastAsia="Times New Roman" w:hint="default"/>
                <w:sz w:val="21"/>
                <w:szCs w:val="21"/>
              </w:rPr>
            </w:pPr>
            <w:r>
              <w:rPr>
                <w:rFonts w:ascii="Times New Roman"/>
                <w:sz w:val="21"/>
              </w:rPr>
              <w:t>100</w:t>
            </w:r>
          </w:p>
        </w:tc>
        <w:tc>
          <w:tcPr>
            <w:tcW w:w="2521"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13" w:right="0"/>
              <w:jc w:val="center"/>
              <w:rPr>
                <w:rFonts w:ascii="Times New Roman" w:hAnsi="Times New Roman" w:cs="Times New Roman" w:eastAsia="Times New Roman" w:hint="default"/>
                <w:sz w:val="21"/>
                <w:szCs w:val="21"/>
              </w:rPr>
            </w:pPr>
            <w:r>
              <w:rPr>
                <w:rFonts w:ascii="Times New Roman"/>
                <w:sz w:val="21"/>
              </w:rPr>
              <w:t>100</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tabs>
          <w:tab w:pos="1396" w:val="left" w:leader="none"/>
        </w:tabs>
        <w:spacing w:line="328" w:lineRule="auto" w:before="35"/>
        <w:ind w:left="1400" w:right="2878"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单项金额虽不重大但单项计提坏账准备的应收账款：</w:t>
      </w:r>
      <w:r>
        <w:rPr>
          <w:rFonts w:ascii="宋体" w:hAnsi="宋体" w:cs="宋体" w:eastAsia="宋体" w:hint="default"/>
          <w:b/>
          <w:bCs/>
          <w:spacing w:val="1"/>
          <w:w w:val="99"/>
          <w:sz w:val="21"/>
          <w:szCs w:val="21"/>
        </w:rPr>
        <w:t> </w:t>
      </w:r>
      <w:r>
        <w:rPr>
          <w:rFonts w:ascii="宋体" w:hAnsi="宋体" w:cs="宋体" w:eastAsia="宋体" w:hint="default"/>
          <w:sz w:val="21"/>
          <w:szCs w:val="21"/>
        </w:rPr>
        <w:t>单项计提坏账准备的理由：</w:t>
      </w:r>
    </w:p>
    <w:p>
      <w:pPr>
        <w:pStyle w:val="BodyText"/>
        <w:spacing w:line="348" w:lineRule="auto" w:before="48"/>
        <w:ind w:left="1400" w:right="151"/>
        <w:jc w:val="both"/>
      </w:pPr>
      <w:r>
        <w:rPr/>
        <w:t>除单项金额重大已单独计提坏账准备的应收款项外，公司根据以往经验结合实际情</w:t>
      </w:r>
      <w:r>
        <w:rPr>
          <w:spacing w:val="-97"/>
        </w:rPr>
        <w:t> </w:t>
      </w:r>
      <w:r>
        <w:rPr>
          <w:spacing w:val="-97"/>
        </w:rPr>
      </w:r>
      <w:r>
        <w:rPr/>
        <w:t>况判断，以账龄为组合按上述比例计提的坏账准备不足以完全覆盖其预计损失额的</w:t>
      </w:r>
      <w:r>
        <w:rPr>
          <w:spacing w:val="-97"/>
        </w:rPr>
        <w:t> </w:t>
      </w:r>
      <w:r>
        <w:rPr>
          <w:spacing w:val="-97"/>
        </w:rPr>
      </w:r>
      <w:r>
        <w:rPr/>
        <w:t>应收款项，将单独计提坏账准备。</w:t>
      </w:r>
    </w:p>
    <w:p>
      <w:pPr>
        <w:pStyle w:val="BodyText"/>
        <w:spacing w:line="348" w:lineRule="auto" w:before="31"/>
        <w:ind w:left="1400" w:right="4344"/>
        <w:jc w:val="left"/>
      </w:pPr>
      <w:r>
        <w:rPr/>
        <w:t>坏账准备的计提方法： 根据预计的实际损失情况足额计提。</w:t>
      </w:r>
    </w:p>
    <w:p>
      <w:pPr>
        <w:spacing w:line="240" w:lineRule="auto" w:before="0"/>
        <w:rPr>
          <w:rFonts w:ascii="宋体" w:hAnsi="宋体" w:cs="宋体" w:eastAsia="宋体" w:hint="default"/>
          <w:sz w:val="20"/>
          <w:szCs w:val="20"/>
        </w:rPr>
      </w:pPr>
    </w:p>
    <w:p>
      <w:pPr>
        <w:pStyle w:val="Heading2"/>
        <w:spacing w:line="240" w:lineRule="auto" w:before="169"/>
        <w:ind w:right="3854"/>
        <w:jc w:val="left"/>
        <w:rPr>
          <w:b w:val="0"/>
          <w:bCs w:val="0"/>
        </w:rPr>
      </w:pPr>
      <w:r>
        <w:rPr>
          <w:rFonts w:ascii="Times New Roman" w:hAnsi="Times New Roman" w:cs="Times New Roman" w:eastAsia="Times New Roman" w:hint="default"/>
        </w:rPr>
        <w:t>(</w:t>
      </w:r>
      <w:r>
        <w:rPr/>
        <w:t>十一</w:t>
      </w:r>
      <w:r>
        <w:rPr>
          <w:rFonts w:ascii="Times New Roman" w:hAnsi="Times New Roman" w:cs="Times New Roman" w:eastAsia="Times New Roman" w:hint="default"/>
        </w:rPr>
        <w:t>)  </w:t>
      </w:r>
      <w:r>
        <w:rPr>
          <w:rFonts w:ascii="Times New Roman" w:hAnsi="Times New Roman" w:cs="Times New Roman" w:eastAsia="Times New Roman" w:hint="default"/>
          <w:spacing w:val="7"/>
        </w:rPr>
        <w:t> </w:t>
      </w:r>
      <w:r>
        <w:rPr/>
        <w:t>存货</w:t>
      </w:r>
      <w:r>
        <w:rPr>
          <w:b w:val="0"/>
          <w:bCs w:val="0"/>
        </w:rPr>
      </w:r>
    </w:p>
    <w:p>
      <w:pPr>
        <w:tabs>
          <w:tab w:pos="1396" w:val="left" w:leader="none"/>
        </w:tabs>
        <w:spacing w:before="109"/>
        <w:ind w:left="857" w:right="3854"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存货的分类</w:t>
      </w:r>
      <w:r>
        <w:rPr>
          <w:rFonts w:ascii="宋体" w:hAnsi="宋体" w:cs="宋体" w:eastAsia="宋体" w:hint="default"/>
          <w:sz w:val="21"/>
          <w:szCs w:val="21"/>
        </w:rPr>
      </w:r>
    </w:p>
    <w:p>
      <w:pPr>
        <w:pStyle w:val="BodyText"/>
        <w:spacing w:line="240" w:lineRule="auto" w:before="109"/>
        <w:ind w:left="1399" w:right="0"/>
        <w:jc w:val="both"/>
      </w:pPr>
      <w:r>
        <w:rPr/>
        <w:t>存货分类为：低值易耗品、库存商品等。</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tabs>
          <w:tab w:pos="1396" w:val="left" w:leader="none"/>
        </w:tabs>
        <w:spacing w:line="340" w:lineRule="auto" w:before="0"/>
        <w:ind w:left="1399" w:right="4152"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发出存货的计价方法</w:t>
      </w:r>
      <w:r>
        <w:rPr>
          <w:rFonts w:ascii="宋体" w:hAnsi="宋体" w:cs="宋体" w:eastAsia="宋体" w:hint="default"/>
          <w:b/>
          <w:bCs/>
          <w:spacing w:val="1"/>
          <w:w w:val="99"/>
          <w:sz w:val="21"/>
          <w:szCs w:val="21"/>
        </w:rPr>
        <w:t> </w:t>
      </w:r>
      <w:r>
        <w:rPr>
          <w:rFonts w:ascii="宋体" w:hAnsi="宋体" w:cs="宋体" w:eastAsia="宋体" w:hint="default"/>
          <w:sz w:val="21"/>
          <w:szCs w:val="21"/>
        </w:rPr>
        <w:t>日常核算存货取得时按实际成本计价。 发出时按以下方式确认：</w:t>
      </w:r>
    </w:p>
    <w:p>
      <w:pPr>
        <w:pStyle w:val="BodyText"/>
        <w:spacing w:line="240" w:lineRule="auto" w:before="36"/>
        <w:ind w:left="1399" w:right="0"/>
        <w:jc w:val="both"/>
      </w:pPr>
      <w:r>
        <w:rPr/>
        <w:t>（</w:t>
      </w:r>
      <w:r>
        <w:rPr>
          <w:rFonts w:ascii="Times New Roman" w:hAnsi="Times New Roman" w:cs="Times New Roman" w:eastAsia="Times New Roman" w:hint="default"/>
        </w:rPr>
        <w:t>1</w:t>
      </w:r>
      <w:r>
        <w:rPr/>
        <w:t>）采购存货专门用于单项业务时，按个别计价法确认；</w:t>
      </w:r>
    </w:p>
    <w:p>
      <w:pPr>
        <w:spacing w:after="0" w:line="240" w:lineRule="auto"/>
        <w:jc w:val="both"/>
        <w:sectPr>
          <w:pgSz w:w="11910" w:h="16840"/>
          <w:pgMar w:header="851" w:footer="982" w:top="1360" w:bottom="1180" w:left="1660" w:right="1120"/>
        </w:sectPr>
      </w:pPr>
    </w:p>
    <w:p>
      <w:pPr>
        <w:spacing w:line="240" w:lineRule="auto" w:before="6"/>
        <w:rPr>
          <w:rFonts w:ascii="宋体" w:hAnsi="宋体" w:cs="宋体" w:eastAsia="宋体" w:hint="default"/>
          <w:sz w:val="10"/>
          <w:szCs w:val="10"/>
        </w:rPr>
      </w:pPr>
    </w:p>
    <w:p>
      <w:pPr>
        <w:pStyle w:val="BodyText"/>
        <w:spacing w:line="240" w:lineRule="auto" w:before="35"/>
        <w:ind w:left="1400" w:right="144"/>
        <w:jc w:val="left"/>
      </w:pPr>
      <w:r>
        <w:rPr/>
        <w:t>（</w:t>
      </w:r>
      <w:r>
        <w:rPr>
          <w:rFonts w:ascii="Times New Roman" w:hAnsi="Times New Roman" w:cs="Times New Roman" w:eastAsia="Times New Roman" w:hint="default"/>
        </w:rPr>
        <w:t>2</w:t>
      </w:r>
      <w:r>
        <w:rPr/>
        <w:t>）非为单项业务单独采购的存货，按加权平均价格计价确认。</w:t>
      </w:r>
    </w:p>
    <w:p>
      <w:pPr>
        <w:spacing w:line="240" w:lineRule="auto" w:before="0"/>
        <w:rPr>
          <w:rFonts w:ascii="宋体" w:hAnsi="宋体" w:cs="宋体" w:eastAsia="宋体" w:hint="default"/>
          <w:sz w:val="22"/>
          <w:szCs w:val="22"/>
        </w:rPr>
      </w:pPr>
    </w:p>
    <w:p>
      <w:pPr>
        <w:pStyle w:val="BodyText"/>
        <w:tabs>
          <w:tab w:pos="1396" w:val="left" w:leader="none"/>
        </w:tabs>
        <w:spacing w:line="321" w:lineRule="auto" w:before="191"/>
        <w:ind w:left="1400" w:right="151" w:hanging="543"/>
        <w:jc w:val="left"/>
      </w:pPr>
      <w:r>
        <w:rPr>
          <w:rFonts w:ascii="Times New Roman" w:hAnsi="Times New Roman" w:cs="Times New Roman" w:eastAsia="Times New Roman" w:hint="default"/>
          <w:b/>
          <w:bCs/>
          <w:w w:val="95"/>
        </w:rPr>
        <w:t>3</w:t>
      </w:r>
      <w:r>
        <w:rPr>
          <w:rFonts w:ascii="宋体" w:hAnsi="宋体" w:cs="宋体" w:eastAsia="宋体" w:hint="default"/>
          <w:b/>
          <w:bCs/>
          <w:w w:val="95"/>
        </w:rPr>
        <w:t>、</w:t>
        <w:tab/>
      </w:r>
      <w:r>
        <w:rPr>
          <w:rFonts w:ascii="宋体" w:hAnsi="宋体" w:cs="宋体" w:eastAsia="宋体" w:hint="default"/>
          <w:b/>
          <w:bCs/>
        </w:rPr>
        <w:t>存货可变现净值的确定依据及存货跌价准备的计提方法</w:t>
      </w:r>
      <w:r>
        <w:rPr>
          <w:rFonts w:ascii="宋体" w:hAnsi="宋体" w:cs="宋体" w:eastAsia="宋体" w:hint="default"/>
          <w:b/>
          <w:bCs/>
          <w:spacing w:val="1"/>
          <w:w w:val="99"/>
        </w:rPr>
        <w:t> </w:t>
      </w:r>
      <w:r>
        <w:rPr/>
        <w:t>库存商品等直接用于出售的商品存货，在正常生产经营过程中，以该存货的估计售 价减去估计的销售费用和相关税费后的金额，确定其可变现净值；需要经过安装方 可出售的存货，以该项存货估计售价减去估计将要发生的安装成本、估计的销售费 用和相关税费后的金额，确定其可变现净值；为执行特定销售合同或者劳务合同而 持有的存货，其可变现净值以合同价格为基础计算，若持有存货的数量多于销售合 同订购数量的，超出部分的存货的可变现净值以一般销售价格为基础计算。 期末按照单个存货项目计提存货跌价准备；但对于数量繁多、单价较低的存货，按 照存货类别计提存货跌价准备；与在同一地区生产和销售的产品系列相关、具有相 同或类似最终用途或目的，且难以与其他项目分开计量的存货，则合并计提存货跌 价准备。 以前减记存货价值的影响因素已经消失的，减记的金额予以恢复，并在原已计提的 存货跌价准备金额内转回，转回的金额计入当期损益。</w:t>
      </w:r>
    </w:p>
    <w:p>
      <w:pPr>
        <w:spacing w:line="240" w:lineRule="auto" w:before="8"/>
        <w:rPr>
          <w:rFonts w:ascii="宋体" w:hAnsi="宋体" w:cs="宋体" w:eastAsia="宋体" w:hint="default"/>
          <w:sz w:val="25"/>
          <w:szCs w:val="25"/>
        </w:rPr>
      </w:pPr>
    </w:p>
    <w:p>
      <w:pPr>
        <w:tabs>
          <w:tab w:pos="1396" w:val="left" w:leader="none"/>
        </w:tabs>
        <w:spacing w:line="304" w:lineRule="auto" w:before="0"/>
        <w:ind w:left="1400" w:right="6042"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存货的盘存制度</w:t>
      </w:r>
      <w:r>
        <w:rPr>
          <w:rFonts w:ascii="宋体" w:hAnsi="宋体" w:cs="宋体" w:eastAsia="宋体" w:hint="default"/>
          <w:b/>
          <w:bCs/>
          <w:w w:val="99"/>
          <w:sz w:val="21"/>
          <w:szCs w:val="21"/>
        </w:rPr>
        <w:t> </w:t>
      </w:r>
      <w:r>
        <w:rPr>
          <w:rFonts w:ascii="宋体" w:hAnsi="宋体" w:cs="宋体" w:eastAsia="宋体" w:hint="default"/>
          <w:sz w:val="21"/>
          <w:szCs w:val="21"/>
        </w:rPr>
        <w:t>采用永续盘存制。</w:t>
      </w:r>
    </w:p>
    <w:p>
      <w:pPr>
        <w:spacing w:line="240" w:lineRule="auto" w:before="0"/>
        <w:rPr>
          <w:rFonts w:ascii="宋体" w:hAnsi="宋体" w:cs="宋体" w:eastAsia="宋体" w:hint="default"/>
          <w:sz w:val="20"/>
          <w:szCs w:val="20"/>
        </w:rPr>
      </w:pPr>
    </w:p>
    <w:p>
      <w:pPr>
        <w:tabs>
          <w:tab w:pos="1396" w:val="left" w:leader="none"/>
        </w:tabs>
        <w:spacing w:line="304" w:lineRule="auto" w:before="147"/>
        <w:ind w:left="1400" w:right="4992"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r>
      <w:r>
        <w:rPr>
          <w:rFonts w:ascii="宋体" w:hAnsi="宋体" w:cs="宋体" w:eastAsia="宋体" w:hint="default"/>
          <w:b/>
          <w:bCs/>
          <w:sz w:val="21"/>
          <w:szCs w:val="21"/>
        </w:rPr>
        <w:t>低值易耗品的摊销方法</w:t>
      </w:r>
      <w:r>
        <w:rPr>
          <w:rFonts w:ascii="宋体" w:hAnsi="宋体" w:cs="宋体" w:eastAsia="宋体" w:hint="default"/>
          <w:b/>
          <w:bCs/>
          <w:w w:val="99"/>
          <w:sz w:val="21"/>
          <w:szCs w:val="21"/>
        </w:rPr>
        <w:t> </w:t>
      </w:r>
      <w:r>
        <w:rPr>
          <w:rFonts w:ascii="宋体" w:hAnsi="宋体" w:cs="宋体" w:eastAsia="宋体" w:hint="default"/>
          <w:sz w:val="21"/>
          <w:szCs w:val="21"/>
        </w:rPr>
        <w:t>低值易耗品采用一次摊销法。</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5"/>
          <w:szCs w:val="15"/>
        </w:rPr>
      </w:pPr>
    </w:p>
    <w:p>
      <w:pPr>
        <w:pStyle w:val="Heading2"/>
        <w:spacing w:line="240" w:lineRule="auto"/>
        <w:ind w:right="3854"/>
        <w:jc w:val="left"/>
        <w:rPr>
          <w:b w:val="0"/>
          <w:bCs w:val="0"/>
        </w:rPr>
      </w:pPr>
      <w:r>
        <w:rPr>
          <w:rFonts w:ascii="Times New Roman" w:hAnsi="Times New Roman" w:cs="Times New Roman" w:eastAsia="Times New Roman" w:hint="default"/>
        </w:rPr>
        <w:t>(</w:t>
      </w:r>
      <w:r>
        <w:rPr/>
        <w:t>十二</w:t>
      </w:r>
      <w:r>
        <w:rPr>
          <w:rFonts w:ascii="Times New Roman" w:hAnsi="Times New Roman" w:cs="Times New Roman" w:eastAsia="Times New Roman" w:hint="default"/>
        </w:rPr>
        <w:t>)  </w:t>
      </w:r>
      <w:r>
        <w:rPr>
          <w:rFonts w:ascii="Times New Roman" w:hAnsi="Times New Roman" w:cs="Times New Roman" w:eastAsia="Times New Roman" w:hint="default"/>
          <w:spacing w:val="5"/>
        </w:rPr>
        <w:t> </w:t>
      </w:r>
      <w:r>
        <w:rPr/>
        <w:t>长期股权投资</w:t>
      </w:r>
      <w:r>
        <w:rPr>
          <w:b w:val="0"/>
          <w:bCs w:val="0"/>
        </w:rPr>
      </w:r>
    </w:p>
    <w:p>
      <w:pPr>
        <w:spacing w:line="240" w:lineRule="auto" w:before="0"/>
        <w:rPr>
          <w:rFonts w:ascii="宋体" w:hAnsi="宋体" w:cs="宋体" w:eastAsia="宋体" w:hint="default"/>
          <w:b/>
          <w:bCs/>
          <w:sz w:val="22"/>
          <w:szCs w:val="22"/>
        </w:rPr>
      </w:pPr>
    </w:p>
    <w:p>
      <w:pPr>
        <w:tabs>
          <w:tab w:pos="1396" w:val="left" w:leader="none"/>
        </w:tabs>
        <w:spacing w:before="191"/>
        <w:ind w:left="857" w:right="3854"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pacing w:val="1"/>
          <w:sz w:val="21"/>
          <w:szCs w:val="21"/>
        </w:rPr>
        <w:t>初始计量</w:t>
      </w:r>
      <w:r>
        <w:rPr>
          <w:rFonts w:ascii="宋体" w:hAnsi="宋体" w:cs="宋体" w:eastAsia="宋体" w:hint="default"/>
          <w:sz w:val="21"/>
          <w:szCs w:val="21"/>
        </w:rPr>
      </w:r>
    </w:p>
    <w:p>
      <w:pPr>
        <w:pStyle w:val="BodyText"/>
        <w:spacing w:line="321" w:lineRule="auto" w:before="79"/>
        <w:ind w:left="1399" w:right="145"/>
        <w:jc w:val="left"/>
      </w:pPr>
      <w:r>
        <w:rPr/>
        <w:t>（</w:t>
      </w:r>
      <w:r>
        <w:rPr>
          <w:rFonts w:ascii="Times New Roman" w:hAnsi="Times New Roman" w:cs="Times New Roman" w:eastAsia="Times New Roman" w:hint="default"/>
        </w:rPr>
        <w:t>1</w:t>
      </w:r>
      <w:r>
        <w:rPr/>
        <w:t>）企业合并形成的长期股权投资 同一控制下的企业合并：公司以支付现金、转让非现金资产或承担债务方式以及以</w:t>
      </w:r>
      <w:r>
        <w:rPr>
          <w:spacing w:val="-97"/>
        </w:rPr>
        <w:t> </w:t>
      </w:r>
      <w:r>
        <w:rPr>
          <w:spacing w:val="-97"/>
        </w:rPr>
      </w:r>
      <w:r>
        <w:rPr/>
        <w:t>发行权益性证券作为合并对价的，在合并日按照取得被合并方所有者权益账面价值</w:t>
      </w:r>
      <w:r>
        <w:rPr>
          <w:spacing w:val="-97"/>
        </w:rPr>
        <w:t> </w:t>
      </w:r>
      <w:r>
        <w:rPr>
          <w:spacing w:val="-97"/>
        </w:rPr>
      </w:r>
      <w:r>
        <w:rPr/>
        <w:t>的份额作为长期股权投资的初始投资成本。长期股权投资初始投资成本与支付合并</w:t>
      </w:r>
      <w:r>
        <w:rPr>
          <w:spacing w:val="-97"/>
        </w:rPr>
        <w:t> </w:t>
      </w:r>
      <w:r>
        <w:rPr>
          <w:spacing w:val="-97"/>
        </w:rPr>
      </w:r>
      <w:r>
        <w:rPr/>
        <w:t>对价之间的差额，调整资本公积；资本公积不足冲减的，调整留存收益。合并发生</w:t>
      </w:r>
      <w:r>
        <w:rPr>
          <w:spacing w:val="-97"/>
        </w:rPr>
        <w:t> </w:t>
      </w:r>
      <w:r>
        <w:rPr>
          <w:spacing w:val="-97"/>
        </w:rPr>
      </w:r>
      <w:r>
        <w:rPr/>
        <w:t>的各项直接相关费用，包括为进行合并而支付的审计费用、评估费用、法律服务费</w:t>
      </w:r>
      <w:r>
        <w:rPr>
          <w:spacing w:val="-97"/>
        </w:rPr>
        <w:t> </w:t>
      </w:r>
      <w:r>
        <w:rPr>
          <w:spacing w:val="-97"/>
        </w:rPr>
      </w:r>
      <w:r>
        <w:rPr/>
        <w:t>用等，于发生时计入当期损益。 非同一控制下的企业合并：合并成本为购买日购买方为取得对被购买方的控制权而</w:t>
      </w:r>
      <w:r>
        <w:rPr>
          <w:spacing w:val="-97"/>
        </w:rPr>
        <w:t> </w:t>
      </w:r>
      <w:r>
        <w:rPr>
          <w:spacing w:val="-97"/>
        </w:rPr>
      </w:r>
      <w:r>
        <w:rPr/>
        <w:t>付出的资产、发生或承担的负债以及发行的权益性证券的公允价值。通过多次交换</w:t>
      </w:r>
      <w:r>
        <w:rPr>
          <w:spacing w:val="-97"/>
        </w:rPr>
        <w:t> </w:t>
      </w:r>
      <w:r>
        <w:rPr>
          <w:spacing w:val="-97"/>
        </w:rPr>
      </w:r>
      <w:r>
        <w:rPr/>
        <w:t>交易分步实现的企业合并，合并成本为每一单项交易成本之和。在合并合同中对可</w:t>
      </w:r>
      <w:r>
        <w:rPr>
          <w:spacing w:val="-97"/>
        </w:rPr>
        <w:t> </w:t>
      </w:r>
      <w:r>
        <w:rPr>
          <w:spacing w:val="-97"/>
        </w:rPr>
      </w:r>
      <w:r>
        <w:rPr/>
        <w:t>能影响合并成本的未来事项作出约定的，购买日如果估计未来事项很可能发生并且</w:t>
      </w:r>
      <w:r>
        <w:rPr>
          <w:spacing w:val="-97"/>
        </w:rPr>
        <w:t> </w:t>
      </w:r>
      <w:r>
        <w:rPr>
          <w:spacing w:val="-97"/>
        </w:rPr>
      </w:r>
      <w:r>
        <w:rPr/>
        <w:t>对合并成本的影响金额能够可靠计量的，也计入合并成本。</w:t>
      </w:r>
    </w:p>
    <w:p>
      <w:pPr>
        <w:spacing w:after="0" w:line="321" w:lineRule="auto"/>
        <w:jc w:val="left"/>
        <w:sectPr>
          <w:pgSz w:w="11910" w:h="16840"/>
          <w:pgMar w:header="851" w:footer="982" w:top="1360" w:bottom="1180" w:left="1660" w:right="1120"/>
        </w:sectPr>
      </w:pPr>
    </w:p>
    <w:p>
      <w:pPr>
        <w:spacing w:line="240" w:lineRule="auto" w:before="10"/>
        <w:rPr>
          <w:rFonts w:ascii="宋体" w:hAnsi="宋体" w:cs="宋体" w:eastAsia="宋体" w:hint="default"/>
          <w:sz w:val="9"/>
          <w:szCs w:val="9"/>
        </w:rPr>
      </w:pPr>
    </w:p>
    <w:p>
      <w:pPr>
        <w:pStyle w:val="BodyText"/>
        <w:spacing w:line="338" w:lineRule="auto" w:before="35"/>
        <w:ind w:left="1400" w:right="105"/>
        <w:jc w:val="left"/>
      </w:pPr>
      <w:r>
        <w:rPr/>
        <w:t>（</w:t>
      </w:r>
      <w:r>
        <w:rPr>
          <w:rFonts w:ascii="Times New Roman" w:hAnsi="Times New Roman" w:cs="Times New Roman" w:eastAsia="Times New Roman" w:hint="default"/>
        </w:rPr>
        <w:t>2</w:t>
      </w:r>
      <w:r>
        <w:rPr/>
        <w:t>）其他方式取得的长期股权投资 </w:t>
      </w:r>
      <w:r>
        <w:rPr>
          <w:spacing w:val="-3"/>
        </w:rPr>
        <w:t>以支付现金方式取得的长期股权投资，按照实际支付的购买价款作为初始投资成本。</w:t>
      </w:r>
      <w:r>
        <w:rPr>
          <w:spacing w:val="-89"/>
        </w:rPr>
        <w:t> </w:t>
      </w:r>
      <w:r>
        <w:rPr>
          <w:spacing w:val="-89"/>
        </w:rPr>
      </w:r>
      <w:r>
        <w:rPr/>
        <w:t>以发行权益性证券取得的长期股权投资，按照发行权益性证券的公允价值作为初始</w:t>
      </w:r>
      <w:r>
        <w:rPr>
          <w:spacing w:val="-97"/>
        </w:rPr>
        <w:t> </w:t>
      </w:r>
      <w:r>
        <w:rPr>
          <w:spacing w:val="-97"/>
        </w:rPr>
      </w:r>
      <w:r>
        <w:rPr/>
        <w:t>投资成本。 投资者投入的长期股权投资，按照投资合同或协议约定的价值（扣除已宣告但尚未</w:t>
      </w:r>
      <w:r>
        <w:rPr>
          <w:spacing w:val="-97"/>
        </w:rPr>
        <w:t> </w:t>
      </w:r>
      <w:r>
        <w:rPr>
          <w:spacing w:val="-97"/>
        </w:rPr>
      </w:r>
      <w:r>
        <w:rPr>
          <w:spacing w:val="-3"/>
        </w:rPr>
        <w:t>发放的现金股利或利润）作为初始投资成本，但合同或协议约定价值不公允的除外。</w:t>
      </w:r>
      <w:r>
        <w:rPr>
          <w:spacing w:val="-88"/>
        </w:rPr>
        <w:t> </w:t>
      </w:r>
      <w:r>
        <w:rPr>
          <w:spacing w:val="-88"/>
        </w:rPr>
      </w:r>
      <w:r>
        <w:rPr/>
        <w:t>在非货币性资产交换具备商业实质和换入资产或换出资产的公允价值能够可靠计量</w:t>
      </w:r>
      <w:r>
        <w:rPr>
          <w:spacing w:val="-97"/>
        </w:rPr>
        <w:t> </w:t>
      </w:r>
      <w:r>
        <w:rPr>
          <w:spacing w:val="-97"/>
        </w:rPr>
      </w:r>
      <w:r>
        <w:rPr/>
        <w:t>的前提下，非货币性资产交换换入的长期股权投资以换出资产的公允价值为基础确</w:t>
      </w:r>
      <w:r>
        <w:rPr>
          <w:spacing w:val="-97"/>
        </w:rPr>
        <w:t> </w:t>
      </w:r>
      <w:r>
        <w:rPr>
          <w:spacing w:val="-97"/>
        </w:rPr>
      </w:r>
      <w:r>
        <w:rPr/>
        <w:t>定其初始投资成本，除非有确凿证据表明换入资产的公允价值更加可靠；不满足上</w:t>
      </w:r>
      <w:r>
        <w:rPr>
          <w:spacing w:val="-97"/>
        </w:rPr>
        <w:t> </w:t>
      </w:r>
      <w:r>
        <w:rPr>
          <w:spacing w:val="-97"/>
        </w:rPr>
      </w:r>
      <w:r>
        <w:rPr/>
        <w:t>述前提的非货币性资产交换，以换出资产的账面价值和应支付的相关税费作为换入</w:t>
      </w:r>
      <w:r>
        <w:rPr>
          <w:spacing w:val="-97"/>
        </w:rPr>
        <w:t> </w:t>
      </w:r>
      <w:r>
        <w:rPr>
          <w:spacing w:val="-97"/>
        </w:rPr>
      </w:r>
      <w:r>
        <w:rPr/>
        <w:t>长期股权投资的初始投资成本。 通过债务重组取得的长期股权投资，其初始投资成本按照公允价值为基础确定。</w:t>
      </w:r>
    </w:p>
    <w:p>
      <w:pPr>
        <w:spacing w:line="240" w:lineRule="auto" w:before="0"/>
        <w:rPr>
          <w:rFonts w:ascii="宋体" w:hAnsi="宋体" w:cs="宋体" w:eastAsia="宋体" w:hint="default"/>
          <w:sz w:val="20"/>
          <w:szCs w:val="20"/>
        </w:rPr>
      </w:pPr>
    </w:p>
    <w:p>
      <w:pPr>
        <w:pStyle w:val="Heading2"/>
        <w:tabs>
          <w:tab w:pos="1396" w:val="left" w:leader="none"/>
        </w:tabs>
        <w:spacing w:line="240" w:lineRule="auto" w:before="157"/>
        <w:ind w:left="857" w:right="312"/>
        <w:jc w:val="left"/>
        <w:rPr>
          <w:b w:val="0"/>
          <w:bCs w:val="0"/>
        </w:rPr>
      </w:pPr>
      <w:r>
        <w:rPr>
          <w:rFonts w:ascii="Times New Roman" w:hAnsi="Times New Roman" w:cs="Times New Roman" w:eastAsia="Times New Roman" w:hint="default"/>
          <w:w w:val="95"/>
        </w:rPr>
        <w:t>2</w:t>
      </w:r>
      <w:r>
        <w:rPr>
          <w:w w:val="95"/>
        </w:rPr>
        <w:t>、</w:t>
        <w:tab/>
      </w:r>
      <w:r>
        <w:rPr/>
        <w:t>后续计量及收益确认</w:t>
      </w:r>
      <w:r>
        <w:rPr>
          <w:b w:val="0"/>
          <w:bCs w:val="0"/>
        </w:rPr>
      </w:r>
    </w:p>
    <w:p>
      <w:pPr>
        <w:pStyle w:val="BodyText"/>
        <w:spacing w:line="348" w:lineRule="auto" w:before="99"/>
        <w:ind w:left="1400" w:right="204"/>
        <w:jc w:val="left"/>
      </w:pPr>
      <w:r>
        <w:rPr/>
        <w:t>（</w:t>
      </w:r>
      <w:r>
        <w:rPr>
          <w:rFonts w:ascii="Times New Roman" w:hAnsi="Times New Roman" w:cs="Times New Roman" w:eastAsia="Times New Roman" w:hint="default"/>
        </w:rPr>
        <w:t>1</w:t>
      </w:r>
      <w:r>
        <w:rPr/>
        <w:t>）后续计量 公司对子公司的长期股权投资，采用成本法核算，编制合并财务报表时按照权益法</w:t>
      </w:r>
      <w:r>
        <w:rPr>
          <w:spacing w:val="-97"/>
        </w:rPr>
        <w:t> </w:t>
      </w:r>
      <w:r>
        <w:rPr>
          <w:spacing w:val="-97"/>
        </w:rPr>
      </w:r>
      <w:r>
        <w:rPr/>
        <w:t>进行调整。 对被投资单位不具有共同控制或重大影响，并且在活跃市场中没有报价、公允价值</w:t>
      </w:r>
      <w:r>
        <w:rPr>
          <w:spacing w:val="-97"/>
        </w:rPr>
        <w:t> </w:t>
      </w:r>
      <w:r>
        <w:rPr>
          <w:spacing w:val="-97"/>
        </w:rPr>
      </w:r>
      <w:r>
        <w:rPr/>
        <w:t>不能可靠计量的长期股权投资，采用成本法核算。 对被投资单位具有共同控制或重大影响的长期股权投资，采用权益法核算。初始投</w:t>
      </w:r>
      <w:r>
        <w:rPr>
          <w:spacing w:val="-97"/>
        </w:rPr>
        <w:t> </w:t>
      </w:r>
      <w:r>
        <w:rPr>
          <w:spacing w:val="-97"/>
        </w:rPr>
      </w:r>
      <w:r>
        <w:rPr/>
        <w:t>资成本大于投资时应享有被投资单位可辨认净资产公允价值份额的差额，不调整长</w:t>
      </w:r>
      <w:r>
        <w:rPr>
          <w:spacing w:val="-97"/>
        </w:rPr>
        <w:t> </w:t>
      </w:r>
      <w:r>
        <w:rPr>
          <w:spacing w:val="-97"/>
        </w:rPr>
      </w:r>
      <w:r>
        <w:rPr/>
        <w:t>期股权投资的初始投资成本；初始投资成本小于投资时应享有被投资单位可辨认净</w:t>
      </w:r>
      <w:r>
        <w:rPr>
          <w:spacing w:val="-97"/>
        </w:rPr>
        <w:t> </w:t>
      </w:r>
      <w:r>
        <w:rPr>
          <w:spacing w:val="-97"/>
        </w:rPr>
      </w:r>
      <w:r>
        <w:rPr/>
        <w:t>资产公允价值份额的差额，计入当期损益。 被投资单位除净损益以外所有者权益其他变动的处理：对于被投资单位除净损益以</w:t>
      </w:r>
      <w:r>
        <w:rPr>
          <w:spacing w:val="-97"/>
        </w:rPr>
        <w:t> </w:t>
      </w:r>
      <w:r>
        <w:rPr>
          <w:spacing w:val="-97"/>
        </w:rPr>
      </w:r>
      <w:r>
        <w:rPr/>
        <w:t>外所有者权益的其他变动，在持股比例不变的情况下，公司按照持股比例计算应享</w:t>
      </w:r>
      <w:r>
        <w:rPr>
          <w:spacing w:val="-97"/>
        </w:rPr>
        <w:t> </w:t>
      </w:r>
      <w:r>
        <w:rPr>
          <w:spacing w:val="-97"/>
        </w:rPr>
      </w:r>
      <w:r>
        <w:rPr/>
        <w:t>有或承担的部分，调整长期股权投资的账面价值，同时增加或减少资本公积（其他</w:t>
      </w:r>
      <w:r>
        <w:rPr>
          <w:spacing w:val="-97"/>
        </w:rPr>
        <w:t> </w:t>
      </w:r>
      <w:r>
        <w:rPr>
          <w:spacing w:val="-97"/>
        </w:rPr>
      </w:r>
      <w:r>
        <w:rPr>
          <w:spacing w:val="-18"/>
        </w:rPr>
        <w:t>资本公积）。</w:t>
      </w:r>
    </w:p>
    <w:p>
      <w:pPr>
        <w:spacing w:line="240" w:lineRule="auto" w:before="0"/>
        <w:rPr>
          <w:rFonts w:ascii="宋体" w:hAnsi="宋体" w:cs="宋体" w:eastAsia="宋体" w:hint="default"/>
          <w:sz w:val="20"/>
          <w:szCs w:val="20"/>
        </w:rPr>
      </w:pPr>
    </w:p>
    <w:p>
      <w:pPr>
        <w:pStyle w:val="BodyText"/>
        <w:spacing w:line="338" w:lineRule="auto" w:before="149"/>
        <w:ind w:left="1400" w:right="105"/>
        <w:jc w:val="left"/>
      </w:pPr>
      <w:r>
        <w:rPr/>
        <w:t>（</w:t>
      </w:r>
      <w:r>
        <w:rPr>
          <w:rFonts w:ascii="Times New Roman" w:hAnsi="Times New Roman" w:cs="Times New Roman" w:eastAsia="Times New Roman" w:hint="default"/>
        </w:rPr>
        <w:t>2</w:t>
      </w:r>
      <w:r>
        <w:rPr/>
        <w:t>）损益确认 成本法下，除取得投资时实际支付的价款或对价中包含的已宣告但尚未发放的现金</w:t>
      </w:r>
      <w:r>
        <w:rPr>
          <w:spacing w:val="-97"/>
        </w:rPr>
        <w:t> </w:t>
      </w:r>
      <w:r>
        <w:rPr>
          <w:spacing w:val="-97"/>
        </w:rPr>
      </w:r>
      <w:r>
        <w:rPr>
          <w:spacing w:val="-3"/>
        </w:rPr>
        <w:t>股利或利润外，公司按照享有被投资单位宣告发放的现金股利或利润确认投资收益。</w:t>
      </w:r>
    </w:p>
    <w:p>
      <w:pPr>
        <w:spacing w:line="240" w:lineRule="auto" w:before="0"/>
        <w:rPr>
          <w:rFonts w:ascii="宋体" w:hAnsi="宋体" w:cs="宋体" w:eastAsia="宋体" w:hint="default"/>
          <w:sz w:val="20"/>
          <w:szCs w:val="20"/>
        </w:rPr>
      </w:pPr>
    </w:p>
    <w:p>
      <w:pPr>
        <w:pStyle w:val="BodyText"/>
        <w:spacing w:line="350" w:lineRule="auto" w:before="177"/>
        <w:ind w:left="1400" w:right="211"/>
        <w:jc w:val="both"/>
      </w:pPr>
      <w:r>
        <w:rPr/>
        <w:t>权益法下，在被投资单位账面净利润的基础上考虑：被投资单位与本公司采用的会</w:t>
      </w:r>
      <w:r>
        <w:rPr>
          <w:spacing w:val="-97"/>
        </w:rPr>
        <w:t> </w:t>
      </w:r>
      <w:r>
        <w:rPr>
          <w:spacing w:val="-97"/>
        </w:rPr>
      </w:r>
      <w:r>
        <w:rPr/>
        <w:t>计政策及会计期间不一致，按本公司的会计政策及会计期间对被投资单位财务报表</w:t>
      </w:r>
      <w:r>
        <w:rPr>
          <w:spacing w:val="-97"/>
        </w:rPr>
        <w:t> </w:t>
      </w:r>
      <w:r>
        <w:rPr>
          <w:spacing w:val="-97"/>
        </w:rPr>
      </w:r>
      <w:r>
        <w:rPr/>
        <w:t>进行调整；以取得投资时被投资单位固定资产、无形资产的公允价值为基础计提的</w:t>
      </w:r>
    </w:p>
    <w:p>
      <w:pPr>
        <w:spacing w:after="0" w:line="350" w:lineRule="auto"/>
        <w:jc w:val="both"/>
        <w:sectPr>
          <w:footerReference w:type="default" r:id="rId71"/>
          <w:pgSz w:w="11910" w:h="16840"/>
          <w:pgMar w:footer="982" w:header="851" w:top="1360" w:bottom="1180" w:left="1660" w:right="1060"/>
        </w:sectPr>
      </w:pPr>
    </w:p>
    <w:p>
      <w:pPr>
        <w:spacing w:line="240" w:lineRule="auto" w:before="6"/>
        <w:rPr>
          <w:rFonts w:ascii="宋体" w:hAnsi="宋体" w:cs="宋体" w:eastAsia="宋体" w:hint="default"/>
          <w:sz w:val="10"/>
          <w:szCs w:val="10"/>
        </w:rPr>
      </w:pPr>
    </w:p>
    <w:p>
      <w:pPr>
        <w:pStyle w:val="BodyText"/>
        <w:spacing w:line="350" w:lineRule="auto" w:before="35"/>
        <w:ind w:left="1400" w:right="204"/>
        <w:jc w:val="left"/>
      </w:pPr>
      <w:r>
        <w:rPr/>
        <w:t>折旧额或摊销额以及有关资产减值准备金额等对被投资单位净利润的影响；对本公</w:t>
      </w:r>
      <w:r>
        <w:rPr>
          <w:spacing w:val="-97"/>
        </w:rPr>
        <w:t> </w:t>
      </w:r>
      <w:r>
        <w:rPr>
          <w:spacing w:val="-97"/>
        </w:rPr>
      </w:r>
      <w:r>
        <w:rPr>
          <w:spacing w:val="6"/>
        </w:rPr>
        <w:t>司与联营企业及合营企业之间发生的未实现内部交易予以抵销等事项的适当调整</w:t>
      </w:r>
      <w:r>
        <w:rPr>
          <w:spacing w:val="-93"/>
        </w:rPr>
        <w:t> </w:t>
      </w:r>
      <w:r>
        <w:rPr>
          <w:spacing w:val="-93"/>
        </w:rPr>
      </w:r>
      <w:r>
        <w:rPr/>
        <w:t>后，确认应享有或应负担被投资单位的净利润或净亏损。</w:t>
      </w:r>
      <w:r>
        <w:rPr/>
        <w:t> 在公司确认应分担被投资单位发生的亏损时，按照以下顺序进行处理：首先，冲减</w:t>
      </w:r>
      <w:r>
        <w:rPr>
          <w:spacing w:val="-97"/>
        </w:rPr>
        <w:t> </w:t>
      </w:r>
      <w:r>
        <w:rPr>
          <w:spacing w:val="-97"/>
        </w:rPr>
      </w:r>
      <w:r>
        <w:rPr/>
        <w:t>长期股权投资的账面价值。其次，长期股权投资的账面价值不足以冲减的，以其他</w:t>
      </w:r>
      <w:r>
        <w:rPr>
          <w:spacing w:val="-97"/>
        </w:rPr>
        <w:t> </w:t>
      </w:r>
      <w:r>
        <w:rPr>
          <w:spacing w:val="-97"/>
        </w:rPr>
      </w:r>
      <w:r>
        <w:rPr/>
        <w:t>实质上构成对被投资单位净投资的长期权益账面价值为限继续确认投资损失，冲减</w:t>
      </w:r>
      <w:r>
        <w:rPr>
          <w:spacing w:val="-97"/>
        </w:rPr>
        <w:t> </w:t>
      </w:r>
      <w:r>
        <w:rPr>
          <w:spacing w:val="-97"/>
        </w:rPr>
      </w:r>
      <w:r>
        <w:rPr/>
        <w:t>长期应收项目等的账面价值。最后，经过上述处理，按照投资合同或协议约定企业</w:t>
      </w:r>
      <w:r>
        <w:rPr>
          <w:spacing w:val="-97"/>
        </w:rPr>
        <w:t> </w:t>
      </w:r>
      <w:r>
        <w:rPr>
          <w:spacing w:val="-97"/>
        </w:rPr>
      </w:r>
      <w:r>
        <w:rPr/>
        <w:t>仍承担额外义务的，按预计承担的义务确认预计负债，计入当期投资损失。被投资</w:t>
      </w:r>
      <w:r>
        <w:rPr>
          <w:spacing w:val="-97"/>
        </w:rPr>
        <w:t> </w:t>
      </w:r>
      <w:r>
        <w:rPr>
          <w:spacing w:val="-97"/>
        </w:rPr>
      </w:r>
      <w:r>
        <w:rPr/>
        <w:t>单位以后期间实现盈利的，公司在扣除未确认的亏损分担额后，按与上述相反的顺</w:t>
      </w:r>
      <w:r>
        <w:rPr>
          <w:spacing w:val="-97"/>
        </w:rPr>
        <w:t> </w:t>
      </w:r>
      <w:r>
        <w:rPr>
          <w:spacing w:val="-97"/>
        </w:rPr>
      </w:r>
      <w:r>
        <w:rPr/>
        <w:t>序处理，减记已确认预计负债的账面余额、恢复其他实质上构成对被投资单位净投</w:t>
      </w:r>
      <w:r>
        <w:rPr>
          <w:spacing w:val="-97"/>
        </w:rPr>
        <w:t> </w:t>
      </w:r>
      <w:r>
        <w:rPr>
          <w:spacing w:val="-97"/>
        </w:rPr>
      </w:r>
      <w:r>
        <w:rPr/>
        <w:t>资的长期权益及长期股权投资的账面价值，同时确认投资收益。</w:t>
      </w:r>
    </w:p>
    <w:p>
      <w:pPr>
        <w:spacing w:line="240" w:lineRule="auto" w:before="0"/>
        <w:rPr>
          <w:rFonts w:ascii="宋体" w:hAnsi="宋体" w:cs="宋体" w:eastAsia="宋体" w:hint="default"/>
          <w:sz w:val="20"/>
          <w:szCs w:val="20"/>
        </w:rPr>
      </w:pPr>
    </w:p>
    <w:p>
      <w:pPr>
        <w:pStyle w:val="BodyText"/>
        <w:tabs>
          <w:tab w:pos="1396" w:val="left" w:leader="none"/>
        </w:tabs>
        <w:spacing w:line="345" w:lineRule="auto" w:before="167"/>
        <w:ind w:left="1400" w:right="211" w:hanging="543"/>
        <w:jc w:val="left"/>
      </w:pPr>
      <w:r>
        <w:rPr>
          <w:rFonts w:ascii="Times New Roman" w:hAnsi="Times New Roman" w:cs="Times New Roman" w:eastAsia="Times New Roman" w:hint="default"/>
          <w:b/>
          <w:bCs/>
          <w:w w:val="95"/>
        </w:rPr>
        <w:t>3</w:t>
      </w:r>
      <w:r>
        <w:rPr>
          <w:rFonts w:ascii="宋体" w:hAnsi="宋体" w:cs="宋体" w:eastAsia="宋体" w:hint="default"/>
          <w:b/>
          <w:bCs/>
          <w:w w:val="95"/>
        </w:rPr>
        <w:t>、</w:t>
        <w:tab/>
      </w:r>
      <w:r>
        <w:rPr>
          <w:rFonts w:ascii="宋体" w:hAnsi="宋体" w:cs="宋体" w:eastAsia="宋体" w:hint="default"/>
          <w:b/>
          <w:bCs/>
        </w:rPr>
        <w:t>确定对被投资单位具有共同控制、重大影响的依据</w:t>
      </w:r>
      <w:r>
        <w:rPr>
          <w:rFonts w:ascii="宋体" w:hAnsi="宋体" w:cs="宋体" w:eastAsia="宋体" w:hint="default"/>
          <w:b/>
          <w:bCs/>
          <w:spacing w:val="1"/>
          <w:w w:val="99"/>
        </w:rPr>
        <w:t> </w:t>
      </w:r>
      <w:r>
        <w:rPr/>
        <w:t>按照合同约定对某项经济活动所共有的控制，仅在与该项经济活动相关的重要财务 和经营决策需要分享控制权的投资方一致同意时存在，则视为与其他方对被投资单 位实施共同控制；对一个企业的财务和经营决策有参与决策的权力，但并不能够控 制或者与其他方一起共同控制这些政策的制定，则视为投资企业能够对被投资单位 施加重大影响。</w:t>
      </w:r>
    </w:p>
    <w:p>
      <w:pPr>
        <w:spacing w:line="240" w:lineRule="auto" w:before="0"/>
        <w:rPr>
          <w:rFonts w:ascii="宋体" w:hAnsi="宋体" w:cs="宋体" w:eastAsia="宋体" w:hint="default"/>
          <w:sz w:val="20"/>
          <w:szCs w:val="20"/>
        </w:rPr>
      </w:pPr>
    </w:p>
    <w:p>
      <w:pPr>
        <w:pStyle w:val="BodyText"/>
        <w:tabs>
          <w:tab w:pos="1396" w:val="left" w:leader="none"/>
        </w:tabs>
        <w:spacing w:line="348" w:lineRule="auto" w:before="170"/>
        <w:ind w:left="1399" w:right="106" w:hanging="543"/>
        <w:jc w:val="left"/>
      </w:pPr>
      <w:r>
        <w:rPr>
          <w:rFonts w:ascii="Times New Roman" w:hAnsi="Times New Roman" w:cs="Times New Roman" w:eastAsia="Times New Roman" w:hint="default"/>
          <w:b/>
          <w:bCs/>
          <w:w w:val="95"/>
        </w:rPr>
        <w:t>4</w:t>
      </w:r>
      <w:r>
        <w:rPr>
          <w:rFonts w:ascii="宋体" w:hAnsi="宋体" w:cs="宋体" w:eastAsia="宋体" w:hint="default"/>
          <w:b/>
          <w:bCs/>
          <w:w w:val="95"/>
        </w:rPr>
        <w:t>、</w:t>
        <w:tab/>
      </w:r>
      <w:r>
        <w:rPr>
          <w:rFonts w:ascii="宋体" w:hAnsi="宋体" w:cs="宋体" w:eastAsia="宋体" w:hint="default"/>
          <w:b/>
          <w:bCs/>
        </w:rPr>
        <w:t>减值测试方法及减值准备计提方法</w:t>
      </w:r>
      <w:r>
        <w:rPr>
          <w:rFonts w:ascii="宋体" w:hAnsi="宋体" w:cs="宋体" w:eastAsia="宋体" w:hint="default"/>
          <w:b/>
          <w:bCs/>
          <w:w w:val="99"/>
        </w:rPr>
        <w:t> </w:t>
      </w:r>
      <w:r>
        <w:rPr>
          <w:spacing w:val="-3"/>
        </w:rPr>
        <w:t>重大影响以下的、在活跃市场中没有报价、公允价值不能可靠计量的长期股权投资，</w:t>
      </w:r>
      <w:r>
        <w:rPr/>
        <w:t> 其减值损失是根据其账面价值与按类似金融资产当时市场收益率对未来现金流量折 现确定的现值之间的差额进行确定。 除因企业合并形成的商誉以外的存在减值迹象的其他长期股权投资，如果可收回金 额的计量结果表明，该长期股权投资的可收回金额低于其账面价值的，将差额确认 为减值损失。 因企业合并形成的商誉，无论是否存在减值迹象，每年都进行减值测试。 长期股权投资减值损失一经确认，不再转回。</w:t>
      </w:r>
    </w:p>
    <w:p>
      <w:pPr>
        <w:spacing w:line="240" w:lineRule="auto" w:before="0"/>
        <w:rPr>
          <w:rFonts w:ascii="宋体" w:hAnsi="宋体" w:cs="宋体" w:eastAsia="宋体" w:hint="default"/>
          <w:sz w:val="20"/>
          <w:szCs w:val="20"/>
        </w:rPr>
      </w:pPr>
    </w:p>
    <w:p>
      <w:pPr>
        <w:pStyle w:val="Heading2"/>
        <w:spacing w:line="240" w:lineRule="auto" w:before="169"/>
        <w:ind w:right="312"/>
        <w:jc w:val="left"/>
        <w:rPr>
          <w:b w:val="0"/>
          <w:bCs w:val="0"/>
        </w:rPr>
      </w:pPr>
      <w:r>
        <w:rPr>
          <w:rFonts w:ascii="Times New Roman" w:hAnsi="Times New Roman" w:cs="Times New Roman" w:eastAsia="Times New Roman" w:hint="default"/>
        </w:rPr>
        <w:t>(</w:t>
      </w:r>
      <w:r>
        <w:rPr/>
        <w:t>十三</w:t>
      </w:r>
      <w:r>
        <w:rPr>
          <w:rFonts w:ascii="Times New Roman" w:hAnsi="Times New Roman" w:cs="Times New Roman" w:eastAsia="Times New Roman" w:hint="default"/>
        </w:rPr>
        <w:t>)  </w:t>
      </w:r>
      <w:r>
        <w:rPr>
          <w:rFonts w:ascii="Times New Roman" w:hAnsi="Times New Roman" w:cs="Times New Roman" w:eastAsia="Times New Roman" w:hint="default"/>
          <w:spacing w:val="3"/>
        </w:rPr>
        <w:t> </w:t>
      </w:r>
      <w:r>
        <w:rPr/>
        <w:t>投资性房地产</w:t>
      </w:r>
      <w:r>
        <w:rPr>
          <w:b w:val="0"/>
          <w:bCs w:val="0"/>
        </w:rPr>
      </w:r>
    </w:p>
    <w:p>
      <w:pPr>
        <w:pStyle w:val="BodyText"/>
        <w:spacing w:line="350" w:lineRule="auto" w:before="109"/>
        <w:ind w:left="857" w:right="195"/>
        <w:jc w:val="left"/>
      </w:pPr>
      <w:r>
        <w:rPr>
          <w:spacing w:val="-2"/>
        </w:rPr>
        <w:t>投资性房地产是指为赚取租金或资本增值，或两者兼有而持有的房地产，包括已出租的土</w:t>
      </w:r>
      <w:r>
        <w:rPr/>
        <w:t> 地使用权、持有并准备增值后转让的土地使用权、已出租的建筑物。 </w:t>
      </w:r>
      <w:r>
        <w:rPr>
          <w:spacing w:val="-2"/>
        </w:rPr>
        <w:t>公司对现有投资性房地产采用成本模式计量。对按照成本模式计量的投资性房地产－出租</w:t>
      </w:r>
      <w:r>
        <w:rPr>
          <w:spacing w:val="-103"/>
        </w:rPr>
        <w:t> </w:t>
      </w:r>
      <w:r>
        <w:rPr>
          <w:spacing w:val="-103"/>
        </w:rPr>
      </w:r>
      <w:r>
        <w:rPr>
          <w:spacing w:val="-2"/>
        </w:rPr>
        <w:t>用建筑物采用与本公司固定资产相同的折旧政策，出租用土地使用权按与无形资产相同的</w:t>
      </w:r>
    </w:p>
    <w:p>
      <w:pPr>
        <w:spacing w:after="0" w:line="350" w:lineRule="auto"/>
        <w:jc w:val="left"/>
        <w:sectPr>
          <w:footerReference w:type="default" r:id="rId72"/>
          <w:pgSz w:w="11910" w:h="16840"/>
          <w:pgMar w:footer="982" w:header="851" w:top="1360" w:bottom="1180" w:left="1660" w:right="1060"/>
          <w:pgNumType w:start="101"/>
        </w:sectPr>
      </w:pPr>
    </w:p>
    <w:p>
      <w:pPr>
        <w:spacing w:line="240" w:lineRule="auto" w:before="6"/>
        <w:rPr>
          <w:rFonts w:ascii="宋体" w:hAnsi="宋体" w:cs="宋体" w:eastAsia="宋体" w:hint="default"/>
          <w:sz w:val="10"/>
          <w:szCs w:val="10"/>
        </w:rPr>
      </w:pPr>
    </w:p>
    <w:p>
      <w:pPr>
        <w:pStyle w:val="BodyText"/>
        <w:spacing w:line="350" w:lineRule="auto" w:before="35"/>
        <w:ind w:left="857" w:right="195"/>
        <w:jc w:val="left"/>
      </w:pPr>
      <w:r>
        <w:rPr/>
        <w:t>摊销政策。 </w:t>
      </w:r>
      <w:r>
        <w:rPr>
          <w:spacing w:val="-2"/>
        </w:rPr>
        <w:t>公司对存在减值迹象的，估计其可收回金额，可收回金额低于其账面价值的，确认相应的</w:t>
      </w:r>
      <w:r>
        <w:rPr/>
        <w:t> 减值损失。</w:t>
      </w:r>
    </w:p>
    <w:p>
      <w:pPr>
        <w:pStyle w:val="BodyText"/>
        <w:spacing w:line="240" w:lineRule="auto" w:before="28"/>
        <w:ind w:left="857" w:right="312"/>
        <w:jc w:val="left"/>
      </w:pPr>
      <w:r>
        <w:rPr/>
        <w:t>投资性房地产减值损失一经确认，不再转回。</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Heading2"/>
        <w:spacing w:line="240" w:lineRule="auto"/>
        <w:ind w:right="312"/>
        <w:jc w:val="left"/>
        <w:rPr>
          <w:b w:val="0"/>
          <w:bCs w:val="0"/>
        </w:rPr>
      </w:pPr>
      <w:r>
        <w:rPr>
          <w:rFonts w:ascii="Times New Roman" w:hAnsi="Times New Roman" w:cs="Times New Roman" w:eastAsia="Times New Roman" w:hint="default"/>
        </w:rPr>
        <w:t>(</w:t>
      </w:r>
      <w:r>
        <w:rPr/>
        <w:t>十四</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t>固定资产</w:t>
      </w:r>
      <w:r>
        <w:rPr>
          <w:b w:val="0"/>
          <w:bCs w:val="0"/>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pStyle w:val="BodyText"/>
        <w:tabs>
          <w:tab w:pos="1396" w:val="left" w:leader="none"/>
        </w:tabs>
        <w:spacing w:line="340" w:lineRule="auto"/>
        <w:ind w:left="1399" w:right="211" w:hanging="543"/>
        <w:jc w:val="left"/>
      </w:pP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rPr>
        <w:t>固定资产确认条件</w:t>
      </w:r>
      <w:r>
        <w:rPr>
          <w:rFonts w:ascii="宋体" w:hAnsi="宋体" w:cs="宋体" w:eastAsia="宋体" w:hint="default"/>
          <w:b/>
          <w:bCs/>
          <w:spacing w:val="1"/>
          <w:w w:val="99"/>
        </w:rPr>
        <w:t> </w:t>
      </w:r>
      <w:r>
        <w:rPr/>
        <w:t>固定资产指为生产商品、提供劳务、出租或经营管理而持有，并且使用寿命超过一 个会计年度的有形资产。固定资产在同时满足下列条件时予以确认：</w:t>
      </w:r>
    </w:p>
    <w:p>
      <w:pPr>
        <w:pStyle w:val="BodyText"/>
        <w:spacing w:line="240" w:lineRule="auto" w:before="36"/>
        <w:ind w:left="1399" w:right="312"/>
        <w:jc w:val="left"/>
      </w:pPr>
      <w:r>
        <w:rPr/>
        <w:t>（</w:t>
      </w:r>
      <w:r>
        <w:rPr>
          <w:rFonts w:ascii="Times New Roman" w:hAnsi="Times New Roman" w:cs="Times New Roman" w:eastAsia="Times New Roman" w:hint="default"/>
        </w:rPr>
        <w:t>1</w:t>
      </w:r>
      <w:r>
        <w:rPr/>
        <w:t>）与该固定资产有关的经济利益很可能流入企业；</w:t>
      </w:r>
    </w:p>
    <w:p>
      <w:pPr>
        <w:pStyle w:val="BodyText"/>
        <w:spacing w:line="240" w:lineRule="auto" w:before="110"/>
        <w:ind w:left="1399" w:right="312"/>
        <w:jc w:val="left"/>
      </w:pPr>
      <w:r>
        <w:rPr/>
        <w:t>（</w:t>
      </w:r>
      <w:r>
        <w:rPr>
          <w:rFonts w:ascii="Times New Roman" w:hAnsi="Times New Roman" w:cs="Times New Roman" w:eastAsia="Times New Roman" w:hint="default"/>
        </w:rPr>
        <w:t>2</w:t>
      </w:r>
      <w:r>
        <w:rPr/>
        <w:t>）该固定资产的成本能够可靠地计量。</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pStyle w:val="BodyText"/>
        <w:tabs>
          <w:tab w:pos="1396" w:val="left" w:leader="none"/>
        </w:tabs>
        <w:spacing w:line="338" w:lineRule="auto"/>
        <w:ind w:left="1399" w:right="106" w:hanging="543"/>
        <w:jc w:val="left"/>
      </w:pPr>
      <w:r>
        <w:rPr/>
        <w:pict>
          <v:group style="position:absolute;margin-left:152.039993pt;margin-top:152.423981pt;width:378pt;height:100.45pt;mso-position-horizontal-relative:page;mso-position-vertical-relative:paragraph;z-index:-711952" coordorigin="3041,3048" coordsize="7560,2009">
            <v:shape style="position:absolute;left:5740;top:3048;width:3172;height:428" type="#_x0000_t75" stroked="false">
              <v:imagedata r:id="rId73" o:title=""/>
            </v:shape>
            <v:shape style="position:absolute;left:3041;top:3438;width:7560;height:1619" type="#_x0000_t75" stroked="false">
              <v:imagedata r:id="rId74" o:title=""/>
            </v:shape>
            <w10:wrap type="none"/>
          </v:group>
        </w:pict>
      </w:r>
      <w:r>
        <w:rPr>
          <w:rFonts w:ascii="Times New Roman" w:hAnsi="Times New Roman" w:cs="Times New Roman" w:eastAsia="Times New Roman" w:hint="default"/>
          <w:b/>
          <w:bCs/>
          <w:w w:val="95"/>
        </w:rPr>
        <w:t>2</w:t>
      </w:r>
      <w:r>
        <w:rPr>
          <w:rFonts w:ascii="宋体" w:hAnsi="宋体" w:cs="宋体" w:eastAsia="宋体" w:hint="default"/>
          <w:b/>
          <w:bCs/>
          <w:w w:val="95"/>
        </w:rPr>
        <w:t>、</w:t>
        <w:tab/>
      </w:r>
      <w:r>
        <w:rPr>
          <w:rFonts w:ascii="宋体" w:hAnsi="宋体" w:cs="宋体" w:eastAsia="宋体" w:hint="default"/>
          <w:b/>
          <w:bCs/>
        </w:rPr>
        <w:t>各类固定资产的折旧方法</w:t>
      </w:r>
      <w:r>
        <w:rPr>
          <w:rFonts w:ascii="宋体" w:hAnsi="宋体" w:cs="宋体" w:eastAsia="宋体" w:hint="default"/>
          <w:b/>
          <w:bCs/>
          <w:w w:val="99"/>
        </w:rPr>
        <w:t> </w:t>
      </w:r>
      <w:r>
        <w:rPr/>
        <w:t>固定资产折旧采用年限平均法分类计提，根据固定资产类别、预计使用寿命和预计 净残值率确定折旧率。 融资租赁方式租入的固定资产，能合理确定租赁期届满时将会取得租赁资产所有权 的，在租赁资产尚可使用年限内计提折旧；无法合理确定租赁期届满时能够取得租 </w:t>
      </w:r>
      <w:r>
        <w:rPr>
          <w:spacing w:val="-3"/>
        </w:rPr>
        <w:t>赁资产所有权的，在租赁期与租赁资产尚可使用年限两者中较短的期间内计提折旧。</w:t>
      </w:r>
      <w:r>
        <w:rPr/>
        <w:t> 各类固定资产折旧年限和年折旧率如下：</w:t>
      </w:r>
    </w:p>
    <w:p>
      <w:pPr>
        <w:spacing w:line="240" w:lineRule="auto" w:before="9"/>
        <w:rPr>
          <w:rFonts w:ascii="宋体" w:hAnsi="宋体" w:cs="宋体" w:eastAsia="宋体" w:hint="default"/>
          <w:sz w:val="25"/>
          <w:szCs w:val="25"/>
        </w:rPr>
      </w:pPr>
    </w:p>
    <w:tbl>
      <w:tblPr>
        <w:tblW w:w="0" w:type="auto"/>
        <w:jc w:val="left"/>
        <w:tblInd w:w="1400" w:type="dxa"/>
        <w:tblLayout w:type="fixed"/>
        <w:tblCellMar>
          <w:top w:w="0" w:type="dxa"/>
          <w:left w:w="0" w:type="dxa"/>
          <w:bottom w:w="0" w:type="dxa"/>
          <w:right w:w="0" w:type="dxa"/>
        </w:tblCellMar>
        <w:tblLook w:val="01E0"/>
      </w:tblPr>
      <w:tblGrid>
        <w:gridCol w:w="2174"/>
        <w:gridCol w:w="2209"/>
        <w:gridCol w:w="1434"/>
        <w:gridCol w:w="1704"/>
      </w:tblGrid>
      <w:tr>
        <w:trPr>
          <w:trHeight w:val="415" w:hRule="exact"/>
        </w:trPr>
        <w:tc>
          <w:tcPr>
            <w:tcW w:w="2174" w:type="dxa"/>
            <w:tcBorders>
              <w:top w:val="single" w:sz="12" w:space="0" w:color="000000"/>
              <w:left w:val="nil" w:sz="6" w:space="0" w:color="auto"/>
              <w:bottom w:val="nil" w:sz="6" w:space="0" w:color="auto"/>
              <w:right w:val="nil" w:sz="6" w:space="0" w:color="auto"/>
            </w:tcBorders>
          </w:tcPr>
          <w:p>
            <w:pPr>
              <w:pStyle w:val="TableParagraph"/>
              <w:spacing w:line="240" w:lineRule="auto" w:before="24"/>
              <w:ind w:left="1139" w:right="0"/>
              <w:jc w:val="left"/>
              <w:rPr>
                <w:rFonts w:ascii="宋体" w:hAnsi="宋体" w:cs="宋体" w:eastAsia="宋体" w:hint="default"/>
                <w:sz w:val="21"/>
                <w:szCs w:val="21"/>
              </w:rPr>
            </w:pPr>
            <w:r>
              <w:rPr>
                <w:rFonts w:ascii="宋体" w:hAnsi="宋体" w:cs="宋体" w:eastAsia="宋体" w:hint="default"/>
                <w:sz w:val="21"/>
                <w:szCs w:val="21"/>
              </w:rPr>
              <w:t>类别</w:t>
            </w:r>
          </w:p>
        </w:tc>
        <w:tc>
          <w:tcPr>
            <w:tcW w:w="2209" w:type="dxa"/>
            <w:tcBorders>
              <w:top w:val="single" w:sz="12" w:space="0" w:color="000000"/>
              <w:left w:val="nil" w:sz="6" w:space="0" w:color="auto"/>
              <w:bottom w:val="nil" w:sz="6" w:space="0" w:color="auto"/>
              <w:right w:val="nil" w:sz="6" w:space="0" w:color="auto"/>
            </w:tcBorders>
          </w:tcPr>
          <w:p>
            <w:pPr>
              <w:pStyle w:val="TableParagraph"/>
              <w:spacing w:line="240" w:lineRule="auto" w:before="24"/>
              <w:ind w:right="137"/>
              <w:jc w:val="right"/>
              <w:rPr>
                <w:rFonts w:ascii="宋体" w:hAnsi="宋体" w:cs="宋体" w:eastAsia="宋体" w:hint="default"/>
                <w:sz w:val="21"/>
                <w:szCs w:val="21"/>
              </w:rPr>
            </w:pPr>
            <w:r>
              <w:rPr>
                <w:rFonts w:ascii="宋体" w:hAnsi="宋体" w:cs="宋体" w:eastAsia="宋体" w:hint="default"/>
                <w:sz w:val="21"/>
                <w:szCs w:val="21"/>
              </w:rPr>
              <w:t>折旧年限（年）</w:t>
            </w:r>
          </w:p>
        </w:tc>
        <w:tc>
          <w:tcPr>
            <w:tcW w:w="1434" w:type="dxa"/>
            <w:tcBorders>
              <w:top w:val="single" w:sz="12" w:space="0" w:color="000000"/>
              <w:left w:val="nil" w:sz="6" w:space="0" w:color="auto"/>
              <w:bottom w:val="nil" w:sz="6" w:space="0" w:color="auto"/>
              <w:right w:val="nil" w:sz="6" w:space="0" w:color="auto"/>
            </w:tcBorders>
          </w:tcPr>
          <w:p>
            <w:pPr>
              <w:pStyle w:val="TableParagraph"/>
              <w:spacing w:line="240" w:lineRule="auto" w:before="24"/>
              <w:ind w:right="132"/>
              <w:jc w:val="right"/>
              <w:rPr>
                <w:rFonts w:ascii="宋体" w:hAnsi="宋体" w:cs="宋体" w:eastAsia="宋体" w:hint="default"/>
                <w:sz w:val="21"/>
                <w:szCs w:val="21"/>
              </w:rPr>
            </w:pPr>
            <w:r>
              <w:rPr>
                <w:rFonts w:ascii="宋体" w:hAnsi="宋体" w:cs="宋体" w:eastAsia="宋体" w:hint="default"/>
                <w:sz w:val="21"/>
                <w:szCs w:val="21"/>
              </w:rPr>
              <w:t>残值率（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704" w:type="dxa"/>
            <w:tcBorders>
              <w:top w:val="single" w:sz="12" w:space="0" w:color="000000"/>
              <w:left w:val="nil" w:sz="6" w:space="0" w:color="auto"/>
              <w:bottom w:val="nil" w:sz="6" w:space="0" w:color="auto"/>
              <w:right w:val="nil" w:sz="6" w:space="0" w:color="auto"/>
            </w:tcBorders>
          </w:tcPr>
          <w:p>
            <w:pPr>
              <w:pStyle w:val="TableParagraph"/>
              <w:spacing w:line="240" w:lineRule="auto" w:before="24"/>
              <w:ind w:left="93" w:right="0"/>
              <w:jc w:val="left"/>
              <w:rPr>
                <w:rFonts w:ascii="宋体" w:hAnsi="宋体" w:cs="宋体" w:eastAsia="宋体" w:hint="default"/>
                <w:sz w:val="21"/>
                <w:szCs w:val="21"/>
              </w:rPr>
            </w:pPr>
            <w:r>
              <w:rPr>
                <w:rFonts w:ascii="宋体" w:hAnsi="宋体" w:cs="宋体" w:eastAsia="宋体" w:hint="default"/>
                <w:sz w:val="21"/>
                <w:szCs w:val="21"/>
              </w:rPr>
              <w:t>年折旧率（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399"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5"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73"/>
              <w:jc w:val="right"/>
              <w:rPr>
                <w:rFonts w:ascii="Times New Roman" w:hAnsi="Times New Roman" w:cs="Times New Roman" w:eastAsia="Times New Roman" w:hint="default"/>
                <w:sz w:val="21"/>
                <w:szCs w:val="21"/>
              </w:rPr>
            </w:pPr>
            <w:r>
              <w:rPr>
                <w:rFonts w:ascii="Times New Roman"/>
                <w:spacing w:val="-1"/>
                <w:sz w:val="21"/>
              </w:rPr>
              <w:t>43.75</w:t>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93"/>
              <w:jc w:val="right"/>
              <w:rPr>
                <w:rFonts w:ascii="Times New Roman" w:hAnsi="Times New Roman" w:cs="Times New Roman" w:eastAsia="Times New Roman" w:hint="default"/>
                <w:sz w:val="21"/>
                <w:szCs w:val="21"/>
              </w:rPr>
            </w:pPr>
            <w:r>
              <w:rPr>
                <w:rFonts w:ascii="Times New Roman"/>
                <w:sz w:val="21"/>
              </w:rPr>
              <w:t>5</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94"/>
              <w:jc w:val="right"/>
              <w:rPr>
                <w:rFonts w:ascii="Times New Roman" w:hAnsi="Times New Roman" w:cs="Times New Roman" w:eastAsia="Times New Roman" w:hint="default"/>
                <w:sz w:val="21"/>
                <w:szCs w:val="21"/>
              </w:rPr>
            </w:pPr>
            <w:r>
              <w:rPr>
                <w:rFonts w:ascii="Times New Roman"/>
                <w:spacing w:val="-1"/>
                <w:sz w:val="21"/>
              </w:rPr>
              <w:t>2.17</w:t>
            </w:r>
          </w:p>
        </w:tc>
      </w:tr>
      <w:tr>
        <w:trPr>
          <w:trHeight w:val="400"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05" w:right="0"/>
              <w:jc w:val="left"/>
              <w:rPr>
                <w:rFonts w:ascii="宋体" w:hAnsi="宋体" w:cs="宋体" w:eastAsia="宋体" w:hint="default"/>
                <w:sz w:val="21"/>
                <w:szCs w:val="21"/>
              </w:rPr>
            </w:pPr>
            <w:r>
              <w:rPr>
                <w:rFonts w:ascii="宋体" w:hAnsi="宋体" w:cs="宋体" w:eastAsia="宋体" w:hint="default"/>
                <w:sz w:val="21"/>
                <w:szCs w:val="21"/>
              </w:rPr>
              <w:t>办公及电子设备</w:t>
            </w: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73"/>
              <w:jc w:val="right"/>
              <w:rPr>
                <w:rFonts w:ascii="Times New Roman" w:hAnsi="Times New Roman" w:cs="Times New Roman" w:eastAsia="Times New Roman" w:hint="default"/>
                <w:sz w:val="21"/>
                <w:szCs w:val="21"/>
              </w:rPr>
            </w:pPr>
            <w:r>
              <w:rPr>
                <w:rFonts w:ascii="Times New Roman"/>
                <w:sz w:val="21"/>
              </w:rPr>
              <w:t>5</w:t>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91"/>
              <w:jc w:val="right"/>
              <w:rPr>
                <w:rFonts w:ascii="Times New Roman" w:hAnsi="Times New Roman" w:cs="Times New Roman" w:eastAsia="Times New Roman" w:hint="default"/>
                <w:sz w:val="21"/>
                <w:szCs w:val="21"/>
              </w:rPr>
            </w:pPr>
            <w:r>
              <w:rPr>
                <w:rFonts w:ascii="Times New Roman"/>
                <w:sz w:val="21"/>
              </w:rPr>
              <w:t>5</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94"/>
              <w:jc w:val="right"/>
              <w:rPr>
                <w:rFonts w:ascii="Times New Roman" w:hAnsi="Times New Roman" w:cs="Times New Roman" w:eastAsia="Times New Roman" w:hint="default"/>
                <w:sz w:val="21"/>
                <w:szCs w:val="21"/>
              </w:rPr>
            </w:pPr>
            <w:r>
              <w:rPr>
                <w:rFonts w:ascii="Times New Roman"/>
                <w:sz w:val="21"/>
              </w:rPr>
              <w:t>19</w:t>
            </w:r>
          </w:p>
        </w:tc>
      </w:tr>
      <w:tr>
        <w:trPr>
          <w:trHeight w:val="400"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05"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73"/>
              <w:jc w:val="right"/>
              <w:rPr>
                <w:rFonts w:ascii="Times New Roman" w:hAnsi="Times New Roman" w:cs="Times New Roman" w:eastAsia="Times New Roman" w:hint="default"/>
                <w:sz w:val="21"/>
                <w:szCs w:val="21"/>
              </w:rPr>
            </w:pPr>
            <w:r>
              <w:rPr>
                <w:rFonts w:ascii="Times New Roman"/>
                <w:sz w:val="21"/>
              </w:rPr>
              <w:t>5</w:t>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91"/>
              <w:jc w:val="right"/>
              <w:rPr>
                <w:rFonts w:ascii="Times New Roman" w:hAnsi="Times New Roman" w:cs="Times New Roman" w:eastAsia="Times New Roman" w:hint="default"/>
                <w:sz w:val="21"/>
                <w:szCs w:val="21"/>
              </w:rPr>
            </w:pPr>
            <w:r>
              <w:rPr>
                <w:rFonts w:ascii="Times New Roman"/>
                <w:sz w:val="21"/>
              </w:rPr>
              <w:t>5</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94"/>
              <w:jc w:val="right"/>
              <w:rPr>
                <w:rFonts w:ascii="Times New Roman" w:hAnsi="Times New Roman" w:cs="Times New Roman" w:eastAsia="Times New Roman" w:hint="default"/>
                <w:sz w:val="21"/>
                <w:szCs w:val="21"/>
              </w:rPr>
            </w:pPr>
            <w:r>
              <w:rPr>
                <w:rFonts w:ascii="Times New Roman"/>
                <w:sz w:val="21"/>
              </w:rPr>
              <w:t>19</w:t>
            </w:r>
          </w:p>
        </w:tc>
      </w:tr>
      <w:tr>
        <w:trPr>
          <w:trHeight w:val="406" w:hRule="exact"/>
        </w:trPr>
        <w:tc>
          <w:tcPr>
            <w:tcW w:w="2174" w:type="dxa"/>
            <w:tcBorders>
              <w:top w:val="nil" w:sz="6" w:space="0" w:color="auto"/>
              <w:left w:val="nil" w:sz="6" w:space="0" w:color="auto"/>
              <w:bottom w:val="single" w:sz="12" w:space="0" w:color="000000"/>
              <w:right w:val="nil" w:sz="6" w:space="0" w:color="auto"/>
            </w:tcBorders>
          </w:tcPr>
          <w:p>
            <w:pPr>
              <w:pStyle w:val="TableParagraph"/>
              <w:spacing w:line="240" w:lineRule="auto" w:before="25"/>
              <w:ind w:left="105" w:right="0"/>
              <w:jc w:val="left"/>
              <w:rPr>
                <w:rFonts w:ascii="宋体" w:hAnsi="宋体" w:cs="宋体" w:eastAsia="宋体" w:hint="default"/>
                <w:sz w:val="21"/>
                <w:szCs w:val="21"/>
              </w:rPr>
            </w:pPr>
            <w:r>
              <w:rPr>
                <w:rFonts w:ascii="宋体" w:hAnsi="宋体" w:cs="宋体" w:eastAsia="宋体" w:hint="default"/>
                <w:sz w:val="21"/>
                <w:szCs w:val="21"/>
              </w:rPr>
              <w:t>固定资产装修</w:t>
            </w:r>
          </w:p>
        </w:tc>
        <w:tc>
          <w:tcPr>
            <w:tcW w:w="2209" w:type="dxa"/>
            <w:tcBorders>
              <w:top w:val="nil" w:sz="6" w:space="0" w:color="auto"/>
              <w:left w:val="nil" w:sz="6" w:space="0" w:color="auto"/>
              <w:bottom w:val="single" w:sz="12" w:space="0" w:color="000000"/>
              <w:right w:val="nil" w:sz="6" w:space="0" w:color="auto"/>
            </w:tcBorders>
          </w:tcPr>
          <w:p>
            <w:pPr>
              <w:pStyle w:val="TableParagraph"/>
              <w:spacing w:line="240" w:lineRule="auto" w:before="73"/>
              <w:ind w:right="73"/>
              <w:jc w:val="right"/>
              <w:rPr>
                <w:rFonts w:ascii="Times New Roman" w:hAnsi="Times New Roman" w:cs="Times New Roman" w:eastAsia="Times New Roman" w:hint="default"/>
                <w:sz w:val="21"/>
                <w:szCs w:val="21"/>
              </w:rPr>
            </w:pPr>
            <w:r>
              <w:rPr>
                <w:rFonts w:ascii="Times New Roman"/>
                <w:sz w:val="21"/>
              </w:rPr>
              <w:t>5</w:t>
            </w:r>
          </w:p>
        </w:tc>
        <w:tc>
          <w:tcPr>
            <w:tcW w:w="1434" w:type="dxa"/>
            <w:tcBorders>
              <w:top w:val="nil" w:sz="6" w:space="0" w:color="auto"/>
              <w:left w:val="nil" w:sz="6" w:space="0" w:color="auto"/>
              <w:bottom w:val="single" w:sz="12" w:space="0" w:color="000000"/>
              <w:right w:val="nil" w:sz="6" w:space="0" w:color="auto"/>
            </w:tcBorders>
          </w:tcPr>
          <w:p>
            <w:pPr>
              <w:pStyle w:val="TableParagraph"/>
              <w:spacing w:line="240" w:lineRule="auto" w:before="73"/>
              <w:ind w:right="91"/>
              <w:jc w:val="right"/>
              <w:rPr>
                <w:rFonts w:ascii="Times New Roman" w:hAnsi="Times New Roman" w:cs="Times New Roman" w:eastAsia="Times New Roman" w:hint="default"/>
                <w:sz w:val="21"/>
                <w:szCs w:val="21"/>
              </w:rPr>
            </w:pPr>
            <w:r>
              <w:rPr>
                <w:rFonts w:ascii="Times New Roman"/>
                <w:sz w:val="21"/>
              </w:rPr>
              <w:t>0</w:t>
            </w:r>
          </w:p>
        </w:tc>
        <w:tc>
          <w:tcPr>
            <w:tcW w:w="1704" w:type="dxa"/>
            <w:tcBorders>
              <w:top w:val="nil" w:sz="6" w:space="0" w:color="auto"/>
              <w:left w:val="nil" w:sz="6" w:space="0" w:color="auto"/>
              <w:bottom w:val="single" w:sz="12" w:space="0" w:color="000000"/>
              <w:right w:val="nil" w:sz="6" w:space="0" w:color="auto"/>
            </w:tcBorders>
          </w:tcPr>
          <w:p>
            <w:pPr>
              <w:pStyle w:val="TableParagraph"/>
              <w:spacing w:line="240" w:lineRule="auto" w:before="73"/>
              <w:ind w:right="94"/>
              <w:jc w:val="right"/>
              <w:rPr>
                <w:rFonts w:ascii="Times New Roman" w:hAnsi="Times New Roman" w:cs="Times New Roman" w:eastAsia="Times New Roman" w:hint="default"/>
                <w:sz w:val="21"/>
                <w:szCs w:val="21"/>
              </w:rPr>
            </w:pPr>
            <w:r>
              <w:rPr>
                <w:rFonts w:ascii="Times New Roman"/>
                <w:sz w:val="21"/>
              </w:rPr>
              <w:t>20</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pStyle w:val="BodyText"/>
        <w:tabs>
          <w:tab w:pos="1396" w:val="left" w:leader="none"/>
        </w:tabs>
        <w:spacing w:line="345" w:lineRule="auto" w:before="35"/>
        <w:ind w:left="1400" w:right="205" w:hanging="543"/>
        <w:jc w:val="left"/>
      </w:pPr>
      <w:r>
        <w:rPr>
          <w:rFonts w:ascii="Times New Roman" w:hAnsi="Times New Roman" w:cs="Times New Roman" w:eastAsia="Times New Roman" w:hint="default"/>
          <w:b/>
          <w:bCs/>
          <w:w w:val="95"/>
        </w:rPr>
        <w:t>3</w:t>
      </w:r>
      <w:r>
        <w:rPr>
          <w:rFonts w:ascii="宋体" w:hAnsi="宋体" w:cs="宋体" w:eastAsia="宋体" w:hint="default"/>
          <w:b/>
          <w:bCs/>
          <w:w w:val="95"/>
        </w:rPr>
        <w:t>、</w:t>
        <w:tab/>
      </w:r>
      <w:r>
        <w:rPr>
          <w:rFonts w:ascii="宋体" w:hAnsi="宋体" w:cs="宋体" w:eastAsia="宋体" w:hint="default"/>
          <w:b/>
          <w:bCs/>
        </w:rPr>
        <w:t>固定资产的减值测试方法、减值准备计提方法</w:t>
      </w:r>
      <w:r>
        <w:rPr>
          <w:rFonts w:ascii="宋体" w:hAnsi="宋体" w:cs="宋体" w:eastAsia="宋体" w:hint="default"/>
          <w:b/>
          <w:bCs/>
          <w:w w:val="99"/>
        </w:rPr>
        <w:t> </w:t>
      </w:r>
      <w:r>
        <w:rPr/>
        <w:t>公司在每期末判断固定资产是否存在可能发生减值的迹象。 固定资产存在减值迹象的，估计其可收回金额。可收回金额根据固定资产的公允价 </w:t>
      </w:r>
      <w:r>
        <w:rPr>
          <w:spacing w:val="6"/>
        </w:rPr>
        <w:t>值减去处置费用后的净额与固定资产预计未来现金流量的现值两者之间较高者确</w:t>
      </w:r>
      <w:r>
        <w:rPr>
          <w:spacing w:val="6"/>
        </w:rPr>
        <w:t> </w:t>
      </w:r>
      <w:r>
        <w:rPr/>
        <w:t>定。</w:t>
      </w:r>
      <w:r>
        <w:rPr/>
        <w:t> 当固定资产的可收回金额低于其账面价值的，将固定资产的账面价值减记至可收回 金额，减记的金额确认为固定资产减值损失，计入当期损益，同时计提相应的固定</w:t>
      </w:r>
    </w:p>
    <w:p>
      <w:pPr>
        <w:spacing w:after="0" w:line="345" w:lineRule="auto"/>
        <w:jc w:val="left"/>
        <w:sectPr>
          <w:pgSz w:w="11910" w:h="16840"/>
          <w:pgMar w:header="851" w:footer="982" w:top="1360" w:bottom="1180" w:left="1660" w:right="1060"/>
        </w:sectPr>
      </w:pPr>
    </w:p>
    <w:p>
      <w:pPr>
        <w:spacing w:line="240" w:lineRule="auto" w:before="6"/>
        <w:rPr>
          <w:rFonts w:ascii="宋体" w:hAnsi="宋体" w:cs="宋体" w:eastAsia="宋体" w:hint="default"/>
          <w:sz w:val="10"/>
          <w:szCs w:val="10"/>
        </w:rPr>
      </w:pPr>
    </w:p>
    <w:p>
      <w:pPr>
        <w:pStyle w:val="BodyText"/>
        <w:spacing w:line="350" w:lineRule="auto" w:before="35"/>
        <w:ind w:left="1400" w:right="204"/>
        <w:jc w:val="left"/>
      </w:pPr>
      <w:r>
        <w:rPr/>
        <w:t>资产减值准备。 固定资产减值损失确认后，减值固定资产的折旧在未来期间作相应调整，以使该固</w:t>
      </w:r>
      <w:r>
        <w:rPr>
          <w:spacing w:val="-97"/>
        </w:rPr>
        <w:t> </w:t>
      </w:r>
      <w:r>
        <w:rPr>
          <w:spacing w:val="-97"/>
        </w:rPr>
      </w:r>
      <w:r>
        <w:rPr/>
        <w:t>定资产在剩余使用寿命内，系统地分摊调整后的固定资产账面价值（扣除预计净残</w:t>
      </w:r>
      <w:r>
        <w:rPr>
          <w:spacing w:val="-97"/>
        </w:rPr>
        <w:t> </w:t>
      </w:r>
      <w:r>
        <w:rPr>
          <w:spacing w:val="-97"/>
        </w:rPr>
      </w:r>
      <w:r>
        <w:rPr>
          <w:spacing w:val="-35"/>
        </w:rPr>
        <w:t>值）。</w:t>
      </w:r>
    </w:p>
    <w:p>
      <w:pPr>
        <w:pStyle w:val="BodyText"/>
        <w:spacing w:line="350" w:lineRule="auto" w:before="28"/>
        <w:ind w:left="1400" w:right="204"/>
        <w:jc w:val="left"/>
      </w:pPr>
      <w:r>
        <w:rPr/>
        <w:t>固定资产的减值损失一经确认，在以后会计期间不再转回。 有迹象表明一项固定资产可能发生减值的，企业以单项固定资产为基础估计其可收</w:t>
      </w:r>
      <w:r>
        <w:rPr>
          <w:spacing w:val="-97"/>
        </w:rPr>
        <w:t> </w:t>
      </w:r>
      <w:r>
        <w:rPr>
          <w:spacing w:val="-97"/>
        </w:rPr>
      </w:r>
      <w:r>
        <w:rPr/>
        <w:t>回金额。企业难以对单项固定资产的可收回金额进行估计的，以该固定资产所属的</w:t>
      </w:r>
      <w:r>
        <w:rPr>
          <w:spacing w:val="-97"/>
        </w:rPr>
        <w:t> </w:t>
      </w:r>
      <w:r>
        <w:rPr>
          <w:spacing w:val="-97"/>
        </w:rPr>
      </w:r>
      <w:r>
        <w:rPr/>
        <w:t>资产组为基础确定资产组的可收回金额。</w:t>
      </w:r>
    </w:p>
    <w:p>
      <w:pPr>
        <w:spacing w:line="240" w:lineRule="auto" w:before="0"/>
        <w:rPr>
          <w:rFonts w:ascii="宋体" w:hAnsi="宋体" w:cs="宋体" w:eastAsia="宋体" w:hint="default"/>
          <w:sz w:val="20"/>
          <w:szCs w:val="20"/>
        </w:rPr>
      </w:pPr>
    </w:p>
    <w:p>
      <w:pPr>
        <w:tabs>
          <w:tab w:pos="1396" w:val="left" w:leader="none"/>
        </w:tabs>
        <w:spacing w:line="340" w:lineRule="auto" w:before="167"/>
        <w:ind w:left="1400" w:right="211"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融资租入固定资产的认定依据、计价方法</w:t>
      </w:r>
      <w:r>
        <w:rPr>
          <w:rFonts w:ascii="宋体" w:hAnsi="宋体" w:cs="宋体" w:eastAsia="宋体" w:hint="default"/>
          <w:b/>
          <w:bCs/>
          <w:spacing w:val="1"/>
          <w:w w:val="99"/>
          <w:sz w:val="21"/>
          <w:szCs w:val="21"/>
        </w:rPr>
        <w:t> </w:t>
      </w:r>
      <w:r>
        <w:rPr>
          <w:rFonts w:ascii="宋体" w:hAnsi="宋体" w:cs="宋体" w:eastAsia="宋体" w:hint="default"/>
          <w:sz w:val="21"/>
          <w:szCs w:val="21"/>
        </w:rPr>
        <w:t>公司与租赁方所签订的租赁协议条款中规定了下列条件之一的，确认为融资租入资 产：</w:t>
      </w:r>
    </w:p>
    <w:p>
      <w:pPr>
        <w:pStyle w:val="BodyText"/>
        <w:spacing w:line="240" w:lineRule="auto" w:before="36"/>
        <w:ind w:left="1400" w:right="312"/>
        <w:jc w:val="left"/>
      </w:pPr>
      <w:r>
        <w:rPr/>
        <w:t>（</w:t>
      </w:r>
      <w:r>
        <w:rPr>
          <w:rFonts w:ascii="Times New Roman" w:hAnsi="Times New Roman" w:cs="Times New Roman" w:eastAsia="Times New Roman" w:hint="default"/>
        </w:rPr>
        <w:t>1</w:t>
      </w:r>
      <w:r>
        <w:rPr/>
        <w:t>）租赁期满后租赁资产的所有权归属于本公司；</w:t>
      </w:r>
    </w:p>
    <w:p>
      <w:pPr>
        <w:pStyle w:val="BodyText"/>
        <w:spacing w:line="240" w:lineRule="auto" w:before="109"/>
        <w:ind w:left="1400" w:right="0"/>
        <w:jc w:val="left"/>
      </w:pPr>
      <w:r>
        <w:rPr/>
        <w:t>（</w:t>
      </w:r>
      <w:r>
        <w:rPr>
          <w:rFonts w:ascii="Times New Roman" w:hAnsi="Times New Roman" w:cs="Times New Roman" w:eastAsia="Times New Roman" w:hint="default"/>
        </w:rPr>
        <w:t>2</w:t>
      </w:r>
      <w:r>
        <w:rPr>
          <w:spacing w:val="-99"/>
        </w:rPr>
        <w:t>）</w:t>
      </w:r>
      <w:r>
        <w:rPr/>
        <w:t>公司</w:t>
      </w:r>
      <w:r>
        <w:rPr>
          <w:spacing w:val="-2"/>
        </w:rPr>
        <w:t>具</w:t>
      </w:r>
      <w:r>
        <w:rPr/>
        <w:t>有购买资产的选择权</w:t>
      </w:r>
      <w:r>
        <w:rPr>
          <w:spacing w:val="-99"/>
        </w:rPr>
        <w:t>，</w:t>
      </w:r>
      <w:r>
        <w:rPr>
          <w:spacing w:val="-2"/>
        </w:rPr>
        <w:t>购</w:t>
      </w:r>
      <w:r>
        <w:rPr/>
        <w:t>买价款远低于行使选择权时该资产的公允价值；</w:t>
      </w:r>
    </w:p>
    <w:p>
      <w:pPr>
        <w:pStyle w:val="BodyText"/>
        <w:spacing w:line="240" w:lineRule="auto" w:before="110"/>
        <w:ind w:left="1400" w:right="312"/>
        <w:jc w:val="left"/>
      </w:pPr>
      <w:r>
        <w:rPr/>
        <w:t>（</w:t>
      </w:r>
      <w:r>
        <w:rPr>
          <w:rFonts w:ascii="Times New Roman" w:hAnsi="Times New Roman" w:cs="Times New Roman" w:eastAsia="Times New Roman" w:hint="default"/>
        </w:rPr>
        <w:t>3</w:t>
      </w:r>
      <w:r>
        <w:rPr/>
        <w:t>）租赁期占所租赁资产使用寿命的大部分；</w:t>
      </w:r>
    </w:p>
    <w:p>
      <w:pPr>
        <w:pStyle w:val="BodyText"/>
        <w:spacing w:line="343" w:lineRule="auto" w:before="109"/>
        <w:ind w:left="1400" w:right="99"/>
        <w:jc w:val="left"/>
      </w:pPr>
      <w:r>
        <w:rPr/>
        <w:t>（</w:t>
      </w:r>
      <w:r>
        <w:rPr>
          <w:rFonts w:ascii="Times New Roman" w:hAnsi="Times New Roman" w:cs="Times New Roman" w:eastAsia="Times New Roman" w:hint="default"/>
        </w:rPr>
        <w:t>4</w:t>
      </w:r>
      <w:r>
        <w:rPr/>
        <w:t>）租赁开始日的最低租赁付款额现值，与该资产的公允价值不存在较大的差异。 公司在承租开始日，将租赁资产公允价值与最低租赁付款额现值两者中较低者作为</w:t>
      </w:r>
      <w:r>
        <w:rPr>
          <w:spacing w:val="-97"/>
        </w:rPr>
        <w:t> </w:t>
      </w:r>
      <w:r>
        <w:rPr>
          <w:spacing w:val="-97"/>
        </w:rPr>
      </w:r>
      <w:r>
        <w:rPr/>
        <w:t>租入资产的入账价值，将最低租赁付款额作为长期应付款的入账价值，其差额作为</w:t>
      </w:r>
      <w:r>
        <w:rPr>
          <w:spacing w:val="-97"/>
        </w:rPr>
        <w:t> </w:t>
      </w:r>
      <w:r>
        <w:rPr>
          <w:spacing w:val="-97"/>
        </w:rPr>
      </w:r>
      <w:r>
        <w:rPr/>
        <w:t>未确认的融资费</w:t>
      </w:r>
    </w:p>
    <w:p>
      <w:pPr>
        <w:spacing w:line="240" w:lineRule="auto" w:before="0"/>
        <w:rPr>
          <w:rFonts w:ascii="宋体" w:hAnsi="宋体" w:cs="宋体" w:eastAsia="宋体" w:hint="default"/>
          <w:sz w:val="20"/>
          <w:szCs w:val="20"/>
        </w:rPr>
      </w:pPr>
    </w:p>
    <w:p>
      <w:pPr>
        <w:pStyle w:val="Heading2"/>
        <w:spacing w:line="240" w:lineRule="auto" w:before="173"/>
        <w:ind w:right="312"/>
        <w:jc w:val="left"/>
        <w:rPr>
          <w:b w:val="0"/>
          <w:bCs w:val="0"/>
        </w:rPr>
      </w:pPr>
      <w:r>
        <w:rPr>
          <w:rFonts w:ascii="Times New Roman" w:hAnsi="Times New Roman" w:cs="Times New Roman" w:eastAsia="Times New Roman" w:hint="default"/>
        </w:rPr>
        <w:t>(</w:t>
      </w:r>
      <w:r>
        <w:rPr/>
        <w:t>十五</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t>在建工程</w:t>
      </w:r>
      <w:r>
        <w:rPr>
          <w:b w:val="0"/>
          <w:bCs w:val="0"/>
        </w:rPr>
      </w:r>
    </w:p>
    <w:p>
      <w:pPr>
        <w:tabs>
          <w:tab w:pos="1396" w:val="left" w:leader="none"/>
        </w:tabs>
        <w:spacing w:line="328" w:lineRule="auto" w:before="109"/>
        <w:ind w:left="1400" w:right="4842"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在建工程的类别</w:t>
      </w:r>
      <w:r>
        <w:rPr>
          <w:rFonts w:ascii="宋体" w:hAnsi="宋体" w:cs="宋体" w:eastAsia="宋体" w:hint="default"/>
          <w:b/>
          <w:bCs/>
          <w:w w:val="99"/>
          <w:sz w:val="21"/>
          <w:szCs w:val="21"/>
        </w:rPr>
        <w:t> </w:t>
      </w:r>
      <w:r>
        <w:rPr>
          <w:rFonts w:ascii="宋体" w:hAnsi="宋体" w:cs="宋体" w:eastAsia="宋体" w:hint="default"/>
          <w:sz w:val="21"/>
          <w:szCs w:val="21"/>
        </w:rPr>
        <w:t>在建工程以立项项目分类核算。</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BodyText"/>
        <w:tabs>
          <w:tab w:pos="1396" w:val="left" w:leader="none"/>
        </w:tabs>
        <w:spacing w:line="345" w:lineRule="auto"/>
        <w:ind w:left="1400" w:right="211" w:hanging="543"/>
        <w:jc w:val="left"/>
      </w:pPr>
      <w:r>
        <w:rPr>
          <w:rFonts w:ascii="Times New Roman" w:hAnsi="Times New Roman" w:cs="Times New Roman" w:eastAsia="Times New Roman" w:hint="default"/>
          <w:b/>
          <w:bCs/>
          <w:w w:val="95"/>
        </w:rPr>
        <w:t>2</w:t>
      </w:r>
      <w:r>
        <w:rPr>
          <w:rFonts w:ascii="宋体" w:hAnsi="宋体" w:cs="宋体" w:eastAsia="宋体" w:hint="default"/>
          <w:b/>
          <w:bCs/>
          <w:w w:val="95"/>
        </w:rPr>
        <w:t>、</w:t>
        <w:tab/>
      </w:r>
      <w:r>
        <w:rPr>
          <w:rFonts w:ascii="宋体" w:hAnsi="宋体" w:cs="宋体" w:eastAsia="宋体" w:hint="default"/>
          <w:b/>
          <w:bCs/>
        </w:rPr>
        <w:t>在建工程结转为固定资产的标准和时点</w:t>
      </w:r>
      <w:r>
        <w:rPr>
          <w:rFonts w:ascii="宋体" w:hAnsi="宋体" w:cs="宋体" w:eastAsia="宋体" w:hint="default"/>
          <w:b/>
          <w:bCs/>
          <w:spacing w:val="1"/>
          <w:w w:val="99"/>
        </w:rPr>
        <w:t> </w:t>
      </w:r>
      <w:r>
        <w:rPr/>
        <w:t>在建工程项目按建造该项资产达到预定可使用状态前所发生的全部支出，作为固定 资产的入账价值。所建造的固定资产在建工程已达到预定可使用状态，但尚未办理 竣工决算的，自达到预定可使用状态之日起，根据工程预算、造价或者工程实际成 本等，按估计的价值转入固定资产，并按本公司固定资产折旧政策计提固定资产的 折旧，待办理竣工决算后，再按实际成本调整原来的暂估价值，但不调整原已计提 的折旧额。</w:t>
      </w:r>
    </w:p>
    <w:p>
      <w:pPr>
        <w:spacing w:line="240" w:lineRule="auto" w:before="0"/>
        <w:rPr>
          <w:rFonts w:ascii="宋体" w:hAnsi="宋体" w:cs="宋体" w:eastAsia="宋体" w:hint="default"/>
          <w:sz w:val="20"/>
          <w:szCs w:val="20"/>
        </w:rPr>
      </w:pPr>
    </w:p>
    <w:p>
      <w:pPr>
        <w:tabs>
          <w:tab w:pos="1396" w:val="left" w:leader="none"/>
        </w:tabs>
        <w:spacing w:line="328" w:lineRule="auto" w:before="171"/>
        <w:ind w:left="1400" w:right="2322"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在建工程的减值测试方法、减值准备计提方法</w:t>
      </w:r>
      <w:r>
        <w:rPr>
          <w:rFonts w:ascii="宋体" w:hAnsi="宋体" w:cs="宋体" w:eastAsia="宋体" w:hint="default"/>
          <w:b/>
          <w:bCs/>
          <w:w w:val="99"/>
          <w:sz w:val="21"/>
          <w:szCs w:val="21"/>
        </w:rPr>
        <w:t> </w:t>
      </w:r>
      <w:r>
        <w:rPr>
          <w:rFonts w:ascii="宋体" w:hAnsi="宋体" w:cs="宋体" w:eastAsia="宋体" w:hint="default"/>
          <w:sz w:val="21"/>
          <w:szCs w:val="21"/>
        </w:rPr>
        <w:t>公司在每期末判断在建工程是否存在可能发生减值的迹象。</w:t>
      </w:r>
    </w:p>
    <w:p>
      <w:pPr>
        <w:spacing w:after="0" w:line="328" w:lineRule="auto"/>
        <w:jc w:val="left"/>
        <w:rPr>
          <w:rFonts w:ascii="宋体" w:hAnsi="宋体" w:cs="宋体" w:eastAsia="宋体" w:hint="default"/>
          <w:sz w:val="21"/>
          <w:szCs w:val="21"/>
        </w:rPr>
        <w:sectPr>
          <w:pgSz w:w="11910" w:h="16840"/>
          <w:pgMar w:header="851" w:footer="982" w:top="1360" w:bottom="1180" w:left="1660" w:right="1060"/>
        </w:sectPr>
      </w:pPr>
    </w:p>
    <w:p>
      <w:pPr>
        <w:spacing w:line="240" w:lineRule="auto" w:before="6"/>
        <w:rPr>
          <w:rFonts w:ascii="宋体" w:hAnsi="宋体" w:cs="宋体" w:eastAsia="宋体" w:hint="default"/>
          <w:sz w:val="10"/>
          <w:szCs w:val="10"/>
        </w:rPr>
      </w:pPr>
    </w:p>
    <w:p>
      <w:pPr>
        <w:pStyle w:val="BodyText"/>
        <w:spacing w:line="350" w:lineRule="auto" w:before="35"/>
        <w:ind w:left="1400" w:right="204"/>
        <w:jc w:val="left"/>
      </w:pPr>
      <w:r>
        <w:rPr/>
        <w:t>在建工程存在减值迹象的，估计其可收回金额。可收回金额根据在建工程的公允价</w:t>
      </w:r>
      <w:r>
        <w:rPr>
          <w:spacing w:val="-97"/>
        </w:rPr>
        <w:t> </w:t>
      </w:r>
      <w:r>
        <w:rPr>
          <w:spacing w:val="-97"/>
        </w:rPr>
      </w:r>
      <w:r>
        <w:rPr>
          <w:spacing w:val="6"/>
        </w:rPr>
        <w:t>值减去处置费用后的净额与在建工程预计未来现金流量的现值两者之间较高者确</w:t>
      </w:r>
      <w:r>
        <w:rPr>
          <w:spacing w:val="-93"/>
        </w:rPr>
        <w:t> </w:t>
      </w:r>
      <w:r>
        <w:rPr>
          <w:spacing w:val="-93"/>
        </w:rPr>
      </w:r>
      <w:r>
        <w:rPr/>
        <w:t>定。</w:t>
      </w:r>
      <w:r>
        <w:rPr/>
        <w:t> 当在建工程的可收回金额低于其账面价值的，将在建工程的账面价值减记至可收回</w:t>
      </w:r>
      <w:r>
        <w:rPr>
          <w:spacing w:val="-97"/>
        </w:rPr>
        <w:t> </w:t>
      </w:r>
      <w:r>
        <w:rPr>
          <w:spacing w:val="-97"/>
        </w:rPr>
      </w:r>
      <w:r>
        <w:rPr/>
        <w:t>金额，减记的金额确认为在建工程减值损失，计入当期损益，同时计提相应的在建</w:t>
      </w:r>
      <w:r>
        <w:rPr>
          <w:spacing w:val="-97"/>
        </w:rPr>
        <w:t> </w:t>
      </w:r>
      <w:r>
        <w:rPr>
          <w:spacing w:val="-97"/>
        </w:rPr>
      </w:r>
      <w:r>
        <w:rPr/>
        <w:t>工程减值准备。</w:t>
      </w:r>
    </w:p>
    <w:p>
      <w:pPr>
        <w:pStyle w:val="BodyText"/>
        <w:spacing w:line="240" w:lineRule="auto" w:before="28"/>
        <w:ind w:left="1400" w:right="312"/>
        <w:jc w:val="left"/>
      </w:pPr>
      <w:r>
        <w:rPr/>
        <w:t>在建工程的减值损失一经确认，在以后会计期间不再转回。</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BodyText"/>
        <w:spacing w:line="348" w:lineRule="auto"/>
        <w:ind w:left="1400" w:right="211"/>
        <w:jc w:val="both"/>
      </w:pPr>
      <w:r>
        <w:rPr/>
        <w:t>有迹象表明一项在建工程可能发生减值的，企业以单项在建工程为基础估计其可收</w:t>
      </w:r>
      <w:r>
        <w:rPr>
          <w:spacing w:val="-97"/>
        </w:rPr>
        <w:t> </w:t>
      </w:r>
      <w:r>
        <w:rPr>
          <w:spacing w:val="-97"/>
        </w:rPr>
      </w:r>
      <w:r>
        <w:rPr/>
        <w:t>回金额。企业难以对单项在建工程的可收回金额进行估计的，以该在建工程所属的</w:t>
      </w:r>
      <w:r>
        <w:rPr>
          <w:spacing w:val="-97"/>
        </w:rPr>
        <w:t> </w:t>
      </w:r>
      <w:r>
        <w:rPr>
          <w:spacing w:val="-97"/>
        </w:rPr>
      </w:r>
      <w:r>
        <w:rPr/>
        <w:t>资产组为基础确定资产组的可收回金额。</w:t>
      </w:r>
    </w:p>
    <w:p>
      <w:pPr>
        <w:spacing w:line="240" w:lineRule="auto" w:before="0"/>
        <w:rPr>
          <w:rFonts w:ascii="宋体" w:hAnsi="宋体" w:cs="宋体" w:eastAsia="宋体" w:hint="default"/>
          <w:sz w:val="20"/>
          <w:szCs w:val="20"/>
        </w:rPr>
      </w:pPr>
    </w:p>
    <w:p>
      <w:pPr>
        <w:pStyle w:val="Heading2"/>
        <w:spacing w:line="240" w:lineRule="auto" w:before="169"/>
        <w:ind w:right="312"/>
        <w:jc w:val="left"/>
        <w:rPr>
          <w:b w:val="0"/>
          <w:bCs w:val="0"/>
        </w:rPr>
      </w:pPr>
      <w:r>
        <w:rPr>
          <w:rFonts w:ascii="Times New Roman" w:hAnsi="Times New Roman" w:cs="Times New Roman" w:eastAsia="Times New Roman" w:hint="default"/>
        </w:rPr>
        <w:t>(</w:t>
      </w:r>
      <w:r>
        <w:rPr/>
        <w:t>十六</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t>借款费用</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BodyText"/>
        <w:tabs>
          <w:tab w:pos="1396" w:val="left" w:leader="none"/>
        </w:tabs>
        <w:spacing w:line="345" w:lineRule="auto"/>
        <w:ind w:left="1399" w:right="106" w:hanging="543"/>
        <w:jc w:val="left"/>
      </w:pP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rPr>
        <w:t>借款费用资本化的确认原则</w:t>
      </w:r>
      <w:r>
        <w:rPr>
          <w:rFonts w:ascii="宋体" w:hAnsi="宋体" w:cs="宋体" w:eastAsia="宋体" w:hint="default"/>
          <w:b/>
          <w:bCs/>
          <w:spacing w:val="1"/>
          <w:w w:val="99"/>
        </w:rPr>
        <w:t> </w:t>
      </w:r>
      <w:r>
        <w:rPr/>
        <w:t>公司发生的借款费用，可直接归属于符合资本化条件的资产的购建或者生产的，予 </w:t>
      </w:r>
      <w:r>
        <w:rPr>
          <w:spacing w:val="-3"/>
        </w:rPr>
        <w:t>以资本化，计入相关资产成本；其他借款费用，在发生时根据其发生额确认为费用，</w:t>
      </w:r>
      <w:r>
        <w:rPr/>
        <w:t> 计入当期损益。 符合资本化条件的资产，是指需要经过相当长时间的购建或者生产活动才能达到预 定可使用或者可销售状态的固定资产、投资性房地产和存货等资产。 借款费用同时满足下列条件时开始资本化：</w:t>
      </w:r>
    </w:p>
    <w:p>
      <w:pPr>
        <w:pStyle w:val="BodyText"/>
        <w:spacing w:line="328" w:lineRule="auto" w:before="32"/>
        <w:ind w:left="1399" w:right="205"/>
        <w:jc w:val="left"/>
      </w:pPr>
      <w:r>
        <w:rPr>
          <w:spacing w:val="-3"/>
        </w:rPr>
        <w:t>（</w:t>
      </w:r>
      <w:r>
        <w:rPr>
          <w:rFonts w:ascii="Times New Roman" w:hAnsi="Times New Roman" w:cs="Times New Roman" w:eastAsia="Times New Roman" w:hint="default"/>
          <w:spacing w:val="-3"/>
        </w:rPr>
        <w:t>1</w:t>
      </w:r>
      <w:r>
        <w:rPr>
          <w:spacing w:val="-3"/>
        </w:rPr>
        <w:t>）资产支出已经发生，资产支出包括为购建或者生产符合资本化条件的资产而以</w:t>
      </w:r>
      <w:r>
        <w:rPr>
          <w:spacing w:val="-88"/>
        </w:rPr>
        <w:t> </w:t>
      </w:r>
      <w:r>
        <w:rPr>
          <w:spacing w:val="-88"/>
        </w:rPr>
      </w:r>
      <w:r>
        <w:rPr/>
        <w:t>支付现金、转移非现金资产或者承担带息债务形式发生的支出；</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BodyText"/>
        <w:spacing w:line="240" w:lineRule="auto"/>
        <w:ind w:left="1399" w:right="312"/>
        <w:jc w:val="left"/>
      </w:pPr>
      <w:r>
        <w:rPr/>
        <w:t>（</w:t>
      </w:r>
      <w:r>
        <w:rPr>
          <w:rFonts w:ascii="Times New Roman" w:hAnsi="Times New Roman" w:cs="Times New Roman" w:eastAsia="Times New Roman" w:hint="default"/>
        </w:rPr>
        <w:t>2</w:t>
      </w:r>
      <w:r>
        <w:rPr/>
        <w:t>）借款费用已经发生；</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BodyText"/>
        <w:spacing w:line="328" w:lineRule="auto"/>
        <w:ind w:left="1399" w:right="205"/>
        <w:jc w:val="left"/>
      </w:pPr>
      <w:r>
        <w:rPr>
          <w:spacing w:val="2"/>
        </w:rPr>
        <w:t>（</w:t>
      </w:r>
      <w:r>
        <w:rPr>
          <w:rFonts w:ascii="Times New Roman" w:hAnsi="Times New Roman" w:cs="Times New Roman" w:eastAsia="Times New Roman" w:hint="default"/>
          <w:spacing w:val="2"/>
        </w:rPr>
        <w:t>3</w:t>
      </w:r>
      <w:r>
        <w:rPr>
          <w:spacing w:val="2"/>
        </w:rPr>
        <w:t>）为使资产达到预定可使用或者可销售状态所必要的购建或者生产活动已经开</w:t>
      </w:r>
      <w:r>
        <w:rPr>
          <w:spacing w:val="-76"/>
        </w:rPr>
        <w:t> </w:t>
      </w:r>
      <w:r>
        <w:rPr>
          <w:spacing w:val="-76"/>
        </w:rPr>
      </w:r>
      <w:r>
        <w:rPr/>
        <w:t>始。</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BodyText"/>
        <w:tabs>
          <w:tab w:pos="1396" w:val="left" w:leader="none"/>
        </w:tabs>
        <w:spacing w:line="345" w:lineRule="auto"/>
        <w:ind w:left="1399" w:right="211" w:hanging="543"/>
        <w:jc w:val="left"/>
      </w:pPr>
      <w:r>
        <w:rPr>
          <w:rFonts w:ascii="Times New Roman" w:hAnsi="Times New Roman" w:cs="Times New Roman" w:eastAsia="Times New Roman" w:hint="default"/>
          <w:b/>
          <w:bCs/>
          <w:w w:val="95"/>
        </w:rPr>
        <w:t>2</w:t>
      </w:r>
      <w:r>
        <w:rPr>
          <w:rFonts w:ascii="宋体" w:hAnsi="宋体" w:cs="宋体" w:eastAsia="宋体" w:hint="default"/>
          <w:b/>
          <w:bCs/>
          <w:w w:val="95"/>
        </w:rPr>
        <w:t>、</w:t>
        <w:tab/>
      </w:r>
      <w:r>
        <w:rPr>
          <w:rFonts w:ascii="宋体" w:hAnsi="宋体" w:cs="宋体" w:eastAsia="宋体" w:hint="default"/>
          <w:b/>
          <w:bCs/>
        </w:rPr>
        <w:t>借款费用资本化期间</w:t>
      </w:r>
      <w:r>
        <w:rPr>
          <w:rFonts w:ascii="宋体" w:hAnsi="宋体" w:cs="宋体" w:eastAsia="宋体" w:hint="default"/>
          <w:b/>
          <w:bCs/>
          <w:spacing w:val="1"/>
          <w:w w:val="99"/>
        </w:rPr>
        <w:t> </w:t>
      </w:r>
      <w:r>
        <w:rPr/>
        <w:t>资本化期间，指从借款费用开始资本化时点到停止资本化时点的期间，借款费用暂 停资本化的期间不包括在内。 当购建或者生产符合资本化条件的资产达到预定可使用或者可销售状态时，借款费 用停止资本化。</w:t>
      </w:r>
    </w:p>
    <w:p>
      <w:pPr>
        <w:spacing w:after="0" w:line="345" w:lineRule="auto"/>
        <w:jc w:val="left"/>
        <w:sectPr>
          <w:pgSz w:w="11910" w:h="16840"/>
          <w:pgMar w:header="851" w:footer="982" w:top="1360" w:bottom="1180" w:left="1660" w:right="1060"/>
        </w:sectPr>
      </w:pPr>
    </w:p>
    <w:p>
      <w:pPr>
        <w:spacing w:line="240" w:lineRule="auto" w:before="6"/>
        <w:rPr>
          <w:rFonts w:ascii="宋体" w:hAnsi="宋体" w:cs="宋体" w:eastAsia="宋体" w:hint="default"/>
          <w:sz w:val="10"/>
          <w:szCs w:val="10"/>
        </w:rPr>
      </w:pPr>
    </w:p>
    <w:p>
      <w:pPr>
        <w:pStyle w:val="BodyText"/>
        <w:spacing w:line="350" w:lineRule="auto" w:before="35"/>
        <w:ind w:left="1400" w:right="204"/>
        <w:jc w:val="left"/>
      </w:pPr>
      <w:r>
        <w:rPr/>
        <w:t>当购建或者生产符合资本化条件的资产中部分项目分别完工且可单独使用时，该部</w:t>
      </w:r>
      <w:r>
        <w:rPr>
          <w:spacing w:val="-97"/>
        </w:rPr>
        <w:t> </w:t>
      </w:r>
      <w:r>
        <w:rPr>
          <w:spacing w:val="-97"/>
        </w:rPr>
      </w:r>
      <w:r>
        <w:rPr/>
        <w:t>分资产借款费用停止资本化。 购建或者生产的资产的各部分分别完工，但必须等到整体完工后才可使用或可对外</w:t>
      </w:r>
      <w:r>
        <w:rPr>
          <w:spacing w:val="-97"/>
        </w:rPr>
        <w:t> </w:t>
      </w:r>
      <w:r>
        <w:rPr>
          <w:spacing w:val="-97"/>
        </w:rPr>
      </w:r>
      <w:r>
        <w:rPr/>
        <w:t>销售的，在该资产整体完工时停止借款费用资本化。</w:t>
      </w:r>
    </w:p>
    <w:p>
      <w:pPr>
        <w:spacing w:line="240" w:lineRule="auto" w:before="0"/>
        <w:rPr>
          <w:rFonts w:ascii="宋体" w:hAnsi="宋体" w:cs="宋体" w:eastAsia="宋体" w:hint="default"/>
          <w:sz w:val="20"/>
          <w:szCs w:val="20"/>
        </w:rPr>
      </w:pPr>
    </w:p>
    <w:p>
      <w:pPr>
        <w:pStyle w:val="BodyText"/>
        <w:tabs>
          <w:tab w:pos="1396" w:val="left" w:leader="none"/>
        </w:tabs>
        <w:spacing w:line="340" w:lineRule="auto" w:before="167"/>
        <w:ind w:left="1400" w:right="105" w:hanging="543"/>
        <w:jc w:val="left"/>
      </w:pPr>
      <w:r>
        <w:rPr>
          <w:rFonts w:ascii="Times New Roman" w:hAnsi="Times New Roman" w:cs="Times New Roman" w:eastAsia="Times New Roman" w:hint="default"/>
          <w:b/>
          <w:bCs/>
          <w:w w:val="95"/>
        </w:rPr>
        <w:t>3</w:t>
      </w:r>
      <w:r>
        <w:rPr>
          <w:rFonts w:ascii="宋体" w:hAnsi="宋体" w:cs="宋体" w:eastAsia="宋体" w:hint="default"/>
          <w:b/>
          <w:bCs/>
          <w:w w:val="95"/>
        </w:rPr>
        <w:t>、</w:t>
        <w:tab/>
      </w:r>
      <w:r>
        <w:rPr>
          <w:rFonts w:ascii="宋体" w:hAnsi="宋体" w:cs="宋体" w:eastAsia="宋体" w:hint="default"/>
          <w:b/>
          <w:bCs/>
        </w:rPr>
        <w:t>暂停资本化期间</w:t>
      </w:r>
      <w:r>
        <w:rPr>
          <w:rFonts w:ascii="宋体" w:hAnsi="宋体" w:cs="宋体" w:eastAsia="宋体" w:hint="default"/>
          <w:b/>
          <w:bCs/>
          <w:w w:val="99"/>
        </w:rPr>
        <w:t> </w:t>
      </w:r>
      <w:r>
        <w:rPr/>
        <w:t>符合资本化条件的资产在购建或生产过程中发生的非正常中断、且中断时间连续超 过</w:t>
      </w:r>
      <w:r>
        <w:rPr>
          <w:spacing w:val="-48"/>
        </w:rPr>
        <w:t> </w:t>
      </w:r>
      <w:r>
        <w:rPr>
          <w:rFonts w:ascii="Times New Roman" w:hAnsi="Times New Roman" w:cs="Times New Roman" w:eastAsia="Times New Roman" w:hint="default"/>
        </w:rPr>
        <w:t>3</w:t>
      </w:r>
      <w:r>
        <w:rPr>
          <w:rFonts w:ascii="Times New Roman" w:hAnsi="Times New Roman" w:cs="Times New Roman" w:eastAsia="Times New Roman" w:hint="default"/>
          <w:spacing w:val="5"/>
        </w:rPr>
        <w:t> </w:t>
      </w:r>
      <w:r>
        <w:rPr/>
        <w:t>个月的，则借款费用暂停资本化；该项中断如是所购建或生产的符合资本化条 </w:t>
      </w:r>
      <w:r>
        <w:rPr>
          <w:spacing w:val="-3"/>
        </w:rPr>
        <w:t>件的资产达到预定可使用状态或者可销售状态必要的程序，则借款费用继续资本化。</w:t>
      </w:r>
      <w:r>
        <w:rPr/>
        <w:t> 在中断期间发生的借款费用确认为当期损益，直至资产的购建或者生产活动重新开 始后借款费用继续资本化。</w:t>
      </w:r>
    </w:p>
    <w:p>
      <w:pPr>
        <w:spacing w:line="240" w:lineRule="auto" w:before="0"/>
        <w:rPr>
          <w:rFonts w:ascii="宋体" w:hAnsi="宋体" w:cs="宋体" w:eastAsia="宋体" w:hint="default"/>
          <w:sz w:val="20"/>
          <w:szCs w:val="20"/>
        </w:rPr>
      </w:pPr>
    </w:p>
    <w:p>
      <w:pPr>
        <w:pStyle w:val="BodyText"/>
        <w:tabs>
          <w:tab w:pos="1396" w:val="left" w:leader="none"/>
        </w:tabs>
        <w:spacing w:line="348" w:lineRule="auto" w:before="175"/>
        <w:ind w:left="1400" w:right="211" w:hanging="543"/>
        <w:jc w:val="left"/>
      </w:pPr>
      <w:r>
        <w:rPr>
          <w:rFonts w:ascii="Times New Roman" w:hAnsi="Times New Roman" w:cs="Times New Roman" w:eastAsia="Times New Roman" w:hint="default"/>
          <w:b/>
          <w:bCs/>
          <w:w w:val="95"/>
        </w:rPr>
        <w:t>4</w:t>
      </w:r>
      <w:r>
        <w:rPr>
          <w:rFonts w:ascii="宋体" w:hAnsi="宋体" w:cs="宋体" w:eastAsia="宋体" w:hint="default"/>
          <w:b/>
          <w:bCs/>
          <w:w w:val="95"/>
        </w:rPr>
        <w:t>、</w:t>
        <w:tab/>
      </w:r>
      <w:r>
        <w:rPr>
          <w:rFonts w:ascii="宋体" w:hAnsi="宋体" w:cs="宋体" w:eastAsia="宋体" w:hint="default"/>
          <w:b/>
          <w:bCs/>
        </w:rPr>
        <w:t>借款费用资本化金额的计算方法</w:t>
      </w:r>
      <w:r>
        <w:rPr>
          <w:rFonts w:ascii="宋体" w:hAnsi="宋体" w:cs="宋体" w:eastAsia="宋体" w:hint="default"/>
          <w:b/>
          <w:bCs/>
          <w:spacing w:val="1"/>
          <w:w w:val="99"/>
        </w:rPr>
        <w:t> </w:t>
      </w:r>
      <w:r>
        <w:rPr/>
        <w:t>专门借款的利息费用（扣除尚未动用的借款资金存入银行取得的利息收入或者进行 暂时性投资取得的投资收益）及其辅助费用在所购建或者生产的符合资本化条件的 资产达到预定可使用或者可销售状态前，予以资本化。 根据累计资产支出超过专门借款部分的资产支出加权平均数乘以所占用一般借款的 资本化率，计算确定一般借款应予资本化的利息金额。资本化率根据一般借款加权 平均利率计算确定。 借款存在折价或者溢价的，按照实际利率法确定每一会计期间应摊销的折价或者溢 价金额，调整每期利息金额。</w:t>
      </w:r>
    </w:p>
    <w:p>
      <w:pPr>
        <w:spacing w:line="240" w:lineRule="auto" w:before="0"/>
        <w:rPr>
          <w:rFonts w:ascii="宋体" w:hAnsi="宋体" w:cs="宋体" w:eastAsia="宋体" w:hint="default"/>
          <w:sz w:val="20"/>
          <w:szCs w:val="20"/>
        </w:rPr>
      </w:pPr>
    </w:p>
    <w:p>
      <w:pPr>
        <w:pStyle w:val="Heading2"/>
        <w:spacing w:line="240" w:lineRule="auto" w:before="167"/>
        <w:ind w:right="312"/>
        <w:jc w:val="left"/>
        <w:rPr>
          <w:b w:val="0"/>
          <w:bCs w:val="0"/>
        </w:rPr>
      </w:pPr>
      <w:r>
        <w:rPr>
          <w:rFonts w:ascii="Times New Roman" w:hAnsi="Times New Roman" w:cs="Times New Roman" w:eastAsia="Times New Roman" w:hint="default"/>
        </w:rPr>
        <w:t>(</w:t>
      </w:r>
      <w:r>
        <w:rPr/>
        <w:t>十七</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t>无形资产</w:t>
      </w:r>
      <w:r>
        <w:rPr>
          <w:b w:val="0"/>
          <w:bCs w:val="0"/>
        </w:rPr>
      </w:r>
    </w:p>
    <w:p>
      <w:pPr>
        <w:tabs>
          <w:tab w:pos="1396" w:val="left" w:leader="none"/>
        </w:tabs>
        <w:spacing w:before="110"/>
        <w:ind w:left="857" w:right="312"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无形资产的计价方法</w:t>
      </w:r>
      <w:r>
        <w:rPr>
          <w:rFonts w:ascii="宋体" w:hAnsi="宋体" w:cs="宋体" w:eastAsia="宋体" w:hint="default"/>
          <w:sz w:val="21"/>
          <w:szCs w:val="21"/>
        </w:rPr>
      </w:r>
    </w:p>
    <w:p>
      <w:pPr>
        <w:pStyle w:val="BodyText"/>
        <w:spacing w:line="348" w:lineRule="auto" w:before="109"/>
        <w:ind w:left="1399" w:right="103"/>
        <w:jc w:val="left"/>
      </w:pPr>
      <w:r>
        <w:rPr/>
        <w:t>（</w:t>
      </w:r>
      <w:r>
        <w:rPr>
          <w:rFonts w:ascii="Times New Roman" w:hAnsi="Times New Roman" w:cs="Times New Roman" w:eastAsia="Times New Roman" w:hint="default"/>
        </w:rPr>
        <w:t>1</w:t>
      </w:r>
      <w:r>
        <w:rPr/>
        <w:t>）公司取得无形资产时按成本进行初始计量； 外购无形资产的成本，包括购买价款、相关税费以及直接归属于使该项资产达到预</w:t>
      </w:r>
      <w:r>
        <w:rPr>
          <w:spacing w:val="-97"/>
        </w:rPr>
        <w:t> </w:t>
      </w:r>
      <w:r>
        <w:rPr>
          <w:spacing w:val="-97"/>
        </w:rPr>
      </w:r>
      <w:r>
        <w:rPr/>
        <w:t>定用途所发生的其他支出。购买无形资产的价款超过正常信用条件延期支付，实质</w:t>
      </w:r>
      <w:r>
        <w:rPr>
          <w:spacing w:val="-97"/>
        </w:rPr>
        <w:t> </w:t>
      </w:r>
      <w:r>
        <w:rPr>
          <w:spacing w:val="-97"/>
        </w:rPr>
      </w:r>
      <w:r>
        <w:rPr/>
        <w:t>上具有融资性质的，无形资产的成本以购买价款的现值为基础确定。 债务重组取得债务人用以抵债的无形资产，以该无形资产的公允价值为基础确定其</w:t>
      </w:r>
      <w:r>
        <w:rPr>
          <w:spacing w:val="-97"/>
        </w:rPr>
        <w:t> </w:t>
      </w:r>
      <w:r>
        <w:rPr>
          <w:spacing w:val="-97"/>
        </w:rPr>
      </w:r>
      <w:r>
        <w:rPr>
          <w:spacing w:val="-3"/>
        </w:rPr>
        <w:t>入账价值，并将重组债务的账面价值与该用以抵债的无形资产公允价值之间的差额，</w:t>
      </w:r>
      <w:r>
        <w:rPr>
          <w:spacing w:val="-89"/>
        </w:rPr>
        <w:t> </w:t>
      </w:r>
      <w:r>
        <w:rPr>
          <w:spacing w:val="-89"/>
        </w:rPr>
      </w:r>
      <w:r>
        <w:rPr/>
        <w:t>计入当期损益； 在非货币性资产交换具备商业实质且换入资产或换出资产的公允价值能够可靠计量</w:t>
      </w:r>
      <w:r>
        <w:rPr>
          <w:spacing w:val="-97"/>
        </w:rPr>
        <w:t> </w:t>
      </w:r>
      <w:r>
        <w:rPr>
          <w:spacing w:val="-97"/>
        </w:rPr>
      </w:r>
      <w:r>
        <w:rPr/>
        <w:t>的前提下，非货币性资产交换换入的无形资产以换出资产的公允价值为基础确定其</w:t>
      </w:r>
      <w:r>
        <w:rPr>
          <w:spacing w:val="-97"/>
        </w:rPr>
        <w:t> </w:t>
      </w:r>
      <w:r>
        <w:rPr>
          <w:spacing w:val="-97"/>
        </w:rPr>
      </w:r>
      <w:r>
        <w:rPr/>
        <w:t>入账价值，除非有确凿证据表明换入资产的公允价值更加可靠；不满足上述前提的</w:t>
      </w:r>
    </w:p>
    <w:p>
      <w:pPr>
        <w:spacing w:after="0" w:line="348" w:lineRule="auto"/>
        <w:jc w:val="left"/>
        <w:sectPr>
          <w:pgSz w:w="11910" w:h="16840"/>
          <w:pgMar w:header="851" w:footer="982" w:top="1360" w:bottom="1180" w:left="1660" w:right="1060"/>
        </w:sectPr>
      </w:pPr>
    </w:p>
    <w:p>
      <w:pPr>
        <w:spacing w:line="240" w:lineRule="auto" w:before="6"/>
        <w:rPr>
          <w:rFonts w:ascii="宋体" w:hAnsi="宋体" w:cs="宋体" w:eastAsia="宋体" w:hint="default"/>
          <w:sz w:val="10"/>
          <w:szCs w:val="10"/>
        </w:rPr>
      </w:pPr>
    </w:p>
    <w:p>
      <w:pPr>
        <w:pStyle w:val="BodyText"/>
        <w:spacing w:line="348" w:lineRule="auto" w:before="35"/>
        <w:ind w:left="1400" w:right="204"/>
        <w:jc w:val="left"/>
      </w:pPr>
      <w:r>
        <w:rPr/>
        <w:t>非货币性资产交换，以换出资产的账面价值和应支付的相关税费作为换入无形资产</w:t>
      </w:r>
      <w:r>
        <w:rPr>
          <w:spacing w:val="-97"/>
        </w:rPr>
        <w:t> </w:t>
      </w:r>
      <w:r>
        <w:rPr>
          <w:spacing w:val="-97"/>
        </w:rPr>
      </w:r>
      <w:r>
        <w:rPr/>
        <w:t>的成本，不确认损益。</w:t>
      </w:r>
    </w:p>
    <w:p>
      <w:pPr>
        <w:spacing w:line="240" w:lineRule="auto" w:before="0"/>
        <w:rPr>
          <w:rFonts w:ascii="宋体" w:hAnsi="宋体" w:cs="宋体" w:eastAsia="宋体" w:hint="default"/>
          <w:sz w:val="20"/>
          <w:szCs w:val="20"/>
        </w:rPr>
      </w:pPr>
    </w:p>
    <w:p>
      <w:pPr>
        <w:pStyle w:val="BodyText"/>
        <w:spacing w:line="350" w:lineRule="auto" w:before="169"/>
        <w:ind w:left="1400" w:right="105"/>
        <w:jc w:val="left"/>
      </w:pPr>
      <w:r>
        <w:rPr/>
        <w:t>以同一控制下的企业吸收合并方式取得的无形资产按被合并方的账面价值确定其入</w:t>
      </w:r>
      <w:r>
        <w:rPr>
          <w:spacing w:val="-97"/>
        </w:rPr>
        <w:t> </w:t>
      </w:r>
      <w:r>
        <w:rPr>
          <w:spacing w:val="-97"/>
        </w:rPr>
      </w:r>
      <w:r>
        <w:rPr/>
        <w:t>账价值；以非同一控制下的企业吸收合并方式取得的无形资产按公允价值确定其入</w:t>
      </w:r>
      <w:r>
        <w:rPr>
          <w:spacing w:val="-97"/>
        </w:rPr>
        <w:t> </w:t>
      </w:r>
      <w:r>
        <w:rPr>
          <w:spacing w:val="-97"/>
        </w:rPr>
      </w:r>
      <w:r>
        <w:rPr/>
        <w:t>账价值。 </w:t>
      </w:r>
      <w:r>
        <w:rPr>
          <w:spacing w:val="-3"/>
        </w:rPr>
        <w:t>内部自行开发的无形资产，其成本包括：开发该无形资产时耗用的材料、劳务成本、</w:t>
      </w:r>
      <w:r>
        <w:rPr>
          <w:spacing w:val="-90"/>
        </w:rPr>
        <w:t> </w:t>
      </w:r>
      <w:r>
        <w:rPr>
          <w:spacing w:val="-90"/>
        </w:rPr>
      </w:r>
      <w:r>
        <w:rPr/>
        <w:t>注册费、在开发过程中使用的其他专利权和特许权的摊销以及满足资本化条件的利</w:t>
      </w:r>
      <w:r>
        <w:rPr>
          <w:spacing w:val="-97"/>
        </w:rPr>
        <w:t> </w:t>
      </w:r>
      <w:r>
        <w:rPr>
          <w:spacing w:val="-97"/>
        </w:rPr>
      </w:r>
      <w:r>
        <w:rPr/>
        <w:t>息费用，以及为使该无形资产达到预定用途前所发生的其他直接费用。</w:t>
      </w:r>
    </w:p>
    <w:p>
      <w:pPr>
        <w:spacing w:line="240" w:lineRule="auto" w:before="0"/>
        <w:rPr>
          <w:rFonts w:ascii="宋体" w:hAnsi="宋体" w:cs="宋体" w:eastAsia="宋体" w:hint="default"/>
          <w:sz w:val="20"/>
          <w:szCs w:val="20"/>
        </w:rPr>
      </w:pPr>
    </w:p>
    <w:p>
      <w:pPr>
        <w:pStyle w:val="BodyText"/>
        <w:spacing w:line="331" w:lineRule="auto" w:before="166"/>
        <w:ind w:left="1400" w:right="3984"/>
        <w:jc w:val="left"/>
      </w:pPr>
      <w:r>
        <w:rPr/>
        <w:t>（</w:t>
      </w:r>
      <w:r>
        <w:rPr>
          <w:rFonts w:ascii="Times New Roman" w:hAnsi="Times New Roman" w:cs="Times New Roman" w:eastAsia="Times New Roman" w:hint="default"/>
        </w:rPr>
        <w:t>2</w:t>
      </w:r>
      <w:r>
        <w:rPr/>
        <w:t>）后续计量 在取得无形资产时分析判断其使用寿命。</w:t>
      </w:r>
    </w:p>
    <w:p>
      <w:pPr>
        <w:pStyle w:val="BodyText"/>
        <w:spacing w:line="350" w:lineRule="auto" w:before="45"/>
        <w:ind w:left="1400" w:right="211"/>
        <w:jc w:val="both"/>
      </w:pPr>
      <w:r>
        <w:rPr/>
        <w:t>对于使用寿命有限的无形资产，在为企业带来经济利益的期限内按直线法摊销；无</w:t>
      </w:r>
      <w:r>
        <w:rPr>
          <w:spacing w:val="-97"/>
        </w:rPr>
        <w:t> </w:t>
      </w:r>
      <w:r>
        <w:rPr>
          <w:spacing w:val="-97"/>
        </w:rPr>
      </w:r>
      <w:r>
        <w:rPr/>
        <w:t>法预见无形资产为企业带来经济利益期限的，视为使用寿命不确定的无形资产，不</w:t>
      </w:r>
      <w:r>
        <w:rPr>
          <w:spacing w:val="-97"/>
        </w:rPr>
        <w:t> </w:t>
      </w:r>
      <w:r>
        <w:rPr>
          <w:spacing w:val="-97"/>
        </w:rPr>
      </w:r>
      <w:r>
        <w:rPr/>
        <w:t>予摊销。</w:t>
      </w:r>
    </w:p>
    <w:p>
      <w:pPr>
        <w:pStyle w:val="BodyText"/>
        <w:spacing w:line="348" w:lineRule="auto" w:before="28"/>
        <w:ind w:left="1400" w:right="1044"/>
        <w:jc w:val="left"/>
      </w:pPr>
      <w:r>
        <w:rPr/>
        <w:t>每期末，对使用寿命有限的无形资产的使用寿命及摊销方法进行复核。 经复核，本年期末无形资产的使用寿命及摊销方法与以前估计未有不同。</w:t>
      </w:r>
    </w:p>
    <w:p>
      <w:pPr>
        <w:spacing w:line="240" w:lineRule="auto" w:before="0"/>
        <w:rPr>
          <w:rFonts w:ascii="宋体" w:hAnsi="宋体" w:cs="宋体" w:eastAsia="宋体" w:hint="default"/>
          <w:sz w:val="20"/>
          <w:szCs w:val="20"/>
        </w:rPr>
      </w:pPr>
    </w:p>
    <w:p>
      <w:pPr>
        <w:tabs>
          <w:tab w:pos="1396" w:val="left" w:leader="none"/>
        </w:tabs>
        <w:spacing w:line="340" w:lineRule="auto" w:before="169"/>
        <w:ind w:left="1400" w:right="1272"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使用寿命有限的无形资产的使用寿命估计情况：</w:t>
      </w:r>
      <w:r>
        <w:rPr>
          <w:rFonts w:ascii="宋体" w:hAnsi="宋体" w:cs="宋体" w:eastAsia="宋体" w:hint="default"/>
          <w:b/>
          <w:bCs/>
          <w:w w:val="99"/>
          <w:sz w:val="21"/>
          <w:szCs w:val="21"/>
        </w:rPr>
        <w:t> </w:t>
      </w:r>
      <w:r>
        <w:rPr>
          <w:rFonts w:ascii="宋体" w:hAnsi="宋体" w:cs="宋体" w:eastAsia="宋体" w:hint="default"/>
          <w:sz w:val="21"/>
          <w:szCs w:val="21"/>
        </w:rPr>
        <w:t>每期末，对使用寿命有限的无形资产的使用寿命及摊销方法进行复核。 报告期内公司无使用寿命有限的无形资产。</w:t>
      </w:r>
    </w:p>
    <w:p>
      <w:pPr>
        <w:spacing w:line="240" w:lineRule="auto" w:before="0"/>
        <w:rPr>
          <w:rFonts w:ascii="宋体" w:hAnsi="宋体" w:cs="宋体" w:eastAsia="宋体" w:hint="default"/>
          <w:sz w:val="20"/>
          <w:szCs w:val="20"/>
        </w:rPr>
      </w:pPr>
    </w:p>
    <w:p>
      <w:pPr>
        <w:tabs>
          <w:tab w:pos="1396" w:val="left" w:leader="none"/>
        </w:tabs>
        <w:spacing w:line="340" w:lineRule="auto" w:before="174"/>
        <w:ind w:left="1400" w:right="2112"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使用寿命不确定的无形资产的判断依据：</w:t>
      </w:r>
      <w:r>
        <w:rPr>
          <w:rFonts w:ascii="宋体" w:hAnsi="宋体" w:cs="宋体" w:eastAsia="宋体" w:hint="default"/>
          <w:b/>
          <w:bCs/>
          <w:spacing w:val="1"/>
          <w:w w:val="99"/>
          <w:sz w:val="21"/>
          <w:szCs w:val="21"/>
        </w:rPr>
        <w:t> </w:t>
      </w:r>
      <w:r>
        <w:rPr>
          <w:rFonts w:ascii="宋体" w:hAnsi="宋体" w:cs="宋体" w:eastAsia="宋体" w:hint="default"/>
          <w:sz w:val="21"/>
          <w:szCs w:val="21"/>
        </w:rPr>
        <w:t>每期末，对使用寿命不确定的无形资产的使用寿命进行复核。 报告期内公司无使用寿命不确定的无形资产。</w:t>
      </w:r>
    </w:p>
    <w:p>
      <w:pPr>
        <w:spacing w:line="240" w:lineRule="auto" w:before="0"/>
        <w:rPr>
          <w:rFonts w:ascii="宋体" w:hAnsi="宋体" w:cs="宋体" w:eastAsia="宋体" w:hint="default"/>
          <w:sz w:val="20"/>
          <w:szCs w:val="20"/>
        </w:rPr>
      </w:pPr>
    </w:p>
    <w:p>
      <w:pPr>
        <w:pStyle w:val="BodyText"/>
        <w:tabs>
          <w:tab w:pos="1396" w:val="left" w:leader="none"/>
        </w:tabs>
        <w:spacing w:line="345" w:lineRule="auto" w:before="175"/>
        <w:ind w:left="1400" w:right="205" w:hanging="543"/>
        <w:jc w:val="left"/>
      </w:pPr>
      <w:r>
        <w:rPr>
          <w:rFonts w:ascii="Times New Roman" w:hAnsi="Times New Roman" w:cs="Times New Roman" w:eastAsia="Times New Roman" w:hint="default"/>
          <w:b/>
          <w:bCs/>
          <w:w w:val="95"/>
        </w:rPr>
        <w:t>4</w:t>
      </w:r>
      <w:r>
        <w:rPr>
          <w:rFonts w:ascii="宋体" w:hAnsi="宋体" w:cs="宋体" w:eastAsia="宋体" w:hint="default"/>
          <w:b/>
          <w:bCs/>
          <w:w w:val="95"/>
        </w:rPr>
        <w:t>、</w:t>
        <w:tab/>
      </w:r>
      <w:r>
        <w:rPr>
          <w:rFonts w:ascii="宋体" w:hAnsi="宋体" w:cs="宋体" w:eastAsia="宋体" w:hint="default"/>
          <w:b/>
          <w:bCs/>
        </w:rPr>
        <w:t>无形资产减值准备的计提</w:t>
      </w:r>
      <w:r>
        <w:rPr>
          <w:rFonts w:ascii="宋体" w:hAnsi="宋体" w:cs="宋体" w:eastAsia="宋体" w:hint="default"/>
          <w:b/>
          <w:bCs/>
          <w:w w:val="99"/>
        </w:rPr>
        <w:t> </w:t>
      </w:r>
      <w:r>
        <w:rPr/>
        <w:t>对于使用寿命确定的无形资产，如有明显减值迹象的，期末进行减值测试。 对于使用寿命不确定的无形资产，每期末进行减值测试。 对无形资产进行减值测试，估计其可收回金额。可收回金额根据无形资产的公允价 </w:t>
      </w:r>
      <w:r>
        <w:rPr>
          <w:spacing w:val="6"/>
        </w:rPr>
        <w:t>值减去处置费用后的净额与无形资产预计未来现金流量的现值两者之间较高者确</w:t>
      </w:r>
      <w:r>
        <w:rPr>
          <w:spacing w:val="6"/>
        </w:rPr>
        <w:t> </w:t>
      </w:r>
      <w:r>
        <w:rPr/>
        <w:t>定。</w:t>
      </w:r>
      <w:r>
        <w:rPr/>
        <w:t> 当无形资产的可收回金额低于其账面价值的，将无形资产的账面价值减记至可收回 金额，减记的金额确认为无形资产减值损失，计入当期损益，同时计提相应的无形</w:t>
      </w:r>
    </w:p>
    <w:p>
      <w:pPr>
        <w:spacing w:after="0" w:line="345" w:lineRule="auto"/>
        <w:jc w:val="left"/>
        <w:sectPr>
          <w:pgSz w:w="11910" w:h="16840"/>
          <w:pgMar w:header="851" w:footer="982" w:top="1360" w:bottom="1180" w:left="1660" w:right="1060"/>
        </w:sectPr>
      </w:pPr>
    </w:p>
    <w:p>
      <w:pPr>
        <w:spacing w:line="240" w:lineRule="auto" w:before="6"/>
        <w:rPr>
          <w:rFonts w:ascii="宋体" w:hAnsi="宋体" w:cs="宋体" w:eastAsia="宋体" w:hint="default"/>
          <w:sz w:val="10"/>
          <w:szCs w:val="10"/>
        </w:rPr>
      </w:pPr>
    </w:p>
    <w:p>
      <w:pPr>
        <w:pStyle w:val="BodyText"/>
        <w:spacing w:line="240" w:lineRule="auto" w:before="35"/>
        <w:ind w:left="1400" w:right="3854"/>
        <w:jc w:val="left"/>
      </w:pPr>
      <w:r>
        <w:rPr/>
        <w:t>资产减值准备。</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BodyText"/>
        <w:spacing w:line="348" w:lineRule="auto"/>
        <w:ind w:left="1400" w:right="150"/>
        <w:jc w:val="both"/>
      </w:pPr>
      <w:r>
        <w:rPr/>
        <w:t>无形资产减值损失确认后，减值无形资产的折耗或者摊销费用在未来期间作相应调</w:t>
      </w:r>
      <w:r>
        <w:rPr>
          <w:spacing w:val="-97"/>
        </w:rPr>
        <w:t> </w:t>
      </w:r>
      <w:r>
        <w:rPr>
          <w:spacing w:val="-97"/>
        </w:rPr>
      </w:r>
      <w:r>
        <w:rPr>
          <w:spacing w:val="-6"/>
        </w:rPr>
        <w:t>整，以使该无形资产在剩余使用寿命内，系统地分摊调整后的无形资产账面价值（扣</w:t>
      </w:r>
      <w:r>
        <w:rPr>
          <w:spacing w:val="-81"/>
        </w:rPr>
        <w:t> </w:t>
      </w:r>
      <w:r>
        <w:rPr>
          <w:spacing w:val="-81"/>
        </w:rPr>
      </w:r>
      <w:r>
        <w:rPr>
          <w:spacing w:val="-14"/>
        </w:rPr>
        <w:t>除预计净残值）。</w:t>
      </w:r>
    </w:p>
    <w:p>
      <w:pPr>
        <w:pStyle w:val="BodyText"/>
        <w:spacing w:line="350" w:lineRule="auto" w:before="31"/>
        <w:ind w:left="1400" w:right="144"/>
        <w:jc w:val="left"/>
      </w:pPr>
      <w:r>
        <w:rPr/>
        <w:t>无形资产的减值损失一经确认，在以后会计期间不再转回。 有迹象表明一项无形资产可能发生减值的，公司以单项无形资产为基础估计其可收</w:t>
      </w:r>
      <w:r>
        <w:rPr>
          <w:spacing w:val="-97"/>
        </w:rPr>
        <w:t> </w:t>
      </w:r>
      <w:r>
        <w:rPr>
          <w:spacing w:val="-97"/>
        </w:rPr>
      </w:r>
      <w:r>
        <w:rPr/>
        <w:t>回金额。公司难以对单项资产的可收回金额进行估计的，以该无形资产所属的资产</w:t>
      </w:r>
      <w:r>
        <w:rPr>
          <w:spacing w:val="-97"/>
        </w:rPr>
        <w:t> </w:t>
      </w:r>
      <w:r>
        <w:rPr>
          <w:spacing w:val="-97"/>
        </w:rPr>
      </w:r>
      <w:r>
        <w:rPr/>
        <w:t>组为基础确定无形资产组的可收回金额。</w:t>
      </w:r>
    </w:p>
    <w:p>
      <w:pPr>
        <w:spacing w:line="240" w:lineRule="auto" w:before="0"/>
        <w:rPr>
          <w:rFonts w:ascii="宋体" w:hAnsi="宋体" w:cs="宋体" w:eastAsia="宋体" w:hint="default"/>
          <w:sz w:val="20"/>
          <w:szCs w:val="20"/>
        </w:rPr>
      </w:pPr>
    </w:p>
    <w:p>
      <w:pPr>
        <w:pStyle w:val="BodyText"/>
        <w:tabs>
          <w:tab w:pos="1396" w:val="left" w:leader="none"/>
        </w:tabs>
        <w:spacing w:line="345" w:lineRule="auto" w:before="166"/>
        <w:ind w:left="1400" w:right="151" w:hanging="543"/>
        <w:jc w:val="left"/>
      </w:pPr>
      <w:r>
        <w:rPr>
          <w:rFonts w:ascii="Times New Roman" w:hAnsi="Times New Roman" w:cs="Times New Roman" w:eastAsia="Times New Roman" w:hint="default"/>
          <w:b/>
          <w:bCs/>
          <w:w w:val="95"/>
        </w:rPr>
        <w:t>5</w:t>
      </w:r>
      <w:r>
        <w:rPr>
          <w:rFonts w:ascii="宋体" w:hAnsi="宋体" w:cs="宋体" w:eastAsia="宋体" w:hint="default"/>
          <w:b/>
          <w:bCs/>
          <w:w w:val="95"/>
        </w:rPr>
        <w:t>、</w:t>
        <w:tab/>
      </w:r>
      <w:r>
        <w:rPr>
          <w:rFonts w:ascii="宋体" w:hAnsi="宋体" w:cs="宋体" w:eastAsia="宋体" w:hint="default"/>
          <w:b/>
          <w:bCs/>
        </w:rPr>
        <w:t>划分公司内部研究开发项目的研究阶段和开发阶段具体标准</w:t>
      </w:r>
      <w:r>
        <w:rPr>
          <w:rFonts w:ascii="宋体" w:hAnsi="宋体" w:cs="宋体" w:eastAsia="宋体" w:hint="default"/>
          <w:b/>
          <w:bCs/>
          <w:w w:val="99"/>
        </w:rPr>
        <w:t> </w:t>
      </w:r>
      <w:r>
        <w:rPr/>
        <w:t>研究阶段：为获取并理解新的科学或技术知识等而进行的独创性的有计划调查、研 究活动的阶段。 开发阶段：在进行商业性生产或使用前，将研究成果或其他知识应用于某项计划或 设计，以生产出新的或具有实质性改进的材料、装置、产品等活动的阶段。 内部研究开发项目研究阶段的支出，在发生时计入当期损益。</w:t>
      </w:r>
    </w:p>
    <w:p>
      <w:pPr>
        <w:spacing w:line="240" w:lineRule="auto" w:before="0"/>
        <w:rPr>
          <w:rFonts w:ascii="宋体" w:hAnsi="宋体" w:cs="宋体" w:eastAsia="宋体" w:hint="default"/>
          <w:sz w:val="20"/>
          <w:szCs w:val="20"/>
        </w:rPr>
      </w:pPr>
    </w:p>
    <w:p>
      <w:pPr>
        <w:tabs>
          <w:tab w:pos="1396" w:val="left" w:leader="none"/>
        </w:tabs>
        <w:spacing w:line="328" w:lineRule="auto" w:before="171"/>
        <w:ind w:left="1400" w:right="792"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6</w:t>
      </w:r>
      <w:r>
        <w:rPr>
          <w:rFonts w:ascii="宋体" w:hAnsi="宋体" w:cs="宋体" w:eastAsia="宋体" w:hint="default"/>
          <w:b/>
          <w:bCs/>
          <w:w w:val="95"/>
          <w:sz w:val="21"/>
          <w:szCs w:val="21"/>
        </w:rPr>
        <w:t>、</w:t>
        <w:tab/>
      </w:r>
      <w:r>
        <w:rPr>
          <w:rFonts w:ascii="宋体" w:hAnsi="宋体" w:cs="宋体" w:eastAsia="宋体" w:hint="default"/>
          <w:b/>
          <w:bCs/>
          <w:sz w:val="21"/>
          <w:szCs w:val="21"/>
        </w:rPr>
        <w:t>开发阶段支出符合资本化的具体标准</w:t>
      </w:r>
      <w:r>
        <w:rPr>
          <w:rFonts w:ascii="宋体" w:hAnsi="宋体" w:cs="宋体" w:eastAsia="宋体" w:hint="default"/>
          <w:b/>
          <w:bCs/>
          <w:w w:val="99"/>
          <w:sz w:val="21"/>
          <w:szCs w:val="21"/>
        </w:rPr>
        <w:t> </w:t>
      </w:r>
      <w:r>
        <w:rPr>
          <w:rFonts w:ascii="宋体" w:hAnsi="宋体" w:cs="宋体" w:eastAsia="宋体" w:hint="default"/>
          <w:sz w:val="21"/>
          <w:szCs w:val="21"/>
        </w:rPr>
        <w:t>内部研究开发项目开发阶段的支出，同时满足下列条件时确认为无形资产：</w:t>
      </w:r>
    </w:p>
    <w:p>
      <w:pPr>
        <w:pStyle w:val="BodyText"/>
        <w:spacing w:line="240" w:lineRule="auto" w:before="47"/>
        <w:ind w:left="1400" w:right="144"/>
        <w:jc w:val="left"/>
      </w:pPr>
      <w:r>
        <w:rPr/>
        <w:t>（</w:t>
      </w:r>
      <w:r>
        <w:rPr>
          <w:rFonts w:ascii="Times New Roman" w:hAnsi="Times New Roman" w:cs="Times New Roman" w:eastAsia="Times New Roman" w:hint="default"/>
        </w:rPr>
        <w:t>1</w:t>
      </w:r>
      <w:r>
        <w:rPr/>
        <w:t>）完成该无形资产以使其能够使用或出售在技术上具有可行性；</w:t>
      </w:r>
    </w:p>
    <w:p>
      <w:pPr>
        <w:pStyle w:val="BodyText"/>
        <w:spacing w:line="240" w:lineRule="auto" w:before="110"/>
        <w:ind w:left="1400" w:right="144"/>
        <w:jc w:val="left"/>
      </w:pPr>
      <w:r>
        <w:rPr/>
        <w:t>（</w:t>
      </w:r>
      <w:r>
        <w:rPr>
          <w:rFonts w:ascii="Times New Roman" w:hAnsi="Times New Roman" w:cs="Times New Roman" w:eastAsia="Times New Roman" w:hint="default"/>
        </w:rPr>
        <w:t>2</w:t>
      </w:r>
      <w:r>
        <w:rPr/>
        <w:t>）具有完成该无形资产并使用或出售的意图；</w:t>
      </w:r>
    </w:p>
    <w:p>
      <w:pPr>
        <w:pStyle w:val="BodyText"/>
        <w:spacing w:line="328" w:lineRule="auto" w:before="109"/>
        <w:ind w:left="1400" w:right="144"/>
        <w:jc w:val="left"/>
      </w:pPr>
      <w:r>
        <w:rPr>
          <w:spacing w:val="-3"/>
        </w:rPr>
        <w:t>（</w:t>
      </w:r>
      <w:r>
        <w:rPr>
          <w:rFonts w:ascii="Times New Roman" w:hAnsi="Times New Roman" w:cs="Times New Roman" w:eastAsia="Times New Roman" w:hint="default"/>
          <w:spacing w:val="-3"/>
        </w:rPr>
        <w:t>3</w:t>
      </w:r>
      <w:r>
        <w:rPr>
          <w:spacing w:val="-3"/>
        </w:rPr>
        <w:t>）无形资产产生经济利益的方式，包括能够证明运用该无形资产生产的产品存在</w:t>
      </w:r>
      <w:r>
        <w:rPr>
          <w:spacing w:val="-88"/>
        </w:rPr>
        <w:t> </w:t>
      </w:r>
      <w:r>
        <w:rPr>
          <w:spacing w:val="-88"/>
        </w:rPr>
      </w:r>
      <w:r>
        <w:rPr/>
        <w:t>市场或无形资产自身存在市场，无形资产将在内部使用的，能够证明其有用性；</w:t>
      </w:r>
    </w:p>
    <w:p>
      <w:pPr>
        <w:pStyle w:val="BodyText"/>
        <w:spacing w:line="328" w:lineRule="auto" w:before="48"/>
        <w:ind w:left="1400" w:right="144"/>
        <w:jc w:val="left"/>
      </w:pPr>
      <w:r>
        <w:rPr>
          <w:spacing w:val="-3"/>
        </w:rPr>
        <w:t>（</w:t>
      </w:r>
      <w:r>
        <w:rPr>
          <w:rFonts w:ascii="Times New Roman" w:hAnsi="Times New Roman" w:cs="Times New Roman" w:eastAsia="Times New Roman" w:hint="default"/>
          <w:spacing w:val="-3"/>
        </w:rPr>
        <w:t>4</w:t>
      </w:r>
      <w:r>
        <w:rPr>
          <w:spacing w:val="-3"/>
        </w:rPr>
        <w:t>）有足够的技术、财务资源和其他资源支持，以完成该无形资产的开发，并有能</w:t>
      </w:r>
      <w:r>
        <w:rPr>
          <w:spacing w:val="-88"/>
        </w:rPr>
        <w:t> </w:t>
      </w:r>
      <w:r>
        <w:rPr>
          <w:spacing w:val="-88"/>
        </w:rPr>
      </w:r>
      <w:r>
        <w:rPr/>
        <w:t>力使用或出售该无形资产；</w:t>
      </w:r>
    </w:p>
    <w:p>
      <w:pPr>
        <w:pStyle w:val="BodyText"/>
        <w:spacing w:line="240" w:lineRule="auto" w:before="47"/>
        <w:ind w:left="1400" w:right="144"/>
        <w:jc w:val="left"/>
      </w:pPr>
      <w:r>
        <w:rPr/>
        <w:t>（5）归属于该无形资产开发阶段的支出能够可靠地计量。</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Heading2"/>
        <w:spacing w:line="240" w:lineRule="auto"/>
        <w:ind w:right="3854"/>
        <w:jc w:val="left"/>
        <w:rPr>
          <w:b w:val="0"/>
          <w:bCs w:val="0"/>
        </w:rPr>
      </w:pPr>
      <w:r>
        <w:rPr>
          <w:rFonts w:ascii="Times New Roman" w:hAnsi="Times New Roman" w:cs="Times New Roman" w:eastAsia="Times New Roman" w:hint="default"/>
        </w:rPr>
        <w:t>(</w:t>
      </w:r>
      <w:r>
        <w:rPr/>
        <w:t>十八</w:t>
      </w:r>
      <w:r>
        <w:rPr>
          <w:rFonts w:ascii="Times New Roman" w:hAnsi="Times New Roman" w:cs="Times New Roman" w:eastAsia="Times New Roman" w:hint="default"/>
        </w:rPr>
        <w:t>)  </w:t>
      </w:r>
      <w:r>
        <w:rPr>
          <w:rFonts w:ascii="Times New Roman" w:hAnsi="Times New Roman" w:cs="Times New Roman" w:eastAsia="Times New Roman" w:hint="default"/>
          <w:spacing w:val="3"/>
        </w:rPr>
        <w:t> </w:t>
      </w:r>
      <w:r>
        <w:rPr/>
        <w:t>长期待摊费用</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1396" w:val="left" w:leader="none"/>
        </w:tabs>
        <w:spacing w:before="0"/>
        <w:ind w:left="857" w:right="3854"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pacing w:val="1"/>
          <w:sz w:val="21"/>
          <w:szCs w:val="21"/>
        </w:rPr>
        <w:t>摊销方法</w:t>
      </w:r>
      <w:r>
        <w:rPr>
          <w:rFonts w:ascii="宋体" w:hAnsi="宋体" w:cs="宋体" w:eastAsia="宋体" w:hint="default"/>
          <w:sz w:val="21"/>
          <w:szCs w:val="21"/>
        </w:rPr>
      </w:r>
    </w:p>
    <w:p>
      <w:pPr>
        <w:pStyle w:val="BodyText"/>
        <w:spacing w:line="240" w:lineRule="auto" w:before="109"/>
        <w:ind w:left="1399" w:right="3854"/>
        <w:jc w:val="left"/>
      </w:pPr>
      <w:r>
        <w:rPr/>
        <w:t>长期待摊费用在受益期内平均摊销。</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Heading2"/>
        <w:tabs>
          <w:tab w:pos="1396" w:val="left" w:leader="none"/>
        </w:tabs>
        <w:spacing w:line="240" w:lineRule="auto"/>
        <w:ind w:left="857" w:right="3854"/>
        <w:jc w:val="left"/>
        <w:rPr>
          <w:b w:val="0"/>
          <w:bCs w:val="0"/>
        </w:rPr>
      </w:pPr>
      <w:r>
        <w:rPr>
          <w:rFonts w:ascii="Times New Roman" w:hAnsi="Times New Roman" w:cs="Times New Roman" w:eastAsia="Times New Roman" w:hint="default"/>
          <w:w w:val="95"/>
        </w:rPr>
        <w:t>2</w:t>
      </w:r>
      <w:r>
        <w:rPr>
          <w:w w:val="95"/>
        </w:rPr>
        <w:t>、</w:t>
        <w:tab/>
      </w:r>
      <w:r>
        <w:rPr>
          <w:spacing w:val="1"/>
        </w:rPr>
        <w:t>摊销年限</w:t>
      </w:r>
      <w:r>
        <w:rPr>
          <w:b w:val="0"/>
          <w:bCs w:val="0"/>
        </w:rPr>
      </w:r>
    </w:p>
    <w:p>
      <w:pPr>
        <w:pStyle w:val="BodyText"/>
        <w:spacing w:line="240" w:lineRule="auto" w:before="109"/>
        <w:ind w:left="1399" w:right="0"/>
        <w:jc w:val="left"/>
      </w:pPr>
      <w:r>
        <w:rPr/>
        <w:t>经营租赁方式租入的固定资产改良支出，按最佳预期经济利益实现方式合理摊销。</w:t>
      </w:r>
    </w:p>
    <w:p>
      <w:pPr>
        <w:spacing w:after="0" w:line="240" w:lineRule="auto"/>
        <w:jc w:val="left"/>
        <w:sectPr>
          <w:pgSz w:w="11910" w:h="16840"/>
          <w:pgMar w:header="851" w:footer="982" w:top="1360" w:bottom="1180" w:left="1660" w:right="11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1"/>
          <w:szCs w:val="21"/>
        </w:rPr>
      </w:pPr>
    </w:p>
    <w:p>
      <w:pPr>
        <w:pStyle w:val="Heading2"/>
        <w:spacing w:line="240" w:lineRule="auto" w:before="35"/>
        <w:ind w:right="184"/>
        <w:jc w:val="left"/>
        <w:rPr>
          <w:b w:val="0"/>
          <w:bCs w:val="0"/>
        </w:rPr>
      </w:pPr>
      <w:r>
        <w:rPr>
          <w:rFonts w:ascii="Times New Roman" w:hAnsi="Times New Roman" w:cs="Times New Roman" w:eastAsia="Times New Roman" w:hint="default"/>
        </w:rPr>
        <w:t>(</w:t>
      </w:r>
      <w:r>
        <w:rPr/>
        <w:t>十九</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t>预计负债</w:t>
      </w:r>
      <w:r>
        <w:rPr>
          <w:b w:val="0"/>
          <w:bCs w:val="0"/>
        </w:rPr>
      </w:r>
    </w:p>
    <w:p>
      <w:pPr>
        <w:spacing w:line="240" w:lineRule="auto" w:before="0"/>
        <w:rPr>
          <w:rFonts w:ascii="宋体" w:hAnsi="宋体" w:cs="宋体" w:eastAsia="宋体" w:hint="default"/>
          <w:b/>
          <w:bCs/>
          <w:sz w:val="22"/>
          <w:szCs w:val="22"/>
        </w:rPr>
      </w:pPr>
    </w:p>
    <w:p>
      <w:pPr>
        <w:spacing w:line="240" w:lineRule="auto" w:before="13"/>
        <w:rPr>
          <w:rFonts w:ascii="宋体" w:hAnsi="宋体" w:cs="宋体" w:eastAsia="宋体" w:hint="default"/>
          <w:b/>
          <w:bCs/>
          <w:sz w:val="16"/>
          <w:szCs w:val="16"/>
        </w:rPr>
      </w:pPr>
    </w:p>
    <w:p>
      <w:pPr>
        <w:pStyle w:val="BodyText"/>
        <w:spacing w:line="348" w:lineRule="auto"/>
        <w:ind w:left="857" w:right="184"/>
        <w:jc w:val="left"/>
      </w:pPr>
      <w:r>
        <w:rPr>
          <w:spacing w:val="-3"/>
        </w:rPr>
        <w:t>本公司涉及诉讼、债务担保、亏损合同、重组事项时，如该等事项很可能需要未来以交付</w:t>
      </w:r>
      <w:r>
        <w:rPr>
          <w:spacing w:val="-68"/>
        </w:rPr>
        <w:t> </w:t>
      </w:r>
      <w:r>
        <w:rPr>
          <w:spacing w:val="-68"/>
        </w:rPr>
      </w:r>
      <w:r>
        <w:rPr/>
        <w:t>资产或提供劳务、其金额能够可靠计量的，确认为预计负债。</w:t>
      </w:r>
    </w:p>
    <w:p>
      <w:pPr>
        <w:spacing w:line="240" w:lineRule="auto" w:before="0"/>
        <w:rPr>
          <w:rFonts w:ascii="宋体" w:hAnsi="宋体" w:cs="宋体" w:eastAsia="宋体" w:hint="default"/>
          <w:sz w:val="20"/>
          <w:szCs w:val="20"/>
        </w:rPr>
      </w:pPr>
    </w:p>
    <w:p>
      <w:pPr>
        <w:pStyle w:val="BodyText"/>
        <w:tabs>
          <w:tab w:pos="1396" w:val="left" w:leader="none"/>
        </w:tabs>
        <w:spacing w:line="336" w:lineRule="auto" w:before="160"/>
        <w:ind w:left="1399" w:right="1252" w:hanging="543"/>
        <w:jc w:val="left"/>
      </w:pP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rPr>
        <w:t>预计负债的确认标准</w:t>
      </w:r>
      <w:r>
        <w:rPr>
          <w:rFonts w:ascii="宋体" w:hAnsi="宋体" w:cs="宋体" w:eastAsia="宋体" w:hint="default"/>
          <w:b/>
          <w:bCs/>
          <w:spacing w:val="1"/>
          <w:w w:val="99"/>
        </w:rPr>
        <w:t> </w:t>
      </w:r>
      <w:r>
        <w:rPr/>
        <w:t>与或有事项相关的义务同时满足下列条件时，本公司确认为预计负债： 该义务是本公司承担的现时义务； 履行该义务很可能导致经济利益流出本公司； 该义务的金额能够可靠地计量。</w:t>
      </w:r>
    </w:p>
    <w:p>
      <w:pPr>
        <w:spacing w:line="240" w:lineRule="auto" w:before="0"/>
        <w:rPr>
          <w:rFonts w:ascii="宋体" w:hAnsi="宋体" w:cs="宋体" w:eastAsia="宋体" w:hint="default"/>
          <w:sz w:val="20"/>
          <w:szCs w:val="20"/>
        </w:rPr>
      </w:pPr>
    </w:p>
    <w:p>
      <w:pPr>
        <w:pStyle w:val="BodyText"/>
        <w:tabs>
          <w:tab w:pos="1396" w:val="left" w:leader="none"/>
        </w:tabs>
        <w:spacing w:line="336" w:lineRule="auto" w:before="159"/>
        <w:ind w:left="1399" w:right="191" w:hanging="543"/>
        <w:jc w:val="left"/>
      </w:pPr>
      <w:r>
        <w:rPr>
          <w:rFonts w:ascii="Times New Roman" w:hAnsi="Times New Roman" w:cs="Times New Roman" w:eastAsia="Times New Roman" w:hint="default"/>
          <w:b/>
          <w:bCs/>
          <w:w w:val="95"/>
        </w:rPr>
        <w:t>2</w:t>
      </w:r>
      <w:r>
        <w:rPr>
          <w:rFonts w:ascii="宋体" w:hAnsi="宋体" w:cs="宋体" w:eastAsia="宋体" w:hint="default"/>
          <w:b/>
          <w:bCs/>
          <w:w w:val="95"/>
        </w:rPr>
        <w:t>、</w:t>
        <w:tab/>
      </w:r>
      <w:r>
        <w:rPr>
          <w:rFonts w:ascii="宋体" w:hAnsi="宋体" w:cs="宋体" w:eastAsia="宋体" w:hint="default"/>
          <w:b/>
          <w:bCs/>
        </w:rPr>
        <w:t>预计负债的计量方法</w:t>
      </w:r>
      <w:r>
        <w:rPr>
          <w:rFonts w:ascii="宋体" w:hAnsi="宋体" w:cs="宋体" w:eastAsia="宋体" w:hint="default"/>
          <w:b/>
          <w:bCs/>
          <w:spacing w:val="1"/>
          <w:w w:val="99"/>
        </w:rPr>
        <w:t> </w:t>
      </w:r>
      <w:r>
        <w:rPr/>
        <w:t>本公司预计负债按履行相关现时义务所需的支出的最佳估计数进行初始计量。 本公司在确定最佳估计数时，综合考虑与或有事项有关的风险、不确定性和货币时 间价值等因素。对于货币时间价值影响重大的，通过对相关未来现金流出进行折现 后确定最佳估计数。</w:t>
      </w:r>
    </w:p>
    <w:p>
      <w:pPr>
        <w:pStyle w:val="BodyText"/>
        <w:spacing w:line="340" w:lineRule="auto" w:before="31"/>
        <w:ind w:left="1399" w:right="86"/>
        <w:jc w:val="left"/>
      </w:pPr>
      <w:r>
        <w:rPr/>
        <w:t>最佳估计数分别以下情况处理： </w:t>
      </w:r>
      <w:r>
        <w:rPr>
          <w:spacing w:val="-3"/>
        </w:rPr>
        <w:t>所需支出存在一个连续范围（或区间），且该范围内各种结果发生的可能性相同的，</w:t>
      </w:r>
      <w:r>
        <w:rPr>
          <w:spacing w:val="-101"/>
        </w:rPr>
        <w:t> </w:t>
      </w:r>
      <w:r>
        <w:rPr>
          <w:spacing w:val="-101"/>
        </w:rPr>
      </w:r>
      <w:r>
        <w:rPr/>
        <w:t>则最佳估计数按照该范围的中间值即上下限金额的平均数确定。 </w:t>
      </w:r>
      <w:r>
        <w:rPr>
          <w:spacing w:val="-6"/>
        </w:rPr>
        <w:t>所需支出不存在一个连续范围（或区间），或虽然存在一个连续范围但该范围内各种</w:t>
      </w:r>
      <w:r>
        <w:rPr>
          <w:spacing w:val="-82"/>
        </w:rPr>
        <w:t> </w:t>
      </w:r>
      <w:r>
        <w:rPr>
          <w:spacing w:val="-82"/>
        </w:rPr>
      </w:r>
      <w:r>
        <w:rPr/>
        <w:t>结果发生的可能性不相同的，如或有事项涉及单个项目的，则最佳估计数按照最可</w:t>
      </w:r>
      <w:r>
        <w:rPr>
          <w:spacing w:val="-97"/>
        </w:rPr>
        <w:t> </w:t>
      </w:r>
      <w:r>
        <w:rPr>
          <w:spacing w:val="-97"/>
        </w:rPr>
      </w:r>
      <w:r>
        <w:rPr/>
        <w:t>能发生金额确定；如或有事项涉及多个项目的，则最佳估计数按各种可能结果及相</w:t>
      </w:r>
      <w:r>
        <w:rPr>
          <w:spacing w:val="-97"/>
        </w:rPr>
        <w:t> </w:t>
      </w:r>
      <w:r>
        <w:rPr>
          <w:spacing w:val="-97"/>
        </w:rPr>
      </w:r>
      <w:r>
        <w:rPr/>
        <w:t>关概率计算确定。 本公司清偿预计负债所需支出全部或部分预期由第三方补偿的，补偿金额在基本确</w:t>
      </w:r>
      <w:r>
        <w:rPr>
          <w:spacing w:val="-97"/>
        </w:rPr>
        <w:t> </w:t>
      </w:r>
      <w:r>
        <w:rPr>
          <w:spacing w:val="-97"/>
        </w:rPr>
      </w:r>
      <w:r>
        <w:rPr/>
        <w:t>定能够收到时，作为资产单独确认，确认的补偿金额不超过预计负债的账面价值。 公司根据合同的约定或合理估计，在质保期间对所售商品或所提供的服务按预计可</w:t>
      </w:r>
      <w:r>
        <w:rPr>
          <w:spacing w:val="-97"/>
        </w:rPr>
        <w:t> </w:t>
      </w:r>
      <w:r>
        <w:rPr>
          <w:spacing w:val="-97"/>
        </w:rPr>
      </w:r>
      <w:r>
        <w:rPr/>
        <w:t>能产生的质保费用计提预计负债，实际发生的质保费用在预计负债列支，质保期满</w:t>
      </w:r>
      <w:r>
        <w:rPr>
          <w:spacing w:val="-97"/>
        </w:rPr>
        <w:t> </w:t>
      </w:r>
      <w:r>
        <w:rPr>
          <w:spacing w:val="-97"/>
        </w:rPr>
      </w:r>
      <w:r>
        <w:rPr/>
        <w:t>结余的质保金予以冲回。</w:t>
      </w:r>
    </w:p>
    <w:p>
      <w:pPr>
        <w:spacing w:line="240" w:lineRule="auto" w:before="0"/>
        <w:rPr>
          <w:rFonts w:ascii="宋体" w:hAnsi="宋体" w:cs="宋体" w:eastAsia="宋体" w:hint="default"/>
          <w:sz w:val="20"/>
          <w:szCs w:val="20"/>
        </w:rPr>
      </w:pPr>
    </w:p>
    <w:p>
      <w:pPr>
        <w:pStyle w:val="Heading2"/>
        <w:spacing w:line="240" w:lineRule="auto" w:before="175"/>
        <w:ind w:right="184"/>
        <w:jc w:val="left"/>
        <w:rPr>
          <w:b w:val="0"/>
          <w:bCs w:val="0"/>
        </w:rPr>
      </w:pPr>
      <w:r>
        <w:rPr>
          <w:rFonts w:ascii="Times New Roman" w:hAnsi="Times New Roman" w:cs="Times New Roman" w:eastAsia="Times New Roman" w:hint="default"/>
        </w:rPr>
        <w:t>(</w:t>
      </w:r>
      <w:r>
        <w:rPr/>
        <w:t>二十</w:t>
      </w:r>
      <w:r>
        <w:rPr>
          <w:rFonts w:ascii="Times New Roman" w:hAnsi="Times New Roman" w:cs="Times New Roman" w:eastAsia="Times New Roman" w:hint="default"/>
        </w:rPr>
        <w:t>)  </w:t>
      </w:r>
      <w:r>
        <w:rPr>
          <w:rFonts w:ascii="Times New Roman" w:hAnsi="Times New Roman" w:cs="Times New Roman" w:eastAsia="Times New Roman" w:hint="default"/>
          <w:spacing w:val="7"/>
        </w:rPr>
        <w:t> </w:t>
      </w:r>
      <w:r>
        <w:rPr/>
        <w:t>收入</w:t>
      </w:r>
      <w:r>
        <w:rPr>
          <w:b w:val="0"/>
          <w:bCs w:val="0"/>
        </w:rPr>
      </w:r>
    </w:p>
    <w:p>
      <w:pPr>
        <w:spacing w:line="240" w:lineRule="auto" w:before="0"/>
        <w:rPr>
          <w:rFonts w:ascii="宋体" w:hAnsi="宋体" w:cs="宋体" w:eastAsia="宋体" w:hint="default"/>
          <w:b/>
          <w:bCs/>
          <w:sz w:val="22"/>
          <w:szCs w:val="22"/>
        </w:rPr>
      </w:pPr>
    </w:p>
    <w:p>
      <w:pPr>
        <w:spacing w:line="240" w:lineRule="auto" w:before="3"/>
        <w:rPr>
          <w:rFonts w:ascii="宋体" w:hAnsi="宋体" w:cs="宋体" w:eastAsia="宋体" w:hint="default"/>
          <w:b/>
          <w:bCs/>
          <w:sz w:val="16"/>
          <w:szCs w:val="16"/>
        </w:rPr>
      </w:pPr>
    </w:p>
    <w:p>
      <w:pPr>
        <w:tabs>
          <w:tab w:pos="1396" w:val="left" w:leader="none"/>
        </w:tabs>
        <w:spacing w:before="0"/>
        <w:ind w:left="857" w:right="184"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公司收入在交易结果能够可靠估计时，按以下原则确认：</w:t>
      </w:r>
      <w:r>
        <w:rPr>
          <w:rFonts w:ascii="宋体" w:hAnsi="宋体" w:cs="宋体" w:eastAsia="宋体" w:hint="default"/>
          <w:sz w:val="21"/>
          <w:szCs w:val="21"/>
        </w:rPr>
      </w:r>
    </w:p>
    <w:p>
      <w:pPr>
        <w:pStyle w:val="BodyText"/>
        <w:spacing w:line="321" w:lineRule="auto" w:before="99"/>
        <w:ind w:left="1399" w:right="185"/>
        <w:jc w:val="left"/>
      </w:pPr>
      <w:r>
        <w:rPr/>
        <w:t>（</w:t>
      </w:r>
      <w:r>
        <w:rPr>
          <w:rFonts w:ascii="Times New Roman" w:hAnsi="Times New Roman" w:cs="Times New Roman" w:eastAsia="Times New Roman" w:hint="default"/>
        </w:rPr>
        <w:t>1</w:t>
      </w:r>
      <w:r>
        <w:rPr/>
        <w:t>）软件产品开发与销售： 软件产品包括自主开发软件产品和定制开发软件产品。自主开发软件产品指公司自</w:t>
      </w:r>
    </w:p>
    <w:p>
      <w:pPr>
        <w:spacing w:after="0" w:line="321" w:lineRule="auto"/>
        <w:jc w:val="left"/>
        <w:sectPr>
          <w:pgSz w:w="11910" w:h="16840"/>
          <w:pgMar w:header="851" w:footer="982" w:top="1360" w:bottom="1180" w:left="1660" w:right="1080"/>
        </w:sectPr>
      </w:pPr>
    </w:p>
    <w:p>
      <w:pPr>
        <w:spacing w:line="240" w:lineRule="auto" w:before="10"/>
        <w:rPr>
          <w:rFonts w:ascii="宋体" w:hAnsi="宋体" w:cs="宋体" w:eastAsia="宋体" w:hint="default"/>
          <w:sz w:val="9"/>
          <w:szCs w:val="9"/>
        </w:rPr>
      </w:pPr>
    </w:p>
    <w:p>
      <w:pPr>
        <w:pStyle w:val="BodyText"/>
        <w:spacing w:line="343" w:lineRule="auto" w:before="35"/>
        <w:ind w:left="1400" w:right="204"/>
        <w:jc w:val="left"/>
      </w:pPr>
      <w:r>
        <w:rPr/>
        <w:t>行开发研制的软件产品；定制开发软件产品指公司根据买方的实际需求进行定制、</w:t>
      </w:r>
      <w:r>
        <w:rPr>
          <w:spacing w:val="-97"/>
        </w:rPr>
        <w:t> </w:t>
      </w:r>
      <w:r>
        <w:rPr>
          <w:spacing w:val="-97"/>
        </w:rPr>
      </w:r>
      <w:r>
        <w:rPr/>
        <w:t>开发的软件产品。 对于自主开发软件产品的销售，公司在软件产品的主要风险和报酬已转移给买方，</w:t>
      </w:r>
      <w:r>
        <w:rPr>
          <w:spacing w:val="-97"/>
        </w:rPr>
        <w:t> </w:t>
      </w:r>
      <w:r>
        <w:rPr>
          <w:spacing w:val="-97"/>
        </w:rPr>
      </w:r>
      <w:r>
        <w:rPr/>
        <w:t>不再保留与之相联系的管理权和控制权，取得明确的收款证据，相关成本能够可靠</w:t>
      </w:r>
      <w:r>
        <w:rPr>
          <w:spacing w:val="-97"/>
        </w:rPr>
        <w:t> </w:t>
      </w:r>
      <w:r>
        <w:rPr>
          <w:spacing w:val="-97"/>
        </w:rPr>
      </w:r>
      <w:r>
        <w:rPr/>
        <w:t>地计量时，确认收入。 对于定制开发软件产品，经客户验收确认，按完工百分比确认收入。 对于包含在系统集成中的软件产品，按系统集成的收入确认原则确认收入。</w:t>
      </w:r>
    </w:p>
    <w:p>
      <w:pPr>
        <w:spacing w:line="240" w:lineRule="auto" w:before="0"/>
        <w:rPr>
          <w:rFonts w:ascii="宋体" w:hAnsi="宋体" w:cs="宋体" w:eastAsia="宋体" w:hint="default"/>
          <w:sz w:val="20"/>
          <w:szCs w:val="20"/>
        </w:rPr>
      </w:pPr>
    </w:p>
    <w:p>
      <w:pPr>
        <w:pStyle w:val="BodyText"/>
        <w:spacing w:line="240" w:lineRule="auto" w:before="173"/>
        <w:ind w:left="1400" w:right="312"/>
        <w:jc w:val="left"/>
      </w:pPr>
      <w:r>
        <w:rPr/>
        <w:t>（</w:t>
      </w:r>
      <w:r>
        <w:rPr>
          <w:rFonts w:ascii="Times New Roman" w:hAnsi="Times New Roman" w:cs="Times New Roman" w:eastAsia="Times New Roman" w:hint="default"/>
        </w:rPr>
        <w:t>2</w:t>
      </w:r>
      <w:r>
        <w:rPr/>
        <w:t>）技术服务收入：</w:t>
      </w:r>
    </w:p>
    <w:p>
      <w:pPr>
        <w:pStyle w:val="BodyText"/>
        <w:spacing w:line="345" w:lineRule="auto" w:before="109"/>
        <w:ind w:left="1399" w:right="198"/>
        <w:jc w:val="left"/>
      </w:pPr>
      <w:r>
        <w:rPr/>
        <w:t>技术服务包括公司向客户提供的与</w:t>
      </w:r>
      <w:r>
        <w:rPr>
          <w:spacing w:val="-46"/>
        </w:rPr>
        <w:t> </w:t>
      </w:r>
      <w:r>
        <w:rPr>
          <w:rFonts w:ascii="Times New Roman" w:hAnsi="Times New Roman" w:cs="Times New Roman" w:eastAsia="Times New Roman" w:hint="default"/>
        </w:rPr>
        <w:t>IT</w:t>
      </w:r>
      <w:r>
        <w:rPr>
          <w:rFonts w:ascii="Times New Roman" w:hAnsi="Times New Roman" w:cs="Times New Roman" w:eastAsia="Times New Roman" w:hint="default"/>
          <w:spacing w:val="7"/>
        </w:rPr>
        <w:t> </w:t>
      </w:r>
      <w:r>
        <w:rPr>
          <w:spacing w:val="-5"/>
        </w:rPr>
        <w:t>运维管理相关的技术支持、技术咨询、技术开</w:t>
      </w:r>
      <w:r>
        <w:rPr/>
        <w:t> 发、系统维护、运营管理等服务内容。 公司在已根据合同约定提供了相应服务，取得明确的收款证据，相关成本能够可靠</w:t>
      </w:r>
      <w:r>
        <w:rPr>
          <w:spacing w:val="-97"/>
        </w:rPr>
        <w:t> </w:t>
      </w:r>
      <w:r>
        <w:rPr>
          <w:spacing w:val="-97"/>
        </w:rPr>
      </w:r>
      <w:r>
        <w:rPr/>
        <w:t>地计量时，确认收入。合同明确约定服务期限的，在合同约定的服务期限内，按进</w:t>
      </w:r>
      <w:r>
        <w:rPr>
          <w:spacing w:val="-97"/>
        </w:rPr>
        <w:t> </w:t>
      </w:r>
      <w:r>
        <w:rPr>
          <w:spacing w:val="-97"/>
        </w:rPr>
      </w:r>
      <w:r>
        <w:rPr/>
        <w:t>度确认收入；合同明确约定服务成果需经客户验收确认的，根据客户验收情况确认</w:t>
      </w:r>
      <w:r>
        <w:rPr>
          <w:spacing w:val="-97"/>
        </w:rPr>
        <w:t> </w:t>
      </w:r>
      <w:r>
        <w:rPr>
          <w:spacing w:val="-97"/>
        </w:rPr>
      </w:r>
      <w:r>
        <w:rPr/>
        <w:t>收入。</w:t>
      </w:r>
    </w:p>
    <w:p>
      <w:pPr>
        <w:spacing w:line="240" w:lineRule="auto" w:before="0"/>
        <w:rPr>
          <w:rFonts w:ascii="宋体" w:hAnsi="宋体" w:cs="宋体" w:eastAsia="宋体" w:hint="default"/>
          <w:sz w:val="20"/>
          <w:szCs w:val="20"/>
        </w:rPr>
      </w:pPr>
    </w:p>
    <w:p>
      <w:pPr>
        <w:pStyle w:val="BodyText"/>
        <w:spacing w:line="338" w:lineRule="auto" w:before="171"/>
        <w:ind w:left="1399" w:right="205"/>
        <w:jc w:val="left"/>
      </w:pPr>
      <w:r>
        <w:rPr/>
        <w:t>（</w:t>
      </w:r>
      <w:r>
        <w:rPr>
          <w:rFonts w:ascii="Times New Roman" w:hAnsi="Times New Roman" w:cs="Times New Roman" w:eastAsia="Times New Roman" w:hint="default"/>
        </w:rPr>
        <w:t>3</w:t>
      </w:r>
      <w:r>
        <w:rPr/>
        <w:t>）系统集成收入： 系统集成包括外购软硬件产品和公司软件产品的销售及安装。 对于系统集成，公司根据合同的约定，在系统集成中的外购软硬件产品和公司软件</w:t>
      </w:r>
    </w:p>
    <w:p>
      <w:pPr>
        <w:pStyle w:val="BodyText"/>
        <w:spacing w:line="348" w:lineRule="auto" w:before="40"/>
        <w:ind w:left="1399" w:right="103"/>
        <w:jc w:val="left"/>
      </w:pPr>
      <w:r>
        <w:rPr>
          <w:spacing w:val="-3"/>
        </w:rPr>
        <w:t>产品的主要风险和报酬已转移给买方，不再保留与之相联系的继续管理权和控制权，</w:t>
      </w:r>
      <w:r>
        <w:rPr>
          <w:spacing w:val="-89"/>
        </w:rPr>
        <w:t> </w:t>
      </w:r>
      <w:r>
        <w:rPr>
          <w:spacing w:val="-89"/>
        </w:rPr>
      </w:r>
      <w:r>
        <w:rPr/>
        <w:t>系统已按合同约定的条件安装调试、取得了买方的验收确认，相关成本能够可靠地</w:t>
      </w:r>
      <w:r>
        <w:rPr>
          <w:spacing w:val="-97"/>
        </w:rPr>
        <w:t> </w:t>
      </w:r>
      <w:r>
        <w:rPr>
          <w:spacing w:val="-97"/>
        </w:rPr>
      </w:r>
      <w:r>
        <w:rPr/>
        <w:t>计量时，按完工百分比确认收入。</w:t>
      </w:r>
    </w:p>
    <w:p>
      <w:pPr>
        <w:spacing w:line="240" w:lineRule="auto" w:before="0"/>
        <w:rPr>
          <w:rFonts w:ascii="宋体" w:hAnsi="宋体" w:cs="宋体" w:eastAsia="宋体" w:hint="default"/>
          <w:sz w:val="20"/>
          <w:szCs w:val="20"/>
        </w:rPr>
      </w:pPr>
    </w:p>
    <w:p>
      <w:pPr>
        <w:pStyle w:val="BodyText"/>
        <w:spacing w:line="240" w:lineRule="auto" w:before="169"/>
        <w:ind w:left="1399" w:right="312"/>
        <w:jc w:val="left"/>
      </w:pPr>
      <w:r>
        <w:rPr/>
        <w:t>（</w:t>
      </w:r>
      <w:r>
        <w:rPr>
          <w:rFonts w:ascii="Times New Roman" w:hAnsi="Times New Roman" w:cs="Times New Roman" w:eastAsia="Times New Roman" w:hint="default"/>
        </w:rPr>
        <w:t>4</w:t>
      </w:r>
      <w:r>
        <w:rPr/>
        <w:t>）完工百分比的确认方法：</w:t>
      </w:r>
    </w:p>
    <w:p>
      <w:pPr>
        <w:pStyle w:val="BodyText"/>
        <w:spacing w:line="240" w:lineRule="auto" w:before="109"/>
        <w:ind w:left="1399" w:right="312"/>
        <w:jc w:val="left"/>
        <w:rPr>
          <w:rFonts w:ascii="Times New Roman" w:hAnsi="Times New Roman" w:cs="Times New Roman" w:eastAsia="Times New Roman" w:hint="default"/>
        </w:rPr>
      </w:pPr>
      <w:r>
        <w:rPr/>
        <w:t>完工百分比 </w:t>
      </w:r>
      <w:r>
        <w:rPr>
          <w:rFonts w:ascii="Times New Roman" w:hAnsi="Times New Roman" w:cs="Times New Roman" w:eastAsia="Times New Roman" w:hint="default"/>
        </w:rPr>
        <w:t>=  </w:t>
      </w:r>
      <w:r>
        <w:rPr/>
        <w:t>（ 已发生工时 </w:t>
      </w:r>
      <w:r>
        <w:rPr>
          <w:rFonts w:ascii="Times New Roman" w:hAnsi="Times New Roman" w:cs="Times New Roman" w:eastAsia="Times New Roman" w:hint="default"/>
        </w:rPr>
        <w:t>÷  </w:t>
      </w:r>
      <w:r>
        <w:rPr/>
        <w:t>项目总工时 ） </w:t>
      </w:r>
      <w:r>
        <w:rPr>
          <w:rFonts w:ascii="Times New Roman" w:hAnsi="Times New Roman" w:cs="Times New Roman" w:eastAsia="Times New Roman" w:hint="default"/>
        </w:rPr>
        <w:t>×</w:t>
      </w:r>
      <w:r>
        <w:rPr>
          <w:rFonts w:ascii="Times New Roman" w:hAnsi="Times New Roman" w:cs="Times New Roman" w:eastAsia="Times New Roman" w:hint="default"/>
          <w:spacing w:val="-7"/>
        </w:rPr>
        <w:t> </w:t>
      </w:r>
      <w:r>
        <w:rPr>
          <w:rFonts w:ascii="Times New Roman" w:hAnsi="Times New Roman" w:cs="Times New Roman" w:eastAsia="Times New Roman" w:hint="default"/>
        </w:rPr>
        <w:t>100%</w:t>
      </w: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pStyle w:val="Heading2"/>
        <w:tabs>
          <w:tab w:pos="538" w:val="left" w:leader="none"/>
        </w:tabs>
        <w:spacing w:line="240" w:lineRule="auto" w:before="150"/>
        <w:ind w:left="0" w:right="1238"/>
        <w:jc w:val="center"/>
        <w:rPr>
          <w:b w:val="0"/>
          <w:bCs w:val="0"/>
        </w:rPr>
      </w:pPr>
      <w:r>
        <w:rPr>
          <w:rFonts w:ascii="Times New Roman" w:hAnsi="Times New Roman" w:cs="Times New Roman" w:eastAsia="Times New Roman" w:hint="default"/>
          <w:w w:val="95"/>
        </w:rPr>
        <w:t>2</w:t>
      </w:r>
      <w:r>
        <w:rPr>
          <w:w w:val="95"/>
        </w:rPr>
        <w:t>、</w:t>
        <w:tab/>
      </w:r>
      <w:r>
        <w:rPr/>
        <w:t>上述交易如交易结果不能够可靠估计的，分别下列情况处理：</w:t>
      </w:r>
      <w:r>
        <w:rPr>
          <w:b w:val="0"/>
          <w:bCs w:val="0"/>
        </w:rPr>
      </w:r>
    </w:p>
    <w:p>
      <w:pPr>
        <w:pStyle w:val="BodyText"/>
        <w:spacing w:line="328" w:lineRule="auto" w:before="110"/>
        <w:ind w:left="1399" w:right="205"/>
        <w:jc w:val="left"/>
      </w:pPr>
      <w:r>
        <w:rPr>
          <w:spacing w:val="-3"/>
        </w:rPr>
        <w:t>（</w:t>
      </w:r>
      <w:r>
        <w:rPr>
          <w:rFonts w:ascii="Times New Roman" w:hAnsi="Times New Roman" w:cs="Times New Roman" w:eastAsia="Times New Roman" w:hint="default"/>
          <w:spacing w:val="-3"/>
        </w:rPr>
        <w:t>1</w:t>
      </w:r>
      <w:r>
        <w:rPr>
          <w:spacing w:val="-3"/>
        </w:rPr>
        <w:t>）已经发生的成本预计能够得到补偿的，按照已经发生的成本金额确认收入，并</w:t>
      </w:r>
      <w:r>
        <w:rPr>
          <w:spacing w:val="-90"/>
        </w:rPr>
        <w:t> </w:t>
      </w:r>
      <w:r>
        <w:rPr>
          <w:spacing w:val="-90"/>
        </w:rPr>
      </w:r>
      <w:r>
        <w:rPr/>
        <w:t>按相同金额结转成本。</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BodyText"/>
        <w:spacing w:line="328" w:lineRule="auto"/>
        <w:ind w:left="1399" w:right="205"/>
        <w:jc w:val="left"/>
      </w:pPr>
      <w:r>
        <w:rPr>
          <w:spacing w:val="-3"/>
        </w:rPr>
        <w:t>（</w:t>
      </w:r>
      <w:r>
        <w:rPr>
          <w:rFonts w:ascii="Times New Roman" w:hAnsi="Times New Roman" w:cs="Times New Roman" w:eastAsia="Times New Roman" w:hint="default"/>
          <w:spacing w:val="-3"/>
        </w:rPr>
        <w:t>2</w:t>
      </w:r>
      <w:r>
        <w:rPr>
          <w:spacing w:val="-3"/>
        </w:rPr>
        <w:t>）已经发生的成本预计不能够得到补偿的，将已经发生的成本计入当期损益，不</w:t>
      </w:r>
      <w:r>
        <w:rPr>
          <w:spacing w:val="-90"/>
        </w:rPr>
        <w:t> </w:t>
      </w:r>
      <w:r>
        <w:rPr>
          <w:spacing w:val="-90"/>
        </w:rPr>
      </w:r>
      <w:r>
        <w:rPr/>
        <w:t>确认收入。</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Heading2"/>
        <w:tabs>
          <w:tab w:pos="1399" w:val="left" w:leader="none"/>
        </w:tabs>
        <w:spacing w:line="240" w:lineRule="auto"/>
        <w:ind w:right="312"/>
        <w:jc w:val="left"/>
        <w:rPr>
          <w:b w:val="0"/>
          <w:bCs w:val="0"/>
        </w:rPr>
      </w:pPr>
      <w:r>
        <w:rPr>
          <w:rFonts w:ascii="Times New Roman" w:hAnsi="Times New Roman" w:cs="Times New Roman" w:eastAsia="Times New Roman" w:hint="default"/>
          <w:w w:val="95"/>
        </w:rPr>
        <w:t>(</w:t>
      </w:r>
      <w:r>
        <w:rPr>
          <w:w w:val="95"/>
        </w:rPr>
        <w:t>二十一</w:t>
      </w:r>
      <w:r>
        <w:rPr>
          <w:rFonts w:ascii="Times New Roman" w:hAnsi="Times New Roman" w:cs="Times New Roman" w:eastAsia="Times New Roman" w:hint="default"/>
          <w:w w:val="95"/>
        </w:rPr>
        <w:t>)</w:t>
        <w:tab/>
      </w:r>
      <w:r>
        <w:rPr/>
        <w:t>政府补助</w:t>
      </w:r>
      <w:r>
        <w:rPr>
          <w:b w:val="0"/>
          <w:bCs w:val="0"/>
        </w:rPr>
      </w:r>
    </w:p>
    <w:p>
      <w:pPr>
        <w:spacing w:after="0" w:line="240" w:lineRule="auto"/>
        <w:jc w:val="left"/>
        <w:sectPr>
          <w:pgSz w:w="11910" w:h="16840"/>
          <w:pgMar w:header="851" w:footer="982" w:top="1360" w:bottom="1180" w:left="1660" w:right="106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1"/>
          <w:szCs w:val="21"/>
        </w:rPr>
      </w:pPr>
    </w:p>
    <w:p>
      <w:pPr>
        <w:pStyle w:val="BodyText"/>
        <w:tabs>
          <w:tab w:pos="1396" w:val="left" w:leader="none"/>
        </w:tabs>
        <w:spacing w:line="340" w:lineRule="auto" w:before="35"/>
        <w:ind w:left="1400" w:right="231" w:hanging="543"/>
        <w:jc w:val="left"/>
      </w:pP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spacing w:val="1"/>
        </w:rPr>
        <w:t>类型</w:t>
      </w:r>
      <w:r>
        <w:rPr>
          <w:rFonts w:ascii="宋体" w:hAnsi="宋体" w:cs="宋体" w:eastAsia="宋体" w:hint="default"/>
          <w:b/>
          <w:bCs/>
          <w:spacing w:val="1"/>
          <w:w w:val="99"/>
        </w:rPr>
        <w:t> </w:t>
      </w:r>
      <w:r>
        <w:rPr/>
        <w:t>政府补助，是本公司从政府无偿取得的货币性资产与非货币性资产。分为与资产相 关的政府补助和与收益相关的政府补助。</w:t>
      </w:r>
    </w:p>
    <w:p>
      <w:pPr>
        <w:pStyle w:val="Heading2"/>
        <w:tabs>
          <w:tab w:pos="1396" w:val="left" w:leader="none"/>
        </w:tabs>
        <w:spacing w:line="240" w:lineRule="auto" w:before="36"/>
        <w:ind w:left="857" w:right="224"/>
        <w:jc w:val="left"/>
        <w:rPr>
          <w:b w:val="0"/>
          <w:bCs w:val="0"/>
        </w:rPr>
      </w:pPr>
      <w:r>
        <w:rPr>
          <w:rFonts w:ascii="Times New Roman" w:hAnsi="Times New Roman" w:cs="Times New Roman" w:eastAsia="Times New Roman" w:hint="default"/>
          <w:w w:val="95"/>
        </w:rPr>
        <w:t>2</w:t>
      </w:r>
      <w:r>
        <w:rPr>
          <w:w w:val="95"/>
        </w:rPr>
        <w:t>、</w:t>
        <w:tab/>
      </w:r>
      <w:r>
        <w:rPr/>
        <w:t>会计处理方法</w:t>
      </w:r>
      <w:r>
        <w:rPr>
          <w:b w:val="0"/>
          <w:bCs w:val="0"/>
        </w:rPr>
      </w:r>
    </w:p>
    <w:p>
      <w:pPr>
        <w:pStyle w:val="BodyText"/>
        <w:spacing w:line="350" w:lineRule="auto" w:before="110"/>
        <w:ind w:left="1400" w:right="224"/>
        <w:jc w:val="left"/>
      </w:pPr>
      <w:r>
        <w:rPr/>
        <w:t>与购建固定资产、无形资产等长期资产相关的政府补助，确认为递延收益，按照所</w:t>
      </w:r>
      <w:r>
        <w:rPr>
          <w:spacing w:val="-97"/>
        </w:rPr>
        <w:t> </w:t>
      </w:r>
      <w:r>
        <w:rPr>
          <w:spacing w:val="-97"/>
        </w:rPr>
      </w:r>
      <w:r>
        <w:rPr/>
        <w:t>建造或购买的资产使用年限分期计入营业外收入； 与收益相关的政府补助，用于补偿企业以后期间的相关费用或损失的，取得时确认</w:t>
      </w:r>
      <w:r>
        <w:rPr>
          <w:spacing w:val="-97"/>
        </w:rPr>
        <w:t> </w:t>
      </w:r>
      <w:r>
        <w:rPr>
          <w:spacing w:val="-97"/>
        </w:rPr>
      </w:r>
      <w:r>
        <w:rPr/>
        <w:t>为递延收益，在确认相关费用的期间计入当期营业外收入；用于补偿企业已发生的</w:t>
      </w:r>
      <w:r>
        <w:rPr>
          <w:spacing w:val="-97"/>
        </w:rPr>
        <w:t> </w:t>
      </w:r>
      <w:r>
        <w:rPr>
          <w:spacing w:val="-97"/>
        </w:rPr>
      </w:r>
      <w:r>
        <w:rPr/>
        <w:t>相关费用或损失的，取得时直接计入当期营业外收入。</w:t>
      </w:r>
    </w:p>
    <w:p>
      <w:pPr>
        <w:spacing w:line="240" w:lineRule="auto" w:before="0"/>
        <w:rPr>
          <w:rFonts w:ascii="宋体" w:hAnsi="宋体" w:cs="宋体" w:eastAsia="宋体" w:hint="default"/>
          <w:sz w:val="20"/>
          <w:szCs w:val="20"/>
        </w:rPr>
      </w:pPr>
    </w:p>
    <w:p>
      <w:pPr>
        <w:pStyle w:val="Heading2"/>
        <w:tabs>
          <w:tab w:pos="1399" w:val="left" w:leader="none"/>
        </w:tabs>
        <w:spacing w:line="240" w:lineRule="auto" w:before="167"/>
        <w:ind w:right="224"/>
        <w:jc w:val="left"/>
        <w:rPr>
          <w:b w:val="0"/>
          <w:bCs w:val="0"/>
        </w:rPr>
      </w:pPr>
      <w:r>
        <w:rPr>
          <w:rFonts w:ascii="Times New Roman" w:hAnsi="Times New Roman" w:cs="Times New Roman" w:eastAsia="Times New Roman" w:hint="default"/>
          <w:w w:val="95"/>
        </w:rPr>
        <w:t>(</w:t>
      </w:r>
      <w:r>
        <w:rPr>
          <w:w w:val="95"/>
        </w:rPr>
        <w:t>二十二</w:t>
      </w:r>
      <w:r>
        <w:rPr>
          <w:rFonts w:ascii="Times New Roman" w:hAnsi="Times New Roman" w:cs="Times New Roman" w:eastAsia="Times New Roman" w:hint="default"/>
          <w:w w:val="95"/>
        </w:rPr>
        <w:t>)</w:t>
        <w:tab/>
      </w:r>
      <w:r>
        <w:rPr/>
        <w:t>递延所得税资产和递延所得税负债</w:t>
      </w:r>
      <w:r>
        <w:rPr>
          <w:b w:val="0"/>
          <w:bCs w:val="0"/>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396" w:val="left" w:leader="none"/>
        </w:tabs>
        <w:spacing w:line="340" w:lineRule="auto" w:before="0"/>
        <w:ind w:left="1399" w:right="231"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确认递延所得税资产的依据</w:t>
      </w:r>
      <w:r>
        <w:rPr>
          <w:rFonts w:ascii="宋体" w:hAnsi="宋体" w:cs="宋体" w:eastAsia="宋体" w:hint="default"/>
          <w:b/>
          <w:bCs/>
          <w:spacing w:val="1"/>
          <w:w w:val="99"/>
          <w:sz w:val="21"/>
          <w:szCs w:val="21"/>
        </w:rPr>
        <w:t> </w:t>
      </w:r>
      <w:r>
        <w:rPr>
          <w:rFonts w:ascii="宋体" w:hAnsi="宋体" w:cs="宋体" w:eastAsia="宋体" w:hint="default"/>
          <w:sz w:val="21"/>
          <w:szCs w:val="21"/>
        </w:rPr>
        <w:t>公司以很可能取得用来抵扣可抵扣暂时性差异的应纳税所得额为限，确认由可抵扣 暂时性差异产生的递延所得税资产。</w:t>
      </w:r>
    </w:p>
    <w:p>
      <w:pPr>
        <w:spacing w:line="240" w:lineRule="auto" w:before="0"/>
        <w:rPr>
          <w:rFonts w:ascii="宋体" w:hAnsi="宋体" w:cs="宋体" w:eastAsia="宋体" w:hint="default"/>
          <w:sz w:val="20"/>
          <w:szCs w:val="20"/>
        </w:rPr>
      </w:pPr>
    </w:p>
    <w:p>
      <w:pPr>
        <w:pStyle w:val="BodyText"/>
        <w:tabs>
          <w:tab w:pos="1396" w:val="left" w:leader="none"/>
        </w:tabs>
        <w:spacing w:line="343" w:lineRule="auto" w:before="175"/>
        <w:ind w:left="1399" w:right="231" w:hanging="543"/>
        <w:jc w:val="left"/>
      </w:pPr>
      <w:r>
        <w:rPr>
          <w:rFonts w:ascii="Times New Roman" w:hAnsi="Times New Roman" w:cs="Times New Roman" w:eastAsia="Times New Roman" w:hint="default"/>
          <w:b/>
          <w:bCs/>
          <w:w w:val="95"/>
        </w:rPr>
        <w:t>2</w:t>
      </w:r>
      <w:r>
        <w:rPr>
          <w:rFonts w:ascii="宋体" w:hAnsi="宋体" w:cs="宋体" w:eastAsia="宋体" w:hint="default"/>
          <w:b/>
          <w:bCs/>
          <w:w w:val="95"/>
        </w:rPr>
        <w:t>、</w:t>
        <w:tab/>
      </w:r>
      <w:r>
        <w:rPr>
          <w:rFonts w:ascii="宋体" w:hAnsi="宋体" w:cs="宋体" w:eastAsia="宋体" w:hint="default"/>
          <w:b/>
          <w:bCs/>
        </w:rPr>
        <w:t>确认递延所得税负债的依据</w:t>
      </w:r>
      <w:r>
        <w:rPr>
          <w:rFonts w:ascii="宋体" w:hAnsi="宋体" w:cs="宋体" w:eastAsia="宋体" w:hint="default"/>
          <w:b/>
          <w:bCs/>
          <w:spacing w:val="1"/>
          <w:w w:val="99"/>
        </w:rPr>
        <w:t> </w:t>
      </w:r>
      <w:r>
        <w:rPr/>
        <w:t>公司将当期与以前期间应交未交的应纳税暂时性差异确认为递延所得税负债。但不 包括商誉、非企业合并形成的交易且该交易发生时既不影响会计利润也不影响应纳 税所得额所形成的暂时性差异。</w:t>
      </w:r>
    </w:p>
    <w:p>
      <w:pPr>
        <w:spacing w:line="240" w:lineRule="auto" w:before="0"/>
        <w:rPr>
          <w:rFonts w:ascii="宋体" w:hAnsi="宋体" w:cs="宋体" w:eastAsia="宋体" w:hint="default"/>
          <w:sz w:val="20"/>
          <w:szCs w:val="20"/>
        </w:rPr>
      </w:pPr>
    </w:p>
    <w:p>
      <w:pPr>
        <w:pStyle w:val="Heading2"/>
        <w:tabs>
          <w:tab w:pos="1399" w:val="left" w:leader="none"/>
        </w:tabs>
        <w:spacing w:line="240" w:lineRule="auto" w:before="172"/>
        <w:ind w:right="224"/>
        <w:jc w:val="left"/>
        <w:rPr>
          <w:b w:val="0"/>
          <w:bCs w:val="0"/>
        </w:rPr>
      </w:pPr>
      <w:r>
        <w:rPr>
          <w:rFonts w:ascii="Times New Roman" w:hAnsi="Times New Roman" w:cs="Times New Roman" w:eastAsia="Times New Roman" w:hint="default"/>
          <w:w w:val="95"/>
        </w:rPr>
        <w:t>(</w:t>
      </w:r>
      <w:r>
        <w:rPr>
          <w:w w:val="95"/>
        </w:rPr>
        <w:t>二十三</w:t>
      </w:r>
      <w:r>
        <w:rPr>
          <w:rFonts w:ascii="Times New Roman" w:hAnsi="Times New Roman" w:cs="Times New Roman" w:eastAsia="Times New Roman" w:hint="default"/>
          <w:w w:val="95"/>
        </w:rPr>
        <w:t>)</w:t>
        <w:tab/>
      </w:r>
      <w:r>
        <w:rPr/>
        <w:t>主要会计政策、会计估计的变更</w:t>
      </w:r>
      <w:r>
        <w:rPr>
          <w:b w:val="0"/>
          <w:bCs w:val="0"/>
        </w:rPr>
      </w:r>
    </w:p>
    <w:p>
      <w:pPr>
        <w:pStyle w:val="BodyText"/>
        <w:spacing w:line="240" w:lineRule="auto" w:before="110"/>
        <w:ind w:left="1487" w:right="224"/>
        <w:jc w:val="left"/>
      </w:pPr>
      <w:r>
        <w:rPr/>
        <w:t>本报告期主要会计政策、会计估计未变更。</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2"/>
        <w:tabs>
          <w:tab w:pos="1399" w:val="left" w:leader="none"/>
        </w:tabs>
        <w:spacing w:line="240" w:lineRule="auto"/>
        <w:ind w:right="224"/>
        <w:jc w:val="left"/>
        <w:rPr>
          <w:b w:val="0"/>
          <w:bCs w:val="0"/>
        </w:rPr>
      </w:pPr>
      <w:r>
        <w:rPr>
          <w:rFonts w:ascii="Times New Roman" w:hAnsi="Times New Roman" w:cs="Times New Roman" w:eastAsia="Times New Roman" w:hint="default"/>
          <w:w w:val="95"/>
        </w:rPr>
        <w:t>(</w:t>
      </w:r>
      <w:r>
        <w:rPr>
          <w:w w:val="95"/>
        </w:rPr>
        <w:t>二十四</w:t>
      </w:r>
      <w:r>
        <w:rPr>
          <w:rFonts w:ascii="Times New Roman" w:hAnsi="Times New Roman" w:cs="Times New Roman" w:eastAsia="Times New Roman" w:hint="default"/>
          <w:w w:val="95"/>
        </w:rPr>
        <w:t>)</w:t>
        <w:tab/>
      </w:r>
      <w:r>
        <w:rPr/>
        <w:t>前期会计差错更正</w:t>
      </w:r>
      <w:r>
        <w:rPr>
          <w:b w:val="0"/>
          <w:bCs w:val="0"/>
        </w:rPr>
      </w:r>
    </w:p>
    <w:p>
      <w:pPr>
        <w:pStyle w:val="BodyText"/>
        <w:spacing w:line="240" w:lineRule="auto" w:before="110"/>
        <w:ind w:left="1382" w:right="224"/>
        <w:jc w:val="left"/>
      </w:pPr>
      <w:r>
        <w:rPr/>
        <w:t>本报告期未发现采用追溯重述法的前期会计差错。</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2"/>
        <w:tabs>
          <w:tab w:pos="854" w:val="left" w:leader="none"/>
        </w:tabs>
        <w:spacing w:line="240" w:lineRule="auto"/>
        <w:ind w:right="224"/>
        <w:jc w:val="left"/>
        <w:rPr>
          <w:b w:val="0"/>
          <w:bCs w:val="0"/>
        </w:rPr>
      </w:pPr>
      <w:r>
        <w:rPr>
          <w:w w:val="95"/>
        </w:rPr>
        <w:t>三、</w:t>
        <w:tab/>
      </w:r>
      <w:r>
        <w:rPr/>
        <w:t>税项</w:t>
      </w:r>
      <w:r>
        <w:rPr>
          <w:b w:val="0"/>
          <w:bCs w:val="0"/>
        </w:rPr>
      </w:r>
    </w:p>
    <w:p>
      <w:pPr>
        <w:tabs>
          <w:tab w:pos="853" w:val="left" w:leader="none"/>
        </w:tabs>
        <w:spacing w:before="126"/>
        <w:ind w:left="125" w:right="224" w:firstLine="0"/>
        <w:jc w:val="left"/>
        <w:rPr>
          <w:rFonts w:ascii="宋体" w:hAnsi="宋体" w:cs="宋体" w:eastAsia="宋体" w:hint="default"/>
          <w:sz w:val="21"/>
          <w:szCs w:val="21"/>
        </w:rPr>
      </w:pPr>
      <w:r>
        <w:rPr/>
        <w:pict>
          <v:group style="position:absolute;margin-left:119.520004pt;margin-top:43.099468pt;width:417.9pt;height:57.2pt;mso-position-horizontal-relative:page;mso-position-vertical-relative:paragraph;z-index:-711928" coordorigin="2390,862" coordsize="8358,1144">
            <v:shape style="position:absolute;left:8243;top:862;width:10;height:374" type="#_x0000_t75" stroked="false">
              <v:imagedata r:id="rId75" o:title=""/>
            </v:shape>
            <v:shape style="position:absolute;left:2390;top:1217;width:8358;height:788" type="#_x0000_t75" stroked="false">
              <v:imagedata r:id="rId76" o:title=""/>
            </v:shape>
            <w10:wrap type="none"/>
          </v:group>
        </w:pict>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公司主要税种和税率</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749" w:type="dxa"/>
        <w:tblLayout w:type="fixed"/>
        <w:tblCellMar>
          <w:top w:w="0" w:type="dxa"/>
          <w:left w:w="0" w:type="dxa"/>
          <w:bottom w:w="0" w:type="dxa"/>
          <w:right w:w="0" w:type="dxa"/>
        </w:tblCellMar>
        <w:tblLook w:val="01E0"/>
      </w:tblPr>
      <w:tblGrid>
        <w:gridCol w:w="4972"/>
        <w:gridCol w:w="3343"/>
      </w:tblGrid>
      <w:tr>
        <w:trPr>
          <w:trHeight w:val="399" w:hRule="exact"/>
        </w:trPr>
        <w:tc>
          <w:tcPr>
            <w:tcW w:w="4972" w:type="dxa"/>
            <w:tcBorders>
              <w:top w:val="single" w:sz="12" w:space="0" w:color="000000"/>
              <w:left w:val="nil" w:sz="6" w:space="0" w:color="auto"/>
              <w:bottom w:val="nil" w:sz="6" w:space="0" w:color="auto"/>
              <w:right w:val="nil" w:sz="6" w:space="0" w:color="auto"/>
            </w:tcBorders>
          </w:tcPr>
          <w:p>
            <w:pPr>
              <w:pStyle w:val="TableParagraph"/>
              <w:tabs>
                <w:tab w:pos="1283" w:val="left" w:leader="none"/>
              </w:tabs>
              <w:spacing w:line="240" w:lineRule="auto" w:before="16"/>
              <w:ind w:left="863" w:right="0"/>
              <w:jc w:val="center"/>
              <w:rPr>
                <w:rFonts w:ascii="宋体" w:hAnsi="宋体" w:cs="宋体" w:eastAsia="宋体" w:hint="default"/>
                <w:sz w:val="21"/>
                <w:szCs w:val="21"/>
              </w:rPr>
            </w:pPr>
            <w:r>
              <w:rPr>
                <w:rFonts w:ascii="宋体" w:hAnsi="宋体" w:cs="宋体" w:eastAsia="宋体" w:hint="default"/>
                <w:sz w:val="21"/>
                <w:szCs w:val="21"/>
              </w:rPr>
              <w:t>税</w:t>
              <w:tab/>
              <w:t>种</w:t>
            </w:r>
          </w:p>
        </w:tc>
        <w:tc>
          <w:tcPr>
            <w:tcW w:w="3343"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1739"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税率</w:t>
            </w:r>
            <w:r>
              <w:rPr>
                <w:rFonts w:ascii="Times New Roman" w:hAnsi="Times New Roman" w:cs="Times New Roman" w:eastAsia="Times New Roman" w:hint="default"/>
                <w:sz w:val="21"/>
                <w:szCs w:val="21"/>
              </w:rPr>
              <w:t>(%)</w:t>
            </w:r>
          </w:p>
        </w:tc>
      </w:tr>
      <w:tr>
        <w:trPr>
          <w:trHeight w:val="385" w:hRule="exact"/>
        </w:trPr>
        <w:tc>
          <w:tcPr>
            <w:tcW w:w="497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334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9"/>
              <w:jc w:val="right"/>
              <w:rPr>
                <w:rFonts w:ascii="Times New Roman" w:hAnsi="Times New Roman" w:cs="Times New Roman" w:eastAsia="Times New Roman" w:hint="default"/>
                <w:sz w:val="21"/>
                <w:szCs w:val="21"/>
              </w:rPr>
            </w:pPr>
            <w:r>
              <w:rPr>
                <w:rFonts w:ascii="Times New Roman"/>
                <w:sz w:val="21"/>
              </w:rPr>
              <w:t>17</w:t>
            </w:r>
          </w:p>
        </w:tc>
      </w:tr>
      <w:tr>
        <w:trPr>
          <w:trHeight w:val="390" w:hRule="exact"/>
        </w:trPr>
        <w:tc>
          <w:tcPr>
            <w:tcW w:w="4972" w:type="dxa"/>
            <w:tcBorders>
              <w:top w:val="nil" w:sz="6" w:space="0" w:color="auto"/>
              <w:left w:val="nil" w:sz="6" w:space="0" w:color="auto"/>
              <w:bottom w:val="single" w:sz="12" w:space="0" w:color="000000"/>
              <w:right w:val="nil" w:sz="6" w:space="0" w:color="auto"/>
            </w:tcBorders>
          </w:tcPr>
          <w:p>
            <w:pPr>
              <w:pStyle w:val="TableParagraph"/>
              <w:spacing w:line="240" w:lineRule="auto" w:before="17"/>
              <w:ind w:left="107"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3343" w:type="dxa"/>
            <w:tcBorders>
              <w:top w:val="nil" w:sz="6" w:space="0" w:color="auto"/>
              <w:left w:val="nil" w:sz="6" w:space="0" w:color="auto"/>
              <w:bottom w:val="single" w:sz="12" w:space="0" w:color="000000"/>
              <w:right w:val="nil" w:sz="6" w:space="0" w:color="auto"/>
            </w:tcBorders>
          </w:tcPr>
          <w:p>
            <w:pPr>
              <w:pStyle w:val="TableParagraph"/>
              <w:spacing w:line="240" w:lineRule="auto" w:before="66"/>
              <w:ind w:right="100"/>
              <w:jc w:val="right"/>
              <w:rPr>
                <w:rFonts w:ascii="Times New Roman" w:hAnsi="Times New Roman" w:cs="Times New Roman" w:eastAsia="Times New Roman" w:hint="default"/>
                <w:sz w:val="21"/>
                <w:szCs w:val="21"/>
              </w:rPr>
            </w:pPr>
            <w:r>
              <w:rPr>
                <w:rFonts w:ascii="Times New Roman"/>
                <w:sz w:val="21"/>
              </w:rPr>
              <w:t>5</w:t>
            </w:r>
          </w:p>
        </w:tc>
      </w:tr>
    </w:tbl>
    <w:p>
      <w:pPr>
        <w:spacing w:after="0" w:line="240" w:lineRule="auto"/>
        <w:jc w:val="right"/>
        <w:rPr>
          <w:rFonts w:ascii="Times New Roman" w:hAnsi="Times New Roman" w:cs="Times New Roman" w:eastAsia="Times New Roman" w:hint="default"/>
          <w:sz w:val="21"/>
          <w:szCs w:val="21"/>
        </w:rPr>
        <w:sectPr>
          <w:pgSz w:w="11910" w:h="16840"/>
          <w:pgMar w:header="851" w:footer="982" w:top="1360" w:bottom="1180" w:left="1660" w:right="1040"/>
        </w:sectPr>
      </w:pPr>
    </w:p>
    <w:p>
      <w:pPr>
        <w:spacing w:line="240" w:lineRule="auto" w:before="3"/>
        <w:rPr>
          <w:rFonts w:ascii="宋体" w:hAnsi="宋体" w:cs="宋体" w:eastAsia="宋体" w:hint="default"/>
          <w:b/>
          <w:bCs/>
          <w:sz w:val="2"/>
          <w:szCs w:val="2"/>
        </w:rPr>
      </w:pPr>
    </w:p>
    <w:tbl>
      <w:tblPr>
        <w:tblW w:w="0" w:type="auto"/>
        <w:jc w:val="left"/>
        <w:tblInd w:w="749" w:type="dxa"/>
        <w:tblLayout w:type="fixed"/>
        <w:tblCellMar>
          <w:top w:w="0" w:type="dxa"/>
          <w:left w:w="0" w:type="dxa"/>
          <w:bottom w:w="0" w:type="dxa"/>
          <w:right w:w="0" w:type="dxa"/>
        </w:tblCellMar>
        <w:tblLook w:val="01E0"/>
      </w:tblPr>
      <w:tblGrid>
        <w:gridCol w:w="4790"/>
        <w:gridCol w:w="3525"/>
      </w:tblGrid>
      <w:tr>
        <w:trPr>
          <w:trHeight w:val="500" w:hRule="exact"/>
        </w:trPr>
        <w:tc>
          <w:tcPr>
            <w:tcW w:w="4790"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3525" w:type="dxa"/>
            <w:tcBorders>
              <w:top w:val="single" w:sz="12" w:space="0" w:color="000000"/>
              <w:left w:val="nil" w:sz="6" w:space="0" w:color="auto"/>
              <w:bottom w:val="nil" w:sz="6" w:space="0" w:color="auto"/>
              <w:right w:val="nil" w:sz="6" w:space="0" w:color="auto"/>
            </w:tcBorders>
          </w:tcPr>
          <w:p>
            <w:pPr>
              <w:pStyle w:val="TableParagraph"/>
              <w:spacing w:line="240" w:lineRule="auto" w:before="65"/>
              <w:ind w:right="99"/>
              <w:jc w:val="right"/>
              <w:rPr>
                <w:rFonts w:ascii="Times New Roman" w:hAnsi="Times New Roman" w:cs="Times New Roman" w:eastAsia="Times New Roman" w:hint="default"/>
                <w:sz w:val="21"/>
                <w:szCs w:val="21"/>
              </w:rPr>
            </w:pPr>
            <w:r>
              <w:rPr>
                <w:rFonts w:ascii="Times New Roman"/>
                <w:sz w:val="21"/>
              </w:rPr>
              <w:t>25</w:t>
            </w:r>
          </w:p>
        </w:tc>
      </w:tr>
      <w:tr>
        <w:trPr>
          <w:trHeight w:val="384" w:hRule="exact"/>
        </w:trPr>
        <w:tc>
          <w:tcPr>
            <w:tcW w:w="4790"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352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0"/>
              <w:jc w:val="right"/>
              <w:rPr>
                <w:rFonts w:ascii="Times New Roman" w:hAnsi="Times New Roman" w:cs="Times New Roman" w:eastAsia="Times New Roman" w:hint="default"/>
                <w:sz w:val="21"/>
                <w:szCs w:val="21"/>
              </w:rPr>
            </w:pPr>
            <w:r>
              <w:rPr>
                <w:rFonts w:ascii="Times New Roman"/>
                <w:sz w:val="21"/>
              </w:rPr>
              <w:t>7</w:t>
            </w:r>
          </w:p>
        </w:tc>
      </w:tr>
      <w:tr>
        <w:trPr>
          <w:trHeight w:val="391" w:hRule="exact"/>
        </w:trPr>
        <w:tc>
          <w:tcPr>
            <w:tcW w:w="4790"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3525"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100"/>
              <w:jc w:val="right"/>
              <w:rPr>
                <w:rFonts w:ascii="Times New Roman" w:hAnsi="Times New Roman" w:cs="Times New Roman" w:eastAsia="Times New Roman" w:hint="default"/>
                <w:sz w:val="21"/>
                <w:szCs w:val="21"/>
              </w:rPr>
            </w:pPr>
            <w:r>
              <w:rPr>
                <w:rFonts w:ascii="Times New Roman"/>
                <w:sz w:val="21"/>
              </w:rPr>
              <w:t>3</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853" w:val="left" w:leader="none"/>
        </w:tabs>
        <w:spacing w:before="35"/>
        <w:ind w:left="125" w:right="224" w:firstLine="0"/>
        <w:jc w:val="left"/>
        <w:rPr>
          <w:rFonts w:ascii="宋体" w:hAnsi="宋体" w:cs="宋体" w:eastAsia="宋体" w:hint="default"/>
          <w:sz w:val="21"/>
          <w:szCs w:val="21"/>
        </w:rPr>
      </w:pPr>
      <w:r>
        <w:rPr/>
        <w:pict>
          <v:group style="position:absolute;margin-left:88.5pt;margin-top:-87.390556pt;width:444.6pt;height:.1pt;mso-position-horizontal-relative:page;mso-position-vertical-relative:paragraph;z-index:-711904" coordorigin="1770,-1748" coordsize="8892,2">
            <v:shape style="position:absolute;left:1770;top:-1748;width:8892;height:2" coordorigin="1770,-1748" coordsize="8892,0" path="m1770,-1748l10662,-1748e" filled="false" stroked="true" strokeweight=".72pt" strokecolor="#000000">
              <v:path arrowok="t"/>
            </v:shape>
            <w10:wrap type="none"/>
          </v:group>
        </w:pict>
      </w:r>
      <w:r>
        <w:rPr/>
        <w:pict>
          <v:group style="position:absolute;margin-left:119.520004pt;margin-top:-81.570557pt;width:417.9pt;height:57.2pt;mso-position-horizontal-relative:page;mso-position-vertical-relative:paragraph;z-index:-711880" coordorigin="2390,-1631" coordsize="8358,1144">
            <v:shape style="position:absolute;left:8243;top:-1631;width:10;height:374" type="#_x0000_t75" stroked="false">
              <v:imagedata r:id="rId77" o:title=""/>
            </v:shape>
            <v:shape style="position:absolute;left:2390;top:-1276;width:8358;height:788" type="#_x0000_t75" stroked="false">
              <v:imagedata r:id="rId78" o:title=""/>
            </v:shape>
            <w10:wrap type="none"/>
          </v:group>
        </w:pict>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税收优惠及批文</w:t>
      </w:r>
      <w:r>
        <w:rPr>
          <w:rFonts w:ascii="宋体" w:hAnsi="宋体" w:cs="宋体" w:eastAsia="宋体" w:hint="default"/>
          <w:sz w:val="21"/>
          <w:szCs w:val="21"/>
        </w:rPr>
      </w:r>
    </w:p>
    <w:p>
      <w:pPr>
        <w:tabs>
          <w:tab w:pos="1396" w:val="left" w:leader="none"/>
        </w:tabs>
        <w:spacing w:before="109"/>
        <w:ind w:left="857" w:right="224"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pacing w:val="1"/>
          <w:sz w:val="21"/>
          <w:szCs w:val="21"/>
        </w:rPr>
        <w:t>增值税</w:t>
      </w:r>
      <w:r>
        <w:rPr>
          <w:rFonts w:ascii="宋体" w:hAnsi="宋体" w:cs="宋体" w:eastAsia="宋体" w:hint="default"/>
          <w:sz w:val="21"/>
          <w:szCs w:val="21"/>
        </w:rPr>
      </w:r>
    </w:p>
    <w:p>
      <w:pPr>
        <w:pStyle w:val="BodyText"/>
        <w:spacing w:line="328" w:lineRule="auto" w:before="110"/>
        <w:ind w:left="1400" w:right="115"/>
        <w:jc w:val="left"/>
      </w:pPr>
      <w:r>
        <w:rPr/>
        <w:t>根据国务院发布的国发【</w:t>
      </w:r>
      <w:r>
        <w:rPr>
          <w:rFonts w:ascii="Times New Roman" w:hAnsi="Times New Roman" w:cs="Times New Roman" w:eastAsia="Times New Roman" w:hint="default"/>
        </w:rPr>
        <w:t>2000</w:t>
      </w:r>
      <w:r>
        <w:rPr/>
        <w:t>】</w:t>
      </w:r>
      <w:r>
        <w:rPr>
          <w:rFonts w:ascii="Times New Roman" w:hAnsi="Times New Roman" w:cs="Times New Roman" w:eastAsia="Times New Roman" w:hint="default"/>
        </w:rPr>
        <w:t>18</w:t>
      </w:r>
      <w:r>
        <w:rPr>
          <w:rFonts w:ascii="Times New Roman" w:hAnsi="Times New Roman" w:cs="Times New Roman" w:eastAsia="Times New Roman" w:hint="default"/>
          <w:spacing w:val="48"/>
        </w:rPr>
        <w:t> </w:t>
      </w:r>
      <w:r>
        <w:rPr/>
        <w:t>号《国务院关于印发</w:t>
      </w:r>
      <w:r>
        <w:rPr>
          <w:rFonts w:ascii="Times New Roman" w:hAnsi="Times New Roman" w:cs="Times New Roman" w:eastAsia="Times New Roman" w:hint="default"/>
        </w:rPr>
        <w:t>&lt;</w:t>
      </w:r>
      <w:r>
        <w:rPr/>
        <w:t>鼓励软件产业和集成电路 </w:t>
      </w:r>
      <w:r>
        <w:rPr>
          <w:spacing w:val="-6"/>
        </w:rPr>
        <w:t>产业发展若干政策</w:t>
      </w:r>
      <w:r>
        <w:rPr>
          <w:rFonts w:ascii="Times New Roman" w:hAnsi="Times New Roman" w:cs="Times New Roman" w:eastAsia="Times New Roman" w:hint="default"/>
          <w:spacing w:val="-6"/>
        </w:rPr>
        <w:t>&gt;</w:t>
      </w:r>
      <w:r>
        <w:rPr>
          <w:spacing w:val="-6"/>
        </w:rPr>
        <w:t>的通知》和财务部、国家税务总局、海关总署发布的财税【</w:t>
      </w:r>
      <w:r>
        <w:rPr>
          <w:rFonts w:ascii="Times New Roman" w:hAnsi="Times New Roman" w:cs="Times New Roman" w:eastAsia="Times New Roman" w:hint="default"/>
          <w:spacing w:val="-6"/>
        </w:rPr>
        <w:t>2000</w:t>
      </w:r>
      <w:r>
        <w:rPr>
          <w:spacing w:val="-6"/>
        </w:rPr>
        <w:t>】</w:t>
      </w:r>
      <w:r>
        <w:rPr>
          <w:spacing w:val="-79"/>
        </w:rPr>
        <w:t> </w:t>
      </w:r>
      <w:r>
        <w:rPr>
          <w:rFonts w:ascii="Times New Roman" w:hAnsi="Times New Roman" w:cs="Times New Roman" w:eastAsia="Times New Roman" w:hint="default"/>
        </w:rPr>
        <w:t>25</w:t>
      </w:r>
      <w:r>
        <w:rPr>
          <w:rFonts w:ascii="Times New Roman" w:hAnsi="Times New Roman" w:cs="Times New Roman" w:eastAsia="Times New Roman" w:hint="default"/>
          <w:spacing w:val="26"/>
        </w:rPr>
        <w:t> </w:t>
      </w:r>
      <w:r>
        <w:rPr>
          <w:spacing w:val="-2"/>
        </w:rPr>
        <w:t>号《关于鼓励软件产业和集成电路产业发展有关税收政策问题的通知》中的有关</w:t>
      </w:r>
    </w:p>
    <w:p>
      <w:pPr>
        <w:pStyle w:val="BodyText"/>
        <w:spacing w:line="240" w:lineRule="auto" w:before="24"/>
        <w:ind w:left="1400" w:right="115"/>
        <w:jc w:val="left"/>
        <w:rPr>
          <w:rFonts w:ascii="Times New Roman" w:hAnsi="Times New Roman" w:cs="Times New Roman" w:eastAsia="Times New Roman" w:hint="default"/>
        </w:rPr>
      </w:pPr>
      <w:r>
        <w:rPr>
          <w:spacing w:val="2"/>
        </w:rPr>
        <w:t>规定，本公司及全资子公司北京友联创新系统集成有限公司自成立之日（即</w:t>
      </w:r>
      <w:r>
        <w:rPr>
          <w:spacing w:val="31"/>
        </w:rPr>
        <w:t> </w:t>
      </w:r>
      <w:r>
        <w:rPr>
          <w:rFonts w:ascii="Times New Roman" w:hAnsi="Times New Roman" w:cs="Times New Roman" w:eastAsia="Times New Roman" w:hint="default"/>
        </w:rPr>
        <w:t>2001</w:t>
      </w:r>
    </w:p>
    <w:p>
      <w:pPr>
        <w:pStyle w:val="BodyText"/>
        <w:spacing w:line="328" w:lineRule="auto" w:before="109"/>
        <w:ind w:left="1399" w:right="227"/>
        <w:jc w:val="left"/>
      </w:pPr>
      <w:r>
        <w:rPr/>
        <w:t>年</w:t>
      </w:r>
      <w:r>
        <w:rPr>
          <w:spacing w:val="-53"/>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18</w:t>
      </w:r>
      <w:r>
        <w:rPr>
          <w:rFonts w:ascii="Times New Roman" w:hAnsi="Times New Roman" w:cs="Times New Roman" w:eastAsia="Times New Roman" w:hint="default"/>
          <w:spacing w:val="1"/>
        </w:rPr>
        <w:t> </w:t>
      </w:r>
      <w:r>
        <w:rPr/>
        <w:t>日）起至</w:t>
      </w:r>
      <w:r>
        <w:rPr>
          <w:spacing w:val="-53"/>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w:t>
      </w:r>
      <w:r>
        <w:rPr>
          <w:spacing w:val="-53"/>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3"/>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日止销售自行开发生产的软件产品时对增值税 实际税负超过</w:t>
      </w:r>
      <w:r>
        <w:rPr>
          <w:spacing w:val="-55"/>
        </w:rPr>
        <w:t> </w:t>
      </w:r>
      <w:r>
        <w:rPr>
          <w:rFonts w:ascii="Times New Roman" w:hAnsi="Times New Roman" w:cs="Times New Roman" w:eastAsia="Times New Roman" w:hint="default"/>
        </w:rPr>
        <w:t>3%</w:t>
      </w:r>
      <w:r>
        <w:rPr/>
        <w:t>的部分即征即退。</w:t>
      </w:r>
    </w:p>
    <w:p>
      <w:pPr>
        <w:pStyle w:val="Heading2"/>
        <w:tabs>
          <w:tab w:pos="1396" w:val="left" w:leader="none"/>
        </w:tabs>
        <w:spacing w:line="240" w:lineRule="auto" w:before="24"/>
        <w:ind w:left="857" w:right="224"/>
        <w:jc w:val="left"/>
        <w:rPr>
          <w:b w:val="0"/>
          <w:bCs w:val="0"/>
        </w:rPr>
      </w:pPr>
      <w:r>
        <w:rPr>
          <w:rFonts w:ascii="Times New Roman" w:hAnsi="Times New Roman" w:cs="Times New Roman" w:eastAsia="Times New Roman" w:hint="default"/>
          <w:w w:val="95"/>
        </w:rPr>
        <w:t>2</w:t>
      </w:r>
      <w:r>
        <w:rPr>
          <w:w w:val="95"/>
        </w:rPr>
        <w:t>、</w:t>
        <w:tab/>
      </w:r>
      <w:r>
        <w:rPr>
          <w:spacing w:val="1"/>
        </w:rPr>
        <w:t>营业税</w:t>
      </w:r>
      <w:r>
        <w:rPr>
          <w:b w:val="0"/>
          <w:bCs w:val="0"/>
        </w:rPr>
      </w:r>
    </w:p>
    <w:p>
      <w:pPr>
        <w:pStyle w:val="BodyText"/>
        <w:spacing w:line="345" w:lineRule="auto" w:before="109"/>
        <w:ind w:left="1399" w:right="115"/>
        <w:jc w:val="left"/>
      </w:pPr>
      <w:r>
        <w:rPr>
          <w:spacing w:val="-3"/>
        </w:rPr>
        <w:t>根据财政部、国家税务总局《关于贯彻落实〈中共中央、国务院关于加强技术创新，</w:t>
      </w:r>
      <w:r>
        <w:rPr>
          <w:spacing w:val="-86"/>
        </w:rPr>
        <w:t> </w:t>
      </w:r>
      <w:r>
        <w:rPr>
          <w:spacing w:val="-86"/>
        </w:rPr>
      </w:r>
      <w:r>
        <w:rPr>
          <w:spacing w:val="-6"/>
        </w:rPr>
        <w:t>发展高科技，实现产业化的决定〉有关税收问题的通知》（财税字【</w:t>
      </w:r>
      <w:r>
        <w:rPr>
          <w:rFonts w:ascii="Times New Roman" w:hAnsi="Times New Roman" w:cs="Times New Roman" w:eastAsia="Times New Roman" w:hint="default"/>
          <w:spacing w:val="-6"/>
        </w:rPr>
        <w:t>1999</w:t>
      </w:r>
      <w:r>
        <w:rPr>
          <w:spacing w:val="-6"/>
        </w:rPr>
        <w:t>】</w:t>
      </w:r>
      <w:r>
        <w:rPr>
          <w:rFonts w:ascii="Times New Roman" w:hAnsi="Times New Roman" w:cs="Times New Roman" w:eastAsia="Times New Roman" w:hint="default"/>
          <w:spacing w:val="-6"/>
        </w:rPr>
        <w:t>273</w:t>
      </w:r>
      <w:r>
        <w:rPr>
          <w:rFonts w:ascii="Times New Roman" w:hAnsi="Times New Roman" w:cs="Times New Roman" w:eastAsia="Times New Roman" w:hint="default"/>
          <w:spacing w:val="6"/>
        </w:rPr>
        <w:t> </w:t>
      </w:r>
      <w:r>
        <w:rPr>
          <w:spacing w:val="-12"/>
        </w:rPr>
        <w:t>号），</w:t>
      </w:r>
      <w:r>
        <w:rPr/>
        <w:t> 公司及全资子公司北京新媒传信科技有限公司、北京友联创新系统集成有限公司从</w:t>
      </w:r>
      <w:r>
        <w:rPr>
          <w:spacing w:val="-97"/>
        </w:rPr>
        <w:t> </w:t>
      </w:r>
      <w:r>
        <w:rPr>
          <w:spacing w:val="-97"/>
        </w:rPr>
      </w:r>
      <w:r>
        <w:rPr/>
        <w:t>事技术转让、技术开发业务和与之相关的技术咨询、技术服务业务取得的收入，符</w:t>
      </w:r>
      <w:r>
        <w:rPr>
          <w:spacing w:val="-97"/>
        </w:rPr>
        <w:t> </w:t>
      </w:r>
      <w:r>
        <w:rPr>
          <w:spacing w:val="-97"/>
        </w:rPr>
      </w:r>
      <w:r>
        <w:rPr/>
        <w:t>合条件的，免征营业税。</w:t>
      </w:r>
    </w:p>
    <w:p>
      <w:pPr>
        <w:pStyle w:val="Heading2"/>
        <w:tabs>
          <w:tab w:pos="1396" w:val="left" w:leader="none"/>
        </w:tabs>
        <w:spacing w:line="240" w:lineRule="auto" w:before="33"/>
        <w:ind w:left="857" w:right="224"/>
        <w:jc w:val="left"/>
        <w:rPr>
          <w:b w:val="0"/>
          <w:bCs w:val="0"/>
        </w:rPr>
      </w:pPr>
      <w:r>
        <w:rPr>
          <w:rFonts w:ascii="Times New Roman" w:hAnsi="Times New Roman" w:cs="Times New Roman" w:eastAsia="Times New Roman" w:hint="default"/>
          <w:w w:val="95"/>
        </w:rPr>
        <w:t>3</w:t>
      </w:r>
      <w:r>
        <w:rPr>
          <w:w w:val="95"/>
        </w:rPr>
        <w:t>、</w:t>
        <w:tab/>
      </w:r>
      <w:r>
        <w:rPr/>
        <w:t>企业所得税</w:t>
      </w:r>
      <w:r>
        <w:rPr>
          <w:b w:val="0"/>
          <w:bCs w:val="0"/>
        </w:rPr>
      </w:r>
    </w:p>
    <w:p>
      <w:pPr>
        <w:pStyle w:val="BodyText"/>
        <w:spacing w:line="340" w:lineRule="auto" w:before="109"/>
        <w:ind w:left="1399" w:right="229"/>
        <w:jc w:val="both"/>
      </w:pPr>
      <w:r>
        <w:rPr/>
        <w:t>本公司及全资子公司北京新媒传信科技有限公司均被国家发展改革委员会、工业和</w:t>
      </w:r>
      <w:r>
        <w:rPr>
          <w:spacing w:val="-97"/>
        </w:rPr>
        <w:t> </w:t>
      </w:r>
      <w:r>
        <w:rPr>
          <w:spacing w:val="-97"/>
        </w:rPr>
      </w:r>
      <w:r>
        <w:rPr>
          <w:spacing w:val="-5"/>
        </w:rPr>
        <w:t>信息化部、商务部、国家税务总局联合审核认定为</w:t>
      </w:r>
      <w:r>
        <w:rPr>
          <w:spacing w:val="-48"/>
        </w:rPr>
        <w:t> </w:t>
      </w:r>
      <w:r>
        <w:rPr>
          <w:rFonts w:ascii="Times New Roman" w:hAnsi="Times New Roman" w:cs="Times New Roman" w:eastAsia="Times New Roman" w:hint="default"/>
        </w:rPr>
        <w:t>2010</w:t>
      </w:r>
      <w:r>
        <w:rPr>
          <w:rFonts w:ascii="Times New Roman" w:hAnsi="Times New Roman" w:cs="Times New Roman" w:eastAsia="Times New Roman" w:hint="default"/>
          <w:spacing w:val="5"/>
        </w:rPr>
        <w:t> </w:t>
      </w:r>
      <w:r>
        <w:rPr/>
        <w:t>年度国家规划布局内重点软 </w:t>
      </w:r>
      <w:r>
        <w:rPr>
          <w:spacing w:val="-6"/>
        </w:rPr>
        <w:t>件企业，根据《财政部、国家税务总局关于企业所得税若干优惠政策的通知》（财税</w:t>
      </w:r>
    </w:p>
    <w:p>
      <w:pPr>
        <w:pStyle w:val="BodyText"/>
        <w:spacing w:line="343" w:lineRule="auto" w:before="36"/>
        <w:ind w:left="1399" w:right="219"/>
        <w:jc w:val="left"/>
      </w:pPr>
      <w:r>
        <w:rPr/>
        <w:t>【</w:t>
      </w:r>
      <w:r>
        <w:rPr>
          <w:rFonts w:ascii="Times New Roman" w:hAnsi="Times New Roman" w:cs="Times New Roman" w:eastAsia="Times New Roman" w:hint="default"/>
        </w:rPr>
        <w:t>2008</w:t>
      </w:r>
      <w:r>
        <w:rPr/>
        <w:t>】</w:t>
      </w:r>
      <w:r>
        <w:rPr>
          <w:rFonts w:ascii="Times New Roman" w:hAnsi="Times New Roman" w:cs="Times New Roman" w:eastAsia="Times New Roman" w:hint="default"/>
        </w:rPr>
        <w:t>1 </w:t>
      </w:r>
      <w:r>
        <w:rPr/>
        <w:t>号）的规定，按</w:t>
      </w:r>
      <w:r>
        <w:rPr>
          <w:spacing w:val="-54"/>
        </w:rPr>
        <w:t> </w:t>
      </w:r>
      <w:r>
        <w:rPr>
          <w:rFonts w:ascii="Times New Roman" w:hAnsi="Times New Roman" w:cs="Times New Roman" w:eastAsia="Times New Roman" w:hint="default"/>
        </w:rPr>
        <w:t>10%</w:t>
      </w:r>
      <w:r>
        <w:rPr/>
        <w:t>的税率计缴企业所得税。 公司全资子公司北京友联创新系统集成有限公司被认定为高新技术企业，根据《企</w:t>
      </w:r>
      <w:r>
        <w:rPr>
          <w:spacing w:val="-97"/>
        </w:rPr>
        <w:t> </w:t>
      </w:r>
      <w:r>
        <w:rPr>
          <w:spacing w:val="-97"/>
        </w:rPr>
      </w:r>
      <w:r>
        <w:rPr/>
        <w:t>业所得税法》规定并在北京市海淀区国家税务局完成备案登记，本年减按</w:t>
      </w:r>
      <w:r>
        <w:rPr>
          <w:spacing w:val="6"/>
        </w:rPr>
        <w:t> </w:t>
      </w:r>
      <w:r>
        <w:rPr/>
        <w:t>15%的税</w:t>
      </w:r>
      <w:r>
        <w:rPr/>
        <w:t> 率征收企业所得税。</w:t>
      </w:r>
    </w:p>
    <w:p>
      <w:pPr>
        <w:spacing w:after="0" w:line="343" w:lineRule="auto"/>
        <w:jc w:val="left"/>
        <w:sectPr>
          <w:pgSz w:w="11910" w:h="16840"/>
          <w:pgMar w:header="851" w:footer="982" w:top="1300" w:bottom="1180" w:left="1660" w:right="10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1"/>
          <w:szCs w:val="21"/>
        </w:rPr>
      </w:pPr>
    </w:p>
    <w:p>
      <w:pPr>
        <w:pStyle w:val="Heading2"/>
        <w:tabs>
          <w:tab w:pos="853" w:val="left" w:leader="none"/>
        </w:tabs>
        <w:spacing w:line="240" w:lineRule="auto" w:before="35"/>
        <w:ind w:right="7680"/>
        <w:jc w:val="left"/>
        <w:rPr>
          <w:b w:val="0"/>
          <w:bCs w:val="0"/>
        </w:rPr>
      </w:pPr>
      <w:r>
        <w:rPr>
          <w:w w:val="95"/>
        </w:rPr>
        <w:t>四、</w:t>
        <w:tab/>
      </w:r>
      <w:r>
        <w:rPr/>
        <w:t>企业合并及合并财务报表</w:t>
      </w:r>
      <w:r>
        <w:rPr>
          <w:b w:val="0"/>
          <w:bCs w:val="0"/>
        </w:rPr>
      </w:r>
    </w:p>
    <w:p>
      <w:pPr>
        <w:tabs>
          <w:tab w:pos="853" w:val="left" w:leader="none"/>
        </w:tabs>
        <w:spacing w:line="331" w:lineRule="auto" w:before="125"/>
        <w:ind w:left="857" w:right="7680" w:hanging="732"/>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子公司情况</w:t>
      </w:r>
      <w:r>
        <w:rPr>
          <w:rFonts w:ascii="宋体" w:hAnsi="宋体" w:cs="宋体" w:eastAsia="宋体" w:hint="default"/>
          <w:b/>
          <w:bCs/>
          <w:w w:val="99"/>
          <w:sz w:val="21"/>
          <w:szCs w:val="21"/>
        </w:rPr>
        <w:t> </w:t>
      </w:r>
      <w:r>
        <w:rPr>
          <w:rFonts w:ascii="宋体" w:hAnsi="宋体" w:cs="宋体" w:eastAsia="宋体" w:hint="default"/>
          <w:sz w:val="21"/>
          <w:szCs w:val="21"/>
        </w:rPr>
        <w:t>本节下列表式数据中的金额单位，除非特别注明外均为人民币万元。</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Heading2"/>
        <w:tabs>
          <w:tab w:pos="1397" w:val="left" w:leader="none"/>
        </w:tabs>
        <w:spacing w:line="240" w:lineRule="auto"/>
        <w:ind w:left="857" w:right="7680"/>
        <w:jc w:val="left"/>
        <w:rPr>
          <w:b w:val="0"/>
          <w:bCs w:val="0"/>
        </w:rPr>
      </w:pPr>
      <w:r>
        <w:rPr/>
        <w:pict>
          <v:group style="position:absolute;margin-left:101.830994pt;margin-top:35.894669pt;width:699.95pt;height:171.9pt;mso-position-horizontal-relative:page;mso-position-vertical-relative:paragraph;z-index:-711856" coordorigin="2037,718" coordsize="13999,3438">
            <v:shape style="position:absolute;left:2037;top:718;width:13999;height:3438" type="#_x0000_t75" stroked="false">
              <v:imagedata r:id="rId81" o:title=""/>
            </v:shape>
            <v:shape style="position:absolute;left:3933;top:2245;width:48;height:1910" type="#_x0000_t75" stroked="false">
              <v:imagedata r:id="rId82" o:title=""/>
            </v:shape>
            <v:shape style="position:absolute;left:4643;top:2245;width:48;height:1901" type="#_x0000_t75" stroked="false">
              <v:imagedata r:id="rId83" o:title=""/>
            </v:shape>
            <v:shape style="position:absolute;left:5523;top:2245;width:48;height:1910" type="#_x0000_t75" stroked="false">
              <v:imagedata r:id="rId82" o:title=""/>
            </v:shape>
            <v:shape style="position:absolute;left:6399;top:2245;width:48;height:1910" type="#_x0000_t75" stroked="false">
              <v:imagedata r:id="rId82" o:title=""/>
            </v:shape>
            <v:shape style="position:absolute;left:9355;top:2245;width:48;height:1901" type="#_x0000_t75" stroked="false">
              <v:imagedata r:id="rId83" o:title=""/>
            </v:shape>
            <v:shape style="position:absolute;left:10231;top:2245;width:48;height:1910" type="#_x0000_t75" stroked="false">
              <v:imagedata r:id="rId82" o:title=""/>
            </v:shape>
            <v:shape style="position:absolute;left:11199;top:2245;width:48;height:1910" type="#_x0000_t75" stroked="false">
              <v:imagedata r:id="rId82" o:title=""/>
            </v:shape>
            <v:shape style="position:absolute;left:11719;top:2245;width:48;height:1901" type="#_x0000_t75" stroked="false">
              <v:imagedata r:id="rId83" o:title=""/>
            </v:shape>
            <v:shape style="position:absolute;left:12427;top:2245;width:48;height:1910" type="#_x0000_t75" stroked="false">
              <v:imagedata r:id="rId82" o:title=""/>
            </v:shape>
            <v:shape style="position:absolute;left:13118;top:2245;width:48;height:1910" type="#_x0000_t75" stroked="false">
              <v:imagedata r:id="rId82" o:title=""/>
            </v:shape>
            <v:shape style="position:absolute;left:13749;top:2245;width:48;height:1901" type="#_x0000_t75" stroked="false">
              <v:imagedata r:id="rId83" o:title=""/>
            </v:shape>
            <v:shape style="position:absolute;left:14701;top:2245;width:48;height:1910" type="#_x0000_t75" stroked="false">
              <v:imagedata r:id="rId82" o:title=""/>
            </v:shape>
            <w10:wrap type="none"/>
          </v:group>
        </w:pict>
      </w:r>
      <w:r>
        <w:rPr>
          <w:rFonts w:ascii="Times New Roman" w:hAnsi="Times New Roman" w:cs="Times New Roman" w:eastAsia="Times New Roman" w:hint="default"/>
          <w:w w:val="95"/>
        </w:rPr>
        <w:t>1</w:t>
      </w:r>
      <w:r>
        <w:rPr>
          <w:w w:val="95"/>
        </w:rPr>
        <w:t>、</w:t>
        <w:tab/>
      </w:r>
      <w:r>
        <w:rPr/>
        <w:t>通过设立或投资等方式取得的子公司</w:t>
      </w:r>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1"/>
          <w:szCs w:val="11"/>
        </w:rPr>
      </w:pPr>
    </w:p>
    <w:tbl>
      <w:tblPr>
        <w:tblW w:w="0" w:type="auto"/>
        <w:jc w:val="left"/>
        <w:tblInd w:w="749" w:type="dxa"/>
        <w:tblLayout w:type="fixed"/>
        <w:tblCellMar>
          <w:top w:w="0" w:type="dxa"/>
          <w:left w:w="0" w:type="dxa"/>
          <w:bottom w:w="0" w:type="dxa"/>
          <w:right w:w="0" w:type="dxa"/>
        </w:tblCellMar>
        <w:tblLook w:val="01E0"/>
      </w:tblPr>
      <w:tblGrid>
        <w:gridCol w:w="1227"/>
        <w:gridCol w:w="685"/>
        <w:gridCol w:w="695"/>
        <w:gridCol w:w="917"/>
        <w:gridCol w:w="850"/>
        <w:gridCol w:w="2970"/>
        <w:gridCol w:w="884"/>
        <w:gridCol w:w="946"/>
        <w:gridCol w:w="510"/>
        <w:gridCol w:w="731"/>
        <w:gridCol w:w="662"/>
        <w:gridCol w:w="652"/>
        <w:gridCol w:w="925"/>
        <w:gridCol w:w="1330"/>
      </w:tblGrid>
      <w:tr>
        <w:trPr>
          <w:trHeight w:val="1566" w:hRule="exact"/>
        </w:trPr>
        <w:tc>
          <w:tcPr>
            <w:tcW w:w="1227"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238" w:right="0"/>
              <w:jc w:val="left"/>
              <w:rPr>
                <w:rFonts w:ascii="宋体" w:hAnsi="宋体" w:cs="宋体" w:eastAsia="宋体" w:hint="default"/>
                <w:sz w:val="15"/>
                <w:szCs w:val="15"/>
              </w:rPr>
            </w:pPr>
            <w:r>
              <w:rPr>
                <w:rFonts w:ascii="宋体" w:hAnsi="宋体" w:cs="宋体" w:eastAsia="宋体" w:hint="default"/>
                <w:sz w:val="15"/>
                <w:szCs w:val="15"/>
              </w:rPr>
              <w:t>子公司全称</w:t>
            </w:r>
          </w:p>
        </w:tc>
        <w:tc>
          <w:tcPr>
            <w:tcW w:w="685"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191" w:right="116" w:hanging="76"/>
              <w:jc w:val="left"/>
              <w:rPr>
                <w:rFonts w:ascii="宋体" w:hAnsi="宋体" w:cs="宋体" w:eastAsia="宋体" w:hint="default"/>
                <w:sz w:val="15"/>
                <w:szCs w:val="15"/>
              </w:rPr>
            </w:pPr>
            <w:r>
              <w:rPr>
                <w:rFonts w:ascii="宋体" w:hAnsi="宋体" w:cs="宋体" w:eastAsia="宋体" w:hint="default"/>
                <w:sz w:val="15"/>
                <w:szCs w:val="15"/>
              </w:rPr>
              <w:t>子公司 类型</w:t>
            </w:r>
          </w:p>
        </w:tc>
        <w:tc>
          <w:tcPr>
            <w:tcW w:w="695"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126" w:right="0"/>
              <w:jc w:val="left"/>
              <w:rPr>
                <w:rFonts w:ascii="宋体" w:hAnsi="宋体" w:cs="宋体" w:eastAsia="宋体" w:hint="default"/>
                <w:sz w:val="15"/>
                <w:szCs w:val="15"/>
              </w:rPr>
            </w:pPr>
            <w:r>
              <w:rPr>
                <w:rFonts w:ascii="宋体" w:hAnsi="宋体" w:cs="宋体" w:eastAsia="宋体" w:hint="default"/>
                <w:sz w:val="15"/>
                <w:szCs w:val="15"/>
              </w:rPr>
              <w:t>注册地</w:t>
            </w:r>
          </w:p>
        </w:tc>
        <w:tc>
          <w:tcPr>
            <w:tcW w:w="917"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151" w:right="0"/>
              <w:jc w:val="left"/>
              <w:rPr>
                <w:rFonts w:ascii="宋体" w:hAnsi="宋体" w:cs="宋体" w:eastAsia="宋体" w:hint="default"/>
                <w:sz w:val="15"/>
                <w:szCs w:val="15"/>
              </w:rPr>
            </w:pPr>
            <w:r>
              <w:rPr>
                <w:rFonts w:ascii="宋体" w:hAnsi="宋体" w:cs="宋体" w:eastAsia="宋体" w:hint="default"/>
                <w:sz w:val="15"/>
                <w:szCs w:val="15"/>
              </w:rPr>
              <w:t>业务性质</w:t>
            </w:r>
          </w:p>
        </w:tc>
        <w:tc>
          <w:tcPr>
            <w:tcW w:w="850"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135"/>
              <w:jc w:val="right"/>
              <w:rPr>
                <w:rFonts w:ascii="宋体" w:hAnsi="宋体" w:cs="宋体" w:eastAsia="宋体" w:hint="default"/>
                <w:sz w:val="15"/>
                <w:szCs w:val="15"/>
              </w:rPr>
            </w:pPr>
            <w:r>
              <w:rPr>
                <w:rFonts w:ascii="宋体" w:hAnsi="宋体" w:cs="宋体" w:eastAsia="宋体" w:hint="default"/>
                <w:sz w:val="15"/>
                <w:szCs w:val="15"/>
              </w:rPr>
              <w:t>注册资本</w:t>
            </w:r>
          </w:p>
        </w:tc>
        <w:tc>
          <w:tcPr>
            <w:tcW w:w="2970"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13"/>
              <w:jc w:val="center"/>
              <w:rPr>
                <w:rFonts w:ascii="宋体" w:hAnsi="宋体" w:cs="宋体" w:eastAsia="宋体" w:hint="default"/>
                <w:sz w:val="15"/>
                <w:szCs w:val="15"/>
              </w:rPr>
            </w:pPr>
            <w:r>
              <w:rPr>
                <w:rFonts w:ascii="宋体" w:hAnsi="宋体" w:cs="宋体" w:eastAsia="宋体" w:hint="default"/>
                <w:sz w:val="15"/>
                <w:szCs w:val="15"/>
              </w:rPr>
              <w:t>经营范围</w:t>
            </w:r>
          </w:p>
        </w:tc>
        <w:tc>
          <w:tcPr>
            <w:tcW w:w="884"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273" w:right="84" w:hanging="226"/>
              <w:jc w:val="left"/>
              <w:rPr>
                <w:rFonts w:ascii="宋体" w:hAnsi="宋体" w:cs="宋体" w:eastAsia="宋体" w:hint="default"/>
                <w:sz w:val="15"/>
                <w:szCs w:val="15"/>
              </w:rPr>
            </w:pPr>
            <w:r>
              <w:rPr>
                <w:rFonts w:ascii="宋体" w:hAnsi="宋体" w:cs="宋体" w:eastAsia="宋体" w:hint="default"/>
                <w:sz w:val="15"/>
                <w:szCs w:val="15"/>
              </w:rPr>
              <w:t>期末实际投 资额</w:t>
            </w:r>
          </w:p>
        </w:tc>
        <w:tc>
          <w:tcPr>
            <w:tcW w:w="946"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4"/>
              <w:ind w:right="0"/>
              <w:jc w:val="left"/>
              <w:rPr>
                <w:rFonts w:ascii="宋体" w:hAnsi="宋体" w:cs="宋体" w:eastAsia="宋体" w:hint="default"/>
                <w:b/>
                <w:bCs/>
                <w:sz w:val="18"/>
                <w:szCs w:val="18"/>
              </w:rPr>
            </w:pPr>
          </w:p>
          <w:p>
            <w:pPr>
              <w:pStyle w:val="TableParagraph"/>
              <w:spacing w:line="240" w:lineRule="auto"/>
              <w:ind w:left="86" w:right="107"/>
              <w:jc w:val="both"/>
              <w:rPr>
                <w:rFonts w:ascii="宋体" w:hAnsi="宋体" w:cs="宋体" w:eastAsia="宋体" w:hint="default"/>
                <w:sz w:val="15"/>
                <w:szCs w:val="15"/>
              </w:rPr>
            </w:pPr>
            <w:r>
              <w:rPr>
                <w:rFonts w:ascii="宋体" w:hAnsi="宋体" w:cs="宋体" w:eastAsia="宋体" w:hint="default"/>
                <w:sz w:val="15"/>
                <w:szCs w:val="15"/>
              </w:rPr>
              <w:t>实质上构成 对子公司净 投资的其他 项目余额</w:t>
            </w:r>
          </w:p>
        </w:tc>
        <w:tc>
          <w:tcPr>
            <w:tcW w:w="510"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2"/>
                <w:szCs w:val="12"/>
              </w:rPr>
            </w:pPr>
          </w:p>
          <w:p>
            <w:pPr>
              <w:pStyle w:val="TableParagraph"/>
              <w:spacing w:line="249" w:lineRule="auto"/>
              <w:ind w:left="109" w:right="98"/>
              <w:jc w:val="both"/>
              <w:rPr>
                <w:rFonts w:ascii="Times New Roman" w:hAnsi="Times New Roman" w:cs="Times New Roman" w:eastAsia="Times New Roman" w:hint="default"/>
                <w:sz w:val="15"/>
                <w:szCs w:val="15"/>
              </w:rPr>
            </w:pPr>
            <w:r>
              <w:rPr>
                <w:rFonts w:ascii="宋体" w:hAnsi="宋体" w:cs="宋体" w:eastAsia="宋体" w:hint="default"/>
                <w:sz w:val="15"/>
                <w:szCs w:val="15"/>
              </w:rPr>
              <w:t>持股 比例 </w:t>
            </w:r>
            <w:r>
              <w:rPr>
                <w:rFonts w:ascii="Times New Roman" w:hAnsi="Times New Roman" w:cs="Times New Roman" w:eastAsia="Times New Roman" w:hint="default"/>
                <w:sz w:val="15"/>
                <w:szCs w:val="15"/>
              </w:rPr>
              <w:t>(%)</w:t>
            </w:r>
          </w:p>
        </w:tc>
        <w:tc>
          <w:tcPr>
            <w:tcW w:w="731"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left="99" w:right="103" w:firstLine="37"/>
              <w:jc w:val="left"/>
              <w:rPr>
                <w:rFonts w:ascii="Times New Roman" w:hAnsi="Times New Roman" w:cs="Times New Roman" w:eastAsia="Times New Roman" w:hint="default"/>
                <w:sz w:val="15"/>
                <w:szCs w:val="15"/>
              </w:rPr>
            </w:pPr>
            <w:r>
              <w:rPr>
                <w:rFonts w:ascii="宋体" w:hAnsi="宋体" w:cs="宋体" w:eastAsia="宋体" w:hint="default"/>
                <w:sz w:val="15"/>
                <w:szCs w:val="15"/>
              </w:rPr>
              <w:t>表决权 比例</w:t>
            </w:r>
            <w:r>
              <w:rPr>
                <w:rFonts w:ascii="Times New Roman" w:hAnsi="Times New Roman" w:cs="Times New Roman" w:eastAsia="Times New Roman" w:hint="default"/>
                <w:sz w:val="15"/>
                <w:szCs w:val="15"/>
              </w:rPr>
              <w:t>(%)</w:t>
            </w:r>
          </w:p>
        </w:tc>
        <w:tc>
          <w:tcPr>
            <w:tcW w:w="662"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105" w:right="104"/>
              <w:jc w:val="left"/>
              <w:rPr>
                <w:rFonts w:ascii="宋体" w:hAnsi="宋体" w:cs="宋体" w:eastAsia="宋体" w:hint="default"/>
                <w:sz w:val="15"/>
                <w:szCs w:val="15"/>
              </w:rPr>
            </w:pPr>
            <w:r>
              <w:rPr>
                <w:rFonts w:ascii="宋体" w:hAnsi="宋体" w:cs="宋体" w:eastAsia="宋体" w:hint="default"/>
                <w:sz w:val="15"/>
                <w:szCs w:val="15"/>
              </w:rPr>
              <w:t>是否合 并报表</w:t>
            </w:r>
          </w:p>
        </w:tc>
        <w:tc>
          <w:tcPr>
            <w:tcW w:w="652"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106" w:right="93"/>
              <w:jc w:val="left"/>
              <w:rPr>
                <w:rFonts w:ascii="宋体" w:hAnsi="宋体" w:cs="宋体" w:eastAsia="宋体" w:hint="default"/>
                <w:sz w:val="15"/>
                <w:szCs w:val="15"/>
              </w:rPr>
            </w:pPr>
            <w:r>
              <w:rPr>
                <w:rFonts w:ascii="宋体" w:hAnsi="宋体" w:cs="宋体" w:eastAsia="宋体" w:hint="default"/>
                <w:sz w:val="15"/>
                <w:szCs w:val="15"/>
              </w:rPr>
              <w:t>少数股 东权益</w:t>
            </w:r>
          </w:p>
        </w:tc>
        <w:tc>
          <w:tcPr>
            <w:tcW w:w="925"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4"/>
              <w:ind w:right="0"/>
              <w:jc w:val="left"/>
              <w:rPr>
                <w:rFonts w:ascii="宋体" w:hAnsi="宋体" w:cs="宋体" w:eastAsia="宋体" w:hint="default"/>
                <w:b/>
                <w:bCs/>
                <w:sz w:val="18"/>
                <w:szCs w:val="18"/>
              </w:rPr>
            </w:pPr>
          </w:p>
          <w:p>
            <w:pPr>
              <w:pStyle w:val="TableParagraph"/>
              <w:spacing w:line="240" w:lineRule="auto"/>
              <w:ind w:left="95" w:right="77"/>
              <w:jc w:val="both"/>
              <w:rPr>
                <w:rFonts w:ascii="宋体" w:hAnsi="宋体" w:cs="宋体" w:eastAsia="宋体" w:hint="default"/>
                <w:sz w:val="15"/>
                <w:szCs w:val="15"/>
              </w:rPr>
            </w:pPr>
            <w:r>
              <w:rPr>
                <w:rFonts w:ascii="宋体" w:hAnsi="宋体" w:cs="宋体" w:eastAsia="宋体" w:hint="default"/>
                <w:sz w:val="15"/>
                <w:szCs w:val="15"/>
              </w:rPr>
              <w:t>少数股东权 益中用于冲 减少数股东 损益的金额</w:t>
            </w:r>
          </w:p>
        </w:tc>
        <w:tc>
          <w:tcPr>
            <w:tcW w:w="1330" w:type="dxa"/>
            <w:tcBorders>
              <w:top w:val="single" w:sz="12"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9"/>
                <w:szCs w:val="9"/>
              </w:rPr>
            </w:pPr>
          </w:p>
          <w:p>
            <w:pPr>
              <w:pStyle w:val="TableParagraph"/>
              <w:spacing w:line="240" w:lineRule="auto"/>
              <w:ind w:left="79" w:right="48"/>
              <w:jc w:val="center"/>
              <w:rPr>
                <w:rFonts w:ascii="宋体" w:hAnsi="宋体" w:cs="宋体" w:eastAsia="宋体" w:hint="default"/>
                <w:sz w:val="15"/>
                <w:szCs w:val="15"/>
              </w:rPr>
            </w:pPr>
            <w:r>
              <w:rPr>
                <w:rFonts w:ascii="宋体" w:hAnsi="宋体" w:cs="宋体" w:eastAsia="宋体" w:hint="default"/>
                <w:sz w:val="15"/>
                <w:szCs w:val="15"/>
              </w:rPr>
              <w:t>从母公司所有者权 益冲减子公司少数 股东分担的本期亏 损超过少数股东在 该子公司期初所有 者权益中所享有份 额后的余额</w:t>
            </w:r>
          </w:p>
        </w:tc>
      </w:tr>
      <w:tr>
        <w:trPr>
          <w:trHeight w:val="1864" w:hRule="exact"/>
        </w:trPr>
        <w:tc>
          <w:tcPr>
            <w:tcW w:w="1227" w:type="dxa"/>
            <w:tcBorders>
              <w:top w:val="nil" w:sz="6" w:space="0" w:color="auto"/>
              <w:left w:val="nil" w:sz="6" w:space="0" w:color="auto"/>
              <w:bottom w:val="single" w:sz="12" w:space="0" w:color="000000"/>
              <w:right w:val="nil" w:sz="6" w:space="0" w:color="auto"/>
            </w:tcBorders>
          </w:tcPr>
          <w:p>
            <w:pPr>
              <w:pStyle w:val="TableParagraph"/>
              <w:spacing w:line="381" w:lineRule="auto" w:before="10"/>
              <w:ind w:left="107" w:right="106"/>
              <w:jc w:val="both"/>
              <w:rPr>
                <w:rFonts w:ascii="宋体" w:hAnsi="宋体" w:cs="宋体" w:eastAsia="宋体" w:hint="default"/>
                <w:sz w:val="15"/>
                <w:szCs w:val="15"/>
              </w:rPr>
            </w:pPr>
            <w:r>
              <w:rPr>
                <w:rFonts w:ascii="宋体" w:hAnsi="宋体" w:cs="宋体" w:eastAsia="宋体" w:hint="default"/>
                <w:spacing w:val="11"/>
                <w:sz w:val="15"/>
                <w:szCs w:val="15"/>
              </w:rPr>
              <w:t>北京</w:t>
            </w:r>
            <w:r>
              <w:rPr>
                <w:rFonts w:ascii="宋体" w:hAnsi="宋体" w:cs="宋体" w:eastAsia="宋体" w:hint="default"/>
                <w:spacing w:val="-54"/>
                <w:sz w:val="15"/>
                <w:szCs w:val="15"/>
              </w:rPr>
              <w:t> </w:t>
            </w:r>
            <w:r>
              <w:rPr>
                <w:rFonts w:ascii="宋体" w:hAnsi="宋体" w:cs="宋体" w:eastAsia="宋体" w:hint="default"/>
                <w:spacing w:val="11"/>
                <w:sz w:val="15"/>
                <w:szCs w:val="15"/>
              </w:rPr>
              <w:t>神州</w:t>
            </w:r>
            <w:r>
              <w:rPr>
                <w:rFonts w:ascii="宋体" w:hAnsi="宋体" w:cs="宋体" w:eastAsia="宋体" w:hint="default"/>
                <w:spacing w:val="-54"/>
                <w:sz w:val="15"/>
                <w:szCs w:val="15"/>
              </w:rPr>
              <w:t> </w:t>
            </w:r>
            <w:r>
              <w:rPr>
                <w:rFonts w:ascii="宋体" w:hAnsi="宋体" w:cs="宋体" w:eastAsia="宋体" w:hint="default"/>
                <w:sz w:val="15"/>
                <w:szCs w:val="15"/>
              </w:rPr>
              <w:t>泰</w:t>
            </w:r>
            <w:r>
              <w:rPr>
                <w:rFonts w:ascii="宋体" w:hAnsi="宋体" w:cs="宋体" w:eastAsia="宋体" w:hint="default"/>
                <w:spacing w:val="-54"/>
                <w:sz w:val="15"/>
                <w:szCs w:val="15"/>
              </w:rPr>
              <w:t> </w:t>
            </w:r>
            <w:r>
              <w:rPr>
                <w:rFonts w:ascii="宋体" w:hAnsi="宋体" w:cs="宋体" w:eastAsia="宋体" w:hint="default"/>
                <w:sz w:val="15"/>
                <w:szCs w:val="15"/>
              </w:rPr>
              <w:t>岳</w:t>
            </w:r>
            <w:r>
              <w:rPr>
                <w:rFonts w:ascii="宋体" w:hAnsi="宋体" w:cs="宋体" w:eastAsia="宋体" w:hint="default"/>
                <w:sz w:val="15"/>
                <w:szCs w:val="15"/>
              </w:rPr>
              <w:t> </w:t>
            </w:r>
            <w:r>
              <w:rPr>
                <w:rFonts w:ascii="宋体" w:hAnsi="宋体" w:cs="宋体" w:eastAsia="宋体" w:hint="default"/>
                <w:spacing w:val="11"/>
                <w:sz w:val="15"/>
                <w:szCs w:val="15"/>
              </w:rPr>
              <w:t>通信</w:t>
            </w:r>
            <w:r>
              <w:rPr>
                <w:rFonts w:ascii="宋体" w:hAnsi="宋体" w:cs="宋体" w:eastAsia="宋体" w:hint="default"/>
                <w:spacing w:val="-54"/>
                <w:sz w:val="15"/>
                <w:szCs w:val="15"/>
              </w:rPr>
              <w:t> </w:t>
            </w:r>
            <w:r>
              <w:rPr>
                <w:rFonts w:ascii="宋体" w:hAnsi="宋体" w:cs="宋体" w:eastAsia="宋体" w:hint="default"/>
                <w:spacing w:val="11"/>
                <w:sz w:val="15"/>
                <w:szCs w:val="15"/>
              </w:rPr>
              <w:t>技术</w:t>
            </w:r>
            <w:r>
              <w:rPr>
                <w:rFonts w:ascii="宋体" w:hAnsi="宋体" w:cs="宋体" w:eastAsia="宋体" w:hint="default"/>
                <w:spacing w:val="-54"/>
                <w:sz w:val="15"/>
                <w:szCs w:val="15"/>
              </w:rPr>
              <w:t> </w:t>
            </w:r>
            <w:r>
              <w:rPr>
                <w:rFonts w:ascii="宋体" w:hAnsi="宋体" w:cs="宋体" w:eastAsia="宋体" w:hint="default"/>
                <w:sz w:val="15"/>
                <w:szCs w:val="15"/>
              </w:rPr>
              <w:t>有</w:t>
            </w:r>
            <w:r>
              <w:rPr>
                <w:rFonts w:ascii="宋体" w:hAnsi="宋体" w:cs="宋体" w:eastAsia="宋体" w:hint="default"/>
                <w:spacing w:val="-54"/>
                <w:sz w:val="15"/>
                <w:szCs w:val="15"/>
              </w:rPr>
              <w:t> </w:t>
            </w:r>
            <w:r>
              <w:rPr>
                <w:rFonts w:ascii="宋体" w:hAnsi="宋体" w:cs="宋体" w:eastAsia="宋体" w:hint="default"/>
                <w:sz w:val="15"/>
                <w:szCs w:val="15"/>
              </w:rPr>
              <w:t>限</w:t>
            </w:r>
            <w:r>
              <w:rPr>
                <w:rFonts w:ascii="宋体" w:hAnsi="宋体" w:cs="宋体" w:eastAsia="宋体" w:hint="default"/>
                <w:sz w:val="15"/>
                <w:szCs w:val="15"/>
              </w:rPr>
              <w:t> 公司</w:t>
            </w:r>
          </w:p>
        </w:tc>
        <w:tc>
          <w:tcPr>
            <w:tcW w:w="685" w:type="dxa"/>
            <w:tcBorders>
              <w:top w:val="nil" w:sz="6" w:space="0" w:color="auto"/>
              <w:left w:val="nil" w:sz="6" w:space="0" w:color="auto"/>
              <w:bottom w:val="single" w:sz="12" w:space="0" w:color="000000"/>
              <w:right w:val="nil" w:sz="6" w:space="0" w:color="auto"/>
            </w:tcBorders>
          </w:tcPr>
          <w:p>
            <w:pPr>
              <w:pStyle w:val="TableParagraph"/>
              <w:spacing w:line="381" w:lineRule="auto" w:before="10"/>
              <w:ind w:left="108" w:right="102"/>
              <w:jc w:val="left"/>
              <w:rPr>
                <w:rFonts w:ascii="宋体" w:hAnsi="宋体" w:cs="宋体" w:eastAsia="宋体" w:hint="default"/>
                <w:sz w:val="15"/>
                <w:szCs w:val="15"/>
              </w:rPr>
            </w:pPr>
            <w:r>
              <w:rPr>
                <w:rFonts w:ascii="宋体" w:hAnsi="宋体" w:cs="宋体" w:eastAsia="宋体" w:hint="default"/>
                <w:spacing w:val="7"/>
                <w:sz w:val="15"/>
                <w:szCs w:val="15"/>
              </w:rPr>
              <w:t>全资子 </w:t>
            </w:r>
            <w:r>
              <w:rPr>
                <w:rFonts w:ascii="宋体" w:hAnsi="宋体" w:cs="宋体" w:eastAsia="宋体" w:hint="default"/>
                <w:sz w:val="15"/>
                <w:szCs w:val="15"/>
              </w:rPr>
              <w:t>公司</w:t>
            </w:r>
          </w:p>
        </w:tc>
        <w:tc>
          <w:tcPr>
            <w:tcW w:w="695"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04" w:right="0"/>
              <w:jc w:val="left"/>
              <w:rPr>
                <w:rFonts w:ascii="宋体" w:hAnsi="宋体" w:cs="宋体" w:eastAsia="宋体" w:hint="default"/>
                <w:sz w:val="15"/>
                <w:szCs w:val="15"/>
              </w:rPr>
            </w:pPr>
            <w:r>
              <w:rPr>
                <w:rFonts w:ascii="宋体" w:hAnsi="宋体" w:cs="宋体" w:eastAsia="宋体" w:hint="default"/>
                <w:sz w:val="15"/>
                <w:szCs w:val="15"/>
              </w:rPr>
              <w:t>北京</w:t>
            </w:r>
          </w:p>
        </w:tc>
        <w:tc>
          <w:tcPr>
            <w:tcW w:w="917" w:type="dxa"/>
            <w:tcBorders>
              <w:top w:val="nil" w:sz="6" w:space="0" w:color="auto"/>
              <w:left w:val="nil" w:sz="6" w:space="0" w:color="auto"/>
              <w:bottom w:val="single" w:sz="12" w:space="0" w:color="000000"/>
              <w:right w:val="nil" w:sz="6" w:space="0" w:color="auto"/>
            </w:tcBorders>
          </w:tcPr>
          <w:p>
            <w:pPr>
              <w:pStyle w:val="TableParagraph"/>
              <w:spacing w:line="381" w:lineRule="auto" w:before="10"/>
              <w:ind w:left="118" w:right="110"/>
              <w:jc w:val="left"/>
              <w:rPr>
                <w:rFonts w:ascii="宋体" w:hAnsi="宋体" w:cs="宋体" w:eastAsia="宋体" w:hint="default"/>
                <w:sz w:val="15"/>
                <w:szCs w:val="15"/>
              </w:rPr>
            </w:pPr>
            <w:r>
              <w:rPr>
                <w:rFonts w:ascii="宋体" w:hAnsi="宋体" w:cs="宋体" w:eastAsia="宋体" w:hint="default"/>
                <w:spacing w:val="15"/>
                <w:sz w:val="15"/>
                <w:szCs w:val="15"/>
              </w:rPr>
              <w:t>计算机应</w:t>
            </w:r>
            <w:r>
              <w:rPr>
                <w:rFonts w:ascii="宋体" w:hAnsi="宋体" w:cs="宋体" w:eastAsia="宋体" w:hint="default"/>
                <w:spacing w:val="-72"/>
                <w:sz w:val="15"/>
                <w:szCs w:val="15"/>
              </w:rPr>
              <w:t> </w:t>
            </w:r>
            <w:r>
              <w:rPr>
                <w:rFonts w:ascii="宋体" w:hAnsi="宋体" w:cs="宋体" w:eastAsia="宋体" w:hint="default"/>
                <w:sz w:val="15"/>
                <w:szCs w:val="15"/>
              </w:rPr>
              <w:t>用服务业</w:t>
            </w:r>
          </w:p>
        </w:tc>
        <w:tc>
          <w:tcPr>
            <w:tcW w:w="850"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right="106"/>
              <w:jc w:val="right"/>
              <w:rPr>
                <w:rFonts w:ascii="Times New Roman" w:hAnsi="Times New Roman" w:cs="Times New Roman" w:eastAsia="Times New Roman" w:hint="default"/>
                <w:sz w:val="15"/>
                <w:szCs w:val="15"/>
              </w:rPr>
            </w:pPr>
            <w:r>
              <w:rPr>
                <w:rFonts w:ascii="Times New Roman"/>
                <w:spacing w:val="-1"/>
                <w:sz w:val="15"/>
              </w:rPr>
              <w:t>500</w:t>
            </w:r>
          </w:p>
        </w:tc>
        <w:tc>
          <w:tcPr>
            <w:tcW w:w="2970" w:type="dxa"/>
            <w:tcBorders>
              <w:top w:val="nil" w:sz="6" w:space="0" w:color="auto"/>
              <w:left w:val="nil" w:sz="6" w:space="0" w:color="auto"/>
              <w:bottom w:val="single" w:sz="12" w:space="0" w:color="000000"/>
              <w:right w:val="nil" w:sz="6" w:space="0" w:color="auto"/>
            </w:tcBorders>
          </w:tcPr>
          <w:p>
            <w:pPr>
              <w:pStyle w:val="TableParagraph"/>
              <w:spacing w:line="381" w:lineRule="auto" w:before="10"/>
              <w:ind w:left="108" w:right="46"/>
              <w:jc w:val="left"/>
              <w:rPr>
                <w:rFonts w:ascii="宋体" w:hAnsi="宋体" w:cs="宋体" w:eastAsia="宋体" w:hint="default"/>
                <w:sz w:val="15"/>
                <w:szCs w:val="15"/>
              </w:rPr>
            </w:pPr>
            <w:r>
              <w:rPr>
                <w:rFonts w:ascii="宋体" w:hAnsi="宋体" w:cs="宋体" w:eastAsia="宋体" w:hint="default"/>
                <w:sz w:val="15"/>
                <w:szCs w:val="15"/>
              </w:rPr>
              <w:t>法律、行政法规、国务院决定禁止的，不</w:t>
            </w:r>
            <w:r>
              <w:rPr>
                <w:rFonts w:ascii="宋体" w:hAnsi="宋体" w:cs="宋体" w:eastAsia="宋体" w:hint="default"/>
                <w:spacing w:val="-42"/>
                <w:sz w:val="15"/>
                <w:szCs w:val="15"/>
              </w:rPr>
              <w:t> </w:t>
            </w:r>
            <w:r>
              <w:rPr>
                <w:rFonts w:ascii="宋体" w:hAnsi="宋体" w:cs="宋体" w:eastAsia="宋体" w:hint="default"/>
                <w:spacing w:val="-42"/>
                <w:sz w:val="15"/>
                <w:szCs w:val="15"/>
              </w:rPr>
            </w:r>
            <w:r>
              <w:rPr>
                <w:rFonts w:ascii="宋体" w:hAnsi="宋体" w:cs="宋体" w:eastAsia="宋体" w:hint="default"/>
                <w:sz w:val="15"/>
                <w:szCs w:val="15"/>
              </w:rPr>
              <w:t>得经营；法律、行政法规、国务院决定规</w:t>
            </w:r>
            <w:r>
              <w:rPr>
                <w:rFonts w:ascii="宋体" w:hAnsi="宋体" w:cs="宋体" w:eastAsia="宋体" w:hint="default"/>
                <w:spacing w:val="-42"/>
                <w:sz w:val="15"/>
                <w:szCs w:val="15"/>
              </w:rPr>
              <w:t> </w:t>
            </w:r>
            <w:r>
              <w:rPr>
                <w:rFonts w:ascii="宋体" w:hAnsi="宋体" w:cs="宋体" w:eastAsia="宋体" w:hint="default"/>
                <w:spacing w:val="-42"/>
                <w:sz w:val="15"/>
                <w:szCs w:val="15"/>
              </w:rPr>
            </w:r>
            <w:r>
              <w:rPr>
                <w:rFonts w:ascii="宋体" w:hAnsi="宋体" w:cs="宋体" w:eastAsia="宋体" w:hint="default"/>
                <w:sz w:val="15"/>
                <w:szCs w:val="15"/>
              </w:rPr>
              <w:t>定应经许可的，经审批机关批准并经工商</w:t>
            </w:r>
            <w:r>
              <w:rPr>
                <w:rFonts w:ascii="宋体" w:hAnsi="宋体" w:cs="宋体" w:eastAsia="宋体" w:hint="default"/>
                <w:spacing w:val="-42"/>
                <w:sz w:val="15"/>
                <w:szCs w:val="15"/>
              </w:rPr>
              <w:t> </w:t>
            </w:r>
            <w:r>
              <w:rPr>
                <w:rFonts w:ascii="宋体" w:hAnsi="宋体" w:cs="宋体" w:eastAsia="宋体" w:hint="default"/>
                <w:spacing w:val="-42"/>
                <w:sz w:val="15"/>
                <w:szCs w:val="15"/>
              </w:rPr>
            </w:r>
            <w:r>
              <w:rPr>
                <w:rFonts w:ascii="宋体" w:hAnsi="宋体" w:cs="宋体" w:eastAsia="宋体" w:hint="default"/>
                <w:spacing w:val="-2"/>
                <w:sz w:val="15"/>
                <w:szCs w:val="15"/>
              </w:rPr>
              <w:t>行政管理机关登记注册后方可经营；法律、</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行政法规、国务院决定未规定许可的，自</w:t>
            </w:r>
            <w:r>
              <w:rPr>
                <w:rFonts w:ascii="宋体" w:hAnsi="宋体" w:cs="宋体" w:eastAsia="宋体" w:hint="default"/>
                <w:spacing w:val="-42"/>
                <w:sz w:val="15"/>
                <w:szCs w:val="15"/>
              </w:rPr>
              <w:t> </w:t>
            </w:r>
            <w:r>
              <w:rPr>
                <w:rFonts w:ascii="宋体" w:hAnsi="宋体" w:cs="宋体" w:eastAsia="宋体" w:hint="default"/>
                <w:spacing w:val="-42"/>
                <w:sz w:val="15"/>
                <w:szCs w:val="15"/>
              </w:rPr>
            </w:r>
            <w:r>
              <w:rPr>
                <w:rFonts w:ascii="宋体" w:hAnsi="宋体" w:cs="宋体" w:eastAsia="宋体" w:hint="default"/>
                <w:sz w:val="15"/>
                <w:szCs w:val="15"/>
              </w:rPr>
              <w:t>主选择经营项目开展经营活动</w:t>
            </w:r>
          </w:p>
        </w:tc>
        <w:tc>
          <w:tcPr>
            <w:tcW w:w="884"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left="527" w:right="0"/>
              <w:jc w:val="left"/>
              <w:rPr>
                <w:rFonts w:ascii="Times New Roman" w:hAnsi="Times New Roman" w:cs="Times New Roman" w:eastAsia="Times New Roman" w:hint="default"/>
                <w:sz w:val="15"/>
                <w:szCs w:val="15"/>
              </w:rPr>
            </w:pPr>
            <w:r>
              <w:rPr>
                <w:rFonts w:ascii="Times New Roman"/>
                <w:sz w:val="15"/>
              </w:rPr>
              <w:t>500</w:t>
            </w:r>
          </w:p>
        </w:tc>
        <w:tc>
          <w:tcPr>
            <w:tcW w:w="946" w:type="dxa"/>
            <w:tcBorders>
              <w:top w:val="nil" w:sz="6" w:space="0" w:color="auto"/>
              <w:left w:val="nil" w:sz="6" w:space="0" w:color="auto"/>
              <w:bottom w:val="single" w:sz="12" w:space="0" w:color="000000"/>
              <w:right w:val="nil" w:sz="6" w:space="0" w:color="auto"/>
            </w:tcBorders>
          </w:tcPr>
          <w:p>
            <w:pPr/>
          </w:p>
        </w:tc>
        <w:tc>
          <w:tcPr>
            <w:tcW w:w="510"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left="185" w:right="0"/>
              <w:jc w:val="left"/>
              <w:rPr>
                <w:rFonts w:ascii="Times New Roman" w:hAnsi="Times New Roman" w:cs="Times New Roman" w:eastAsia="Times New Roman" w:hint="default"/>
                <w:sz w:val="15"/>
                <w:szCs w:val="15"/>
              </w:rPr>
            </w:pPr>
            <w:r>
              <w:rPr>
                <w:rFonts w:ascii="Times New Roman"/>
                <w:sz w:val="15"/>
              </w:rPr>
              <w:t>100</w:t>
            </w:r>
          </w:p>
        </w:tc>
        <w:tc>
          <w:tcPr>
            <w:tcW w:w="731"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left="383" w:right="0"/>
              <w:jc w:val="left"/>
              <w:rPr>
                <w:rFonts w:ascii="Times New Roman" w:hAnsi="Times New Roman" w:cs="Times New Roman" w:eastAsia="Times New Roman" w:hint="default"/>
                <w:sz w:val="15"/>
                <w:szCs w:val="15"/>
              </w:rPr>
            </w:pPr>
            <w:r>
              <w:rPr>
                <w:rFonts w:ascii="Times New Roman"/>
                <w:sz w:val="15"/>
              </w:rPr>
              <w:t>100</w:t>
            </w:r>
          </w:p>
        </w:tc>
        <w:tc>
          <w:tcPr>
            <w:tcW w:w="662"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0"/>
              <w:jc w:val="center"/>
              <w:rPr>
                <w:rFonts w:ascii="宋体" w:hAnsi="宋体" w:cs="宋体" w:eastAsia="宋体" w:hint="default"/>
                <w:sz w:val="15"/>
                <w:szCs w:val="15"/>
              </w:rPr>
            </w:pPr>
            <w:r>
              <w:rPr>
                <w:rFonts w:ascii="宋体" w:hAnsi="宋体" w:cs="宋体" w:eastAsia="宋体" w:hint="default"/>
                <w:sz w:val="15"/>
                <w:szCs w:val="15"/>
              </w:rPr>
              <w:t>是</w:t>
            </w:r>
          </w:p>
        </w:tc>
        <w:tc>
          <w:tcPr>
            <w:tcW w:w="652" w:type="dxa"/>
            <w:tcBorders>
              <w:top w:val="nil" w:sz="6" w:space="0" w:color="auto"/>
              <w:left w:val="nil" w:sz="6" w:space="0" w:color="auto"/>
              <w:bottom w:val="single" w:sz="12" w:space="0" w:color="000000"/>
              <w:right w:val="nil" w:sz="6" w:space="0" w:color="auto"/>
            </w:tcBorders>
          </w:tcPr>
          <w:p>
            <w:pPr/>
          </w:p>
        </w:tc>
        <w:tc>
          <w:tcPr>
            <w:tcW w:w="925" w:type="dxa"/>
            <w:tcBorders>
              <w:top w:val="nil" w:sz="6" w:space="0" w:color="auto"/>
              <w:left w:val="nil" w:sz="6" w:space="0" w:color="auto"/>
              <w:bottom w:val="single" w:sz="12" w:space="0" w:color="000000"/>
              <w:right w:val="nil" w:sz="6" w:space="0" w:color="auto"/>
            </w:tcBorders>
          </w:tcPr>
          <w:p>
            <w:pPr/>
          </w:p>
        </w:tc>
        <w:tc>
          <w:tcPr>
            <w:tcW w:w="1330" w:type="dxa"/>
            <w:tcBorders>
              <w:top w:val="nil" w:sz="6" w:space="0" w:color="auto"/>
              <w:left w:val="nil" w:sz="6" w:space="0" w:color="auto"/>
              <w:bottom w:val="single" w:sz="12" w:space="0" w:color="000000"/>
              <w:right w:val="nil" w:sz="6" w:space="0" w:color="auto"/>
            </w:tcBorders>
          </w:tcPr>
          <w:p>
            <w:pPr/>
          </w:p>
        </w:tc>
      </w:tr>
    </w:tbl>
    <w:p>
      <w:pPr>
        <w:spacing w:after="0"/>
        <w:sectPr>
          <w:headerReference w:type="default" r:id="rId79"/>
          <w:footerReference w:type="default" r:id="rId80"/>
          <w:pgSz w:w="16840" w:h="11910" w:orient="landscape"/>
          <w:pgMar w:header="851" w:footer="978" w:top="1360" w:bottom="1160" w:left="1300" w:right="700"/>
          <w:pgNumType w:start="112"/>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4"/>
          <w:szCs w:val="24"/>
        </w:rPr>
      </w:pPr>
    </w:p>
    <w:p>
      <w:pPr>
        <w:spacing w:after="0" w:line="240" w:lineRule="auto"/>
        <w:rPr>
          <w:rFonts w:ascii="宋体" w:hAnsi="宋体" w:cs="宋体" w:eastAsia="宋体" w:hint="default"/>
          <w:sz w:val="24"/>
          <w:szCs w:val="24"/>
        </w:rPr>
        <w:sectPr>
          <w:pgSz w:w="16840" w:h="11910" w:orient="landscape"/>
          <w:pgMar w:header="851" w:footer="978" w:top="1360" w:bottom="1160" w:left="1300" w:right="680"/>
        </w:sectPr>
      </w:pPr>
    </w:p>
    <w:p>
      <w:pPr>
        <w:spacing w:line="240" w:lineRule="auto" w:before="0"/>
        <w:rPr>
          <w:rFonts w:ascii="宋体" w:hAnsi="宋体" w:cs="宋体" w:eastAsia="宋体" w:hint="default"/>
          <w:b/>
          <w:bCs/>
          <w:sz w:val="14"/>
          <w:szCs w:val="14"/>
        </w:rPr>
      </w:pPr>
    </w:p>
    <w:p>
      <w:pPr>
        <w:spacing w:line="240" w:lineRule="auto" w:before="0"/>
        <w:rPr>
          <w:rFonts w:ascii="宋体" w:hAnsi="宋体" w:cs="宋体" w:eastAsia="宋体" w:hint="default"/>
          <w:b/>
          <w:bCs/>
          <w:sz w:val="14"/>
          <w:szCs w:val="14"/>
        </w:rPr>
      </w:pPr>
    </w:p>
    <w:p>
      <w:pPr>
        <w:spacing w:line="240" w:lineRule="auto" w:before="13"/>
        <w:rPr>
          <w:rFonts w:ascii="宋体" w:hAnsi="宋体" w:cs="宋体" w:eastAsia="宋体" w:hint="default"/>
          <w:b/>
          <w:bCs/>
          <w:sz w:val="19"/>
          <w:szCs w:val="19"/>
        </w:rPr>
      </w:pPr>
    </w:p>
    <w:p>
      <w:pPr>
        <w:tabs>
          <w:tab w:pos="2092" w:val="left" w:leader="none"/>
        </w:tabs>
        <w:spacing w:line="160" w:lineRule="auto" w:before="0"/>
        <w:ind w:left="2167" w:right="0" w:hanging="1180"/>
        <w:jc w:val="left"/>
        <w:rPr>
          <w:rFonts w:ascii="宋体" w:hAnsi="宋体" w:cs="宋体" w:eastAsia="宋体" w:hint="default"/>
          <w:sz w:val="15"/>
          <w:szCs w:val="15"/>
        </w:rPr>
      </w:pPr>
      <w:r>
        <w:rPr>
          <w:rFonts w:ascii="宋体" w:hAnsi="宋体" w:cs="宋体" w:eastAsia="宋体" w:hint="default"/>
          <w:sz w:val="15"/>
          <w:szCs w:val="15"/>
        </w:rPr>
        <w:t>子公司全称</w:t>
        <w:tab/>
      </w:r>
      <w:r>
        <w:rPr>
          <w:rFonts w:ascii="宋体" w:hAnsi="宋体" w:cs="宋体" w:eastAsia="宋体" w:hint="default"/>
          <w:position w:val="10"/>
          <w:sz w:val="15"/>
          <w:szCs w:val="15"/>
        </w:rPr>
        <w:t>子公司</w:t>
      </w:r>
      <w:r>
        <w:rPr>
          <w:rFonts w:ascii="宋体" w:hAnsi="宋体" w:cs="宋体" w:eastAsia="宋体" w:hint="default"/>
          <w:position w:val="10"/>
          <w:sz w:val="15"/>
          <w:szCs w:val="15"/>
        </w:rPr>
        <w:t> </w:t>
      </w:r>
      <w:r>
        <w:rPr>
          <w:rFonts w:ascii="宋体" w:hAnsi="宋体" w:cs="宋体" w:eastAsia="宋体" w:hint="default"/>
          <w:sz w:val="15"/>
          <w:szCs w:val="15"/>
        </w:rPr>
        <w:t>类型</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13"/>
        <w:rPr>
          <w:rFonts w:ascii="宋体" w:hAnsi="宋体" w:cs="宋体" w:eastAsia="宋体" w:hint="default"/>
          <w:sz w:val="19"/>
          <w:szCs w:val="19"/>
        </w:rPr>
      </w:pPr>
    </w:p>
    <w:p>
      <w:pPr>
        <w:tabs>
          <w:tab w:pos="924" w:val="left" w:leader="none"/>
          <w:tab w:pos="1803" w:val="left" w:leader="none"/>
          <w:tab w:pos="3718" w:val="left" w:leader="none"/>
          <w:tab w:pos="5559" w:val="left" w:leader="none"/>
        </w:tabs>
        <w:spacing w:line="160" w:lineRule="auto" w:before="0"/>
        <w:ind w:left="5784" w:right="0" w:hanging="5580"/>
        <w:jc w:val="left"/>
        <w:rPr>
          <w:rFonts w:ascii="宋体" w:hAnsi="宋体" w:cs="宋体" w:eastAsia="宋体" w:hint="default"/>
          <w:sz w:val="15"/>
          <w:szCs w:val="15"/>
        </w:rPr>
      </w:pPr>
      <w:r>
        <w:rPr>
          <w:rFonts w:ascii="宋体" w:hAnsi="宋体" w:cs="宋体" w:eastAsia="宋体" w:hint="default"/>
          <w:sz w:val="15"/>
          <w:szCs w:val="15"/>
        </w:rPr>
        <w:t>注册地</w:t>
        <w:tab/>
        <w:t>业务性质</w:t>
        <w:tab/>
        <w:t>注册资本</w:t>
        <w:tab/>
        <w:t>经营范围</w:t>
        <w:tab/>
      </w:r>
      <w:r>
        <w:rPr>
          <w:rFonts w:ascii="宋体" w:hAnsi="宋体" w:cs="宋体" w:eastAsia="宋体" w:hint="default"/>
          <w:position w:val="10"/>
          <w:sz w:val="15"/>
          <w:szCs w:val="15"/>
        </w:rPr>
        <w:t>期末实际投</w:t>
      </w:r>
      <w:r>
        <w:rPr>
          <w:rFonts w:ascii="宋体" w:hAnsi="宋体" w:cs="宋体" w:eastAsia="宋体" w:hint="default"/>
          <w:position w:val="10"/>
          <w:sz w:val="15"/>
          <w:szCs w:val="15"/>
        </w:rPr>
        <w:t> </w:t>
      </w:r>
      <w:r>
        <w:rPr>
          <w:rFonts w:ascii="宋体" w:hAnsi="宋体" w:cs="宋体" w:eastAsia="宋体" w:hint="default"/>
          <w:sz w:val="15"/>
          <w:szCs w:val="15"/>
        </w:rPr>
        <w:t>资额</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5"/>
        <w:rPr>
          <w:rFonts w:ascii="宋体" w:hAnsi="宋体" w:cs="宋体" w:eastAsia="宋体" w:hint="default"/>
          <w:sz w:val="12"/>
          <w:szCs w:val="12"/>
        </w:rPr>
      </w:pPr>
    </w:p>
    <w:p>
      <w:pPr>
        <w:spacing w:before="0"/>
        <w:ind w:left="132" w:right="0" w:firstLine="0"/>
        <w:jc w:val="both"/>
        <w:rPr>
          <w:rFonts w:ascii="宋体" w:hAnsi="宋体" w:cs="宋体" w:eastAsia="宋体" w:hint="default"/>
          <w:sz w:val="15"/>
          <w:szCs w:val="15"/>
        </w:rPr>
      </w:pPr>
      <w:r>
        <w:rPr>
          <w:rFonts w:ascii="宋体" w:hAnsi="宋体" w:cs="宋体" w:eastAsia="宋体" w:hint="default"/>
          <w:sz w:val="15"/>
          <w:szCs w:val="15"/>
        </w:rPr>
        <w:t>实质上构成 对子公司净 投资的其他 项目余额</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8"/>
        <w:rPr>
          <w:rFonts w:ascii="宋体" w:hAnsi="宋体" w:cs="宋体" w:eastAsia="宋体" w:hint="default"/>
          <w:sz w:val="20"/>
          <w:szCs w:val="20"/>
        </w:rPr>
      </w:pPr>
    </w:p>
    <w:p>
      <w:pPr>
        <w:spacing w:line="249" w:lineRule="auto" w:before="0"/>
        <w:ind w:left="179" w:right="0" w:firstLine="0"/>
        <w:jc w:val="both"/>
        <w:rPr>
          <w:rFonts w:ascii="Times New Roman" w:hAnsi="Times New Roman" w:cs="Times New Roman" w:eastAsia="Times New Roman" w:hint="default"/>
          <w:sz w:val="15"/>
          <w:szCs w:val="15"/>
        </w:rPr>
      </w:pPr>
      <w:r>
        <w:rPr>
          <w:rFonts w:ascii="宋体" w:hAnsi="宋体" w:cs="宋体" w:eastAsia="宋体" w:hint="default"/>
          <w:sz w:val="15"/>
          <w:szCs w:val="15"/>
        </w:rPr>
        <w:t>持股 比例 </w:t>
      </w:r>
      <w:r>
        <w:rPr>
          <w:rFonts w:ascii="Times New Roman" w:hAnsi="Times New Roman" w:cs="Times New Roman" w:eastAsia="Times New Roman" w:hint="default"/>
          <w:sz w:val="15"/>
          <w:szCs w:val="15"/>
        </w:rPr>
        <w:t>(%)</w:t>
      </w:r>
    </w:p>
    <w:p>
      <w:pPr>
        <w:spacing w:line="240" w:lineRule="auto" w:before="0"/>
        <w:rPr>
          <w:rFonts w:ascii="Times New Roman" w:hAnsi="Times New Roman" w:cs="Times New Roman" w:eastAsia="Times New Roman" w:hint="default"/>
          <w:sz w:val="16"/>
          <w:szCs w:val="16"/>
        </w:rPr>
      </w:pPr>
      <w:r>
        <w:rPr/>
        <w:br w:type="column"/>
      </w:r>
      <w:r>
        <w:rPr>
          <w:rFonts w:ascii="Times New Roman"/>
          <w:sz w:val="16"/>
        </w:rPr>
      </w:r>
    </w:p>
    <w:p>
      <w:pPr>
        <w:spacing w:line="240" w:lineRule="auto" w:before="0"/>
        <w:rPr>
          <w:rFonts w:ascii="Times New Roman" w:hAnsi="Times New Roman" w:cs="Times New Roman" w:eastAsia="Times New Roman" w:hint="default"/>
          <w:sz w:val="16"/>
          <w:szCs w:val="16"/>
        </w:rPr>
      </w:pPr>
    </w:p>
    <w:p>
      <w:pPr>
        <w:spacing w:line="240" w:lineRule="auto" w:before="11"/>
        <w:rPr>
          <w:rFonts w:ascii="Times New Roman" w:hAnsi="Times New Roman" w:cs="Times New Roman" w:eastAsia="Times New Roman" w:hint="default"/>
          <w:sz w:val="14"/>
          <w:szCs w:val="14"/>
        </w:rPr>
      </w:pPr>
    </w:p>
    <w:p>
      <w:pPr>
        <w:spacing w:before="0"/>
        <w:ind w:left="160" w:right="-20" w:firstLine="37"/>
        <w:jc w:val="left"/>
        <w:rPr>
          <w:rFonts w:ascii="Times New Roman" w:hAnsi="Times New Roman" w:cs="Times New Roman" w:eastAsia="Times New Roman" w:hint="default"/>
          <w:sz w:val="15"/>
          <w:szCs w:val="15"/>
        </w:rPr>
      </w:pPr>
      <w:r>
        <w:rPr>
          <w:rFonts w:ascii="宋体" w:hAnsi="宋体" w:cs="宋体" w:eastAsia="宋体" w:hint="default"/>
          <w:sz w:val="15"/>
          <w:szCs w:val="15"/>
        </w:rPr>
        <w:t>表决权 比例</w:t>
      </w:r>
      <w:r>
        <w:rPr>
          <w:rFonts w:ascii="Times New Roman" w:hAnsi="Times New Roman" w:cs="Times New Roman" w:eastAsia="Times New Roman" w:hint="default"/>
          <w:sz w:val="15"/>
          <w:szCs w:val="15"/>
        </w:rPr>
        <w:t>(%)</w:t>
      </w:r>
    </w:p>
    <w:p>
      <w:pPr>
        <w:spacing w:line="240" w:lineRule="auto" w:before="0"/>
        <w:rPr>
          <w:rFonts w:ascii="Times New Roman" w:hAnsi="Times New Roman" w:cs="Times New Roman" w:eastAsia="Times New Roman" w:hint="default"/>
          <w:sz w:val="14"/>
          <w:szCs w:val="14"/>
        </w:rPr>
      </w:pPr>
      <w:r>
        <w:rPr/>
        <w:br w:type="column"/>
      </w:r>
      <w:r>
        <w:rPr>
          <w:rFonts w:ascii="Times New Roman"/>
          <w:sz w:val="14"/>
        </w:rPr>
      </w:r>
    </w:p>
    <w:p>
      <w:pPr>
        <w:spacing w:line="240" w:lineRule="auto" w:before="0"/>
        <w:rPr>
          <w:rFonts w:ascii="Times New Roman" w:hAnsi="Times New Roman" w:cs="Times New Roman" w:eastAsia="Times New Roman" w:hint="default"/>
          <w:sz w:val="14"/>
          <w:szCs w:val="14"/>
        </w:rPr>
      </w:pPr>
    </w:p>
    <w:p>
      <w:pPr>
        <w:spacing w:line="240" w:lineRule="auto" w:before="11"/>
        <w:rPr>
          <w:rFonts w:ascii="Times New Roman" w:hAnsi="Times New Roman" w:cs="Times New Roman" w:eastAsia="Times New Roman" w:hint="default"/>
          <w:sz w:val="18"/>
          <w:szCs w:val="18"/>
        </w:rPr>
      </w:pPr>
    </w:p>
    <w:p>
      <w:pPr>
        <w:spacing w:before="0"/>
        <w:ind w:left="171" w:right="-20" w:firstLine="0"/>
        <w:jc w:val="left"/>
        <w:rPr>
          <w:rFonts w:ascii="宋体" w:hAnsi="宋体" w:cs="宋体" w:eastAsia="宋体" w:hint="default"/>
          <w:sz w:val="15"/>
          <w:szCs w:val="15"/>
        </w:rPr>
      </w:pPr>
      <w:r>
        <w:rPr>
          <w:rFonts w:ascii="宋体" w:hAnsi="宋体" w:cs="宋体" w:eastAsia="宋体" w:hint="default"/>
          <w:sz w:val="15"/>
          <w:szCs w:val="15"/>
        </w:rPr>
        <w:t>是否合 并报表</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3"/>
        <w:rPr>
          <w:rFonts w:ascii="宋体" w:hAnsi="宋体" w:cs="宋体" w:eastAsia="宋体" w:hint="default"/>
          <w:sz w:val="13"/>
          <w:szCs w:val="13"/>
        </w:rPr>
      </w:pPr>
    </w:p>
    <w:p>
      <w:pPr>
        <w:spacing w:before="0"/>
        <w:ind w:left="172" w:right="-20" w:firstLine="0"/>
        <w:jc w:val="left"/>
        <w:rPr>
          <w:rFonts w:ascii="宋体" w:hAnsi="宋体" w:cs="宋体" w:eastAsia="宋体" w:hint="default"/>
          <w:sz w:val="15"/>
          <w:szCs w:val="15"/>
        </w:rPr>
      </w:pPr>
      <w:r>
        <w:rPr>
          <w:rFonts w:ascii="宋体" w:hAnsi="宋体" w:cs="宋体" w:eastAsia="宋体" w:hint="default"/>
          <w:sz w:val="15"/>
          <w:szCs w:val="15"/>
        </w:rPr>
        <w:t>少数股 东权益</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5"/>
        <w:rPr>
          <w:rFonts w:ascii="宋体" w:hAnsi="宋体" w:cs="宋体" w:eastAsia="宋体" w:hint="default"/>
          <w:sz w:val="12"/>
          <w:szCs w:val="12"/>
        </w:rPr>
      </w:pPr>
    </w:p>
    <w:p>
      <w:pPr>
        <w:spacing w:before="0"/>
        <w:ind w:left="150" w:right="0" w:firstLine="0"/>
        <w:jc w:val="both"/>
        <w:rPr>
          <w:rFonts w:ascii="宋体" w:hAnsi="宋体" w:cs="宋体" w:eastAsia="宋体" w:hint="default"/>
          <w:sz w:val="15"/>
          <w:szCs w:val="15"/>
        </w:rPr>
      </w:pPr>
      <w:r>
        <w:rPr>
          <w:rFonts w:ascii="宋体" w:hAnsi="宋体" w:cs="宋体" w:eastAsia="宋体" w:hint="default"/>
          <w:sz w:val="15"/>
          <w:szCs w:val="15"/>
        </w:rPr>
        <w:t>少数股东权 益中用于冲 减少数股东 损益的金额</w:t>
      </w:r>
    </w:p>
    <w:p>
      <w:pPr>
        <w:spacing w:before="53"/>
        <w:ind w:left="118" w:right="175" w:firstLine="0"/>
        <w:jc w:val="center"/>
        <w:rPr>
          <w:rFonts w:ascii="宋体" w:hAnsi="宋体" w:cs="宋体" w:eastAsia="宋体" w:hint="default"/>
          <w:sz w:val="15"/>
          <w:szCs w:val="15"/>
        </w:rPr>
      </w:pPr>
      <w:r>
        <w:rPr/>
        <w:br w:type="column"/>
      </w:r>
      <w:r>
        <w:rPr>
          <w:rFonts w:ascii="宋体" w:hAnsi="宋体" w:cs="宋体" w:eastAsia="宋体" w:hint="default"/>
          <w:sz w:val="15"/>
          <w:szCs w:val="15"/>
        </w:rPr>
        <w:t>从母公司所有者权 益冲减子公司少数 股东分担的本期亏 损超过少数股东在 该子公司期初所有 者权益中所享有份 额后的余额</w:t>
      </w:r>
    </w:p>
    <w:p>
      <w:pPr>
        <w:spacing w:after="0"/>
        <w:jc w:val="center"/>
        <w:rPr>
          <w:rFonts w:ascii="宋体" w:hAnsi="宋体" w:cs="宋体" w:eastAsia="宋体" w:hint="default"/>
          <w:sz w:val="15"/>
          <w:szCs w:val="15"/>
        </w:rPr>
        <w:sectPr>
          <w:type w:val="continuous"/>
          <w:pgSz w:w="16840" w:h="11910" w:orient="landscape"/>
          <w:pgMar w:top="1360" w:bottom="1180" w:left="1300" w:right="680"/>
          <w:cols w:num="9" w:equalWidth="0">
            <w:col w:w="2543" w:space="40"/>
            <w:col w:w="6310" w:space="40"/>
            <w:col w:w="883" w:space="40"/>
            <w:col w:w="480" w:space="40"/>
            <w:col w:w="686" w:space="40"/>
            <w:col w:w="622" w:space="40"/>
            <w:col w:w="623" w:space="40"/>
            <w:col w:w="901" w:space="40"/>
            <w:col w:w="1492"/>
          </w:cols>
        </w:sectPr>
      </w:pPr>
    </w:p>
    <w:p>
      <w:pPr>
        <w:spacing w:line="240" w:lineRule="auto" w:before="8"/>
        <w:rPr>
          <w:rFonts w:ascii="宋体" w:hAnsi="宋体" w:cs="宋体" w:eastAsia="宋体" w:hint="default"/>
          <w:sz w:val="8"/>
          <w:szCs w:val="8"/>
        </w:rPr>
      </w:pPr>
      <w:r>
        <w:rPr/>
        <w:pict>
          <v:group style="position:absolute;margin-left:101.000999pt;margin-top:118.199997pt;width:701.8pt;height:378.6pt;mso-position-horizontal-relative:page;mso-position-vertical-relative:page;z-index:-711832" coordorigin="2020,2364" coordsize="14036,7572">
            <v:group style="position:absolute;left:2049;top:2379;width:13984;height:2" coordorigin="2049,2379" coordsize="13984,2">
              <v:shape style="position:absolute;left:2049;top:2379;width:13984;height:2" coordorigin="2049,2379" coordsize="13984,0" path="m2049,2379l16033,2379e" filled="false" stroked="true" strokeweight="1.5pt" strokecolor="#000000">
                <v:path arrowok="t"/>
              </v:shape>
              <v:shape style="position:absolute;left:3253;top:2375;width:11496;height:1556" type="#_x0000_t75" stroked="false">
                <v:imagedata r:id="rId84" o:title=""/>
              </v:shape>
            </v:group>
            <v:group style="position:absolute;left:2035;top:9921;width:1238;height:2" coordorigin="2035,9921" coordsize="1238,2">
              <v:shape style="position:absolute;left:2035;top:9921;width:1238;height:2" coordorigin="2035,9921" coordsize="1238,0" path="m2035,9921l3272,9921e" filled="false" stroked="true" strokeweight="1.5pt" strokecolor="#000000">
                <v:path arrowok="t"/>
              </v:shape>
              <v:shape style="position:absolute;left:2037;top:3899;width:14012;height:6026" type="#_x0000_t75" stroked="false">
                <v:imagedata r:id="rId85" o:title=""/>
              </v:shape>
            </v:group>
            <v:group style="position:absolute;left:3272;top:9921;width:681;height:2" coordorigin="3272,9921" coordsize="681,2">
              <v:shape style="position:absolute;left:3272;top:9921;width:681;height:2" coordorigin="3272,9921" coordsize="681,0" path="m3272,9921l3953,9921e" filled="false" stroked="true" strokeweight="1.5pt" strokecolor="#000000">
                <v:path arrowok="t"/>
              </v:shape>
              <v:shape style="position:absolute;left:3933;top:8716;width:48;height:1210" type="#_x0000_t75" stroked="false">
                <v:imagedata r:id="rId86" o:title=""/>
              </v:shape>
            </v:group>
            <v:group style="position:absolute;left:3953;top:9921;width:710;height:2" coordorigin="3953,9921" coordsize="710,2">
              <v:shape style="position:absolute;left:3953;top:9921;width:710;height:2" coordorigin="3953,9921" coordsize="710,0" path="m3953,9921l4662,9921e" filled="false" stroked="true" strokeweight="1.5pt" strokecolor="#000000">
                <v:path arrowok="t"/>
              </v:shape>
              <v:shape style="position:absolute;left:4643;top:8716;width:48;height:1210" type="#_x0000_t75" stroked="false">
                <v:imagedata r:id="rId86" o:title=""/>
              </v:shape>
            </v:group>
            <v:group style="position:absolute;left:4662;top:9921;width:881;height:2" coordorigin="4662,9921" coordsize="881,2">
              <v:shape style="position:absolute;left:4662;top:9921;width:881;height:2" coordorigin="4662,9921" coordsize="881,0" path="m4662,9921l5543,9921e" filled="false" stroked="true" strokeweight="1.5pt" strokecolor="#000000">
                <v:path arrowok="t"/>
              </v:shape>
              <v:shape style="position:absolute;left:5523;top:8716;width:48;height:1210" type="#_x0000_t75" stroked="false">
                <v:imagedata r:id="rId86" o:title=""/>
              </v:shape>
            </v:group>
            <v:group style="position:absolute;left:5543;top:9921;width:876;height:2" coordorigin="5543,9921" coordsize="876,2">
              <v:shape style="position:absolute;left:5543;top:9921;width:876;height:2" coordorigin="5543,9921" coordsize="876,0" path="m5543,9921l6419,9921e" filled="false" stroked="true" strokeweight="1.5pt" strokecolor="#000000">
                <v:path arrowok="t"/>
              </v:shape>
              <v:shape style="position:absolute;left:6399;top:8716;width:48;height:1190" type="#_x0000_t75" stroked="false">
                <v:imagedata r:id="rId87" o:title=""/>
              </v:shape>
            </v:group>
            <v:group style="position:absolute;left:6419;top:9921;width:2956;height:2" coordorigin="6419,9921" coordsize="2956,2">
              <v:shape style="position:absolute;left:6419;top:9921;width:2956;height:2" coordorigin="6419,9921" coordsize="2956,0" path="m6419,9921l9374,9921e" filled="false" stroked="true" strokeweight="1.5pt" strokecolor="#000000">
                <v:path arrowok="t"/>
              </v:shape>
              <v:shape style="position:absolute;left:9355;top:8716;width:48;height:1210" type="#_x0000_t75" stroked="false">
                <v:imagedata r:id="rId86" o:title=""/>
              </v:shape>
            </v:group>
            <v:group style="position:absolute;left:9374;top:9921;width:876;height:2" coordorigin="9374,9921" coordsize="876,2">
              <v:shape style="position:absolute;left:9374;top:9921;width:876;height:2" coordorigin="9374,9921" coordsize="876,0" path="m9374,9921l10250,9921e" filled="false" stroked="true" strokeweight="1.5pt" strokecolor="#000000">
                <v:path arrowok="t"/>
              </v:shape>
              <v:shape style="position:absolute;left:10231;top:8716;width:48;height:1210" type="#_x0000_t75" stroked="false">
                <v:imagedata r:id="rId86" o:title=""/>
              </v:shape>
            </v:group>
            <v:group style="position:absolute;left:10250;top:9921;width:969;height:2" coordorigin="10250,9921" coordsize="969,2">
              <v:shape style="position:absolute;left:10250;top:9921;width:969;height:2" coordorigin="10250,9921" coordsize="969,0" path="m10250,9921l11219,9921e" filled="false" stroked="true" strokeweight="1.5pt" strokecolor="#000000">
                <v:path arrowok="t"/>
              </v:shape>
              <v:shape style="position:absolute;left:11199;top:8716;width:48;height:1210" type="#_x0000_t75" stroked="false">
                <v:imagedata r:id="rId86" o:title=""/>
              </v:shape>
            </v:group>
            <v:group style="position:absolute;left:11219;top:9921;width:520;height:2" coordorigin="11219,9921" coordsize="520,2">
              <v:shape style="position:absolute;left:11219;top:9921;width:520;height:2" coordorigin="11219,9921" coordsize="520,0" path="m11219,9921l11738,9921e" filled="false" stroked="true" strokeweight="1.5pt" strokecolor="#000000">
                <v:path arrowok="t"/>
              </v:shape>
              <v:shape style="position:absolute;left:11719;top:8716;width:48;height:1210" type="#_x0000_t75" stroked="false">
                <v:imagedata r:id="rId86" o:title=""/>
              </v:shape>
            </v:group>
            <v:group style="position:absolute;left:11738;top:9921;width:708;height:2" coordorigin="11738,9921" coordsize="708,2">
              <v:shape style="position:absolute;left:11738;top:9921;width:708;height:2" coordorigin="11738,9921" coordsize="708,0" path="m11738,9921l12446,9921e" filled="false" stroked="true" strokeweight="1.5pt" strokecolor="#000000">
                <v:path arrowok="t"/>
              </v:shape>
              <v:shape style="position:absolute;left:12427;top:8716;width:48;height:1190" type="#_x0000_t75" stroked="false">
                <v:imagedata r:id="rId87" o:title=""/>
              </v:shape>
            </v:group>
            <v:group style="position:absolute;left:12446;top:9921;width:692;height:2" coordorigin="12446,9921" coordsize="692,2">
              <v:shape style="position:absolute;left:12446;top:9921;width:692;height:2" coordorigin="12446,9921" coordsize="692,0" path="m12446,9921l13137,9921e" filled="false" stroked="true" strokeweight="1.5pt" strokecolor="#000000">
                <v:path arrowok="t"/>
              </v:shape>
              <v:shape style="position:absolute;left:13118;top:8716;width:48;height:1210" type="#_x0000_t75" stroked="false">
                <v:imagedata r:id="rId86" o:title=""/>
              </v:shape>
            </v:group>
            <v:group style="position:absolute;left:13137;top:9921;width:632;height:2" coordorigin="13137,9921" coordsize="632,2">
              <v:shape style="position:absolute;left:13137;top:9921;width:632;height:2" coordorigin="13137,9921" coordsize="632,0" path="m13137,9921l13769,9921e" filled="false" stroked="true" strokeweight="1.5pt" strokecolor="#000000">
                <v:path arrowok="t"/>
              </v:shape>
              <v:shape style="position:absolute;left:13749;top:8716;width:48;height:1210" type="#_x0000_t75" stroked="false">
                <v:imagedata r:id="rId86" o:title=""/>
              </v:shape>
            </v:group>
            <v:group style="position:absolute;left:13769;top:9921;width:952;height:2" coordorigin="13769,9921" coordsize="952,2">
              <v:shape style="position:absolute;left:13769;top:9921;width:952;height:2" coordorigin="13769,9921" coordsize="952,0" path="m13769,9921l14720,9921e" filled="false" stroked="true" strokeweight="1.5pt" strokecolor="#000000">
                <v:path arrowok="t"/>
              </v:shape>
              <v:shape style="position:absolute;left:14701;top:8716;width:48;height:1210" type="#_x0000_t75" stroked="false">
                <v:imagedata r:id="rId86" o:title=""/>
              </v:shape>
            </v:group>
            <v:group style="position:absolute;left:14720;top:9921;width:1320;height:2" coordorigin="14720,9921" coordsize="1320,2">
              <v:shape style="position:absolute;left:14720;top:9921;width:1320;height:2" coordorigin="14720,9921" coordsize="1320,0" path="m14720,9921l16040,9921e" filled="false" stroked="true" strokeweight="1.5pt" strokecolor="#000000">
                <v:path arrowok="t"/>
              </v:shape>
            </v:group>
            <w10:wrap type="none"/>
          </v:group>
        </w:pict>
      </w:r>
    </w:p>
    <w:tbl>
      <w:tblPr>
        <w:tblW w:w="0" w:type="auto"/>
        <w:jc w:val="left"/>
        <w:tblInd w:w="735" w:type="dxa"/>
        <w:tblLayout w:type="fixed"/>
        <w:tblCellMar>
          <w:top w:w="0" w:type="dxa"/>
          <w:left w:w="0" w:type="dxa"/>
          <w:bottom w:w="0" w:type="dxa"/>
          <w:right w:w="0" w:type="dxa"/>
        </w:tblCellMar>
        <w:tblLook w:val="01E0"/>
      </w:tblPr>
      <w:tblGrid>
        <w:gridCol w:w="1241"/>
        <w:gridCol w:w="685"/>
        <w:gridCol w:w="609"/>
        <w:gridCol w:w="1111"/>
        <w:gridCol w:w="742"/>
        <w:gridCol w:w="3116"/>
        <w:gridCol w:w="1239"/>
        <w:gridCol w:w="1098"/>
        <w:gridCol w:w="656"/>
        <w:gridCol w:w="539"/>
      </w:tblGrid>
      <w:tr>
        <w:trPr>
          <w:trHeight w:val="1912" w:hRule="exact"/>
        </w:trPr>
        <w:tc>
          <w:tcPr>
            <w:tcW w:w="1241" w:type="dxa"/>
            <w:tcBorders>
              <w:top w:val="nil" w:sz="6" w:space="0" w:color="auto"/>
              <w:left w:val="nil" w:sz="6" w:space="0" w:color="auto"/>
              <w:bottom w:val="nil" w:sz="6" w:space="0" w:color="auto"/>
              <w:right w:val="nil" w:sz="6" w:space="0" w:color="auto"/>
            </w:tcBorders>
          </w:tcPr>
          <w:p>
            <w:pPr>
              <w:pStyle w:val="TableParagraph"/>
              <w:spacing w:line="150" w:lineRule="exact"/>
              <w:ind w:left="122" w:right="0"/>
              <w:jc w:val="left"/>
              <w:rPr>
                <w:rFonts w:ascii="宋体" w:hAnsi="宋体" w:cs="宋体" w:eastAsia="宋体" w:hint="default"/>
                <w:sz w:val="15"/>
                <w:szCs w:val="15"/>
              </w:rPr>
            </w:pPr>
            <w:r>
              <w:rPr>
                <w:rFonts w:ascii="宋体" w:hAnsi="宋体" w:cs="宋体" w:eastAsia="宋体" w:hint="default"/>
                <w:spacing w:val="11"/>
                <w:sz w:val="15"/>
                <w:szCs w:val="15"/>
              </w:rPr>
              <w:t>北京</w:t>
            </w:r>
            <w:r>
              <w:rPr>
                <w:rFonts w:ascii="宋体" w:hAnsi="宋体" w:cs="宋体" w:eastAsia="宋体" w:hint="default"/>
                <w:spacing w:val="-54"/>
                <w:sz w:val="15"/>
                <w:szCs w:val="15"/>
              </w:rPr>
              <w:t> </w:t>
            </w:r>
            <w:r>
              <w:rPr>
                <w:rFonts w:ascii="宋体" w:hAnsi="宋体" w:cs="宋体" w:eastAsia="宋体" w:hint="default"/>
                <w:spacing w:val="11"/>
                <w:sz w:val="15"/>
                <w:szCs w:val="15"/>
              </w:rPr>
              <w:t>神州</w:t>
            </w:r>
            <w:r>
              <w:rPr>
                <w:rFonts w:ascii="宋体" w:hAnsi="宋体" w:cs="宋体" w:eastAsia="宋体" w:hint="default"/>
                <w:spacing w:val="-54"/>
                <w:sz w:val="15"/>
                <w:szCs w:val="15"/>
              </w:rPr>
              <w:t> </w:t>
            </w:r>
            <w:r>
              <w:rPr>
                <w:rFonts w:ascii="宋体" w:hAnsi="宋体" w:cs="宋体" w:eastAsia="宋体" w:hint="default"/>
                <w:sz w:val="15"/>
                <w:szCs w:val="15"/>
              </w:rPr>
              <w:t>泰</w:t>
            </w:r>
            <w:r>
              <w:rPr>
                <w:rFonts w:ascii="宋体" w:hAnsi="宋体" w:cs="宋体" w:eastAsia="宋体" w:hint="default"/>
                <w:spacing w:val="-54"/>
                <w:sz w:val="15"/>
                <w:szCs w:val="15"/>
              </w:rPr>
              <w:t> </w:t>
            </w:r>
            <w:r>
              <w:rPr>
                <w:rFonts w:ascii="宋体" w:hAnsi="宋体" w:cs="宋体" w:eastAsia="宋体" w:hint="default"/>
                <w:sz w:val="15"/>
                <w:szCs w:val="15"/>
              </w:rPr>
              <w:t>岳</w:t>
            </w:r>
          </w:p>
          <w:p>
            <w:pPr>
              <w:pStyle w:val="TableParagraph"/>
              <w:spacing w:line="381" w:lineRule="auto" w:before="115"/>
              <w:ind w:left="122" w:right="106"/>
              <w:jc w:val="left"/>
              <w:rPr>
                <w:rFonts w:ascii="宋体" w:hAnsi="宋体" w:cs="宋体" w:eastAsia="宋体" w:hint="default"/>
                <w:sz w:val="15"/>
                <w:szCs w:val="15"/>
              </w:rPr>
            </w:pPr>
            <w:r>
              <w:rPr>
                <w:rFonts w:ascii="宋体" w:hAnsi="宋体" w:cs="宋体" w:eastAsia="宋体" w:hint="default"/>
                <w:spacing w:val="11"/>
                <w:sz w:val="15"/>
                <w:szCs w:val="15"/>
              </w:rPr>
              <w:t>信息</w:t>
            </w:r>
            <w:r>
              <w:rPr>
                <w:rFonts w:ascii="宋体" w:hAnsi="宋体" w:cs="宋体" w:eastAsia="宋体" w:hint="default"/>
                <w:spacing w:val="-54"/>
                <w:sz w:val="15"/>
                <w:szCs w:val="15"/>
              </w:rPr>
              <w:t> </w:t>
            </w:r>
            <w:r>
              <w:rPr>
                <w:rFonts w:ascii="宋体" w:hAnsi="宋体" w:cs="宋体" w:eastAsia="宋体" w:hint="default"/>
                <w:spacing w:val="11"/>
                <w:sz w:val="15"/>
                <w:szCs w:val="15"/>
              </w:rPr>
              <w:t>安全</w:t>
            </w:r>
            <w:r>
              <w:rPr>
                <w:rFonts w:ascii="宋体" w:hAnsi="宋体" w:cs="宋体" w:eastAsia="宋体" w:hint="default"/>
                <w:spacing w:val="-54"/>
                <w:sz w:val="15"/>
                <w:szCs w:val="15"/>
              </w:rPr>
              <w:t> </w:t>
            </w:r>
            <w:r>
              <w:rPr>
                <w:rFonts w:ascii="宋体" w:hAnsi="宋体" w:cs="宋体" w:eastAsia="宋体" w:hint="default"/>
                <w:sz w:val="15"/>
                <w:szCs w:val="15"/>
              </w:rPr>
              <w:t>技</w:t>
            </w:r>
            <w:r>
              <w:rPr>
                <w:rFonts w:ascii="宋体" w:hAnsi="宋体" w:cs="宋体" w:eastAsia="宋体" w:hint="default"/>
                <w:spacing w:val="-54"/>
                <w:sz w:val="15"/>
                <w:szCs w:val="15"/>
              </w:rPr>
              <w:t> </w:t>
            </w:r>
            <w:r>
              <w:rPr>
                <w:rFonts w:ascii="宋体" w:hAnsi="宋体" w:cs="宋体" w:eastAsia="宋体" w:hint="default"/>
                <w:sz w:val="15"/>
                <w:szCs w:val="15"/>
              </w:rPr>
              <w:t>术</w:t>
            </w:r>
            <w:r>
              <w:rPr>
                <w:rFonts w:ascii="宋体" w:hAnsi="宋体" w:cs="宋体" w:eastAsia="宋体" w:hint="default"/>
                <w:sz w:val="15"/>
                <w:szCs w:val="15"/>
              </w:rPr>
              <w:t> 有限公司</w:t>
            </w:r>
          </w:p>
        </w:tc>
        <w:tc>
          <w:tcPr>
            <w:tcW w:w="685" w:type="dxa"/>
            <w:tcBorders>
              <w:top w:val="nil" w:sz="6" w:space="0" w:color="auto"/>
              <w:left w:val="nil" w:sz="6" w:space="0" w:color="auto"/>
              <w:bottom w:val="nil" w:sz="6" w:space="0" w:color="auto"/>
              <w:right w:val="nil" w:sz="6" w:space="0" w:color="auto"/>
            </w:tcBorders>
          </w:tcPr>
          <w:p>
            <w:pPr>
              <w:pStyle w:val="TableParagraph"/>
              <w:spacing w:line="150" w:lineRule="exact"/>
              <w:ind w:left="108" w:right="0"/>
              <w:jc w:val="left"/>
              <w:rPr>
                <w:rFonts w:ascii="宋体" w:hAnsi="宋体" w:cs="宋体" w:eastAsia="宋体" w:hint="default"/>
                <w:sz w:val="15"/>
                <w:szCs w:val="15"/>
              </w:rPr>
            </w:pPr>
            <w:r>
              <w:rPr>
                <w:rFonts w:ascii="宋体" w:hAnsi="宋体" w:cs="宋体" w:eastAsia="宋体" w:hint="default"/>
                <w:spacing w:val="7"/>
                <w:sz w:val="15"/>
                <w:szCs w:val="15"/>
              </w:rPr>
              <w:t>全资子</w:t>
            </w:r>
            <w:r>
              <w:rPr>
                <w:rFonts w:ascii="宋体" w:hAnsi="宋体" w:cs="宋体" w:eastAsia="宋体" w:hint="default"/>
                <w:sz w:val="15"/>
                <w:szCs w:val="15"/>
              </w:rPr>
            </w:r>
          </w:p>
          <w:p>
            <w:pPr>
              <w:pStyle w:val="TableParagraph"/>
              <w:spacing w:line="240" w:lineRule="auto" w:before="115"/>
              <w:ind w:left="108" w:right="0"/>
              <w:jc w:val="left"/>
              <w:rPr>
                <w:rFonts w:ascii="宋体" w:hAnsi="宋体" w:cs="宋体" w:eastAsia="宋体" w:hint="default"/>
                <w:sz w:val="15"/>
                <w:szCs w:val="15"/>
              </w:rPr>
            </w:pPr>
            <w:r>
              <w:rPr>
                <w:rFonts w:ascii="宋体" w:hAnsi="宋体" w:cs="宋体" w:eastAsia="宋体" w:hint="default"/>
                <w:sz w:val="15"/>
                <w:szCs w:val="15"/>
              </w:rPr>
              <w:t>公司</w:t>
            </w:r>
          </w:p>
        </w:tc>
        <w:tc>
          <w:tcPr>
            <w:tcW w:w="609" w:type="dxa"/>
            <w:tcBorders>
              <w:top w:val="nil" w:sz="6" w:space="0" w:color="auto"/>
              <w:left w:val="nil" w:sz="6" w:space="0" w:color="auto"/>
              <w:bottom w:val="nil" w:sz="6" w:space="0" w:color="auto"/>
              <w:right w:val="nil" w:sz="6" w:space="0" w:color="auto"/>
            </w:tcBorders>
          </w:tcPr>
          <w:p>
            <w:pPr>
              <w:pStyle w:val="TableParagraph"/>
              <w:spacing w:line="150" w:lineRule="exact"/>
              <w:ind w:left="104" w:right="0"/>
              <w:jc w:val="left"/>
              <w:rPr>
                <w:rFonts w:ascii="宋体" w:hAnsi="宋体" w:cs="宋体" w:eastAsia="宋体" w:hint="default"/>
                <w:sz w:val="15"/>
                <w:szCs w:val="15"/>
              </w:rPr>
            </w:pPr>
            <w:r>
              <w:rPr>
                <w:rFonts w:ascii="宋体" w:hAnsi="宋体" w:cs="宋体" w:eastAsia="宋体" w:hint="default"/>
                <w:sz w:val="15"/>
                <w:szCs w:val="15"/>
              </w:rPr>
              <w:t>北京</w:t>
            </w:r>
          </w:p>
        </w:tc>
        <w:tc>
          <w:tcPr>
            <w:tcW w:w="1111" w:type="dxa"/>
            <w:tcBorders>
              <w:top w:val="nil" w:sz="6" w:space="0" w:color="auto"/>
              <w:left w:val="nil" w:sz="6" w:space="0" w:color="auto"/>
              <w:bottom w:val="nil" w:sz="6" w:space="0" w:color="auto"/>
              <w:right w:val="nil" w:sz="6" w:space="0" w:color="auto"/>
            </w:tcBorders>
          </w:tcPr>
          <w:p>
            <w:pPr>
              <w:pStyle w:val="TableParagraph"/>
              <w:spacing w:line="150" w:lineRule="exact"/>
              <w:ind w:left="204" w:right="0"/>
              <w:jc w:val="left"/>
              <w:rPr>
                <w:rFonts w:ascii="宋体" w:hAnsi="宋体" w:cs="宋体" w:eastAsia="宋体" w:hint="default"/>
                <w:sz w:val="15"/>
                <w:szCs w:val="15"/>
              </w:rPr>
            </w:pPr>
            <w:r>
              <w:rPr>
                <w:rFonts w:ascii="宋体" w:hAnsi="宋体" w:cs="宋体" w:eastAsia="宋体" w:hint="default"/>
                <w:spacing w:val="15"/>
                <w:sz w:val="15"/>
                <w:szCs w:val="15"/>
              </w:rPr>
              <w:t>计算机应</w:t>
            </w:r>
            <w:r>
              <w:rPr>
                <w:rFonts w:ascii="宋体" w:hAnsi="宋体" w:cs="宋体" w:eastAsia="宋体" w:hint="default"/>
                <w:spacing w:val="-54"/>
                <w:sz w:val="15"/>
                <w:szCs w:val="15"/>
              </w:rPr>
              <w:t> </w:t>
            </w:r>
            <w:r>
              <w:rPr>
                <w:rFonts w:ascii="宋体" w:hAnsi="宋体" w:cs="宋体" w:eastAsia="宋体" w:hint="default"/>
                <w:sz w:val="15"/>
                <w:szCs w:val="15"/>
              </w:rPr>
            </w:r>
          </w:p>
          <w:p>
            <w:pPr>
              <w:pStyle w:val="TableParagraph"/>
              <w:spacing w:line="240" w:lineRule="auto" w:before="115"/>
              <w:ind w:left="204" w:right="0"/>
              <w:jc w:val="left"/>
              <w:rPr>
                <w:rFonts w:ascii="宋体" w:hAnsi="宋体" w:cs="宋体" w:eastAsia="宋体" w:hint="default"/>
                <w:sz w:val="15"/>
                <w:szCs w:val="15"/>
              </w:rPr>
            </w:pPr>
            <w:r>
              <w:rPr>
                <w:rFonts w:ascii="宋体" w:hAnsi="宋体" w:cs="宋体" w:eastAsia="宋体" w:hint="default"/>
                <w:sz w:val="15"/>
                <w:szCs w:val="15"/>
              </w:rPr>
              <w:t>用服务业</w:t>
            </w:r>
          </w:p>
        </w:tc>
        <w:tc>
          <w:tcPr>
            <w:tcW w:w="742" w:type="dxa"/>
            <w:tcBorders>
              <w:top w:val="nil" w:sz="6" w:space="0" w:color="auto"/>
              <w:left w:val="nil" w:sz="6" w:space="0" w:color="auto"/>
              <w:bottom w:val="nil" w:sz="6" w:space="0" w:color="auto"/>
              <w:right w:val="nil" w:sz="6" w:space="0" w:color="auto"/>
            </w:tcBorders>
          </w:tcPr>
          <w:p>
            <w:pPr>
              <w:pStyle w:val="TableParagraph"/>
              <w:spacing w:line="160" w:lineRule="exact"/>
              <w:ind w:right="106"/>
              <w:jc w:val="right"/>
              <w:rPr>
                <w:rFonts w:ascii="Times New Roman" w:hAnsi="Times New Roman" w:cs="Times New Roman" w:eastAsia="Times New Roman" w:hint="default"/>
                <w:sz w:val="15"/>
                <w:szCs w:val="15"/>
              </w:rPr>
            </w:pPr>
            <w:r>
              <w:rPr>
                <w:rFonts w:ascii="Times New Roman"/>
                <w:spacing w:val="-1"/>
                <w:sz w:val="15"/>
              </w:rPr>
              <w:t>2,000</w:t>
            </w:r>
          </w:p>
        </w:tc>
        <w:tc>
          <w:tcPr>
            <w:tcW w:w="3116" w:type="dxa"/>
            <w:tcBorders>
              <w:top w:val="nil" w:sz="6" w:space="0" w:color="auto"/>
              <w:left w:val="nil" w:sz="6" w:space="0" w:color="auto"/>
              <w:bottom w:val="nil" w:sz="6" w:space="0" w:color="auto"/>
              <w:right w:val="nil" w:sz="6" w:space="0" w:color="auto"/>
            </w:tcBorders>
          </w:tcPr>
          <w:p>
            <w:pPr>
              <w:pStyle w:val="TableParagraph"/>
              <w:spacing w:line="150" w:lineRule="exact"/>
              <w:ind w:left="107" w:right="0"/>
              <w:jc w:val="left"/>
              <w:rPr>
                <w:rFonts w:ascii="宋体" w:hAnsi="宋体" w:cs="宋体" w:eastAsia="宋体" w:hint="default"/>
                <w:sz w:val="15"/>
                <w:szCs w:val="15"/>
              </w:rPr>
            </w:pPr>
            <w:r>
              <w:rPr>
                <w:rFonts w:ascii="宋体" w:hAnsi="宋体" w:cs="宋体" w:eastAsia="宋体" w:hint="default"/>
                <w:sz w:val="15"/>
                <w:szCs w:val="15"/>
              </w:rPr>
              <w:t>法律、行政法规、国务院决定禁止的，不</w:t>
            </w:r>
          </w:p>
          <w:p>
            <w:pPr>
              <w:pStyle w:val="TableParagraph"/>
              <w:spacing w:line="381" w:lineRule="auto" w:before="115"/>
              <w:ind w:left="107" w:right="191"/>
              <w:jc w:val="left"/>
              <w:rPr>
                <w:rFonts w:ascii="宋体" w:hAnsi="宋体" w:cs="宋体" w:eastAsia="宋体" w:hint="default"/>
                <w:sz w:val="15"/>
                <w:szCs w:val="15"/>
              </w:rPr>
            </w:pPr>
            <w:r>
              <w:rPr>
                <w:rFonts w:ascii="宋体" w:hAnsi="宋体" w:cs="宋体" w:eastAsia="宋体" w:hint="default"/>
                <w:sz w:val="15"/>
                <w:szCs w:val="15"/>
              </w:rPr>
              <w:t>得经营；法律、行政法规、国务院决定规</w:t>
            </w:r>
            <w:r>
              <w:rPr>
                <w:rFonts w:ascii="宋体" w:hAnsi="宋体" w:cs="宋体" w:eastAsia="宋体" w:hint="default"/>
                <w:spacing w:val="-42"/>
                <w:sz w:val="15"/>
                <w:szCs w:val="15"/>
              </w:rPr>
              <w:t> </w:t>
            </w:r>
            <w:r>
              <w:rPr>
                <w:rFonts w:ascii="宋体" w:hAnsi="宋体" w:cs="宋体" w:eastAsia="宋体" w:hint="default"/>
                <w:spacing w:val="-42"/>
                <w:sz w:val="15"/>
                <w:szCs w:val="15"/>
              </w:rPr>
            </w:r>
            <w:r>
              <w:rPr>
                <w:rFonts w:ascii="宋体" w:hAnsi="宋体" w:cs="宋体" w:eastAsia="宋体" w:hint="default"/>
                <w:sz w:val="15"/>
                <w:szCs w:val="15"/>
              </w:rPr>
              <w:t>定应经许可的，经审批机关批准并经工商</w:t>
            </w:r>
            <w:r>
              <w:rPr>
                <w:rFonts w:ascii="宋体" w:hAnsi="宋体" w:cs="宋体" w:eastAsia="宋体" w:hint="default"/>
                <w:spacing w:val="-42"/>
                <w:sz w:val="15"/>
                <w:szCs w:val="15"/>
              </w:rPr>
              <w:t> </w:t>
            </w:r>
            <w:r>
              <w:rPr>
                <w:rFonts w:ascii="宋体" w:hAnsi="宋体" w:cs="宋体" w:eastAsia="宋体" w:hint="default"/>
                <w:spacing w:val="-42"/>
                <w:sz w:val="15"/>
                <w:szCs w:val="15"/>
              </w:rPr>
            </w:r>
            <w:r>
              <w:rPr>
                <w:rFonts w:ascii="宋体" w:hAnsi="宋体" w:cs="宋体" w:eastAsia="宋体" w:hint="default"/>
                <w:spacing w:val="-2"/>
                <w:sz w:val="15"/>
                <w:szCs w:val="15"/>
              </w:rPr>
              <w:t>行政管理机关登记注册后方可经营；法律、</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行政法规、国务院决定未规定许可的，自</w:t>
            </w:r>
            <w:r>
              <w:rPr>
                <w:rFonts w:ascii="宋体" w:hAnsi="宋体" w:cs="宋体" w:eastAsia="宋体" w:hint="default"/>
                <w:spacing w:val="-42"/>
                <w:sz w:val="15"/>
                <w:szCs w:val="15"/>
              </w:rPr>
              <w:t> </w:t>
            </w:r>
            <w:r>
              <w:rPr>
                <w:rFonts w:ascii="宋体" w:hAnsi="宋体" w:cs="宋体" w:eastAsia="宋体" w:hint="default"/>
                <w:spacing w:val="-42"/>
                <w:sz w:val="15"/>
                <w:szCs w:val="15"/>
              </w:rPr>
            </w:r>
            <w:r>
              <w:rPr>
                <w:rFonts w:ascii="宋体" w:hAnsi="宋体" w:cs="宋体" w:eastAsia="宋体" w:hint="default"/>
                <w:sz w:val="15"/>
                <w:szCs w:val="15"/>
              </w:rPr>
              <w:t>主选择经营项目开展经营活动</w:t>
            </w:r>
          </w:p>
        </w:tc>
        <w:tc>
          <w:tcPr>
            <w:tcW w:w="1239" w:type="dxa"/>
            <w:tcBorders>
              <w:top w:val="nil" w:sz="6" w:space="0" w:color="auto"/>
              <w:left w:val="nil" w:sz="6" w:space="0" w:color="auto"/>
              <w:bottom w:val="nil" w:sz="6" w:space="0" w:color="auto"/>
              <w:right w:val="nil" w:sz="6" w:space="0" w:color="auto"/>
            </w:tcBorders>
          </w:tcPr>
          <w:p>
            <w:pPr>
              <w:pStyle w:val="TableParagraph"/>
              <w:spacing w:line="160" w:lineRule="exact"/>
              <w:ind w:right="629"/>
              <w:jc w:val="right"/>
              <w:rPr>
                <w:rFonts w:ascii="Times New Roman" w:hAnsi="Times New Roman" w:cs="Times New Roman" w:eastAsia="Times New Roman" w:hint="default"/>
                <w:sz w:val="15"/>
                <w:szCs w:val="15"/>
              </w:rPr>
            </w:pPr>
            <w:r>
              <w:rPr>
                <w:rFonts w:ascii="Times New Roman"/>
                <w:spacing w:val="-1"/>
                <w:sz w:val="15"/>
              </w:rPr>
              <w:t>2,000</w:t>
            </w:r>
          </w:p>
        </w:tc>
        <w:tc>
          <w:tcPr>
            <w:tcW w:w="1098" w:type="dxa"/>
            <w:tcBorders>
              <w:top w:val="nil" w:sz="6" w:space="0" w:color="auto"/>
              <w:left w:val="nil" w:sz="6" w:space="0" w:color="auto"/>
              <w:bottom w:val="nil" w:sz="6" w:space="0" w:color="auto"/>
              <w:right w:val="nil" w:sz="6" w:space="0" w:color="auto"/>
            </w:tcBorders>
          </w:tcPr>
          <w:p>
            <w:pPr>
              <w:pStyle w:val="TableParagraph"/>
              <w:spacing w:line="160" w:lineRule="exact"/>
              <w:ind w:right="239"/>
              <w:jc w:val="right"/>
              <w:rPr>
                <w:rFonts w:ascii="Times New Roman" w:hAnsi="Times New Roman" w:cs="Times New Roman" w:eastAsia="Times New Roman" w:hint="default"/>
                <w:sz w:val="15"/>
                <w:szCs w:val="15"/>
              </w:rPr>
            </w:pPr>
            <w:r>
              <w:rPr>
                <w:rFonts w:ascii="Times New Roman"/>
                <w:spacing w:val="-1"/>
                <w:sz w:val="15"/>
              </w:rPr>
              <w:t>100</w:t>
            </w:r>
          </w:p>
        </w:tc>
        <w:tc>
          <w:tcPr>
            <w:tcW w:w="656" w:type="dxa"/>
            <w:tcBorders>
              <w:top w:val="nil" w:sz="6" w:space="0" w:color="auto"/>
              <w:left w:val="nil" w:sz="6" w:space="0" w:color="auto"/>
              <w:bottom w:val="nil" w:sz="6" w:space="0" w:color="auto"/>
              <w:right w:val="nil" w:sz="6" w:space="0" w:color="auto"/>
            </w:tcBorders>
          </w:tcPr>
          <w:p>
            <w:pPr>
              <w:pStyle w:val="TableParagraph"/>
              <w:spacing w:line="160" w:lineRule="exact"/>
              <w:ind w:left="51" w:right="0"/>
              <w:jc w:val="center"/>
              <w:rPr>
                <w:rFonts w:ascii="Times New Roman" w:hAnsi="Times New Roman" w:cs="Times New Roman" w:eastAsia="Times New Roman" w:hint="default"/>
                <w:sz w:val="15"/>
                <w:szCs w:val="15"/>
              </w:rPr>
            </w:pPr>
            <w:r>
              <w:rPr>
                <w:rFonts w:ascii="Times New Roman"/>
                <w:sz w:val="15"/>
              </w:rPr>
              <w:t>100</w:t>
            </w:r>
          </w:p>
        </w:tc>
        <w:tc>
          <w:tcPr>
            <w:tcW w:w="539" w:type="dxa"/>
            <w:tcBorders>
              <w:top w:val="nil" w:sz="6" w:space="0" w:color="auto"/>
              <w:left w:val="nil" w:sz="6" w:space="0" w:color="auto"/>
              <w:bottom w:val="nil" w:sz="6" w:space="0" w:color="auto"/>
              <w:right w:val="nil" w:sz="6" w:space="0" w:color="auto"/>
            </w:tcBorders>
          </w:tcPr>
          <w:p>
            <w:pPr>
              <w:pStyle w:val="TableParagraph"/>
              <w:spacing w:line="150" w:lineRule="exact"/>
              <w:ind w:right="9"/>
              <w:jc w:val="center"/>
              <w:rPr>
                <w:rFonts w:ascii="宋体" w:hAnsi="宋体" w:cs="宋体" w:eastAsia="宋体" w:hint="default"/>
                <w:sz w:val="15"/>
                <w:szCs w:val="15"/>
              </w:rPr>
            </w:pPr>
            <w:r>
              <w:rPr>
                <w:rFonts w:ascii="宋体" w:hAnsi="宋体" w:cs="宋体" w:eastAsia="宋体" w:hint="default"/>
                <w:sz w:val="15"/>
                <w:szCs w:val="15"/>
              </w:rPr>
              <w:t>是</w:t>
            </w:r>
          </w:p>
        </w:tc>
      </w:tr>
      <w:tr>
        <w:trPr>
          <w:trHeight w:val="2816" w:hRule="exact"/>
        </w:trPr>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6"/>
                <w:szCs w:val="16"/>
              </w:rPr>
            </w:pPr>
          </w:p>
          <w:p>
            <w:pPr>
              <w:pStyle w:val="TableParagraph"/>
              <w:spacing w:line="477" w:lineRule="auto"/>
              <w:ind w:left="122" w:right="106"/>
              <w:jc w:val="left"/>
              <w:rPr>
                <w:rFonts w:ascii="宋体" w:hAnsi="宋体" w:cs="宋体" w:eastAsia="宋体" w:hint="default"/>
                <w:sz w:val="15"/>
                <w:szCs w:val="15"/>
              </w:rPr>
            </w:pPr>
            <w:r>
              <w:rPr>
                <w:rFonts w:ascii="宋体" w:hAnsi="宋体" w:cs="宋体" w:eastAsia="宋体" w:hint="default"/>
                <w:spacing w:val="11"/>
                <w:sz w:val="15"/>
                <w:szCs w:val="15"/>
              </w:rPr>
              <w:t>重庆</w:t>
            </w:r>
            <w:r>
              <w:rPr>
                <w:rFonts w:ascii="宋体" w:hAnsi="宋体" w:cs="宋体" w:eastAsia="宋体" w:hint="default"/>
                <w:spacing w:val="-54"/>
                <w:sz w:val="15"/>
                <w:szCs w:val="15"/>
              </w:rPr>
              <w:t> </w:t>
            </w:r>
            <w:r>
              <w:rPr>
                <w:rFonts w:ascii="宋体" w:hAnsi="宋体" w:cs="宋体" w:eastAsia="宋体" w:hint="default"/>
                <w:spacing w:val="11"/>
                <w:sz w:val="15"/>
                <w:szCs w:val="15"/>
              </w:rPr>
              <w:t>新媒</w:t>
            </w:r>
            <w:r>
              <w:rPr>
                <w:rFonts w:ascii="宋体" w:hAnsi="宋体" w:cs="宋体" w:eastAsia="宋体" w:hint="default"/>
                <w:spacing w:val="-54"/>
                <w:sz w:val="15"/>
                <w:szCs w:val="15"/>
              </w:rPr>
              <w:t> </w:t>
            </w:r>
            <w:r>
              <w:rPr>
                <w:rFonts w:ascii="宋体" w:hAnsi="宋体" w:cs="宋体" w:eastAsia="宋体" w:hint="default"/>
                <w:sz w:val="15"/>
                <w:szCs w:val="15"/>
              </w:rPr>
              <w:t>农</w:t>
            </w:r>
            <w:r>
              <w:rPr>
                <w:rFonts w:ascii="宋体" w:hAnsi="宋体" w:cs="宋体" w:eastAsia="宋体" w:hint="default"/>
                <w:spacing w:val="-54"/>
                <w:sz w:val="15"/>
                <w:szCs w:val="15"/>
              </w:rPr>
              <w:t> </w:t>
            </w:r>
            <w:r>
              <w:rPr>
                <w:rFonts w:ascii="宋体" w:hAnsi="宋体" w:cs="宋体" w:eastAsia="宋体" w:hint="default"/>
                <w:sz w:val="15"/>
                <w:szCs w:val="15"/>
              </w:rPr>
              <w:t>信</w:t>
            </w:r>
            <w:r>
              <w:rPr>
                <w:rFonts w:ascii="宋体" w:hAnsi="宋体" w:cs="宋体" w:eastAsia="宋体" w:hint="default"/>
                <w:sz w:val="15"/>
                <w:szCs w:val="15"/>
              </w:rPr>
              <w:t> 科技有限公司</w:t>
            </w:r>
          </w:p>
        </w:tc>
        <w:tc>
          <w:tcPr>
            <w:tcW w:w="68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6"/>
                <w:szCs w:val="16"/>
              </w:rPr>
            </w:pPr>
          </w:p>
          <w:p>
            <w:pPr>
              <w:pStyle w:val="TableParagraph"/>
              <w:spacing w:line="477" w:lineRule="auto"/>
              <w:ind w:left="108" w:right="102"/>
              <w:jc w:val="left"/>
              <w:rPr>
                <w:rFonts w:ascii="宋体" w:hAnsi="宋体" w:cs="宋体" w:eastAsia="宋体" w:hint="default"/>
                <w:sz w:val="15"/>
                <w:szCs w:val="15"/>
              </w:rPr>
            </w:pPr>
            <w:r>
              <w:rPr>
                <w:rFonts w:ascii="宋体" w:hAnsi="宋体" w:cs="宋体" w:eastAsia="宋体" w:hint="default"/>
                <w:spacing w:val="7"/>
                <w:sz w:val="15"/>
                <w:szCs w:val="15"/>
              </w:rPr>
              <w:t>全资子 </w:t>
            </w:r>
            <w:r>
              <w:rPr>
                <w:rFonts w:ascii="宋体" w:hAnsi="宋体" w:cs="宋体" w:eastAsia="宋体" w:hint="default"/>
                <w:sz w:val="15"/>
                <w:szCs w:val="15"/>
              </w:rPr>
              <w:t>公司</w:t>
            </w:r>
          </w:p>
        </w:tc>
        <w:tc>
          <w:tcPr>
            <w:tcW w:w="6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04" w:right="0"/>
              <w:jc w:val="left"/>
              <w:rPr>
                <w:rFonts w:ascii="宋体" w:hAnsi="宋体" w:cs="宋体" w:eastAsia="宋体" w:hint="default"/>
                <w:sz w:val="15"/>
                <w:szCs w:val="15"/>
              </w:rPr>
            </w:pPr>
            <w:r>
              <w:rPr>
                <w:rFonts w:ascii="宋体" w:hAnsi="宋体" w:cs="宋体" w:eastAsia="宋体" w:hint="default"/>
                <w:sz w:val="15"/>
                <w:szCs w:val="15"/>
              </w:rPr>
              <w:t>重庆</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6"/>
                <w:szCs w:val="16"/>
              </w:rPr>
            </w:pPr>
          </w:p>
          <w:p>
            <w:pPr>
              <w:pStyle w:val="TableParagraph"/>
              <w:spacing w:line="477" w:lineRule="auto"/>
              <w:ind w:left="236" w:right="272"/>
              <w:jc w:val="left"/>
              <w:rPr>
                <w:rFonts w:ascii="宋体" w:hAnsi="宋体" w:cs="宋体" w:eastAsia="宋体" w:hint="default"/>
                <w:sz w:val="15"/>
                <w:szCs w:val="15"/>
              </w:rPr>
            </w:pPr>
            <w:r>
              <w:rPr>
                <w:rFonts w:ascii="宋体" w:hAnsi="宋体" w:cs="宋体" w:eastAsia="宋体" w:hint="default"/>
                <w:sz w:val="15"/>
                <w:szCs w:val="15"/>
              </w:rPr>
              <w:t>计算机应 用服务业</w:t>
            </w:r>
          </w:p>
        </w:tc>
        <w:tc>
          <w:tcPr>
            <w:tcW w:w="74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10,330</w:t>
            </w:r>
          </w:p>
        </w:tc>
        <w:tc>
          <w:tcPr>
            <w:tcW w:w="311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1"/>
                <w:szCs w:val="11"/>
              </w:rPr>
            </w:pPr>
          </w:p>
          <w:p>
            <w:pPr>
              <w:pStyle w:val="TableParagraph"/>
              <w:spacing w:line="477" w:lineRule="auto"/>
              <w:ind w:left="107" w:right="191"/>
              <w:jc w:val="left"/>
              <w:rPr>
                <w:rFonts w:ascii="宋体" w:hAnsi="宋体" w:cs="宋体" w:eastAsia="宋体" w:hint="default"/>
                <w:sz w:val="15"/>
                <w:szCs w:val="15"/>
              </w:rPr>
            </w:pPr>
            <w:r>
              <w:rPr>
                <w:rFonts w:ascii="宋体" w:hAnsi="宋体" w:cs="宋体" w:eastAsia="宋体" w:hint="default"/>
                <w:sz w:val="15"/>
                <w:szCs w:val="15"/>
              </w:rPr>
              <w:t>农村信息网的功能开发与系统技术服务；</w:t>
            </w:r>
            <w:r>
              <w:rPr>
                <w:rFonts w:ascii="宋体" w:hAnsi="宋体" w:cs="宋体" w:eastAsia="宋体" w:hint="default"/>
                <w:spacing w:val="-42"/>
                <w:sz w:val="15"/>
                <w:szCs w:val="15"/>
              </w:rPr>
              <w:t> </w:t>
            </w:r>
            <w:r>
              <w:rPr>
                <w:rFonts w:ascii="宋体" w:hAnsi="宋体" w:cs="宋体" w:eastAsia="宋体" w:hint="default"/>
                <w:spacing w:val="-42"/>
                <w:sz w:val="15"/>
                <w:szCs w:val="15"/>
              </w:rPr>
            </w:r>
            <w:r>
              <w:rPr>
                <w:rFonts w:ascii="宋体" w:hAnsi="宋体" w:cs="宋体" w:eastAsia="宋体" w:hint="default"/>
                <w:sz w:val="15"/>
                <w:szCs w:val="15"/>
              </w:rPr>
              <w:t>农村信息网全网的技术服务；计算机软、</w:t>
            </w:r>
            <w:r>
              <w:rPr>
                <w:rFonts w:ascii="宋体" w:hAnsi="宋体" w:cs="宋体" w:eastAsia="宋体" w:hint="default"/>
                <w:spacing w:val="-42"/>
                <w:sz w:val="15"/>
                <w:szCs w:val="15"/>
              </w:rPr>
              <w:t> </w:t>
            </w:r>
            <w:r>
              <w:rPr>
                <w:rFonts w:ascii="宋体" w:hAnsi="宋体" w:cs="宋体" w:eastAsia="宋体" w:hint="default"/>
                <w:spacing w:val="-42"/>
                <w:sz w:val="15"/>
                <w:szCs w:val="15"/>
              </w:rPr>
            </w:r>
            <w:r>
              <w:rPr>
                <w:rFonts w:ascii="宋体" w:hAnsi="宋体" w:cs="宋体" w:eastAsia="宋体" w:hint="default"/>
                <w:spacing w:val="-2"/>
                <w:sz w:val="15"/>
                <w:szCs w:val="15"/>
              </w:rPr>
              <w:t>硬件的设计、技术开发，销售及技术服务；</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数据库及计算机网络技术服务；代理、发</w:t>
            </w:r>
            <w:r>
              <w:rPr>
                <w:rFonts w:ascii="宋体" w:hAnsi="宋体" w:cs="宋体" w:eastAsia="宋体" w:hint="default"/>
                <w:spacing w:val="-42"/>
                <w:sz w:val="15"/>
                <w:szCs w:val="15"/>
              </w:rPr>
              <w:t> </w:t>
            </w:r>
            <w:r>
              <w:rPr>
                <w:rFonts w:ascii="宋体" w:hAnsi="宋体" w:cs="宋体" w:eastAsia="宋体" w:hint="default"/>
                <w:spacing w:val="-42"/>
                <w:sz w:val="15"/>
                <w:szCs w:val="15"/>
              </w:rPr>
            </w:r>
            <w:r>
              <w:rPr>
                <w:rFonts w:ascii="宋体" w:hAnsi="宋体" w:cs="宋体" w:eastAsia="宋体" w:hint="default"/>
                <w:spacing w:val="-6"/>
                <w:sz w:val="15"/>
                <w:szCs w:val="15"/>
              </w:rPr>
              <w:t>布国内外广告。（法律，法规规定禁止和限</w:t>
            </w:r>
            <w:r>
              <w:rPr>
                <w:rFonts w:ascii="宋体" w:hAnsi="宋体" w:cs="宋体" w:eastAsia="宋体" w:hint="default"/>
                <w:sz w:val="15"/>
                <w:szCs w:val="15"/>
              </w:rPr>
              <w:t> 制的不得经营；法律、法规、国务院规定</w:t>
            </w:r>
            <w:r>
              <w:rPr>
                <w:rFonts w:ascii="宋体" w:hAnsi="宋体" w:cs="宋体" w:eastAsia="宋体" w:hint="default"/>
                <w:spacing w:val="-42"/>
                <w:sz w:val="15"/>
                <w:szCs w:val="15"/>
              </w:rPr>
              <w:t> </w:t>
            </w:r>
            <w:r>
              <w:rPr>
                <w:rFonts w:ascii="宋体" w:hAnsi="宋体" w:cs="宋体" w:eastAsia="宋体" w:hint="default"/>
                <w:spacing w:val="-42"/>
                <w:sz w:val="15"/>
                <w:szCs w:val="15"/>
              </w:rPr>
            </w:r>
            <w:r>
              <w:rPr>
                <w:rFonts w:ascii="宋体" w:hAnsi="宋体" w:cs="宋体" w:eastAsia="宋体" w:hint="default"/>
                <w:spacing w:val="-4"/>
                <w:sz w:val="15"/>
                <w:szCs w:val="15"/>
              </w:rPr>
              <w:t>需要前置审批的，未获审批前不得经营。）</w:t>
            </w:r>
          </w:p>
        </w:tc>
        <w:tc>
          <w:tcPr>
            <w:tcW w:w="123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629"/>
              <w:jc w:val="right"/>
              <w:rPr>
                <w:rFonts w:ascii="Times New Roman" w:hAnsi="Times New Roman" w:cs="Times New Roman" w:eastAsia="Times New Roman" w:hint="default"/>
                <w:sz w:val="15"/>
                <w:szCs w:val="15"/>
              </w:rPr>
            </w:pPr>
            <w:r>
              <w:rPr>
                <w:rFonts w:ascii="Times New Roman"/>
                <w:spacing w:val="-1"/>
                <w:sz w:val="15"/>
              </w:rPr>
              <w:t>10,330</w:t>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239"/>
              <w:jc w:val="right"/>
              <w:rPr>
                <w:rFonts w:ascii="Times New Roman" w:hAnsi="Times New Roman" w:cs="Times New Roman" w:eastAsia="Times New Roman" w:hint="default"/>
                <w:sz w:val="15"/>
                <w:szCs w:val="15"/>
              </w:rPr>
            </w:pPr>
            <w:r>
              <w:rPr>
                <w:rFonts w:ascii="Times New Roman"/>
                <w:spacing w:val="-1"/>
                <w:sz w:val="15"/>
              </w:rPr>
              <w:t>100</w:t>
            </w:r>
          </w:p>
        </w:tc>
        <w:tc>
          <w:tcPr>
            <w:tcW w:w="65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51" w:right="0"/>
              <w:jc w:val="center"/>
              <w:rPr>
                <w:rFonts w:ascii="Times New Roman" w:hAnsi="Times New Roman" w:cs="Times New Roman" w:eastAsia="Times New Roman" w:hint="default"/>
                <w:sz w:val="15"/>
                <w:szCs w:val="15"/>
              </w:rPr>
            </w:pPr>
            <w:r>
              <w:rPr>
                <w:rFonts w:ascii="Times New Roman"/>
                <w:sz w:val="15"/>
              </w:rPr>
              <w:t>100</w:t>
            </w:r>
          </w:p>
        </w:tc>
        <w:tc>
          <w:tcPr>
            <w:tcW w:w="53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9"/>
              <w:jc w:val="center"/>
              <w:rPr>
                <w:rFonts w:ascii="宋体" w:hAnsi="宋体" w:cs="宋体" w:eastAsia="宋体" w:hint="default"/>
                <w:sz w:val="15"/>
                <w:szCs w:val="15"/>
              </w:rPr>
            </w:pPr>
            <w:r>
              <w:rPr>
                <w:rFonts w:ascii="宋体" w:hAnsi="宋体" w:cs="宋体" w:eastAsia="宋体" w:hint="default"/>
                <w:sz w:val="15"/>
                <w:szCs w:val="15"/>
              </w:rPr>
              <w:t>是</w:t>
            </w:r>
          </w:p>
        </w:tc>
      </w:tr>
      <w:tr>
        <w:trPr>
          <w:trHeight w:val="1192" w:hRule="exact"/>
        </w:trPr>
        <w:tc>
          <w:tcPr>
            <w:tcW w:w="1241" w:type="dxa"/>
            <w:tcBorders>
              <w:top w:val="nil" w:sz="6" w:space="0" w:color="auto"/>
              <w:left w:val="nil" w:sz="6" w:space="0" w:color="auto"/>
              <w:bottom w:val="nil" w:sz="6" w:space="0" w:color="auto"/>
              <w:right w:val="nil" w:sz="6" w:space="0" w:color="auto"/>
            </w:tcBorders>
          </w:tcPr>
          <w:p>
            <w:pPr>
              <w:pStyle w:val="TableParagraph"/>
              <w:spacing w:line="477" w:lineRule="auto" w:before="78"/>
              <w:ind w:left="122" w:right="106"/>
              <w:jc w:val="both"/>
              <w:rPr>
                <w:rFonts w:ascii="宋体" w:hAnsi="宋体" w:cs="宋体" w:eastAsia="宋体" w:hint="default"/>
                <w:sz w:val="15"/>
                <w:szCs w:val="15"/>
              </w:rPr>
            </w:pPr>
            <w:r>
              <w:rPr>
                <w:rFonts w:ascii="宋体" w:hAnsi="宋体" w:cs="宋体" w:eastAsia="宋体" w:hint="default"/>
                <w:spacing w:val="11"/>
                <w:sz w:val="15"/>
                <w:szCs w:val="15"/>
              </w:rPr>
              <w:t>北京</w:t>
            </w:r>
            <w:r>
              <w:rPr>
                <w:rFonts w:ascii="宋体" w:hAnsi="宋体" w:cs="宋体" w:eastAsia="宋体" w:hint="default"/>
                <w:spacing w:val="-54"/>
                <w:sz w:val="15"/>
                <w:szCs w:val="15"/>
              </w:rPr>
              <w:t> </w:t>
            </w:r>
            <w:r>
              <w:rPr>
                <w:rFonts w:ascii="宋体" w:hAnsi="宋体" w:cs="宋体" w:eastAsia="宋体" w:hint="default"/>
                <w:spacing w:val="11"/>
                <w:sz w:val="15"/>
                <w:szCs w:val="15"/>
              </w:rPr>
              <w:t>泰岳</w:t>
            </w:r>
            <w:r>
              <w:rPr>
                <w:rFonts w:ascii="宋体" w:hAnsi="宋体" w:cs="宋体" w:eastAsia="宋体" w:hint="default"/>
                <w:spacing w:val="-54"/>
                <w:sz w:val="15"/>
                <w:szCs w:val="15"/>
              </w:rPr>
              <w:t> </w:t>
            </w:r>
            <w:r>
              <w:rPr>
                <w:rFonts w:ascii="宋体" w:hAnsi="宋体" w:cs="宋体" w:eastAsia="宋体" w:hint="default"/>
                <w:sz w:val="15"/>
                <w:szCs w:val="15"/>
              </w:rPr>
              <w:t>千</w:t>
            </w:r>
            <w:r>
              <w:rPr>
                <w:rFonts w:ascii="宋体" w:hAnsi="宋体" w:cs="宋体" w:eastAsia="宋体" w:hint="default"/>
                <w:spacing w:val="-54"/>
                <w:sz w:val="15"/>
                <w:szCs w:val="15"/>
              </w:rPr>
              <w:t> </w:t>
            </w:r>
            <w:r>
              <w:rPr>
                <w:rFonts w:ascii="宋体" w:hAnsi="宋体" w:cs="宋体" w:eastAsia="宋体" w:hint="default"/>
                <w:sz w:val="15"/>
                <w:szCs w:val="15"/>
              </w:rPr>
              <w:t>腾</w:t>
            </w:r>
            <w:r>
              <w:rPr>
                <w:rFonts w:ascii="宋体" w:hAnsi="宋体" w:cs="宋体" w:eastAsia="宋体" w:hint="default"/>
                <w:sz w:val="15"/>
                <w:szCs w:val="15"/>
              </w:rPr>
              <w:t> </w:t>
            </w:r>
            <w:r>
              <w:rPr>
                <w:rFonts w:ascii="宋体" w:hAnsi="宋体" w:cs="宋体" w:eastAsia="宋体" w:hint="default"/>
                <w:spacing w:val="11"/>
                <w:sz w:val="15"/>
                <w:szCs w:val="15"/>
              </w:rPr>
              <w:t>网络</w:t>
            </w:r>
            <w:r>
              <w:rPr>
                <w:rFonts w:ascii="宋体" w:hAnsi="宋体" w:cs="宋体" w:eastAsia="宋体" w:hint="default"/>
                <w:spacing w:val="-54"/>
                <w:sz w:val="15"/>
                <w:szCs w:val="15"/>
              </w:rPr>
              <w:t> </w:t>
            </w:r>
            <w:r>
              <w:rPr>
                <w:rFonts w:ascii="宋体" w:hAnsi="宋体" w:cs="宋体" w:eastAsia="宋体" w:hint="default"/>
                <w:spacing w:val="11"/>
                <w:sz w:val="15"/>
                <w:szCs w:val="15"/>
              </w:rPr>
              <w:t>信息</w:t>
            </w:r>
            <w:r>
              <w:rPr>
                <w:rFonts w:ascii="宋体" w:hAnsi="宋体" w:cs="宋体" w:eastAsia="宋体" w:hint="default"/>
                <w:spacing w:val="-54"/>
                <w:sz w:val="15"/>
                <w:szCs w:val="15"/>
              </w:rPr>
              <w:t> </w:t>
            </w:r>
            <w:r>
              <w:rPr>
                <w:rFonts w:ascii="宋体" w:hAnsi="宋体" w:cs="宋体" w:eastAsia="宋体" w:hint="default"/>
                <w:sz w:val="15"/>
                <w:szCs w:val="15"/>
              </w:rPr>
              <w:t>技</w:t>
            </w:r>
            <w:r>
              <w:rPr>
                <w:rFonts w:ascii="宋体" w:hAnsi="宋体" w:cs="宋体" w:eastAsia="宋体" w:hint="default"/>
                <w:spacing w:val="-54"/>
                <w:sz w:val="15"/>
                <w:szCs w:val="15"/>
              </w:rPr>
              <w:t> </w:t>
            </w:r>
            <w:r>
              <w:rPr>
                <w:rFonts w:ascii="宋体" w:hAnsi="宋体" w:cs="宋体" w:eastAsia="宋体" w:hint="default"/>
                <w:sz w:val="15"/>
                <w:szCs w:val="15"/>
              </w:rPr>
              <w:t>术</w:t>
            </w:r>
            <w:r>
              <w:rPr>
                <w:rFonts w:ascii="宋体" w:hAnsi="宋体" w:cs="宋体" w:eastAsia="宋体" w:hint="default"/>
                <w:sz w:val="15"/>
                <w:szCs w:val="15"/>
              </w:rPr>
              <w:t> 有限公司</w:t>
            </w:r>
          </w:p>
        </w:tc>
        <w:tc>
          <w:tcPr>
            <w:tcW w:w="68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477" w:lineRule="auto"/>
              <w:ind w:left="108" w:right="102"/>
              <w:jc w:val="left"/>
              <w:rPr>
                <w:rFonts w:ascii="宋体" w:hAnsi="宋体" w:cs="宋体" w:eastAsia="宋体" w:hint="default"/>
                <w:sz w:val="15"/>
                <w:szCs w:val="15"/>
              </w:rPr>
            </w:pPr>
            <w:r>
              <w:rPr>
                <w:rFonts w:ascii="宋体" w:hAnsi="宋体" w:cs="宋体" w:eastAsia="宋体" w:hint="default"/>
                <w:spacing w:val="7"/>
                <w:sz w:val="15"/>
                <w:szCs w:val="15"/>
              </w:rPr>
              <w:t>控股孙 </w:t>
            </w:r>
            <w:r>
              <w:rPr>
                <w:rFonts w:ascii="宋体" w:hAnsi="宋体" w:cs="宋体" w:eastAsia="宋体" w:hint="default"/>
                <w:sz w:val="15"/>
                <w:szCs w:val="15"/>
              </w:rPr>
              <w:t>公司</w:t>
            </w:r>
          </w:p>
        </w:tc>
        <w:tc>
          <w:tcPr>
            <w:tcW w:w="6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2"/>
              <w:ind w:left="104" w:right="0"/>
              <w:jc w:val="left"/>
              <w:rPr>
                <w:rFonts w:ascii="宋体" w:hAnsi="宋体" w:cs="宋体" w:eastAsia="宋体" w:hint="default"/>
                <w:sz w:val="15"/>
                <w:szCs w:val="15"/>
              </w:rPr>
            </w:pPr>
            <w:r>
              <w:rPr>
                <w:rFonts w:ascii="宋体" w:hAnsi="宋体" w:cs="宋体" w:eastAsia="宋体" w:hint="default"/>
                <w:sz w:val="15"/>
                <w:szCs w:val="15"/>
              </w:rPr>
              <w:t>北京</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477" w:lineRule="auto"/>
              <w:ind w:left="236" w:right="272"/>
              <w:jc w:val="left"/>
              <w:rPr>
                <w:rFonts w:ascii="宋体" w:hAnsi="宋体" w:cs="宋体" w:eastAsia="宋体" w:hint="default"/>
                <w:sz w:val="15"/>
                <w:szCs w:val="15"/>
              </w:rPr>
            </w:pPr>
            <w:r>
              <w:rPr>
                <w:rFonts w:ascii="宋体" w:hAnsi="宋体" w:cs="宋体" w:eastAsia="宋体" w:hint="default"/>
                <w:sz w:val="15"/>
                <w:szCs w:val="15"/>
              </w:rPr>
              <w:t>计算机应 用服务业</w:t>
            </w:r>
          </w:p>
        </w:tc>
        <w:tc>
          <w:tcPr>
            <w:tcW w:w="74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1,000</w:t>
            </w:r>
          </w:p>
        </w:tc>
        <w:tc>
          <w:tcPr>
            <w:tcW w:w="3116" w:type="dxa"/>
            <w:tcBorders>
              <w:top w:val="nil" w:sz="6" w:space="0" w:color="auto"/>
              <w:left w:val="nil" w:sz="6" w:space="0" w:color="auto"/>
              <w:bottom w:val="nil" w:sz="6" w:space="0" w:color="auto"/>
              <w:right w:val="nil" w:sz="6" w:space="0" w:color="auto"/>
            </w:tcBorders>
          </w:tcPr>
          <w:p>
            <w:pPr>
              <w:pStyle w:val="TableParagraph"/>
              <w:spacing w:line="477" w:lineRule="auto" w:before="78"/>
              <w:ind w:left="107" w:right="266"/>
              <w:jc w:val="both"/>
              <w:rPr>
                <w:rFonts w:ascii="宋体" w:hAnsi="宋体" w:cs="宋体" w:eastAsia="宋体" w:hint="default"/>
                <w:sz w:val="15"/>
                <w:szCs w:val="15"/>
              </w:rPr>
            </w:pPr>
            <w:r>
              <w:rPr>
                <w:rFonts w:ascii="宋体" w:hAnsi="宋体" w:cs="宋体" w:eastAsia="宋体" w:hint="default"/>
                <w:sz w:val="15"/>
                <w:szCs w:val="15"/>
              </w:rPr>
              <w:t>技术推广服务；计算机系统服务；代理、</w:t>
            </w:r>
            <w:r>
              <w:rPr>
                <w:rFonts w:ascii="宋体" w:hAnsi="宋体" w:cs="宋体" w:eastAsia="宋体" w:hint="default"/>
                <w:spacing w:val="-42"/>
                <w:sz w:val="15"/>
                <w:szCs w:val="15"/>
              </w:rPr>
              <w:t> </w:t>
            </w:r>
            <w:r>
              <w:rPr>
                <w:rFonts w:ascii="宋体" w:hAnsi="宋体" w:cs="宋体" w:eastAsia="宋体" w:hint="default"/>
                <w:spacing w:val="-42"/>
                <w:sz w:val="15"/>
                <w:szCs w:val="15"/>
              </w:rPr>
            </w:r>
            <w:r>
              <w:rPr>
                <w:rFonts w:ascii="宋体" w:hAnsi="宋体" w:cs="宋体" w:eastAsia="宋体" w:hint="default"/>
                <w:sz w:val="15"/>
                <w:szCs w:val="15"/>
              </w:rPr>
              <w:t>发布广告；销售日用品、针织品、服装鞋</w:t>
            </w:r>
            <w:r>
              <w:rPr>
                <w:rFonts w:ascii="宋体" w:hAnsi="宋体" w:cs="宋体" w:eastAsia="宋体" w:hint="default"/>
                <w:spacing w:val="-42"/>
                <w:sz w:val="15"/>
                <w:szCs w:val="15"/>
              </w:rPr>
              <w:t> </w:t>
            </w:r>
            <w:r>
              <w:rPr>
                <w:rFonts w:ascii="宋体" w:hAnsi="宋体" w:cs="宋体" w:eastAsia="宋体" w:hint="default"/>
                <w:spacing w:val="-42"/>
                <w:sz w:val="15"/>
                <w:szCs w:val="15"/>
              </w:rPr>
            </w:r>
            <w:r>
              <w:rPr>
                <w:rFonts w:ascii="宋体" w:hAnsi="宋体" w:cs="宋体" w:eastAsia="宋体" w:hint="default"/>
                <w:sz w:val="15"/>
                <w:szCs w:val="15"/>
              </w:rPr>
              <w:t>帽、计算机、软件及辅助设备。</w:t>
            </w:r>
          </w:p>
        </w:tc>
        <w:tc>
          <w:tcPr>
            <w:tcW w:w="123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0"/>
                <w:szCs w:val="10"/>
              </w:rPr>
            </w:pPr>
          </w:p>
          <w:p>
            <w:pPr>
              <w:pStyle w:val="TableParagraph"/>
              <w:spacing w:line="240" w:lineRule="auto"/>
              <w:ind w:right="629"/>
              <w:jc w:val="right"/>
              <w:rPr>
                <w:rFonts w:ascii="Times New Roman" w:hAnsi="Times New Roman" w:cs="Times New Roman" w:eastAsia="Times New Roman" w:hint="default"/>
                <w:sz w:val="15"/>
                <w:szCs w:val="15"/>
              </w:rPr>
            </w:pPr>
            <w:r>
              <w:rPr>
                <w:rFonts w:ascii="Times New Roman"/>
                <w:spacing w:val="-1"/>
                <w:sz w:val="15"/>
              </w:rPr>
              <w:t>700</w:t>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0"/>
                <w:szCs w:val="10"/>
              </w:rPr>
            </w:pPr>
          </w:p>
          <w:p>
            <w:pPr>
              <w:pStyle w:val="TableParagraph"/>
              <w:spacing w:line="240" w:lineRule="auto"/>
              <w:ind w:right="239"/>
              <w:jc w:val="right"/>
              <w:rPr>
                <w:rFonts w:ascii="Times New Roman" w:hAnsi="Times New Roman" w:cs="Times New Roman" w:eastAsia="Times New Roman" w:hint="default"/>
                <w:sz w:val="15"/>
                <w:szCs w:val="15"/>
              </w:rPr>
            </w:pPr>
            <w:r>
              <w:rPr>
                <w:rFonts w:ascii="Times New Roman"/>
                <w:sz w:val="15"/>
              </w:rPr>
              <w:t>70</w:t>
            </w:r>
          </w:p>
        </w:tc>
        <w:tc>
          <w:tcPr>
            <w:tcW w:w="65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0"/>
                <w:szCs w:val="10"/>
              </w:rPr>
            </w:pPr>
          </w:p>
          <w:p>
            <w:pPr>
              <w:pStyle w:val="TableParagraph"/>
              <w:spacing w:line="240" w:lineRule="auto"/>
              <w:ind w:left="126" w:right="0"/>
              <w:jc w:val="center"/>
              <w:rPr>
                <w:rFonts w:ascii="Times New Roman" w:hAnsi="Times New Roman" w:cs="Times New Roman" w:eastAsia="Times New Roman" w:hint="default"/>
                <w:sz w:val="15"/>
                <w:szCs w:val="15"/>
              </w:rPr>
            </w:pPr>
            <w:r>
              <w:rPr>
                <w:rFonts w:ascii="Times New Roman"/>
                <w:sz w:val="15"/>
              </w:rPr>
              <w:t>70</w:t>
            </w:r>
          </w:p>
        </w:tc>
        <w:tc>
          <w:tcPr>
            <w:tcW w:w="53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2"/>
              <w:ind w:right="9"/>
              <w:jc w:val="center"/>
              <w:rPr>
                <w:rFonts w:ascii="宋体" w:hAnsi="宋体" w:cs="宋体" w:eastAsia="宋体" w:hint="default"/>
                <w:sz w:val="15"/>
                <w:szCs w:val="15"/>
              </w:rPr>
            </w:pPr>
            <w:r>
              <w:rPr>
                <w:rFonts w:ascii="宋体" w:hAnsi="宋体" w:cs="宋体" w:eastAsia="宋体" w:hint="default"/>
                <w:sz w:val="15"/>
                <w:szCs w:val="15"/>
              </w:rPr>
              <w:t>是</w:t>
            </w:r>
          </w:p>
        </w:tc>
      </w:tr>
    </w:tbl>
    <w:p>
      <w:pPr>
        <w:spacing w:after="0" w:line="240" w:lineRule="auto"/>
        <w:jc w:val="center"/>
        <w:rPr>
          <w:rFonts w:ascii="宋体" w:hAnsi="宋体" w:cs="宋体" w:eastAsia="宋体" w:hint="default"/>
          <w:sz w:val="15"/>
          <w:szCs w:val="15"/>
        </w:rPr>
        <w:sectPr>
          <w:type w:val="continuous"/>
          <w:pgSz w:w="16840" w:h="11910" w:orient="landscape"/>
          <w:pgMar w:top="1360" w:bottom="1180" w:left="1300" w:right="6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1"/>
          <w:szCs w:val="21"/>
        </w:rPr>
      </w:pPr>
    </w:p>
    <w:p>
      <w:pPr>
        <w:pStyle w:val="Heading2"/>
        <w:tabs>
          <w:tab w:pos="1397" w:val="left" w:leader="none"/>
        </w:tabs>
        <w:spacing w:line="240" w:lineRule="auto" w:before="35"/>
        <w:ind w:left="857" w:right="0"/>
        <w:jc w:val="left"/>
        <w:rPr>
          <w:b w:val="0"/>
          <w:bCs w:val="0"/>
        </w:rPr>
      </w:pPr>
      <w:r>
        <w:rPr>
          <w:rFonts w:ascii="Times New Roman" w:hAnsi="Times New Roman" w:cs="Times New Roman" w:eastAsia="Times New Roman" w:hint="default"/>
          <w:w w:val="95"/>
        </w:rPr>
        <w:t>2</w:t>
      </w:r>
      <w:r>
        <w:rPr>
          <w:w w:val="95"/>
        </w:rPr>
        <w:t>、</w:t>
        <w:tab/>
      </w:r>
      <w:r>
        <w:rPr/>
        <w:t>通过同一控制下企业合并取得的子公司</w:t>
      </w:r>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1"/>
          <w:szCs w:val="11"/>
        </w:rPr>
      </w:pPr>
    </w:p>
    <w:p>
      <w:pPr>
        <w:spacing w:line="5614" w:lineRule="exact"/>
        <w:ind w:left="720" w:right="0" w:firstLine="0"/>
        <w:rPr>
          <w:rFonts w:ascii="宋体" w:hAnsi="宋体" w:cs="宋体" w:eastAsia="宋体" w:hint="default"/>
          <w:sz w:val="20"/>
          <w:szCs w:val="20"/>
        </w:rPr>
      </w:pPr>
      <w:r>
        <w:rPr>
          <w:rFonts w:ascii="宋体" w:hAnsi="宋体" w:cs="宋体" w:eastAsia="宋体" w:hint="default"/>
          <w:position w:val="-111"/>
          <w:sz w:val="20"/>
          <w:szCs w:val="20"/>
        </w:rPr>
        <w:pict>
          <v:group style="width:698.35pt;height:280.75pt;mso-position-horizontal-relative:char;mso-position-vertical-relative:line" coordorigin="0,0" coordsize="13967,5615">
            <v:group style="position:absolute;left:29;top:15;width:13916;height:2" coordorigin="29,15" coordsize="13916,2">
              <v:shape style="position:absolute;left:29;top:15;width:13916;height:2" coordorigin="29,15" coordsize="13916,0" path="m29,15l13945,15e" filled="false" stroked="true" strokeweight="1.5pt" strokecolor="#000000">
                <v:path arrowok="t"/>
              </v:shape>
              <v:shape style="position:absolute;left:1103;top:13;width:11322;height:1356" type="#_x0000_t75" stroked="false">
                <v:imagedata r:id="rId88" o:title=""/>
              </v:shape>
            </v:group>
            <v:group style="position:absolute;left:15;top:5600;width:1106;height:2" coordorigin="15,5600" coordsize="1106,2">
              <v:shape style="position:absolute;left:15;top:5600;width:1106;height:2" coordorigin="15,5600" coordsize="1106,0" path="m15,5600l1120,5600e" filled="false" stroked="true" strokeweight="1.5pt" strokecolor="#000000">
                <v:path arrowok="t"/>
              </v:shape>
              <v:shape style="position:absolute;left:17;top:1340;width:13941;height:4262" type="#_x0000_t75" stroked="false">
                <v:imagedata r:id="rId89" o:title=""/>
              </v:shape>
            </v:group>
            <v:group style="position:absolute;left:1120;top:5600;width:677;height:2" coordorigin="1120,5600" coordsize="677,2">
              <v:shape style="position:absolute;left:1120;top:5600;width:677;height:2" coordorigin="1120,5600" coordsize="677,0" path="m1120,5600l1797,5600e" filled="false" stroked="true" strokeweight="1.5pt" strokecolor="#000000">
                <v:path arrowok="t"/>
              </v:shape>
              <v:shape style="position:absolute;left:1780;top:3228;width:43;height:2374" type="#_x0000_t75" stroked="false">
                <v:imagedata r:id="rId90" o:title=""/>
              </v:shape>
            </v:group>
            <v:group style="position:absolute;left:1797;top:5600;width:696;height:2" coordorigin="1797,5600" coordsize="696,2">
              <v:shape style="position:absolute;left:1797;top:5600;width:696;height:2" coordorigin="1797,5600" coordsize="696,0" path="m1797,5600l2493,5600e" filled="false" stroked="true" strokeweight="1.5pt" strokecolor="#000000">
                <v:path arrowok="t"/>
              </v:shape>
              <v:shape style="position:absolute;left:2474;top:3226;width:48;height:2362" type="#_x0000_t75" stroked="false">
                <v:imagedata r:id="rId91" o:title=""/>
              </v:shape>
            </v:group>
            <v:group style="position:absolute;left:2493;top:5600;width:863;height:2" coordorigin="2493,5600" coordsize="863,2">
              <v:shape style="position:absolute;left:2493;top:5600;width:863;height:2" coordorigin="2493,5600" coordsize="863,0" path="m2493,5600l3356,5600e" filled="false" stroked="true" strokeweight="1.5pt" strokecolor="#000000">
                <v:path arrowok="t"/>
              </v:shape>
              <v:shape style="position:absolute;left:3339;top:3228;width:43;height:2374" type="#_x0000_t75" stroked="false">
                <v:imagedata r:id="rId92" o:title=""/>
              </v:shape>
            </v:group>
            <v:group style="position:absolute;left:3356;top:5600;width:863;height:2" coordorigin="3356,5600" coordsize="863,2">
              <v:shape style="position:absolute;left:3356;top:5600;width:863;height:2" coordorigin="3356,5600" coordsize="863,0" path="m3356,5600l4219,5600e" filled="false" stroked="true" strokeweight="1.5pt" strokecolor="#000000">
                <v:path arrowok="t"/>
              </v:shape>
              <v:shape style="position:absolute;left:4202;top:3228;width:43;height:2374" type="#_x0000_t75" stroked="false">
                <v:imagedata r:id="rId90" o:title=""/>
              </v:shape>
            </v:group>
            <v:group style="position:absolute;left:4219;top:5600;width:3047;height:2" coordorigin="4219,5600" coordsize="3047,2">
              <v:shape style="position:absolute;left:4219;top:5600;width:3047;height:2" coordorigin="4219,5600" coordsize="3047,0" path="m4219,5600l7265,5600e" filled="false" stroked="true" strokeweight="1.5pt" strokecolor="#000000">
                <v:path arrowok="t"/>
              </v:shape>
              <v:shape style="position:absolute;left:7246;top:3226;width:48;height:2362" type="#_x0000_t75" stroked="false">
                <v:imagedata r:id="rId91" o:title=""/>
              </v:shape>
            </v:group>
            <v:group style="position:absolute;left:7265;top:5600;width:860;height:2" coordorigin="7265,5600" coordsize="860,2">
              <v:shape style="position:absolute;left:7265;top:5600;width:860;height:2" coordorigin="7265,5600" coordsize="860,0" path="m7265,5600l8125,5600e" filled="false" stroked="true" strokeweight="1.5pt" strokecolor="#000000">
                <v:path arrowok="t"/>
              </v:shape>
              <v:shape style="position:absolute;left:8108;top:3228;width:43;height:2374" type="#_x0000_t75" stroked="false">
                <v:imagedata r:id="rId90" o:title=""/>
              </v:shape>
            </v:group>
            <v:group style="position:absolute;left:8125;top:5600;width:792;height:2" coordorigin="8125,5600" coordsize="792,2">
              <v:shape style="position:absolute;left:8125;top:5600;width:792;height:2" coordorigin="8125,5600" coordsize="792,0" path="m8125,5600l8917,5600e" filled="false" stroked="true" strokeweight="1.5pt" strokecolor="#000000">
                <v:path arrowok="t"/>
              </v:shape>
              <v:shape style="position:absolute;left:8900;top:3228;width:43;height:2374" type="#_x0000_t75" stroked="false">
                <v:imagedata r:id="rId92" o:title=""/>
              </v:shape>
            </v:group>
            <v:group style="position:absolute;left:8917;top:5600;width:515;height:2" coordorigin="8917,5600" coordsize="515,2">
              <v:shape style="position:absolute;left:8917;top:5600;width:515;height:2" coordorigin="8917,5600" coordsize="515,0" path="m8917,5600l9431,5600e" filled="false" stroked="true" strokeweight="1.5pt" strokecolor="#000000">
                <v:path arrowok="t"/>
              </v:shape>
              <v:shape style="position:absolute;left:9412;top:3226;width:48;height:2362" type="#_x0000_t75" stroked="false">
                <v:imagedata r:id="rId91" o:title=""/>
              </v:shape>
            </v:group>
            <v:group style="position:absolute;left:9431;top:5600;width:696;height:2" coordorigin="9431,5600" coordsize="696,2">
              <v:shape style="position:absolute;left:9431;top:5600;width:696;height:2" coordorigin="9431,5600" coordsize="696,0" path="m9431,5600l10127,5600e" filled="false" stroked="true" strokeweight="1.5pt" strokecolor="#000000">
                <v:path arrowok="t"/>
              </v:shape>
              <v:shape style="position:absolute;left:10111;top:3228;width:43;height:2374" type="#_x0000_t75" stroked="false">
                <v:imagedata r:id="rId90" o:title=""/>
              </v:shape>
            </v:group>
            <v:group style="position:absolute;left:10127;top:5600;width:680;height:2" coordorigin="10127,5600" coordsize="680,2">
              <v:shape style="position:absolute;left:10127;top:5600;width:680;height:2" coordorigin="10127,5600" coordsize="680,0" path="m10127,5600l10807,5600e" filled="false" stroked="true" strokeweight="1.5pt" strokecolor="#000000">
                <v:path arrowok="t"/>
              </v:shape>
              <v:shape style="position:absolute;left:10790;top:3228;width:43;height:2374" type="#_x0000_t75" stroked="false">
                <v:imagedata r:id="rId92" o:title=""/>
              </v:shape>
            </v:group>
            <v:group style="position:absolute;left:10807;top:5600;width:660;height:2" coordorigin="10807,5600" coordsize="660,2">
              <v:shape style="position:absolute;left:10807;top:5600;width:660;height:2" coordorigin="10807,5600" coordsize="660,0" path="m10807,5600l11467,5600e" filled="false" stroked="true" strokeweight="1.5pt" strokecolor="#000000">
                <v:path arrowok="t"/>
              </v:shape>
              <v:shape style="position:absolute;left:11447;top:3226;width:48;height:2362" type="#_x0000_t75" stroked="false">
                <v:imagedata r:id="rId91" o:title=""/>
              </v:shape>
            </v:group>
            <v:group style="position:absolute;left:11467;top:5600;width:933;height:2" coordorigin="11467,5600" coordsize="933,2">
              <v:shape style="position:absolute;left:11467;top:5600;width:933;height:2" coordorigin="11467,5600" coordsize="933,0" path="m11467,5600l12399,5600e" filled="false" stroked="true" strokeweight="1.5pt" strokecolor="#000000">
                <v:path arrowok="t"/>
              </v:shape>
              <v:shape style="position:absolute;left:12382;top:3228;width:43;height:2374" type="#_x0000_t75" stroked="false">
                <v:imagedata r:id="rId90" o:title=""/>
              </v:shape>
            </v:group>
            <v:group style="position:absolute;left:12399;top:5600;width:1553;height:2" coordorigin="12399,5600" coordsize="1553,2">
              <v:shape style="position:absolute;left:12399;top:5600;width:1553;height:2" coordorigin="12399,5600" coordsize="1553,0" path="m12399,5600l13952,5600e" filled="false" stroked="true" strokeweight="1.5pt" strokecolor="#000000">
                <v:path arrowok="t"/>
              </v:shape>
              <v:shape style="position:absolute;left:202;top:693;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子公司全称</w:t>
                      </w:r>
                    </w:p>
                  </w:txbxContent>
                </v:textbox>
                <w10:wrap type="none"/>
              </v:shape>
              <v:shape style="position:absolute;left:1238;top:596;width:450;height:345" type="#_x0000_t202" filled="false" stroked="false">
                <v:textbox inset="0,0,0,0">
                  <w:txbxContent>
                    <w:p>
                      <w:pPr>
                        <w:spacing w:line="149" w:lineRule="exact" w:before="0"/>
                        <w:ind w:left="75" w:right="0" w:hanging="76"/>
                        <w:jc w:val="left"/>
                        <w:rPr>
                          <w:rFonts w:ascii="宋体" w:hAnsi="宋体" w:cs="宋体" w:eastAsia="宋体" w:hint="default"/>
                          <w:sz w:val="15"/>
                          <w:szCs w:val="15"/>
                        </w:rPr>
                      </w:pPr>
                      <w:r>
                        <w:rPr>
                          <w:rFonts w:ascii="宋体" w:hAnsi="宋体" w:cs="宋体" w:eastAsia="宋体" w:hint="default"/>
                          <w:sz w:val="15"/>
                          <w:szCs w:val="15"/>
                        </w:rPr>
                        <w:t>子公司</w:t>
                      </w:r>
                    </w:p>
                    <w:p>
                      <w:pPr>
                        <w:spacing w:line="195" w:lineRule="exact" w:before="0"/>
                        <w:ind w:left="75" w:right="0" w:firstLine="0"/>
                        <w:jc w:val="left"/>
                        <w:rPr>
                          <w:rFonts w:ascii="宋体" w:hAnsi="宋体" w:cs="宋体" w:eastAsia="宋体" w:hint="default"/>
                          <w:sz w:val="15"/>
                          <w:szCs w:val="15"/>
                        </w:rPr>
                      </w:pPr>
                      <w:r>
                        <w:rPr>
                          <w:rFonts w:ascii="宋体" w:hAnsi="宋体" w:cs="宋体" w:eastAsia="宋体" w:hint="default"/>
                          <w:sz w:val="15"/>
                          <w:szCs w:val="15"/>
                        </w:rPr>
                        <w:t>类型</w:t>
                      </w:r>
                    </w:p>
                  </w:txbxContent>
                </v:textbox>
                <w10:wrap type="none"/>
              </v:shape>
              <v:shape style="position:absolute;left:1924;top:693;width:2168;height:150" type="#_x0000_t202" filled="false" stroked="false">
                <v:textbox inset="0,0,0,0">
                  <w:txbxContent>
                    <w:p>
                      <w:pPr>
                        <w:tabs>
                          <w:tab w:pos="704" w:val="left" w:leader="none"/>
                          <w:tab w:pos="1567"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注册地</w:t>
                        <w:tab/>
                        <w:t>业务性质</w:t>
                        <w:tab/>
                        <w:t>注册资本</w:t>
                      </w:r>
                    </w:p>
                  </w:txbxContent>
                </v:textbox>
                <w10:wrap type="none"/>
              </v:shape>
              <v:shape style="position:absolute;left:5446;top:69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经营范围</w:t>
                      </w:r>
                    </w:p>
                  </w:txbxContent>
                </v:textbox>
                <w10:wrap type="none"/>
              </v:shape>
              <v:shape style="position:absolute;left:7325;top:207;width:6527;height:1122" type="#_x0000_t202" filled="false" stroked="false">
                <v:textbox inset="0,0,0,0">
                  <w:txbxContent>
                    <w:p>
                      <w:pPr>
                        <w:tabs>
                          <w:tab w:pos="4277" w:val="left" w:leader="none"/>
                        </w:tabs>
                        <w:spacing w:line="199" w:lineRule="exact" w:before="0"/>
                        <w:ind w:left="0" w:right="0" w:firstLine="0"/>
                        <w:jc w:val="right"/>
                        <w:rPr>
                          <w:rFonts w:ascii="宋体" w:hAnsi="宋体" w:cs="宋体" w:eastAsia="宋体" w:hint="default"/>
                          <w:sz w:val="15"/>
                          <w:szCs w:val="15"/>
                        </w:rPr>
                      </w:pPr>
                      <w:r>
                        <w:rPr>
                          <w:rFonts w:ascii="宋体" w:hAnsi="宋体" w:cs="宋体" w:eastAsia="宋体" w:hint="default"/>
                          <w:position w:val="-9"/>
                          <w:sz w:val="15"/>
                          <w:szCs w:val="15"/>
                        </w:rPr>
                        <w:t>实质上构</w:t>
                        <w:tab/>
                      </w:r>
                      <w:r>
                        <w:rPr>
                          <w:rFonts w:ascii="宋体" w:hAnsi="宋体" w:cs="宋体" w:eastAsia="宋体" w:hint="default"/>
                          <w:sz w:val="15"/>
                          <w:szCs w:val="15"/>
                        </w:rPr>
                        <w:t>从母公司所有者权益</w:t>
                      </w:r>
                    </w:p>
                    <w:p>
                      <w:pPr>
                        <w:tabs>
                          <w:tab w:pos="674" w:val="left" w:leader="none"/>
                          <w:tab w:pos="1478" w:val="left" w:leader="none"/>
                          <w:tab w:pos="1702" w:val="left" w:leader="none"/>
                          <w:tab w:pos="2233" w:val="left" w:leader="none"/>
                          <w:tab w:pos="2920" w:val="left" w:leader="none"/>
                          <w:tab w:pos="3365" w:val="left" w:leader="none"/>
                          <w:tab w:pos="3590" w:val="left" w:leader="none"/>
                        </w:tabs>
                        <w:spacing w:line="136" w:lineRule="auto" w:before="24"/>
                        <w:ind w:left="0" w:right="0" w:firstLine="4237"/>
                        <w:jc w:val="right"/>
                        <w:rPr>
                          <w:rFonts w:ascii="宋体" w:hAnsi="宋体" w:cs="宋体" w:eastAsia="宋体" w:hint="default"/>
                          <w:sz w:val="15"/>
                          <w:szCs w:val="15"/>
                        </w:rPr>
                      </w:pPr>
                      <w:r>
                        <w:rPr>
                          <w:rFonts w:ascii="宋体" w:hAnsi="宋体" w:cs="宋体" w:eastAsia="宋体" w:hint="default"/>
                          <w:sz w:val="15"/>
                          <w:szCs w:val="15"/>
                        </w:rPr>
                        <w:t>少数股东权</w:t>
                      </w:r>
                      <w:r>
                        <w:rPr>
                          <w:rFonts w:ascii="宋体" w:hAnsi="宋体" w:cs="宋体" w:eastAsia="宋体" w:hint="default"/>
                          <w:spacing w:val="39"/>
                          <w:sz w:val="15"/>
                          <w:szCs w:val="15"/>
                        </w:rPr>
                        <w:t> </w:t>
                      </w:r>
                      <w:r>
                        <w:rPr>
                          <w:rFonts w:ascii="宋体" w:hAnsi="宋体" w:cs="宋体" w:eastAsia="宋体" w:hint="default"/>
                          <w:sz w:val="15"/>
                          <w:szCs w:val="15"/>
                        </w:rPr>
                        <w:t>冲减子公司少数股东</w:t>
                      </w:r>
                      <w:r>
                        <w:rPr>
                          <w:rFonts w:ascii="宋体" w:hAnsi="宋体" w:cs="宋体" w:eastAsia="宋体" w:hint="default"/>
                          <w:sz w:val="15"/>
                          <w:szCs w:val="15"/>
                        </w:rPr>
                        <w:t> 期末实际投</w:t>
                      </w:r>
                      <w:r>
                        <w:rPr>
                          <w:rFonts w:ascii="宋体" w:hAnsi="宋体" w:cs="宋体" w:eastAsia="宋体" w:hint="default"/>
                          <w:spacing w:val="73"/>
                          <w:sz w:val="15"/>
                          <w:szCs w:val="15"/>
                        </w:rPr>
                        <w:t> </w:t>
                      </w:r>
                      <w:r>
                        <w:rPr>
                          <w:rFonts w:ascii="宋体" w:hAnsi="宋体" w:cs="宋体" w:eastAsia="宋体" w:hint="default"/>
                          <w:position w:val="10"/>
                          <w:sz w:val="15"/>
                          <w:szCs w:val="15"/>
                        </w:rPr>
                        <w:t>成对子公</w:t>
                        <w:tab/>
                      </w:r>
                      <w:r>
                        <w:rPr>
                          <w:rFonts w:ascii="宋体" w:hAnsi="宋体" w:cs="宋体" w:eastAsia="宋体" w:hint="default"/>
                          <w:position w:val="9"/>
                          <w:sz w:val="15"/>
                          <w:szCs w:val="15"/>
                        </w:rPr>
                        <w:t>持股</w:t>
                        <w:tab/>
                      </w:r>
                      <w:r>
                        <w:rPr>
                          <w:rFonts w:ascii="宋体" w:hAnsi="宋体" w:cs="宋体" w:eastAsia="宋体" w:hint="default"/>
                          <w:sz w:val="15"/>
                          <w:szCs w:val="15"/>
                        </w:rPr>
                        <w:t>表决权</w:t>
                        <w:tab/>
                        <w:t>是否合</w:t>
                        <w:tab/>
                        <w:t>少数股   益中用于冲 </w:t>
                      </w:r>
                      <w:r>
                        <w:rPr>
                          <w:rFonts w:ascii="宋体" w:hAnsi="宋体" w:cs="宋体" w:eastAsia="宋体" w:hint="default"/>
                          <w:spacing w:val="10"/>
                          <w:sz w:val="15"/>
                          <w:szCs w:val="15"/>
                        </w:rPr>
                        <w:t> </w:t>
                      </w:r>
                      <w:r>
                        <w:rPr>
                          <w:rFonts w:ascii="宋体" w:hAnsi="宋体" w:cs="宋体" w:eastAsia="宋体" w:hint="default"/>
                          <w:sz w:val="15"/>
                          <w:szCs w:val="15"/>
                        </w:rPr>
                        <w:t>分担的本期亏损超过</w:t>
                      </w:r>
                      <w:r>
                        <w:rPr>
                          <w:rFonts w:ascii="宋体" w:hAnsi="宋体" w:cs="宋体" w:eastAsia="宋体" w:hint="default"/>
                          <w:sz w:val="15"/>
                          <w:szCs w:val="15"/>
                        </w:rPr>
                        <w:t> 资额</w:t>
                        <w:tab/>
                      </w:r>
                      <w:r>
                        <w:rPr>
                          <w:rFonts w:ascii="宋体" w:hAnsi="宋体" w:cs="宋体" w:eastAsia="宋体" w:hint="default"/>
                          <w:position w:val="10"/>
                          <w:sz w:val="15"/>
                          <w:szCs w:val="15"/>
                        </w:rPr>
                        <w:t>司净投资</w:t>
                        <w:tab/>
                      </w:r>
                      <w:r>
                        <w:rPr>
                          <w:rFonts w:ascii="宋体" w:hAnsi="宋体" w:cs="宋体" w:eastAsia="宋体" w:hint="default"/>
                          <w:position w:val="9"/>
                          <w:sz w:val="15"/>
                          <w:szCs w:val="15"/>
                        </w:rPr>
                        <w:t>比例   </w:t>
                      </w:r>
                      <w:r>
                        <w:rPr>
                          <w:rFonts w:ascii="宋体" w:hAnsi="宋体" w:cs="宋体" w:eastAsia="宋体" w:hint="default"/>
                          <w:sz w:val="15"/>
                          <w:szCs w:val="15"/>
                        </w:rPr>
                        <w:t>比例</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宋体" w:hAnsi="宋体" w:cs="宋体" w:eastAsia="宋体" w:hint="default"/>
                          <w:sz w:val="15"/>
                          <w:szCs w:val="15"/>
                        </w:rPr>
                        <w:t>并报表</w:t>
                        <w:tab/>
                        <w:t>东权益   减少数股东 </w:t>
                      </w:r>
                      <w:r>
                        <w:rPr>
                          <w:rFonts w:ascii="宋体" w:hAnsi="宋体" w:cs="宋体" w:eastAsia="宋体" w:hint="default"/>
                          <w:spacing w:val="10"/>
                          <w:sz w:val="15"/>
                          <w:szCs w:val="15"/>
                        </w:rPr>
                        <w:t> </w:t>
                      </w:r>
                      <w:r>
                        <w:rPr>
                          <w:rFonts w:ascii="宋体" w:hAnsi="宋体" w:cs="宋体" w:eastAsia="宋体" w:hint="default"/>
                          <w:sz w:val="15"/>
                          <w:szCs w:val="15"/>
                        </w:rPr>
                        <w:t>少数股东在该子公司</w:t>
                      </w:r>
                    </w:p>
                    <w:p>
                      <w:pPr>
                        <w:tabs>
                          <w:tab w:pos="1739" w:val="left" w:leader="none"/>
                          <w:tab w:pos="4237" w:val="left" w:leader="none"/>
                          <w:tab w:pos="5252" w:val="left" w:leader="none"/>
                        </w:tabs>
                        <w:spacing w:line="158" w:lineRule="auto" w:before="0"/>
                        <w:ind w:left="974" w:right="0" w:hanging="76"/>
                        <w:jc w:val="left"/>
                        <w:rPr>
                          <w:rFonts w:ascii="宋体" w:hAnsi="宋体" w:cs="宋体" w:eastAsia="宋体" w:hint="default"/>
                          <w:sz w:val="15"/>
                          <w:szCs w:val="15"/>
                        </w:rPr>
                      </w:pPr>
                      <w:r>
                        <w:rPr>
                          <w:rFonts w:ascii="宋体" w:hAnsi="宋体" w:cs="宋体" w:eastAsia="宋体" w:hint="default"/>
                          <w:position w:val="10"/>
                          <w:sz w:val="15"/>
                          <w:szCs w:val="15"/>
                        </w:rPr>
                        <w:t>的其他项</w:t>
                        <w:tab/>
                      </w:r>
                      <w:r>
                        <w:rPr>
                          <w:rFonts w:ascii="Times New Roman" w:hAnsi="Times New Roman" w:cs="Times New Roman" w:eastAsia="Times New Roman" w:hint="default"/>
                          <w:position w:val="10"/>
                          <w:sz w:val="15"/>
                          <w:szCs w:val="15"/>
                        </w:rPr>
                        <w:t>(%)</w:t>
                        <w:tab/>
                      </w:r>
                      <w:r>
                        <w:rPr>
                          <w:rFonts w:ascii="宋体" w:hAnsi="宋体" w:cs="宋体" w:eastAsia="宋体" w:hint="default"/>
                          <w:sz w:val="15"/>
                          <w:szCs w:val="15"/>
                        </w:rPr>
                        <w:t>损益的金额 </w:t>
                      </w:r>
                      <w:r>
                        <w:rPr>
                          <w:rFonts w:ascii="宋体" w:hAnsi="宋体" w:cs="宋体" w:eastAsia="宋体" w:hint="default"/>
                          <w:spacing w:val="39"/>
                          <w:sz w:val="15"/>
                          <w:szCs w:val="15"/>
                        </w:rPr>
                        <w:t> </w:t>
                      </w:r>
                      <w:r>
                        <w:rPr>
                          <w:rFonts w:ascii="宋体" w:hAnsi="宋体" w:cs="宋体" w:eastAsia="宋体" w:hint="default"/>
                          <w:sz w:val="15"/>
                          <w:szCs w:val="15"/>
                        </w:rPr>
                        <w:t>期初所有者权益中所</w:t>
                      </w:r>
                      <w:r>
                        <w:rPr>
                          <w:rFonts w:ascii="宋体" w:hAnsi="宋体" w:cs="宋体" w:eastAsia="宋体" w:hint="default"/>
                          <w:sz w:val="15"/>
                          <w:szCs w:val="15"/>
                        </w:rPr>
                        <w:t> </w:t>
                      </w:r>
                      <w:r>
                        <w:rPr>
                          <w:rFonts w:ascii="宋体" w:hAnsi="宋体" w:cs="宋体" w:eastAsia="宋体" w:hint="default"/>
                          <w:position w:val="10"/>
                          <w:sz w:val="15"/>
                          <w:szCs w:val="15"/>
                        </w:rPr>
                        <w:t>目余额</w:t>
                        <w:tab/>
                        <w:tab/>
                        <w:tab/>
                      </w:r>
                      <w:r>
                        <w:rPr>
                          <w:rFonts w:ascii="宋体" w:hAnsi="宋体" w:cs="宋体" w:eastAsia="宋体" w:hint="default"/>
                          <w:sz w:val="15"/>
                          <w:szCs w:val="15"/>
                        </w:rPr>
                        <w:t>享有份额后的余额</w:t>
                      </w:r>
                    </w:p>
                  </w:txbxContent>
                </v:textbox>
                <w10:wrap type="none"/>
              </v:shape>
              <v:shape style="position:absolute;left:137;top:1442;width:10409;height:157" type="#_x0000_t202" filled="false" stroked="false">
                <v:textbox inset="0,0,0,0">
                  <w:txbxContent>
                    <w:p>
                      <w:pPr>
                        <w:tabs>
                          <w:tab w:pos="1095" w:val="left" w:leader="none"/>
                          <w:tab w:pos="1772" w:val="left" w:leader="none"/>
                          <w:tab w:pos="2468" w:val="left" w:leader="none"/>
                          <w:tab w:pos="3639" w:val="left" w:leader="none"/>
                          <w:tab w:pos="4193" w:val="left" w:leader="none"/>
                          <w:tab w:pos="7546" w:val="left" w:leader="none"/>
                          <w:tab w:pos="8965" w:val="left" w:leader="none"/>
                          <w:tab w:pos="9661" w:val="left" w:leader="none"/>
                          <w:tab w:pos="10258" w:val="left" w:leader="none"/>
                        </w:tabs>
                        <w:spacing w:line="157" w:lineRule="exact" w:before="0"/>
                        <w:ind w:left="0" w:right="0" w:firstLine="0"/>
                        <w:jc w:val="left"/>
                        <w:rPr>
                          <w:rFonts w:ascii="宋体" w:hAnsi="宋体" w:cs="宋体" w:eastAsia="宋体" w:hint="default"/>
                          <w:sz w:val="15"/>
                          <w:szCs w:val="15"/>
                        </w:rPr>
                      </w:pPr>
                      <w:r>
                        <w:rPr>
                          <w:rFonts w:ascii="宋体" w:hAnsi="宋体" w:cs="宋体" w:eastAsia="宋体" w:hint="default"/>
                          <w:spacing w:val="25"/>
                          <w:sz w:val="15"/>
                          <w:szCs w:val="15"/>
                        </w:rPr>
                        <w:t>北京新媒传</w:t>
                        <w:tab/>
                      </w:r>
                      <w:r>
                        <w:rPr>
                          <w:rFonts w:ascii="宋体" w:hAnsi="宋体" w:cs="宋体" w:eastAsia="宋体" w:hint="default"/>
                          <w:spacing w:val="4"/>
                          <w:w w:val="95"/>
                          <w:sz w:val="15"/>
                          <w:szCs w:val="15"/>
                        </w:rPr>
                        <w:t>全资子</w:t>
                        <w:tab/>
                      </w:r>
                      <w:r>
                        <w:rPr>
                          <w:rFonts w:ascii="宋体" w:hAnsi="宋体" w:cs="宋体" w:eastAsia="宋体" w:hint="default"/>
                          <w:sz w:val="15"/>
                          <w:szCs w:val="15"/>
                        </w:rPr>
                        <w:t>北京</w:t>
                        <w:tab/>
                      </w:r>
                      <w:r>
                        <w:rPr>
                          <w:rFonts w:ascii="宋体" w:hAnsi="宋体" w:cs="宋体" w:eastAsia="宋体" w:hint="default"/>
                          <w:spacing w:val="11"/>
                          <w:sz w:val="15"/>
                          <w:szCs w:val="15"/>
                        </w:rPr>
                        <w:t>计算机应</w:t>
                        <w:tab/>
                      </w:r>
                      <w:r>
                        <w:rPr>
                          <w:rFonts w:ascii="Times New Roman" w:hAnsi="Times New Roman" w:cs="Times New Roman" w:eastAsia="Times New Roman" w:hint="default"/>
                          <w:spacing w:val="-1"/>
                          <w:sz w:val="15"/>
                          <w:szCs w:val="15"/>
                        </w:rPr>
                        <w:t>2,000</w:t>
                        <w:tab/>
                      </w:r>
                      <w:r>
                        <w:rPr>
                          <w:rFonts w:ascii="宋体" w:hAnsi="宋体" w:cs="宋体" w:eastAsia="宋体" w:hint="default"/>
                          <w:spacing w:val="-2"/>
                          <w:sz w:val="15"/>
                          <w:szCs w:val="15"/>
                        </w:rPr>
                        <w:t>代理、发布广告；法律、行政法规、国务院</w:t>
                        <w:tab/>
                      </w:r>
                      <w:r>
                        <w:rPr>
                          <w:rFonts w:ascii="Times New Roman" w:hAnsi="Times New Roman" w:cs="Times New Roman" w:eastAsia="Times New Roman" w:hint="default"/>
                          <w:spacing w:val="-1"/>
                          <w:sz w:val="15"/>
                          <w:szCs w:val="15"/>
                        </w:rPr>
                        <w:t>2,000</w:t>
                        <w:tab/>
                        <w:t>100</w:t>
                        <w:tab/>
                        <w:t>100</w:t>
                        <w:tab/>
                      </w:r>
                      <w:r>
                        <w:rPr>
                          <w:rFonts w:ascii="宋体" w:hAnsi="宋体" w:cs="宋体" w:eastAsia="宋体" w:hint="default"/>
                          <w:sz w:val="15"/>
                          <w:szCs w:val="15"/>
                        </w:rPr>
                        <w:t>是</w:t>
                      </w:r>
                    </w:p>
                  </w:txbxContent>
                </v:textbox>
                <w10:wrap type="none"/>
              </v:shape>
              <v:shape style="position:absolute;left:137;top:1754;width:912;height:462"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25"/>
                          <w:sz w:val="15"/>
                          <w:szCs w:val="15"/>
                        </w:rPr>
                        <w:t>信科技有限</w:t>
                      </w:r>
                      <w:r>
                        <w:rPr>
                          <w:rFonts w:ascii="宋体" w:hAnsi="宋体" w:cs="宋体" w:eastAsia="宋体" w:hint="default"/>
                          <w:spacing w:val="-43"/>
                          <w:sz w:val="15"/>
                          <w:szCs w:val="15"/>
                        </w:rPr>
                        <w:t> </w:t>
                      </w:r>
                      <w:r>
                        <w:rPr>
                          <w:rFonts w:ascii="宋体" w:hAnsi="宋体" w:cs="宋体" w:eastAsia="宋体" w:hint="default"/>
                          <w:sz w:val="15"/>
                          <w:szCs w:val="15"/>
                        </w:rPr>
                      </w:r>
                    </w:p>
                    <w:p>
                      <w:pPr>
                        <w:spacing w:before="115"/>
                        <w:ind w:left="0" w:right="0" w:firstLine="0"/>
                        <w:jc w:val="left"/>
                        <w:rPr>
                          <w:rFonts w:ascii="宋体" w:hAnsi="宋体" w:cs="宋体" w:eastAsia="宋体" w:hint="default"/>
                          <w:sz w:val="15"/>
                          <w:szCs w:val="15"/>
                        </w:rPr>
                      </w:pPr>
                      <w:r>
                        <w:rPr>
                          <w:rFonts w:ascii="宋体" w:hAnsi="宋体" w:cs="宋体" w:eastAsia="宋体" w:hint="default"/>
                          <w:sz w:val="15"/>
                          <w:szCs w:val="15"/>
                        </w:rPr>
                        <w:t>公司</w:t>
                      </w:r>
                    </w:p>
                  </w:txbxContent>
                </v:textbox>
                <w10:wrap type="none"/>
              </v:shape>
              <v:shape style="position:absolute;left:1233;top:1754;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公司</w:t>
                      </w:r>
                    </w:p>
                  </w:txbxContent>
                </v:textbox>
                <w10:wrap type="none"/>
              </v:shape>
              <v:shape style="position:absolute;left:2606;top:1754;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用服务业</w:t>
                      </w:r>
                    </w:p>
                  </w:txbxContent>
                </v:textbox>
                <w10:wrap type="none"/>
              </v:shape>
              <v:shape style="position:absolute;left:4331;top:1754;width:2850;height:1398" type="#_x0000_t202" filled="false" stroked="false">
                <v:textbox inset="0,0,0,0">
                  <w:txbxContent>
                    <w:p>
                      <w:pPr>
                        <w:spacing w:line="150" w:lineRule="exact" w:before="0"/>
                        <w:ind w:left="0" w:right="0" w:firstLine="0"/>
                        <w:jc w:val="both"/>
                        <w:rPr>
                          <w:rFonts w:ascii="宋体" w:hAnsi="宋体" w:cs="宋体" w:eastAsia="宋体" w:hint="default"/>
                          <w:sz w:val="15"/>
                          <w:szCs w:val="15"/>
                        </w:rPr>
                      </w:pPr>
                      <w:r>
                        <w:rPr>
                          <w:rFonts w:ascii="宋体" w:hAnsi="宋体" w:cs="宋体" w:eastAsia="宋体" w:hint="default"/>
                          <w:sz w:val="15"/>
                          <w:szCs w:val="15"/>
                        </w:rPr>
                        <w:t>决定禁止的，不得经营；法律、行政法规、</w:t>
                      </w:r>
                    </w:p>
                    <w:p>
                      <w:pPr>
                        <w:spacing w:line="310" w:lineRule="atLeast" w:before="2"/>
                        <w:ind w:left="0" w:right="11" w:firstLine="0"/>
                        <w:jc w:val="both"/>
                        <w:rPr>
                          <w:rFonts w:ascii="宋体" w:hAnsi="宋体" w:cs="宋体" w:eastAsia="宋体" w:hint="default"/>
                          <w:sz w:val="15"/>
                          <w:szCs w:val="15"/>
                        </w:rPr>
                      </w:pPr>
                      <w:r>
                        <w:rPr>
                          <w:rFonts w:ascii="宋体" w:hAnsi="宋体" w:cs="宋体" w:eastAsia="宋体" w:hint="default"/>
                          <w:spacing w:val="-2"/>
                          <w:sz w:val="15"/>
                          <w:szCs w:val="15"/>
                        </w:rPr>
                        <w:t>国务院决定规定应经许可的，经审批机关批</w:t>
                      </w:r>
                      <w:r>
                        <w:rPr>
                          <w:rFonts w:ascii="宋体" w:hAnsi="宋体" w:cs="宋体" w:eastAsia="宋体" w:hint="default"/>
                          <w:spacing w:val="-58"/>
                          <w:sz w:val="15"/>
                          <w:szCs w:val="15"/>
                        </w:rPr>
                        <w:t> </w:t>
                      </w:r>
                      <w:r>
                        <w:rPr>
                          <w:rFonts w:ascii="宋体" w:hAnsi="宋体" w:cs="宋体" w:eastAsia="宋体" w:hint="default"/>
                          <w:spacing w:val="-58"/>
                          <w:sz w:val="15"/>
                          <w:szCs w:val="15"/>
                        </w:rPr>
                      </w:r>
                      <w:r>
                        <w:rPr>
                          <w:rFonts w:ascii="宋体" w:hAnsi="宋体" w:cs="宋体" w:eastAsia="宋体" w:hint="default"/>
                          <w:spacing w:val="7"/>
                          <w:sz w:val="15"/>
                          <w:szCs w:val="15"/>
                        </w:rPr>
                        <w:t>准并经工商行政管理机关登记注册后方可</w:t>
                      </w:r>
                      <w:r>
                        <w:rPr>
                          <w:rFonts w:ascii="宋体" w:hAnsi="宋体" w:cs="宋体" w:eastAsia="宋体" w:hint="default"/>
                          <w:spacing w:val="-70"/>
                          <w:sz w:val="15"/>
                          <w:szCs w:val="15"/>
                        </w:rPr>
                        <w:t> </w:t>
                      </w:r>
                      <w:r>
                        <w:rPr>
                          <w:rFonts w:ascii="宋体" w:hAnsi="宋体" w:cs="宋体" w:eastAsia="宋体" w:hint="default"/>
                          <w:spacing w:val="-70"/>
                          <w:sz w:val="15"/>
                          <w:szCs w:val="15"/>
                        </w:rPr>
                      </w:r>
                      <w:r>
                        <w:rPr>
                          <w:rFonts w:ascii="宋体" w:hAnsi="宋体" w:cs="宋体" w:eastAsia="宋体" w:hint="default"/>
                          <w:spacing w:val="-2"/>
                          <w:sz w:val="15"/>
                          <w:szCs w:val="15"/>
                        </w:rPr>
                        <w:t>经营；法律、行政法规、国务院决定未规定</w:t>
                      </w:r>
                      <w:r>
                        <w:rPr>
                          <w:rFonts w:ascii="宋体" w:hAnsi="宋体" w:cs="宋体" w:eastAsia="宋体" w:hint="default"/>
                          <w:spacing w:val="-60"/>
                          <w:sz w:val="15"/>
                          <w:szCs w:val="15"/>
                        </w:rPr>
                        <w:t> </w:t>
                      </w:r>
                      <w:r>
                        <w:rPr>
                          <w:rFonts w:ascii="宋体" w:hAnsi="宋体" w:cs="宋体" w:eastAsia="宋体" w:hint="default"/>
                          <w:spacing w:val="-60"/>
                          <w:sz w:val="15"/>
                          <w:szCs w:val="15"/>
                        </w:rPr>
                      </w:r>
                      <w:r>
                        <w:rPr>
                          <w:rFonts w:ascii="宋体" w:hAnsi="宋体" w:cs="宋体" w:eastAsia="宋体" w:hint="default"/>
                          <w:sz w:val="15"/>
                          <w:szCs w:val="15"/>
                        </w:rPr>
                        <w:t>许可的，自主选择经营项目开展经营活动</w:t>
                      </w:r>
                    </w:p>
                  </w:txbxContent>
                </v:textbox>
                <w10:wrap type="none"/>
              </v:shape>
              <v:shape style="position:absolute;left:1233;top:3325;width:2036;height:150" type="#_x0000_t202" filled="false" stroked="false">
                <v:textbox inset="0,0,0,0">
                  <w:txbxContent>
                    <w:p>
                      <w:pPr>
                        <w:tabs>
                          <w:tab w:pos="676" w:val="left" w:leader="none"/>
                          <w:tab w:pos="1372"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4"/>
                          <w:w w:val="95"/>
                          <w:sz w:val="15"/>
                          <w:szCs w:val="15"/>
                        </w:rPr>
                        <w:t>全资子</w:t>
                        <w:tab/>
                      </w:r>
                      <w:r>
                        <w:rPr>
                          <w:rFonts w:ascii="宋体" w:hAnsi="宋体" w:cs="宋体" w:eastAsia="宋体" w:hint="default"/>
                          <w:sz w:val="15"/>
                          <w:szCs w:val="15"/>
                        </w:rPr>
                        <w:t>北京</w:t>
                        <w:tab/>
                      </w:r>
                      <w:r>
                        <w:rPr>
                          <w:rFonts w:ascii="宋体" w:hAnsi="宋体" w:cs="宋体" w:eastAsia="宋体" w:hint="default"/>
                          <w:spacing w:val="11"/>
                          <w:sz w:val="15"/>
                          <w:szCs w:val="15"/>
                        </w:rPr>
                        <w:t>计算机应</w:t>
                      </w:r>
                      <w:r>
                        <w:rPr>
                          <w:rFonts w:ascii="宋体" w:hAnsi="宋体" w:cs="宋体" w:eastAsia="宋体" w:hint="default"/>
                          <w:spacing w:val="-60"/>
                          <w:sz w:val="15"/>
                          <w:szCs w:val="15"/>
                        </w:rPr>
                        <w:t> </w:t>
                      </w:r>
                      <w:r>
                        <w:rPr>
                          <w:rFonts w:ascii="宋体" w:hAnsi="宋体" w:cs="宋体" w:eastAsia="宋体" w:hint="default"/>
                          <w:sz w:val="15"/>
                          <w:szCs w:val="15"/>
                        </w:rPr>
                      </w:r>
                    </w:p>
                  </w:txbxContent>
                </v:textbox>
                <w10:wrap type="none"/>
              </v:shape>
              <v:shape style="position:absolute;left:4331;top:3364;width:283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2"/>
                          <w:sz w:val="15"/>
                          <w:szCs w:val="15"/>
                        </w:rPr>
                        <w:t>法律、行政法规、国务院决定禁止的，不得</w:t>
                      </w:r>
                    </w:p>
                  </w:txbxContent>
                </v:textbox>
                <w10:wrap type="none"/>
              </v:shape>
              <v:shape style="position:absolute;left:1233;top:3637;width:1973;height:150" type="#_x0000_t202" filled="false" stroked="false">
                <v:textbox inset="0,0,0,0">
                  <w:txbxContent>
                    <w:p>
                      <w:pPr>
                        <w:tabs>
                          <w:tab w:pos="1372"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公司</w:t>
                        <w:tab/>
                        <w:t>用服务业</w:t>
                      </w:r>
                    </w:p>
                  </w:txbxContent>
                </v:textbox>
                <w10:wrap type="none"/>
              </v:shape>
              <v:shape style="position:absolute;left:4331;top:3754;width:283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2"/>
                          <w:sz w:val="15"/>
                          <w:szCs w:val="15"/>
                        </w:rPr>
                        <w:t>经营；法律、行政法规、国务院决定规定应</w:t>
                      </w:r>
                    </w:p>
                  </w:txbxContent>
                </v:textbox>
                <w10:wrap type="none"/>
              </v:shape>
              <v:shape style="position:absolute;left:137;top:3949;width:91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25"/>
                          <w:sz w:val="15"/>
                          <w:szCs w:val="15"/>
                        </w:rPr>
                        <w:t>北京互联时</w:t>
                      </w:r>
                      <w:r>
                        <w:rPr>
                          <w:rFonts w:ascii="宋体" w:hAnsi="宋体" w:cs="宋体" w:eastAsia="宋体" w:hint="default"/>
                          <w:spacing w:val="-43"/>
                          <w:sz w:val="15"/>
                          <w:szCs w:val="15"/>
                        </w:rPr>
                        <w:t> </w:t>
                      </w:r>
                      <w:r>
                        <w:rPr>
                          <w:rFonts w:ascii="宋体" w:hAnsi="宋体" w:cs="宋体" w:eastAsia="宋体" w:hint="default"/>
                          <w:sz w:val="15"/>
                          <w:szCs w:val="15"/>
                        </w:rPr>
                      </w:r>
                    </w:p>
                  </w:txbxContent>
                </v:textbox>
                <w10:wrap type="none"/>
              </v:shape>
              <v:shape style="position:absolute;left:4331;top:4144;width:283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2"/>
                          <w:sz w:val="15"/>
                          <w:szCs w:val="15"/>
                        </w:rPr>
                        <w:t>经许可的，经审批机关批准并经工商行政管</w:t>
                      </w:r>
                    </w:p>
                  </w:txbxContent>
                </v:textbox>
                <w10:wrap type="none"/>
              </v:shape>
              <v:shape style="position:absolute;left:137;top:4339;width:91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25"/>
                          <w:sz w:val="15"/>
                          <w:szCs w:val="15"/>
                        </w:rPr>
                        <w:t>代通讯科技</w:t>
                      </w:r>
                      <w:r>
                        <w:rPr>
                          <w:rFonts w:ascii="宋体" w:hAnsi="宋体" w:cs="宋体" w:eastAsia="宋体" w:hint="default"/>
                          <w:spacing w:val="-43"/>
                          <w:sz w:val="15"/>
                          <w:szCs w:val="15"/>
                        </w:rPr>
                        <w:t> </w:t>
                      </w:r>
                      <w:r>
                        <w:rPr>
                          <w:rFonts w:ascii="宋体" w:hAnsi="宋体" w:cs="宋体" w:eastAsia="宋体" w:hint="default"/>
                          <w:sz w:val="15"/>
                          <w:szCs w:val="15"/>
                        </w:rPr>
                      </w:r>
                    </w:p>
                  </w:txbxContent>
                </v:textbox>
                <w10:wrap type="none"/>
              </v:shape>
              <v:shape style="position:absolute;left:3605;top:4346;width:50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4"/>
                          <w:sz w:val="15"/>
                        </w:rPr>
                        <w:t>1,111.11</w:t>
                      </w:r>
                      <w:r>
                        <w:rPr>
                          <w:rFonts w:ascii="Times New Roman"/>
                          <w:sz w:val="15"/>
                        </w:rPr>
                      </w:r>
                    </w:p>
                  </w:txbxContent>
                </v:textbox>
                <w10:wrap type="none"/>
              </v:shape>
              <v:shape style="position:absolute;left:7513;top:4346;width:510;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3"/>
                          <w:sz w:val="15"/>
                        </w:rPr>
                        <w:t>1,111.11</w:t>
                      </w:r>
                    </w:p>
                  </w:txbxContent>
                </v:textbox>
                <w10:wrap type="none"/>
              </v:shape>
              <v:shape style="position:absolute;left:9103;top:4346;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r>
                    </w:p>
                  </w:txbxContent>
                </v:textbox>
                <w10:wrap type="none"/>
              </v:shape>
              <v:shape style="position:absolute;left:9799;top:4339;width:748;height:157" type="#_x0000_t202" filled="false" stroked="false">
                <v:textbox inset="0,0,0,0">
                  <w:txbxContent>
                    <w:p>
                      <w:pPr>
                        <w:tabs>
                          <w:tab w:pos="597" w:val="left" w:leader="none"/>
                        </w:tabs>
                        <w:spacing w:line="157"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pacing w:val="-1"/>
                          <w:sz w:val="15"/>
                          <w:szCs w:val="15"/>
                        </w:rPr>
                        <w:t>100</w:t>
                        <w:tab/>
                      </w:r>
                      <w:r>
                        <w:rPr>
                          <w:rFonts w:ascii="宋体" w:hAnsi="宋体" w:cs="宋体" w:eastAsia="宋体" w:hint="default"/>
                          <w:sz w:val="15"/>
                          <w:szCs w:val="15"/>
                        </w:rPr>
                        <w:t>是</w:t>
                      </w:r>
                    </w:p>
                  </w:txbxContent>
                </v:textbox>
                <w10:wrap type="none"/>
              </v:shape>
              <v:shape style="position:absolute;left:4331;top:4534;width:283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2"/>
                          <w:sz w:val="15"/>
                          <w:szCs w:val="15"/>
                        </w:rPr>
                        <w:t>理机关登记注册后方可经营；法律、行政法</w:t>
                      </w:r>
                    </w:p>
                  </w:txbxContent>
                </v:textbox>
                <w10:wrap type="none"/>
              </v:shape>
              <v:shape style="position:absolute;left:137;top:4729;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有限公司</w:t>
                      </w:r>
                    </w:p>
                  </w:txbxContent>
                </v:textbox>
                <w10:wrap type="none"/>
              </v:shape>
              <v:shape style="position:absolute;left:4331;top:4924;width:2831;height:54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2"/>
                          <w:sz w:val="15"/>
                          <w:szCs w:val="15"/>
                        </w:rPr>
                        <w:t>规、国务院决定未规定许可的，自主选择经</w:t>
                      </w:r>
                    </w:p>
                    <w:p>
                      <w:pPr>
                        <w:spacing w:line="240" w:lineRule="auto" w:before="11"/>
                        <w:rPr>
                          <w:rFonts w:ascii="宋体" w:hAnsi="宋体" w:cs="宋体" w:eastAsia="宋体" w:hint="default"/>
                          <w:b/>
                          <w:bCs/>
                          <w:sz w:val="14"/>
                          <w:szCs w:val="14"/>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营项目开展经营活动。</w:t>
                      </w:r>
                    </w:p>
                  </w:txbxContent>
                </v:textbox>
                <w10:wrap type="none"/>
              </v:shape>
            </v:group>
          </v:group>
        </w:pict>
      </w:r>
      <w:r>
        <w:rPr>
          <w:rFonts w:ascii="宋体" w:hAnsi="宋体" w:cs="宋体" w:eastAsia="宋体" w:hint="default"/>
          <w:position w:val="-111"/>
          <w:sz w:val="20"/>
          <w:szCs w:val="20"/>
        </w:rPr>
      </w:r>
    </w:p>
    <w:p>
      <w:pPr>
        <w:spacing w:after="0" w:line="5614" w:lineRule="exact"/>
        <w:rPr>
          <w:rFonts w:ascii="宋体" w:hAnsi="宋体" w:cs="宋体" w:eastAsia="宋体" w:hint="default"/>
          <w:sz w:val="20"/>
          <w:szCs w:val="20"/>
        </w:rPr>
        <w:sectPr>
          <w:pgSz w:w="16840" w:h="11910" w:orient="landscape"/>
          <w:pgMar w:header="851" w:footer="978" w:top="1360" w:bottom="1160" w:left="1300" w:right="74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tabs>
          <w:tab w:pos="1397" w:val="left" w:leader="none"/>
        </w:tabs>
        <w:spacing w:before="187"/>
        <w:ind w:left="857" w:right="0" w:firstLine="0"/>
        <w:jc w:val="left"/>
        <w:rPr>
          <w:rFonts w:ascii="宋体" w:hAnsi="宋体" w:cs="宋体" w:eastAsia="宋体" w:hint="default"/>
          <w:sz w:val="21"/>
          <w:szCs w:val="21"/>
        </w:rPr>
      </w:pPr>
      <w:r>
        <w:rPr/>
        <w:pict>
          <v:group style="position:absolute;margin-left:101.000999pt;margin-top:44.716686pt;width:680.05pt;height:225.7pt;mso-position-horizontal-relative:page;mso-position-vertical-relative:paragraph;z-index:-710608" coordorigin="2020,894" coordsize="13601,4514">
            <v:group style="position:absolute;left:2049;top:909;width:13550;height:2" coordorigin="2049,909" coordsize="13550,2">
              <v:shape style="position:absolute;left:2049;top:909;width:13550;height:2" coordorigin="2049,909" coordsize="13550,0" path="m2049,909l15599,909e" filled="false" stroked="true" strokeweight="1.5pt" strokecolor="#000000">
                <v:path arrowok="t"/>
              </v:shape>
            </v:group>
            <v:group style="position:absolute;left:2035;top:5393;width:1100;height:2" coordorigin="2035,5393" coordsize="1100,2">
              <v:shape style="position:absolute;left:2035;top:5393;width:1100;height:2" coordorigin="2035,5393" coordsize="1100,0" path="m2035,5393l3134,5393e" filled="false" stroked="true" strokeweight="1.5pt" strokecolor="#000000">
                <v:path arrowok="t"/>
              </v:shape>
              <v:shape style="position:absolute;left:2030;top:906;width:13574;height:4490" type="#_x0000_t75" stroked="false">
                <v:imagedata r:id="rId93" o:title=""/>
              </v:shape>
            </v:group>
            <v:group style="position:absolute;left:3134;top:5393;width:694;height:2" coordorigin="3134,5393" coordsize="694,2">
              <v:shape style="position:absolute;left:3134;top:5393;width:694;height:2" coordorigin="3134,5393" coordsize="694,0" path="m3134,5393l3828,5393e" filled="false" stroked="true" strokeweight="1.5pt" strokecolor="#000000">
                <v:path arrowok="t"/>
              </v:shape>
              <v:shape style="position:absolute;left:3809;top:2238;width:48;height:3149" type="#_x0000_t75" stroked="false">
                <v:imagedata r:id="rId94" o:title=""/>
              </v:shape>
            </v:group>
            <v:group style="position:absolute;left:3828;top:5393;width:717;height:2" coordorigin="3828,5393" coordsize="717,2">
              <v:shape style="position:absolute;left:3828;top:5393;width:717;height:2" coordorigin="3828,5393" coordsize="717,0" path="m3828,5393l4544,5393e" filled="false" stroked="true" strokeweight="1.5pt" strokecolor="#000000">
                <v:path arrowok="t"/>
              </v:shape>
              <v:shape style="position:absolute;left:4525;top:2238;width:48;height:3158" type="#_x0000_t75" stroked="false">
                <v:imagedata r:id="rId95" o:title=""/>
              </v:shape>
            </v:group>
            <v:group style="position:absolute;left:4544;top:5393;width:887;height:2" coordorigin="4544,5393" coordsize="887,2">
              <v:shape style="position:absolute;left:4544;top:5393;width:887;height:2" coordorigin="4544,5393" coordsize="887,0" path="m4544,5393l5431,5393e" filled="false" stroked="true" strokeweight="1.5pt" strokecolor="#000000">
                <v:path arrowok="t"/>
              </v:shape>
              <v:shape style="position:absolute;left:5412;top:2238;width:48;height:3149" type="#_x0000_t75" stroked="false">
                <v:imagedata r:id="rId94" o:title=""/>
              </v:shape>
            </v:group>
            <v:group style="position:absolute;left:5431;top:5393;width:887;height:2" coordorigin="5431,5393" coordsize="887,2">
              <v:shape style="position:absolute;left:5431;top:5393;width:887;height:2" coordorigin="5431,5393" coordsize="887,0" path="m5431,5393l6318,5393e" filled="false" stroked="true" strokeweight="1.5pt" strokecolor="#000000">
                <v:path arrowok="t"/>
              </v:shape>
              <v:shape style="position:absolute;left:6299;top:2238;width:48;height:3158" type="#_x0000_t75" stroked="false">
                <v:imagedata r:id="rId95" o:title=""/>
              </v:shape>
            </v:group>
            <v:group style="position:absolute;left:6318;top:5393;width:2489;height:2" coordorigin="6318,5393" coordsize="2489,2">
              <v:shape style="position:absolute;left:6318;top:5393;width:2489;height:2" coordorigin="6318,5393" coordsize="2489,0" path="m6318,5393l8807,5393e" filled="false" stroked="true" strokeweight="1.5pt" strokecolor="#000000">
                <v:path arrowok="t"/>
              </v:shape>
              <v:shape style="position:absolute;left:8787;top:2238;width:48;height:3149" type="#_x0000_t75" stroked="false">
                <v:imagedata r:id="rId94" o:title=""/>
              </v:shape>
            </v:group>
            <v:group style="position:absolute;left:8807;top:5393;width:882;height:2" coordorigin="8807,5393" coordsize="882,2">
              <v:shape style="position:absolute;left:8807;top:5393;width:882;height:2" coordorigin="8807,5393" coordsize="882,0" path="m8807,5393l9689,5393e" filled="false" stroked="true" strokeweight="1.5pt" strokecolor="#000000">
                <v:path arrowok="t"/>
              </v:shape>
              <v:shape style="position:absolute;left:9669;top:2238;width:48;height:3158" type="#_x0000_t75" stroked="false">
                <v:imagedata r:id="rId95" o:title=""/>
              </v:shape>
            </v:group>
            <v:group style="position:absolute;left:9689;top:5393;width:810;height:2" coordorigin="9689,5393" coordsize="810,2">
              <v:shape style="position:absolute;left:9689;top:5393;width:810;height:2" coordorigin="9689,5393" coordsize="810,0" path="m9689,5393l10499,5393e" filled="false" stroked="true" strokeweight="1.5pt" strokecolor="#000000">
                <v:path arrowok="t"/>
              </v:shape>
              <v:shape style="position:absolute;left:10479;top:2238;width:48;height:3149" type="#_x0000_t75" stroked="false">
                <v:imagedata r:id="rId94" o:title=""/>
              </v:shape>
            </v:group>
            <v:group style="position:absolute;left:10499;top:5393;width:524;height:2" coordorigin="10499,5393" coordsize="524,2">
              <v:shape style="position:absolute;left:10499;top:5393;width:524;height:2" coordorigin="10499,5393" coordsize="524,0" path="m10499,5393l11022,5393e" filled="false" stroked="true" strokeweight="1.5pt" strokecolor="#000000">
                <v:path arrowok="t"/>
              </v:shape>
              <v:shape style="position:absolute;left:11003;top:2238;width:48;height:3158" type="#_x0000_t75" stroked="false">
                <v:imagedata r:id="rId95" o:title=""/>
              </v:shape>
            </v:group>
            <v:group style="position:absolute;left:11022;top:5393;width:713;height:2" coordorigin="11022,5393" coordsize="713,2">
              <v:shape style="position:absolute;left:11022;top:5393;width:713;height:2" coordorigin="11022,5393" coordsize="713,0" path="m11022,5393l11735,5393e" filled="false" stroked="true" strokeweight="1.5pt" strokecolor="#000000">
                <v:path arrowok="t"/>
              </v:shape>
              <v:shape style="position:absolute;left:11715;top:2238;width:48;height:3149" type="#_x0000_t75" stroked="false">
                <v:imagedata r:id="rId94" o:title=""/>
              </v:shape>
            </v:group>
            <v:group style="position:absolute;left:11735;top:5393;width:700;height:2" coordorigin="11735,5393" coordsize="700,2">
              <v:shape style="position:absolute;left:11735;top:5393;width:700;height:2" coordorigin="11735,5393" coordsize="700,0" path="m11735,5393l12434,5393e" filled="false" stroked="true" strokeweight="1.5pt" strokecolor="#000000">
                <v:path arrowok="t"/>
              </v:shape>
              <v:shape style="position:absolute;left:12415;top:2238;width:48;height:3158" type="#_x0000_t75" stroked="false">
                <v:imagedata r:id="rId95" o:title=""/>
              </v:shape>
            </v:group>
            <v:group style="position:absolute;left:12434;top:5393;width:610;height:2" coordorigin="12434,5393" coordsize="610,2">
              <v:shape style="position:absolute;left:12434;top:5393;width:610;height:2" coordorigin="12434,5393" coordsize="610,0" path="m12434,5393l13044,5393e" filled="false" stroked="true" strokeweight="1.5pt" strokecolor="#000000">
                <v:path arrowok="t"/>
              </v:shape>
              <v:shape style="position:absolute;left:13025;top:2238;width:48;height:3149" type="#_x0000_t75" stroked="false">
                <v:imagedata r:id="rId94" o:title=""/>
              </v:shape>
            </v:group>
            <v:group style="position:absolute;left:13044;top:5393;width:958;height:2" coordorigin="13044,5393" coordsize="958,2">
              <v:shape style="position:absolute;left:13044;top:5393;width:958;height:2" coordorigin="13044,5393" coordsize="958,0" path="m13044,5393l14001,5393e" filled="false" stroked="true" strokeweight="1.5pt" strokecolor="#000000">
                <v:path arrowok="t"/>
              </v:shape>
              <v:shape style="position:absolute;left:13982;top:2238;width:48;height:3158" type="#_x0000_t75" stroked="false">
                <v:imagedata r:id="rId95" o:title=""/>
              </v:shape>
            </v:group>
            <v:group style="position:absolute;left:14001;top:5393;width:1605;height:2" coordorigin="14001,5393" coordsize="1605,2">
              <v:shape style="position:absolute;left:14001;top:5393;width:1605;height:2" coordorigin="14001,5393" coordsize="1605,0" path="m14001,5393l15606,5393e" filled="false" stroked="true" strokeweight="1.5pt" strokecolor="#000000">
                <v:path arrowok="t"/>
              </v:shape>
              <v:shape style="position:absolute;left:2219;top:1587;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子公司全称</w:t>
                      </w:r>
                    </w:p>
                  </w:txbxContent>
                </v:textbox>
                <w10:wrap type="none"/>
              </v:shape>
              <v:shape style="position:absolute;left:3261;top:1490;width:450;height:345" type="#_x0000_t202" filled="false" stroked="false">
                <v:textbox inset="0,0,0,0">
                  <w:txbxContent>
                    <w:p>
                      <w:pPr>
                        <w:spacing w:line="149" w:lineRule="exact" w:before="0"/>
                        <w:ind w:left="74" w:right="0" w:hanging="75"/>
                        <w:jc w:val="left"/>
                        <w:rPr>
                          <w:rFonts w:ascii="宋体" w:hAnsi="宋体" w:cs="宋体" w:eastAsia="宋体" w:hint="default"/>
                          <w:sz w:val="15"/>
                          <w:szCs w:val="15"/>
                        </w:rPr>
                      </w:pPr>
                      <w:r>
                        <w:rPr>
                          <w:rFonts w:ascii="宋体" w:hAnsi="宋体" w:cs="宋体" w:eastAsia="宋体" w:hint="default"/>
                          <w:sz w:val="15"/>
                          <w:szCs w:val="15"/>
                        </w:rPr>
                        <w:t>子公司</w:t>
                      </w:r>
                    </w:p>
                    <w:p>
                      <w:pPr>
                        <w:spacing w:line="195" w:lineRule="exact" w:before="0"/>
                        <w:ind w:left="74" w:right="0" w:firstLine="0"/>
                        <w:jc w:val="left"/>
                        <w:rPr>
                          <w:rFonts w:ascii="宋体" w:hAnsi="宋体" w:cs="宋体" w:eastAsia="宋体" w:hint="default"/>
                          <w:sz w:val="15"/>
                          <w:szCs w:val="15"/>
                        </w:rPr>
                      </w:pPr>
                      <w:r>
                        <w:rPr>
                          <w:rFonts w:ascii="宋体" w:hAnsi="宋体" w:cs="宋体" w:eastAsia="宋体" w:hint="default"/>
                          <w:sz w:val="15"/>
                          <w:szCs w:val="15"/>
                        </w:rPr>
                        <w:t>类型</w:t>
                      </w:r>
                    </w:p>
                  </w:txbxContent>
                </v:textbox>
                <w10:wrap type="none"/>
              </v:shape>
              <v:shape style="position:absolute;left:3966;top:1587;width:2213;height:150" type="#_x0000_t202" filled="false" stroked="false">
                <v:textbox inset="0,0,0,0">
                  <w:txbxContent>
                    <w:p>
                      <w:pPr>
                        <w:tabs>
                          <w:tab w:pos="725" w:val="left" w:leader="none"/>
                          <w:tab w:pos="1612"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注册地</w:t>
                        <w:tab/>
                        <w:t>业务性质</w:t>
                        <w:tab/>
                        <w:t>注册资本</w:t>
                      </w:r>
                    </w:p>
                  </w:txbxContent>
                </v:textbox>
                <w10:wrap type="none"/>
              </v:shape>
              <v:shape style="position:absolute;left:7267;top:158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经营范围</w:t>
                      </w:r>
                    </w:p>
                  </w:txbxContent>
                </v:textbox>
                <w10:wrap type="none"/>
              </v:shape>
              <v:shape style="position:absolute;left:8876;top:1490;width:750;height:345" type="#_x0000_t202" filled="false" stroked="false">
                <v:textbox inset="0,0,0,0">
                  <w:txbxContent>
                    <w:p>
                      <w:pPr>
                        <w:spacing w:line="149" w:lineRule="exact" w:before="0"/>
                        <w:ind w:left="0" w:right="0" w:firstLine="0"/>
                        <w:jc w:val="center"/>
                        <w:rPr>
                          <w:rFonts w:ascii="宋体" w:hAnsi="宋体" w:cs="宋体" w:eastAsia="宋体" w:hint="default"/>
                          <w:sz w:val="15"/>
                          <w:szCs w:val="15"/>
                        </w:rPr>
                      </w:pPr>
                      <w:r>
                        <w:rPr>
                          <w:rFonts w:ascii="宋体" w:hAnsi="宋体" w:cs="宋体" w:eastAsia="宋体" w:hint="default"/>
                          <w:sz w:val="15"/>
                          <w:szCs w:val="15"/>
                        </w:rPr>
                        <w:t>期末实际投</w:t>
                      </w:r>
                    </w:p>
                    <w:p>
                      <w:pPr>
                        <w:spacing w:line="195" w:lineRule="exact" w:before="0"/>
                        <w:ind w:left="1" w:right="0" w:firstLine="0"/>
                        <w:jc w:val="center"/>
                        <w:rPr>
                          <w:rFonts w:ascii="宋体" w:hAnsi="宋体" w:cs="宋体" w:eastAsia="宋体" w:hint="default"/>
                          <w:sz w:val="15"/>
                          <w:szCs w:val="15"/>
                        </w:rPr>
                      </w:pPr>
                      <w:r>
                        <w:rPr>
                          <w:rFonts w:ascii="宋体" w:hAnsi="宋体" w:cs="宋体" w:eastAsia="宋体" w:hint="default"/>
                          <w:sz w:val="15"/>
                          <w:szCs w:val="15"/>
                        </w:rPr>
                        <w:t>资额</w:t>
                      </w:r>
                    </w:p>
                  </w:txbxContent>
                </v:textbox>
                <w10:wrap type="none"/>
              </v:shape>
              <v:shape style="position:absolute;left:9799;top:1199;width:600;height:928" type="#_x0000_t202" filled="false" stroked="false">
                <v:textbox inset="0,0,0,0">
                  <w:txbxContent>
                    <w:p>
                      <w:pPr>
                        <w:spacing w:line="149" w:lineRule="exact" w:before="0"/>
                        <w:ind w:left="0" w:right="0" w:firstLine="0"/>
                        <w:jc w:val="both"/>
                        <w:rPr>
                          <w:rFonts w:ascii="宋体" w:hAnsi="宋体" w:cs="宋体" w:eastAsia="宋体" w:hint="default"/>
                          <w:sz w:val="15"/>
                          <w:szCs w:val="15"/>
                        </w:rPr>
                      </w:pPr>
                      <w:r>
                        <w:rPr>
                          <w:rFonts w:ascii="宋体" w:hAnsi="宋体" w:cs="宋体" w:eastAsia="宋体" w:hint="default"/>
                          <w:sz w:val="15"/>
                          <w:szCs w:val="15"/>
                        </w:rPr>
                        <w:t>实质上构</w:t>
                      </w:r>
                    </w:p>
                    <w:p>
                      <w:pPr>
                        <w:spacing w:before="0"/>
                        <w:ind w:left="0" w:right="0" w:firstLine="0"/>
                        <w:jc w:val="both"/>
                        <w:rPr>
                          <w:rFonts w:ascii="宋体" w:hAnsi="宋体" w:cs="宋体" w:eastAsia="宋体" w:hint="default"/>
                          <w:sz w:val="15"/>
                          <w:szCs w:val="15"/>
                        </w:rPr>
                      </w:pPr>
                      <w:r>
                        <w:rPr>
                          <w:rFonts w:ascii="宋体" w:hAnsi="宋体" w:cs="宋体" w:eastAsia="宋体" w:hint="default"/>
                          <w:sz w:val="15"/>
                          <w:szCs w:val="15"/>
                        </w:rPr>
                        <w:t>成对子公 司净投资 的其他项 目余额</w:t>
                      </w:r>
                    </w:p>
                  </w:txbxContent>
                </v:textbox>
                <w10:wrap type="none"/>
              </v:shape>
              <v:shape style="position:absolute;left:14131;top:1101;width:13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从母公司所有者权益</w:t>
                      </w:r>
                    </w:p>
                  </w:txbxContent>
                </v:textbox>
                <w10:wrap type="none"/>
              </v:shape>
              <v:shape style="position:absolute;left:10615;top:1404;width:300;height:533" type="#_x0000_t202" filled="false" stroked="false">
                <v:textbox inset="0,0,0,0">
                  <w:txbxContent>
                    <w:p>
                      <w:pPr>
                        <w:spacing w:line="149"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持股</w:t>
                      </w:r>
                    </w:p>
                    <w:p>
                      <w:pPr>
                        <w:spacing w:line="195"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p>
                      <w:pPr>
                        <w:spacing w:line="169" w:lineRule="exact" w:before="19"/>
                        <w:ind w:left="37"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4657;top:2337;width:696;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18"/>
                          <w:sz w:val="15"/>
                          <w:szCs w:val="15"/>
                        </w:rPr>
                        <w:t>计算机应</w:t>
                      </w:r>
                      <w:r>
                        <w:rPr>
                          <w:rFonts w:ascii="宋体" w:hAnsi="宋体" w:cs="宋体" w:eastAsia="宋体" w:hint="default"/>
                          <w:spacing w:val="-51"/>
                          <w:sz w:val="15"/>
                          <w:szCs w:val="15"/>
                        </w:rPr>
                        <w:t> </w:t>
                      </w:r>
                      <w:r>
                        <w:rPr>
                          <w:rFonts w:ascii="宋体" w:hAnsi="宋体" w:cs="宋体" w:eastAsia="宋体" w:hint="default"/>
                          <w:sz w:val="15"/>
                          <w:szCs w:val="15"/>
                        </w:rPr>
                      </w:r>
                    </w:p>
                  </w:txbxContent>
                </v:textbox>
                <w10:wrap type="none"/>
              </v:shape>
              <v:shape style="position:absolute;left:6431;top:2377;width:227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技术开发</w:t>
                      </w:r>
                      <w:r>
                        <w:rPr>
                          <w:rFonts w:ascii="宋体" w:hAnsi="宋体" w:cs="宋体" w:eastAsia="宋体" w:hint="default"/>
                          <w:spacing w:val="-92"/>
                          <w:sz w:val="15"/>
                          <w:szCs w:val="15"/>
                        </w:rPr>
                        <w:t>。</w:t>
                      </w:r>
                      <w:r>
                        <w:rPr>
                          <w:rFonts w:ascii="宋体" w:hAnsi="宋体" w:cs="宋体" w:eastAsia="宋体" w:hint="default"/>
                          <w:sz w:val="15"/>
                          <w:szCs w:val="15"/>
                        </w:rPr>
                        <w:t>（法</w:t>
                      </w:r>
                      <w:r>
                        <w:rPr>
                          <w:rFonts w:ascii="宋体" w:hAnsi="宋体" w:cs="宋体" w:eastAsia="宋体" w:hint="default"/>
                          <w:spacing w:val="-2"/>
                          <w:sz w:val="15"/>
                          <w:szCs w:val="15"/>
                        </w:rPr>
                        <w:t>律</w:t>
                      </w:r>
                      <w:r>
                        <w:rPr>
                          <w:rFonts w:ascii="宋体" w:hAnsi="宋体" w:cs="宋体" w:eastAsia="宋体" w:hint="default"/>
                          <w:spacing w:val="-17"/>
                          <w:sz w:val="15"/>
                          <w:szCs w:val="15"/>
                        </w:rPr>
                        <w:t>、</w:t>
                      </w:r>
                      <w:r>
                        <w:rPr>
                          <w:rFonts w:ascii="宋体" w:hAnsi="宋体" w:cs="宋体" w:eastAsia="宋体" w:hint="default"/>
                          <w:sz w:val="15"/>
                          <w:szCs w:val="15"/>
                        </w:rPr>
                        <w:t>行政法规</w:t>
                      </w:r>
                      <w:r>
                        <w:rPr>
                          <w:rFonts w:ascii="宋体" w:hAnsi="宋体" w:cs="宋体" w:eastAsia="宋体" w:hint="default"/>
                          <w:spacing w:val="-17"/>
                          <w:sz w:val="15"/>
                          <w:szCs w:val="15"/>
                        </w:rPr>
                        <w:t>、</w:t>
                      </w:r>
                      <w:r>
                        <w:rPr>
                          <w:rFonts w:ascii="宋体" w:hAnsi="宋体" w:cs="宋体" w:eastAsia="宋体" w:hint="default"/>
                          <w:sz w:val="15"/>
                          <w:szCs w:val="15"/>
                        </w:rPr>
                        <w:t>国务</w:t>
                      </w:r>
                    </w:p>
                  </w:txbxContent>
                </v:textbox>
                <w10:wrap type="none"/>
              </v:shape>
              <v:shape style="position:absolute;left:4657;top:2649;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用服务业</w:t>
                      </w:r>
                    </w:p>
                  </w:txbxContent>
                </v:textbox>
                <w10:wrap type="none"/>
              </v:shape>
              <v:shape style="position:absolute;left:6431;top:2767;width:2273;height:54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院决定禁止的，不得经营；法律、</w:t>
                      </w:r>
                    </w:p>
                    <w:p>
                      <w:pPr>
                        <w:spacing w:line="240" w:lineRule="auto" w:before="11"/>
                        <w:rPr>
                          <w:rFonts w:ascii="宋体" w:hAnsi="宋体" w:cs="宋体" w:eastAsia="宋体" w:hint="default"/>
                          <w:b/>
                          <w:bCs/>
                          <w:sz w:val="14"/>
                          <w:szCs w:val="14"/>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行政法规、国务院决定规定应经许</w:t>
                      </w:r>
                    </w:p>
                  </w:txbxContent>
                </v:textbox>
                <w10:wrap type="none"/>
              </v:shape>
              <v:shape style="position:absolute;left:2157;top:3351;width:90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20"/>
                          <w:sz w:val="15"/>
                          <w:szCs w:val="15"/>
                        </w:rPr>
                        <w:t>北京友</w:t>
                      </w:r>
                      <w:r>
                        <w:rPr>
                          <w:rFonts w:ascii="宋体" w:hAnsi="宋体" w:cs="宋体" w:eastAsia="宋体" w:hint="default"/>
                          <w:spacing w:val="-42"/>
                          <w:sz w:val="15"/>
                          <w:szCs w:val="15"/>
                        </w:rPr>
                        <w:t> </w:t>
                      </w:r>
                      <w:r>
                        <w:rPr>
                          <w:rFonts w:ascii="宋体" w:hAnsi="宋体" w:cs="宋体" w:eastAsia="宋体" w:hint="default"/>
                          <w:spacing w:val="15"/>
                          <w:sz w:val="15"/>
                          <w:szCs w:val="15"/>
                        </w:rPr>
                        <w:t>联创</w:t>
                      </w:r>
                      <w:r>
                        <w:rPr>
                          <w:rFonts w:ascii="宋体" w:hAnsi="宋体" w:cs="宋体" w:eastAsia="宋体" w:hint="default"/>
                          <w:spacing w:val="-44"/>
                          <w:sz w:val="15"/>
                          <w:szCs w:val="15"/>
                        </w:rPr>
                        <w:t> </w:t>
                      </w:r>
                      <w:r>
                        <w:rPr>
                          <w:rFonts w:ascii="宋体" w:hAnsi="宋体" w:cs="宋体" w:eastAsia="宋体" w:hint="default"/>
                          <w:sz w:val="15"/>
                          <w:szCs w:val="15"/>
                        </w:rPr>
                      </w:r>
                    </w:p>
                  </w:txbxContent>
                </v:textbox>
                <w10:wrap type="none"/>
              </v:shape>
              <v:shape style="position:absolute;left:3247;top:3547;width:49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9"/>
                          <w:sz w:val="15"/>
                          <w:szCs w:val="15"/>
                        </w:rPr>
                        <w:t>全资子</w:t>
                      </w:r>
                      <w:r>
                        <w:rPr>
                          <w:rFonts w:ascii="宋体" w:hAnsi="宋体" w:cs="宋体" w:eastAsia="宋体" w:hint="default"/>
                          <w:spacing w:val="-61"/>
                          <w:sz w:val="15"/>
                          <w:szCs w:val="15"/>
                        </w:rPr>
                        <w:t> </w:t>
                      </w:r>
                      <w:r>
                        <w:rPr>
                          <w:rFonts w:ascii="宋体" w:hAnsi="宋体" w:cs="宋体" w:eastAsia="宋体" w:hint="default"/>
                          <w:sz w:val="15"/>
                          <w:szCs w:val="15"/>
                        </w:rPr>
                      </w:r>
                    </w:p>
                  </w:txbxContent>
                </v:textbox>
                <w10:wrap type="none"/>
              </v:shape>
              <v:shape style="position:absolute;left:6431;top:3547;width:227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可的，经审批机关批准并经工商行</w:t>
                      </w:r>
                    </w:p>
                  </w:txbxContent>
                </v:textbox>
                <w10:wrap type="none"/>
              </v:shape>
              <v:shape style="position:absolute;left:2157;top:3741;width:90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20"/>
                          <w:sz w:val="15"/>
                          <w:szCs w:val="15"/>
                        </w:rPr>
                        <w:t>新系统</w:t>
                      </w:r>
                      <w:r>
                        <w:rPr>
                          <w:rFonts w:ascii="宋体" w:hAnsi="宋体" w:cs="宋体" w:eastAsia="宋体" w:hint="default"/>
                          <w:spacing w:val="-42"/>
                          <w:sz w:val="15"/>
                          <w:szCs w:val="15"/>
                        </w:rPr>
                        <w:t> </w:t>
                      </w:r>
                      <w:r>
                        <w:rPr>
                          <w:rFonts w:ascii="宋体" w:hAnsi="宋体" w:cs="宋体" w:eastAsia="宋体" w:hint="default"/>
                          <w:spacing w:val="15"/>
                          <w:sz w:val="15"/>
                          <w:szCs w:val="15"/>
                        </w:rPr>
                        <w:t>集成</w:t>
                      </w:r>
                      <w:r>
                        <w:rPr>
                          <w:rFonts w:ascii="宋体" w:hAnsi="宋体" w:cs="宋体" w:eastAsia="宋体" w:hint="default"/>
                          <w:spacing w:val="-44"/>
                          <w:sz w:val="15"/>
                          <w:szCs w:val="15"/>
                        </w:rPr>
                        <w:t> </w:t>
                      </w:r>
                      <w:r>
                        <w:rPr>
                          <w:rFonts w:ascii="宋体" w:hAnsi="宋体" w:cs="宋体" w:eastAsia="宋体" w:hint="default"/>
                          <w:sz w:val="15"/>
                          <w:szCs w:val="15"/>
                        </w:rPr>
                      </w:r>
                    </w:p>
                  </w:txbxContent>
                </v:textbox>
                <w10:wrap type="none"/>
              </v:shape>
              <v:shape style="position:absolute;left:3941;top:3741;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北京</w:t>
                      </w:r>
                    </w:p>
                  </w:txbxContent>
                </v:textbox>
                <w10:wrap type="none"/>
              </v:shape>
              <v:shape style="position:absolute;left:5689;top:3748;width:5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2,000.00</w:t>
                      </w:r>
                    </w:p>
                  </w:txbxContent>
                </v:textbox>
                <w10:wrap type="none"/>
              </v:shape>
              <v:shape style="position:absolute;left:9059;top:3748;width:5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5,900.00</w:t>
                      </w:r>
                    </w:p>
                  </w:txbxContent>
                </v:textbox>
                <w10:wrap type="none"/>
              </v:shape>
              <v:shape style="position:absolute;left:10693;top:3748;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r>
                    </w:p>
                  </w:txbxContent>
                </v:textbox>
                <w10:wrap type="none"/>
              </v:shape>
              <v:shape style="position:absolute;left:11406;top:3748;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r>
                    </w:p>
                  </w:txbxContent>
                </v:textbox>
                <w10:wrap type="none"/>
              </v:shape>
              <v:shape style="position:absolute;left:12180;top:3741;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w:t>
                      </w:r>
                    </w:p>
                  </w:txbxContent>
                </v:textbox>
                <w10:wrap type="none"/>
              </v:shape>
              <v:shape style="position:absolute;left:3247;top:3937;width:5457;height:150" type="#_x0000_t202" filled="false" stroked="false">
                <v:textbox inset="0,0,0,0">
                  <w:txbxContent>
                    <w:p>
                      <w:pPr>
                        <w:tabs>
                          <w:tab w:pos="3183"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公司</w:t>
                        <w:tab/>
                        <w:t>政管理机关登记注册后方可经营；</w:t>
                      </w:r>
                    </w:p>
                  </w:txbxContent>
                </v:textbox>
                <w10:wrap type="none"/>
              </v:shape>
              <v:shape style="position:absolute;left:2157;top:4131;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有限公司</w:t>
                      </w:r>
                    </w:p>
                  </w:txbxContent>
                </v:textbox>
                <w10:wrap type="none"/>
              </v:shape>
              <v:shape style="position:absolute;left:6431;top:4327;width:2273;height:93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法律、行政法规、国务院决定未规</w:t>
                      </w:r>
                    </w:p>
                    <w:p>
                      <w:pPr>
                        <w:spacing w:line="390" w:lineRule="atLeas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定许可的，自主选择经营项目开展</w:t>
                      </w:r>
                      <w:r>
                        <w:rPr>
                          <w:rFonts w:ascii="宋体" w:hAnsi="宋体" w:cs="宋体" w:eastAsia="宋体" w:hint="default"/>
                          <w:spacing w:val="-57"/>
                          <w:sz w:val="15"/>
                          <w:szCs w:val="15"/>
                        </w:rPr>
                        <w:t> </w:t>
                      </w:r>
                      <w:r>
                        <w:rPr>
                          <w:rFonts w:ascii="宋体" w:hAnsi="宋体" w:cs="宋体" w:eastAsia="宋体" w:hint="default"/>
                          <w:spacing w:val="-57"/>
                          <w:sz w:val="15"/>
                          <w:szCs w:val="15"/>
                        </w:rPr>
                      </w:r>
                      <w:r>
                        <w:rPr>
                          <w:rFonts w:ascii="宋体" w:hAnsi="宋体" w:cs="宋体" w:eastAsia="宋体" w:hint="default"/>
                          <w:spacing w:val="-13"/>
                          <w:sz w:val="15"/>
                          <w:szCs w:val="15"/>
                        </w:rPr>
                        <w:t>经营活动。）</w:t>
                      </w:r>
                    </w:p>
                  </w:txbxContent>
                </v:textbox>
                <w10:wrap type="none"/>
              </v:shape>
            </v:group>
            <w10:wrap type="none"/>
          </v:group>
        </w:pict>
      </w: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通过非同一控制下企业合并取得的子公司</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2"/>
          <w:szCs w:val="22"/>
        </w:rPr>
      </w:pPr>
    </w:p>
    <w:tbl>
      <w:tblPr>
        <w:tblW w:w="0" w:type="auto"/>
        <w:jc w:val="left"/>
        <w:tblInd w:w="9748" w:type="dxa"/>
        <w:tblLayout w:type="fixed"/>
        <w:tblCellMar>
          <w:top w:w="0" w:type="dxa"/>
          <w:left w:w="0" w:type="dxa"/>
          <w:bottom w:w="0" w:type="dxa"/>
          <w:right w:w="0" w:type="dxa"/>
        </w:tblCellMar>
        <w:tblLook w:val="01E0"/>
      </w:tblPr>
      <w:tblGrid>
        <w:gridCol w:w="726"/>
        <w:gridCol w:w="643"/>
        <w:gridCol w:w="644"/>
        <w:gridCol w:w="956"/>
        <w:gridCol w:w="1500"/>
      </w:tblGrid>
      <w:tr>
        <w:trPr>
          <w:trHeight w:val="367" w:hRule="exact"/>
        </w:trPr>
        <w:tc>
          <w:tcPr>
            <w:tcW w:w="72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53"/>
              <w:jc w:val="center"/>
              <w:rPr>
                <w:rFonts w:ascii="宋体" w:hAnsi="宋体" w:cs="宋体" w:eastAsia="宋体" w:hint="default"/>
                <w:sz w:val="15"/>
                <w:szCs w:val="15"/>
              </w:rPr>
            </w:pPr>
            <w:r>
              <w:rPr>
                <w:rFonts w:ascii="宋体" w:hAnsi="宋体" w:cs="宋体" w:eastAsia="宋体" w:hint="default"/>
                <w:sz w:val="15"/>
                <w:szCs w:val="15"/>
              </w:rPr>
              <w:t>表决权比</w:t>
            </w:r>
          </w:p>
        </w:tc>
        <w:tc>
          <w:tcPr>
            <w:tcW w:w="64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10"/>
              <w:jc w:val="center"/>
              <w:rPr>
                <w:rFonts w:ascii="宋体" w:hAnsi="宋体" w:cs="宋体" w:eastAsia="宋体" w:hint="default"/>
                <w:sz w:val="15"/>
                <w:szCs w:val="15"/>
              </w:rPr>
            </w:pPr>
            <w:r>
              <w:rPr>
                <w:rFonts w:ascii="宋体" w:hAnsi="宋体" w:cs="宋体" w:eastAsia="宋体" w:hint="default"/>
                <w:sz w:val="15"/>
                <w:szCs w:val="15"/>
              </w:rPr>
              <w:t>是否合</w:t>
            </w:r>
          </w:p>
        </w:tc>
        <w:tc>
          <w:tcPr>
            <w:tcW w:w="64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left="11" w:right="0"/>
              <w:jc w:val="center"/>
              <w:rPr>
                <w:rFonts w:ascii="宋体" w:hAnsi="宋体" w:cs="宋体" w:eastAsia="宋体" w:hint="default"/>
                <w:sz w:val="15"/>
                <w:szCs w:val="15"/>
              </w:rPr>
            </w:pPr>
            <w:r>
              <w:rPr>
                <w:rFonts w:ascii="宋体" w:hAnsi="宋体" w:cs="宋体" w:eastAsia="宋体" w:hint="default"/>
                <w:sz w:val="15"/>
                <w:szCs w:val="15"/>
              </w:rPr>
              <w:t>少数股</w:t>
            </w:r>
          </w:p>
        </w:tc>
        <w:tc>
          <w:tcPr>
            <w:tcW w:w="956" w:type="dxa"/>
            <w:tcBorders>
              <w:top w:val="nil" w:sz="6" w:space="0" w:color="auto"/>
              <w:left w:val="nil" w:sz="6" w:space="0" w:color="auto"/>
              <w:bottom w:val="nil" w:sz="6" w:space="0" w:color="auto"/>
              <w:right w:val="nil" w:sz="6" w:space="0" w:color="auto"/>
            </w:tcBorders>
          </w:tcPr>
          <w:p>
            <w:pPr>
              <w:pStyle w:val="TableParagraph"/>
              <w:spacing w:line="149" w:lineRule="exact"/>
              <w:ind w:left="91" w:right="0"/>
              <w:jc w:val="left"/>
              <w:rPr>
                <w:rFonts w:ascii="宋体" w:hAnsi="宋体" w:cs="宋体" w:eastAsia="宋体" w:hint="default"/>
                <w:sz w:val="15"/>
                <w:szCs w:val="15"/>
              </w:rPr>
            </w:pPr>
            <w:r>
              <w:rPr>
                <w:rFonts w:ascii="宋体" w:hAnsi="宋体" w:cs="宋体" w:eastAsia="宋体" w:hint="default"/>
                <w:sz w:val="15"/>
                <w:szCs w:val="15"/>
              </w:rPr>
              <w:t>少数股东权</w:t>
            </w:r>
          </w:p>
          <w:p>
            <w:pPr>
              <w:pStyle w:val="TableParagraph"/>
              <w:spacing w:line="195" w:lineRule="exact"/>
              <w:ind w:left="91" w:right="0"/>
              <w:jc w:val="left"/>
              <w:rPr>
                <w:rFonts w:ascii="宋体" w:hAnsi="宋体" w:cs="宋体" w:eastAsia="宋体" w:hint="default"/>
                <w:sz w:val="15"/>
                <w:szCs w:val="15"/>
              </w:rPr>
            </w:pPr>
            <w:r>
              <w:rPr>
                <w:rFonts w:ascii="宋体" w:hAnsi="宋体" w:cs="宋体" w:eastAsia="宋体" w:hint="default"/>
                <w:sz w:val="15"/>
                <w:szCs w:val="15"/>
              </w:rPr>
              <w:t>益中用于冲</w:t>
            </w:r>
          </w:p>
        </w:tc>
        <w:tc>
          <w:tcPr>
            <w:tcW w:w="1500" w:type="dxa"/>
            <w:tcBorders>
              <w:top w:val="nil" w:sz="6" w:space="0" w:color="auto"/>
              <w:left w:val="nil" w:sz="6" w:space="0" w:color="auto"/>
              <w:bottom w:val="nil" w:sz="6" w:space="0" w:color="auto"/>
              <w:right w:val="nil" w:sz="6" w:space="0" w:color="auto"/>
            </w:tcBorders>
          </w:tcPr>
          <w:p>
            <w:pPr>
              <w:pStyle w:val="TableParagraph"/>
              <w:spacing w:line="149" w:lineRule="exact"/>
              <w:ind w:left="114" w:right="0"/>
              <w:jc w:val="left"/>
              <w:rPr>
                <w:rFonts w:ascii="宋体" w:hAnsi="宋体" w:cs="宋体" w:eastAsia="宋体" w:hint="default"/>
                <w:sz w:val="15"/>
                <w:szCs w:val="15"/>
              </w:rPr>
            </w:pPr>
            <w:r>
              <w:rPr>
                <w:rFonts w:ascii="宋体" w:hAnsi="宋体" w:cs="宋体" w:eastAsia="宋体" w:hint="default"/>
                <w:sz w:val="15"/>
                <w:szCs w:val="15"/>
              </w:rPr>
              <w:t>冲减子公司少数股东</w:t>
            </w:r>
          </w:p>
          <w:p>
            <w:pPr>
              <w:pStyle w:val="TableParagraph"/>
              <w:spacing w:line="195" w:lineRule="exact"/>
              <w:ind w:left="114" w:right="0"/>
              <w:jc w:val="left"/>
              <w:rPr>
                <w:rFonts w:ascii="宋体" w:hAnsi="宋体" w:cs="宋体" w:eastAsia="宋体" w:hint="default"/>
                <w:sz w:val="15"/>
                <w:szCs w:val="15"/>
              </w:rPr>
            </w:pPr>
            <w:r>
              <w:rPr>
                <w:rFonts w:ascii="宋体" w:hAnsi="宋体" w:cs="宋体" w:eastAsia="宋体" w:hint="default"/>
                <w:sz w:val="15"/>
                <w:szCs w:val="15"/>
              </w:rPr>
              <w:t>分担的本期亏损超过</w:t>
            </w:r>
          </w:p>
        </w:tc>
      </w:tr>
      <w:tr>
        <w:trPr>
          <w:trHeight w:val="389" w:hRule="exact"/>
        </w:trPr>
        <w:tc>
          <w:tcPr>
            <w:tcW w:w="726" w:type="dxa"/>
            <w:tcBorders>
              <w:top w:val="nil" w:sz="6" w:space="0" w:color="auto"/>
              <w:left w:val="nil" w:sz="6" w:space="0" w:color="auto"/>
              <w:bottom w:val="nil" w:sz="6" w:space="0" w:color="auto"/>
              <w:right w:val="nil" w:sz="6" w:space="0" w:color="auto"/>
            </w:tcBorders>
          </w:tcPr>
          <w:p>
            <w:pPr>
              <w:pStyle w:val="TableParagraph"/>
              <w:spacing w:line="184" w:lineRule="exact"/>
              <w:ind w:right="54"/>
              <w:jc w:val="center"/>
              <w:rPr>
                <w:rFonts w:ascii="Times New Roman" w:hAnsi="Times New Roman" w:cs="Times New Roman" w:eastAsia="Times New Roman" w:hint="default"/>
                <w:sz w:val="15"/>
                <w:szCs w:val="15"/>
              </w:rPr>
            </w:pPr>
            <w:r>
              <w:rPr>
                <w:rFonts w:ascii="宋体" w:hAnsi="宋体" w:cs="宋体" w:eastAsia="宋体" w:hint="default"/>
                <w:sz w:val="15"/>
                <w:szCs w:val="15"/>
              </w:rPr>
              <w:t>例</w:t>
            </w:r>
            <w:r>
              <w:rPr>
                <w:rFonts w:ascii="Times New Roman" w:hAnsi="Times New Roman" w:cs="Times New Roman" w:eastAsia="Times New Roman" w:hint="default"/>
                <w:sz w:val="15"/>
                <w:szCs w:val="15"/>
              </w:rPr>
              <w:t>(%)</w:t>
            </w:r>
          </w:p>
        </w:tc>
        <w:tc>
          <w:tcPr>
            <w:tcW w:w="643" w:type="dxa"/>
            <w:tcBorders>
              <w:top w:val="nil" w:sz="6" w:space="0" w:color="auto"/>
              <w:left w:val="nil" w:sz="6" w:space="0" w:color="auto"/>
              <w:bottom w:val="nil" w:sz="6" w:space="0" w:color="auto"/>
              <w:right w:val="nil" w:sz="6" w:space="0" w:color="auto"/>
            </w:tcBorders>
          </w:tcPr>
          <w:p>
            <w:pPr>
              <w:pStyle w:val="TableParagraph"/>
              <w:spacing w:line="172" w:lineRule="exact"/>
              <w:ind w:right="10"/>
              <w:jc w:val="center"/>
              <w:rPr>
                <w:rFonts w:ascii="宋体" w:hAnsi="宋体" w:cs="宋体" w:eastAsia="宋体" w:hint="default"/>
                <w:sz w:val="15"/>
                <w:szCs w:val="15"/>
              </w:rPr>
            </w:pPr>
            <w:r>
              <w:rPr>
                <w:rFonts w:ascii="宋体" w:hAnsi="宋体" w:cs="宋体" w:eastAsia="宋体" w:hint="default"/>
                <w:sz w:val="15"/>
                <w:szCs w:val="15"/>
              </w:rPr>
              <w:t>并报表</w:t>
            </w:r>
          </w:p>
        </w:tc>
        <w:tc>
          <w:tcPr>
            <w:tcW w:w="644" w:type="dxa"/>
            <w:tcBorders>
              <w:top w:val="nil" w:sz="6" w:space="0" w:color="auto"/>
              <w:left w:val="nil" w:sz="6" w:space="0" w:color="auto"/>
              <w:bottom w:val="nil" w:sz="6" w:space="0" w:color="auto"/>
              <w:right w:val="nil" w:sz="6" w:space="0" w:color="auto"/>
            </w:tcBorders>
          </w:tcPr>
          <w:p>
            <w:pPr>
              <w:pStyle w:val="TableParagraph"/>
              <w:spacing w:line="172" w:lineRule="exact"/>
              <w:ind w:left="11" w:right="0"/>
              <w:jc w:val="center"/>
              <w:rPr>
                <w:rFonts w:ascii="宋体" w:hAnsi="宋体" w:cs="宋体" w:eastAsia="宋体" w:hint="default"/>
                <w:sz w:val="15"/>
                <w:szCs w:val="15"/>
              </w:rPr>
            </w:pPr>
            <w:r>
              <w:rPr>
                <w:rFonts w:ascii="宋体" w:hAnsi="宋体" w:cs="宋体" w:eastAsia="宋体" w:hint="default"/>
                <w:sz w:val="15"/>
                <w:szCs w:val="15"/>
              </w:rPr>
              <w:t>东权益</w:t>
            </w:r>
          </w:p>
        </w:tc>
        <w:tc>
          <w:tcPr>
            <w:tcW w:w="956" w:type="dxa"/>
            <w:tcBorders>
              <w:top w:val="nil" w:sz="6" w:space="0" w:color="auto"/>
              <w:left w:val="nil" w:sz="6" w:space="0" w:color="auto"/>
              <w:bottom w:val="nil" w:sz="6" w:space="0" w:color="auto"/>
              <w:right w:val="nil" w:sz="6" w:space="0" w:color="auto"/>
            </w:tcBorders>
          </w:tcPr>
          <w:p>
            <w:pPr>
              <w:pStyle w:val="TableParagraph"/>
              <w:spacing w:line="171" w:lineRule="exact"/>
              <w:ind w:left="91" w:right="0"/>
              <w:jc w:val="left"/>
              <w:rPr>
                <w:rFonts w:ascii="宋体" w:hAnsi="宋体" w:cs="宋体" w:eastAsia="宋体" w:hint="default"/>
                <w:sz w:val="15"/>
                <w:szCs w:val="15"/>
              </w:rPr>
            </w:pPr>
            <w:r>
              <w:rPr>
                <w:rFonts w:ascii="宋体" w:hAnsi="宋体" w:cs="宋体" w:eastAsia="宋体" w:hint="default"/>
                <w:sz w:val="15"/>
                <w:szCs w:val="15"/>
              </w:rPr>
              <w:t>减少数股东</w:t>
            </w:r>
          </w:p>
          <w:p>
            <w:pPr>
              <w:pStyle w:val="TableParagraph"/>
              <w:spacing w:line="195" w:lineRule="exact"/>
              <w:ind w:left="91" w:right="0"/>
              <w:jc w:val="left"/>
              <w:rPr>
                <w:rFonts w:ascii="宋体" w:hAnsi="宋体" w:cs="宋体" w:eastAsia="宋体" w:hint="default"/>
                <w:sz w:val="15"/>
                <w:szCs w:val="15"/>
              </w:rPr>
            </w:pPr>
            <w:r>
              <w:rPr>
                <w:rFonts w:ascii="宋体" w:hAnsi="宋体" w:cs="宋体" w:eastAsia="宋体" w:hint="default"/>
                <w:sz w:val="15"/>
                <w:szCs w:val="15"/>
              </w:rPr>
              <w:t>损益的金额</w:t>
            </w:r>
          </w:p>
        </w:tc>
        <w:tc>
          <w:tcPr>
            <w:tcW w:w="1500" w:type="dxa"/>
            <w:tcBorders>
              <w:top w:val="nil" w:sz="6" w:space="0" w:color="auto"/>
              <w:left w:val="nil" w:sz="6" w:space="0" w:color="auto"/>
              <w:bottom w:val="nil" w:sz="6" w:space="0" w:color="auto"/>
              <w:right w:val="nil" w:sz="6" w:space="0" w:color="auto"/>
            </w:tcBorders>
          </w:tcPr>
          <w:p>
            <w:pPr>
              <w:pStyle w:val="TableParagraph"/>
              <w:spacing w:line="171" w:lineRule="exact"/>
              <w:ind w:left="114" w:right="0"/>
              <w:jc w:val="left"/>
              <w:rPr>
                <w:rFonts w:ascii="宋体" w:hAnsi="宋体" w:cs="宋体" w:eastAsia="宋体" w:hint="default"/>
                <w:sz w:val="15"/>
                <w:szCs w:val="15"/>
              </w:rPr>
            </w:pPr>
            <w:r>
              <w:rPr>
                <w:rFonts w:ascii="宋体" w:hAnsi="宋体" w:cs="宋体" w:eastAsia="宋体" w:hint="default"/>
                <w:sz w:val="15"/>
                <w:szCs w:val="15"/>
              </w:rPr>
              <w:t>少数股东在该子公司</w:t>
            </w:r>
          </w:p>
          <w:p>
            <w:pPr>
              <w:pStyle w:val="TableParagraph"/>
              <w:spacing w:line="195" w:lineRule="exact"/>
              <w:ind w:left="114" w:right="0"/>
              <w:jc w:val="left"/>
              <w:rPr>
                <w:rFonts w:ascii="宋体" w:hAnsi="宋体" w:cs="宋体" w:eastAsia="宋体" w:hint="default"/>
                <w:sz w:val="15"/>
                <w:szCs w:val="15"/>
              </w:rPr>
            </w:pPr>
            <w:r>
              <w:rPr>
                <w:rFonts w:ascii="宋体" w:hAnsi="宋体" w:cs="宋体" w:eastAsia="宋体" w:hint="default"/>
                <w:sz w:val="15"/>
                <w:szCs w:val="15"/>
              </w:rPr>
              <w:t>期初所有者权益中所</w:t>
            </w:r>
          </w:p>
        </w:tc>
      </w:tr>
      <w:tr>
        <w:trPr>
          <w:trHeight w:val="273" w:hRule="exact"/>
        </w:trPr>
        <w:tc>
          <w:tcPr>
            <w:tcW w:w="726" w:type="dxa"/>
            <w:tcBorders>
              <w:top w:val="nil" w:sz="6" w:space="0" w:color="auto"/>
              <w:left w:val="nil" w:sz="6" w:space="0" w:color="auto"/>
              <w:bottom w:val="nil" w:sz="6" w:space="0" w:color="auto"/>
              <w:right w:val="nil" w:sz="6" w:space="0" w:color="auto"/>
            </w:tcBorders>
          </w:tcPr>
          <w:p>
            <w:pPr/>
          </w:p>
        </w:tc>
        <w:tc>
          <w:tcPr>
            <w:tcW w:w="643" w:type="dxa"/>
            <w:tcBorders>
              <w:top w:val="nil" w:sz="6" w:space="0" w:color="auto"/>
              <w:left w:val="nil" w:sz="6" w:space="0" w:color="auto"/>
              <w:bottom w:val="nil" w:sz="6" w:space="0" w:color="auto"/>
              <w:right w:val="nil" w:sz="6" w:space="0" w:color="auto"/>
            </w:tcBorders>
          </w:tcPr>
          <w:p>
            <w:pPr/>
          </w:p>
        </w:tc>
        <w:tc>
          <w:tcPr>
            <w:tcW w:w="644" w:type="dxa"/>
            <w:tcBorders>
              <w:top w:val="nil" w:sz="6" w:space="0" w:color="auto"/>
              <w:left w:val="nil" w:sz="6" w:space="0" w:color="auto"/>
              <w:bottom w:val="nil" w:sz="6" w:space="0" w:color="auto"/>
              <w:right w:val="nil" w:sz="6" w:space="0" w:color="auto"/>
            </w:tcBorders>
          </w:tcPr>
          <w:p>
            <w:pPr/>
          </w:p>
        </w:tc>
        <w:tc>
          <w:tcPr>
            <w:tcW w:w="956" w:type="dxa"/>
            <w:tcBorders>
              <w:top w:val="nil" w:sz="6" w:space="0" w:color="auto"/>
              <w:left w:val="nil" w:sz="6" w:space="0" w:color="auto"/>
              <w:bottom w:val="nil" w:sz="6" w:space="0" w:color="auto"/>
              <w:right w:val="nil" w:sz="6" w:space="0" w:color="auto"/>
            </w:tcBorders>
          </w:tcPr>
          <w:p>
            <w:pPr/>
          </w:p>
        </w:tc>
        <w:tc>
          <w:tcPr>
            <w:tcW w:w="1500" w:type="dxa"/>
            <w:tcBorders>
              <w:top w:val="nil" w:sz="6" w:space="0" w:color="auto"/>
              <w:left w:val="nil" w:sz="6" w:space="0" w:color="auto"/>
              <w:bottom w:val="nil" w:sz="6" w:space="0" w:color="auto"/>
              <w:right w:val="nil" w:sz="6" w:space="0" w:color="auto"/>
            </w:tcBorders>
          </w:tcPr>
          <w:p>
            <w:pPr>
              <w:pStyle w:val="TableParagraph"/>
              <w:spacing w:line="173" w:lineRule="exact"/>
              <w:ind w:left="190" w:right="0"/>
              <w:jc w:val="left"/>
              <w:rPr>
                <w:rFonts w:ascii="宋体" w:hAnsi="宋体" w:cs="宋体" w:eastAsia="宋体" w:hint="default"/>
                <w:sz w:val="15"/>
                <w:szCs w:val="15"/>
              </w:rPr>
            </w:pPr>
            <w:r>
              <w:rPr>
                <w:rFonts w:ascii="宋体" w:hAnsi="宋体" w:cs="宋体" w:eastAsia="宋体" w:hint="default"/>
                <w:sz w:val="15"/>
                <w:szCs w:val="15"/>
              </w:rPr>
              <w:t>享有份额后的余额</w:t>
            </w:r>
          </w:p>
        </w:tc>
      </w:tr>
    </w:tbl>
    <w:p>
      <w:pPr>
        <w:spacing w:after="0" w:line="173" w:lineRule="exact"/>
        <w:jc w:val="left"/>
        <w:rPr>
          <w:rFonts w:ascii="宋体" w:hAnsi="宋体" w:cs="宋体" w:eastAsia="宋体" w:hint="default"/>
          <w:sz w:val="15"/>
          <w:szCs w:val="15"/>
        </w:rPr>
        <w:sectPr>
          <w:pgSz w:w="16840" w:h="11910" w:orient="landscape"/>
          <w:pgMar w:header="851" w:footer="978" w:top="1360" w:bottom="1160" w:left="1300" w:right="1100"/>
        </w:sectPr>
      </w:pPr>
    </w:p>
    <w:p>
      <w:pPr>
        <w:spacing w:line="240" w:lineRule="auto" w:before="11"/>
        <w:rPr>
          <w:rFonts w:ascii="宋体" w:hAnsi="宋体" w:cs="宋体" w:eastAsia="宋体" w:hint="default"/>
          <w:b/>
          <w:bCs/>
          <w:sz w:val="2"/>
          <w:szCs w:val="2"/>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44.3pt;height:.75pt;mso-position-horizontal-relative:char;mso-position-vertical-relative:line" coordorigin="0,0" coordsize="8886,15">
            <v:group style="position:absolute;left:7;top:7;width:8872;height:2" coordorigin="7,7" coordsize="8872,2">
              <v:shape style="position:absolute;left:7;top:7;width:8872;height:2" coordorigin="7,7" coordsize="8872,0" path="m7,7l8879,7e" filled="false" stroked="true" strokeweight=".72pt" strokecolor="#000000">
                <v:path arrowok="t"/>
              </v:shape>
            </v:group>
          </v:group>
        </w:pict>
      </w:r>
      <w:r>
        <w:rPr>
          <w:rFonts w:ascii="宋体" w:hAnsi="宋体" w:cs="宋体" w:eastAsia="宋体" w:hint="default"/>
          <w:sz w:val="2"/>
          <w:szCs w:val="2"/>
        </w:rPr>
      </w:r>
    </w:p>
    <w:p>
      <w:pPr>
        <w:spacing w:line="240" w:lineRule="auto" w:before="1"/>
        <w:rPr>
          <w:rFonts w:ascii="宋体" w:hAnsi="宋体" w:cs="宋体" w:eastAsia="宋体" w:hint="default"/>
          <w:b/>
          <w:bCs/>
          <w:sz w:val="10"/>
          <w:szCs w:val="10"/>
        </w:rPr>
      </w:pPr>
    </w:p>
    <w:p>
      <w:pPr>
        <w:pStyle w:val="Heading2"/>
        <w:tabs>
          <w:tab w:pos="853" w:val="left" w:leader="none"/>
        </w:tabs>
        <w:spacing w:line="628" w:lineRule="auto" w:before="35"/>
        <w:ind w:left="857" w:right="5084" w:hanging="732"/>
        <w:jc w:val="left"/>
        <w:rPr>
          <w:b w:val="0"/>
          <w:bCs w:val="0"/>
        </w:rPr>
      </w:pP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合并范围发生变更的说明</w:t>
      </w:r>
      <w:r>
        <w:rPr>
          <w:w w:val="99"/>
        </w:rPr>
        <w:t> </w:t>
      </w:r>
      <w:r>
        <w:rPr/>
        <w:t>本期新增合并单位</w:t>
      </w:r>
      <w:r>
        <w:rPr>
          <w:spacing w:val="-57"/>
        </w:rPr>
        <w:t> </w:t>
      </w:r>
      <w:r>
        <w:rPr>
          <w:rFonts w:ascii="Times New Roman" w:hAnsi="Times New Roman" w:cs="Times New Roman" w:eastAsia="Times New Roman" w:hint="default"/>
        </w:rPr>
        <w:t>4</w:t>
      </w:r>
      <w:r>
        <w:rPr>
          <w:rFonts w:ascii="Times New Roman" w:hAnsi="Times New Roman" w:cs="Times New Roman" w:eastAsia="Times New Roman" w:hint="default"/>
          <w:spacing w:val="-4"/>
        </w:rPr>
        <w:t> </w:t>
      </w:r>
      <w:r>
        <w:rPr/>
        <w:t>家，原因为：</w:t>
      </w:r>
      <w:r>
        <w:rPr>
          <w:b w:val="0"/>
          <w:bCs w:val="0"/>
        </w:rPr>
      </w:r>
    </w:p>
    <w:p>
      <w:pPr>
        <w:pStyle w:val="BodyText"/>
        <w:spacing w:line="297" w:lineRule="auto" w:before="52"/>
        <w:ind w:left="857" w:right="151" w:hanging="1"/>
        <w:jc w:val="both"/>
      </w:pPr>
      <w:r>
        <w:rPr>
          <w:rFonts w:ascii="Times New Roman" w:hAnsi="Times New Roman" w:cs="Times New Roman" w:eastAsia="Times New Roman" w:hint="default"/>
          <w:spacing w:val="-6"/>
        </w:rPr>
        <w:t>1</w:t>
      </w:r>
      <w:r>
        <w:rPr>
          <w:spacing w:val="-6"/>
        </w:rPr>
        <w:t>、</w:t>
      </w:r>
      <w:r>
        <w:rPr>
          <w:rFonts w:ascii="Times New Roman" w:hAnsi="Times New Roman" w:cs="Times New Roman" w:eastAsia="Times New Roman" w:hint="default"/>
          <w:spacing w:val="-6"/>
        </w:rPr>
        <w:t>2010</w:t>
      </w:r>
      <w:r>
        <w:rPr>
          <w:rFonts w:ascii="Times New Roman" w:hAnsi="Times New Roman" w:cs="Times New Roman" w:eastAsia="Times New Roman" w:hint="default"/>
          <w:spacing w:val="-7"/>
        </w:rPr>
        <w:t> </w:t>
      </w:r>
      <w:r>
        <w:rPr/>
        <w:t>年</w:t>
      </w:r>
      <w:r>
        <w:rPr>
          <w:spacing w:val="-61"/>
        </w:rPr>
        <w:t> </w:t>
      </w:r>
      <w:r>
        <w:rPr>
          <w:rFonts w:ascii="Times New Roman" w:hAnsi="Times New Roman" w:cs="Times New Roman" w:eastAsia="Times New Roman" w:hint="default"/>
        </w:rPr>
        <w:t>8</w:t>
      </w:r>
      <w:r>
        <w:rPr>
          <w:rFonts w:ascii="Times New Roman" w:hAnsi="Times New Roman" w:cs="Times New Roman" w:eastAsia="Times New Roman" w:hint="default"/>
          <w:spacing w:val="-8"/>
        </w:rPr>
        <w:t> </w:t>
      </w:r>
      <w:r>
        <w:rPr>
          <w:spacing w:val="-5"/>
        </w:rPr>
        <w:t>月，本公司出资</w:t>
      </w:r>
      <w:r>
        <w:rPr>
          <w:spacing w:val="-60"/>
        </w:rPr>
        <w:t> </w:t>
      </w:r>
      <w:r>
        <w:rPr>
          <w:rFonts w:ascii="Times New Roman" w:hAnsi="Times New Roman" w:cs="Times New Roman" w:eastAsia="Times New Roman" w:hint="default"/>
        </w:rPr>
        <w:t>10,330</w:t>
      </w:r>
      <w:r>
        <w:rPr>
          <w:rFonts w:ascii="Times New Roman" w:hAnsi="Times New Roman" w:cs="Times New Roman" w:eastAsia="Times New Roman" w:hint="default"/>
          <w:spacing w:val="-7"/>
        </w:rPr>
        <w:t> </w:t>
      </w:r>
      <w:r>
        <w:rPr/>
        <w:t>万元设立全资子公司重庆新媒农信科技有限公司，公 司自成立之日起纳入合并范围。</w:t>
      </w:r>
    </w:p>
    <w:p>
      <w:pPr>
        <w:pStyle w:val="BodyText"/>
        <w:spacing w:line="297" w:lineRule="auto" w:before="34"/>
        <w:ind w:left="857" w:right="151"/>
        <w:jc w:val="both"/>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w:t>
      </w:r>
      <w:r>
        <w:rPr>
          <w:spacing w:val="-54"/>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月，本公司出资</w:t>
      </w:r>
      <w:r>
        <w:rPr>
          <w:spacing w:val="-53"/>
        </w:rPr>
        <w:t> </w:t>
      </w:r>
      <w:r>
        <w:rPr>
          <w:rFonts w:ascii="Times New Roman" w:hAnsi="Times New Roman" w:cs="Times New Roman" w:eastAsia="Times New Roman" w:hint="default"/>
        </w:rPr>
        <w:t>709.54</w:t>
      </w:r>
      <w:r>
        <w:rPr>
          <w:rFonts w:ascii="Times New Roman" w:hAnsi="Times New Roman" w:cs="Times New Roman" w:eastAsia="Times New Roman" w:hint="default"/>
          <w:spacing w:val="-1"/>
        </w:rPr>
        <w:t> </w:t>
      </w:r>
      <w:r>
        <w:rPr/>
        <w:t>万元收购实际控制人控股的北京互联时代通讯科技 有限公司</w:t>
      </w:r>
      <w:r>
        <w:rPr>
          <w:spacing w:val="-47"/>
        </w:rPr>
        <w:t> </w:t>
      </w:r>
      <w:r>
        <w:rPr>
          <w:rFonts w:ascii="Times New Roman" w:hAnsi="Times New Roman" w:cs="Times New Roman" w:eastAsia="Times New Roman" w:hint="default"/>
        </w:rPr>
        <w:t>100%</w:t>
      </w:r>
      <w:r>
        <w:rPr/>
        <w:t>股权，该公司注册资本为</w:t>
      </w:r>
      <w:r>
        <w:rPr>
          <w:spacing w:val="-47"/>
        </w:rPr>
        <w:t> </w:t>
      </w:r>
      <w:r>
        <w:rPr>
          <w:rFonts w:ascii="Times New Roman" w:hAnsi="Times New Roman" w:cs="Times New Roman" w:eastAsia="Times New Roman" w:hint="default"/>
          <w:spacing w:val="-4"/>
        </w:rPr>
        <w:t>1,111.11</w:t>
      </w:r>
      <w:r>
        <w:rPr>
          <w:rFonts w:ascii="Times New Roman" w:hAnsi="Times New Roman" w:cs="Times New Roman" w:eastAsia="Times New Roman" w:hint="default"/>
          <w:spacing w:val="5"/>
        </w:rPr>
        <w:t> </w:t>
      </w:r>
      <w:r>
        <w:rPr/>
        <w:t>万元，该项收购系同一控制下的企业合 并，自被收购方成立之日起纳入合并范围。</w:t>
      </w:r>
    </w:p>
    <w:p>
      <w:pPr>
        <w:pStyle w:val="BodyText"/>
        <w:spacing w:line="297" w:lineRule="auto" w:before="34"/>
        <w:ind w:left="857" w:right="152"/>
        <w:jc w:val="both"/>
      </w:pPr>
      <w:r>
        <w:rPr>
          <w:rFonts w:ascii="Times New Roman" w:hAnsi="Times New Roman" w:cs="Times New Roman" w:eastAsia="Times New Roman" w:hint="default"/>
          <w:spacing w:val="-4"/>
        </w:rPr>
        <w:t>3</w:t>
      </w:r>
      <w:r>
        <w:rPr>
          <w:spacing w:val="-4"/>
        </w:rPr>
        <w:t>、</w:t>
      </w:r>
      <w:r>
        <w:rPr>
          <w:rFonts w:ascii="Times New Roman" w:hAnsi="Times New Roman" w:cs="Times New Roman" w:eastAsia="Times New Roman" w:hint="default"/>
          <w:spacing w:val="-4"/>
        </w:rPr>
        <w:t>2010</w:t>
      </w:r>
      <w:r>
        <w:rPr>
          <w:rFonts w:ascii="Times New Roman" w:hAnsi="Times New Roman" w:cs="Times New Roman" w:eastAsia="Times New Roman" w:hint="default"/>
          <w:spacing w:val="2"/>
        </w:rPr>
        <w:t> </w:t>
      </w:r>
      <w:r>
        <w:rPr/>
        <w:t>年</w:t>
      </w:r>
      <w:r>
        <w:rPr>
          <w:spacing w:val="-52"/>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2"/>
        </w:rPr>
        <w:t> </w:t>
      </w:r>
      <w:r>
        <w:rPr>
          <w:spacing w:val="-3"/>
        </w:rPr>
        <w:t>月，本公司出资</w:t>
      </w:r>
      <w:r>
        <w:rPr>
          <w:spacing w:val="-51"/>
        </w:rPr>
        <w:t> </w:t>
      </w:r>
      <w:r>
        <w:rPr>
          <w:rFonts w:ascii="Times New Roman" w:hAnsi="Times New Roman" w:cs="Times New Roman" w:eastAsia="Times New Roman" w:hint="default"/>
        </w:rPr>
        <w:t>5,900</w:t>
      </w:r>
      <w:r>
        <w:rPr>
          <w:rFonts w:ascii="Times New Roman" w:hAnsi="Times New Roman" w:cs="Times New Roman" w:eastAsia="Times New Roman" w:hint="default"/>
          <w:spacing w:val="2"/>
        </w:rPr>
        <w:t> </w:t>
      </w:r>
      <w:r>
        <w:rPr>
          <w:spacing w:val="-3"/>
        </w:rPr>
        <w:t>万元收购自然人徐伟、徐秀华、聂小平、赵朝华持有</w:t>
      </w:r>
      <w:r>
        <w:rPr/>
        <w:t> 的北京友联创新系统集成有限公司</w:t>
      </w:r>
      <w:r>
        <w:rPr>
          <w:spacing w:val="-41"/>
        </w:rPr>
        <w:t> </w:t>
      </w:r>
      <w:r>
        <w:rPr>
          <w:rFonts w:ascii="Times New Roman" w:hAnsi="Times New Roman" w:cs="Times New Roman" w:eastAsia="Times New Roman" w:hint="default"/>
        </w:rPr>
        <w:t>100%</w:t>
      </w:r>
      <w:r>
        <w:rPr/>
        <w:t>股权，该公司注册资本</w:t>
      </w:r>
      <w:r>
        <w:rPr>
          <w:spacing w:val="-41"/>
        </w:rPr>
        <w:t> </w:t>
      </w:r>
      <w:r>
        <w:rPr>
          <w:rFonts w:ascii="Times New Roman" w:hAnsi="Times New Roman" w:cs="Times New Roman" w:eastAsia="Times New Roman" w:hint="default"/>
        </w:rPr>
        <w:t>2,000</w:t>
      </w:r>
      <w:r>
        <w:rPr>
          <w:rFonts w:ascii="Times New Roman" w:hAnsi="Times New Roman" w:cs="Times New Roman" w:eastAsia="Times New Roman" w:hint="default"/>
          <w:spacing w:val="12"/>
        </w:rPr>
        <w:t> </w:t>
      </w:r>
      <w:r>
        <w:rPr/>
        <w:t>万元，自收购之日 起纳入合并范围。</w:t>
      </w:r>
    </w:p>
    <w:p>
      <w:pPr>
        <w:pStyle w:val="BodyText"/>
        <w:spacing w:line="297" w:lineRule="auto" w:before="34"/>
        <w:ind w:left="857" w:right="153" w:hanging="1"/>
        <w:jc w:val="both"/>
      </w:pPr>
      <w:r>
        <w:rPr>
          <w:rFonts w:ascii="Times New Roman" w:hAnsi="Times New Roman" w:cs="Times New Roman" w:eastAsia="Times New Roman" w:hint="default"/>
        </w:rPr>
        <w:t>4</w:t>
      </w:r>
      <w:r>
        <w:rPr/>
        <w:t>、</w:t>
      </w:r>
      <w:r>
        <w:rPr>
          <w:rFonts w:ascii="Times New Roman" w:hAnsi="Times New Roman" w:cs="Times New Roman" w:eastAsia="Times New Roman" w:hint="default"/>
        </w:rPr>
        <w:t>2010 </w:t>
      </w:r>
      <w:r>
        <w:rPr/>
        <w:t>年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月，本公司全资子公司北京新媒传信科技有限公司与自然人程信阳、熊胜 峰共同出资成立了北京泰岳千腾网络信息技术有限公司，该公司注册资本</w:t>
      </w:r>
      <w:r>
        <w:rPr>
          <w:spacing w:val="-65"/>
        </w:rPr>
        <w:t> </w:t>
      </w:r>
      <w:r>
        <w:rPr>
          <w:rFonts w:ascii="Times New Roman" w:hAnsi="Times New Roman" w:cs="Times New Roman" w:eastAsia="Times New Roman" w:hint="default"/>
        </w:rPr>
        <w:t>1,000</w:t>
      </w:r>
      <w:r>
        <w:rPr>
          <w:rFonts w:ascii="Times New Roman" w:hAnsi="Times New Roman" w:cs="Times New Roman" w:eastAsia="Times New Roman" w:hint="default"/>
          <w:spacing w:val="-12"/>
        </w:rPr>
        <w:t> </w:t>
      </w:r>
      <w:r>
        <w:rPr>
          <w:spacing w:val="-6"/>
        </w:rPr>
        <w:t>万元，其</w:t>
      </w:r>
      <w:r>
        <w:rPr/>
        <w:t> 中北京新媒传信科技有限公司出资 </w:t>
      </w:r>
      <w:r>
        <w:rPr>
          <w:rFonts w:ascii="Times New Roman" w:hAnsi="Times New Roman" w:cs="Times New Roman" w:eastAsia="Times New Roman" w:hint="default"/>
        </w:rPr>
        <w:t>700 </w:t>
      </w:r>
      <w:r>
        <w:rPr/>
        <w:t>万元，占注册资本的</w:t>
      </w:r>
      <w:r>
        <w:rPr>
          <w:spacing w:val="-67"/>
        </w:rPr>
        <w:t> </w:t>
      </w:r>
      <w:r>
        <w:rPr>
          <w:rFonts w:ascii="Times New Roman" w:hAnsi="Times New Roman" w:cs="Times New Roman" w:eastAsia="Times New Roman" w:hint="default"/>
        </w:rPr>
        <w:t>70%</w:t>
      </w:r>
      <w:r>
        <w:rPr/>
        <w:t>，公司自成立之日起纳 入合并范围。</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2"/>
        <w:tabs>
          <w:tab w:pos="853" w:val="left" w:leader="none"/>
        </w:tabs>
        <w:spacing w:line="240" w:lineRule="auto"/>
        <w:ind w:right="390"/>
        <w:jc w:val="left"/>
        <w:rPr>
          <w:b w:val="0"/>
          <w:bCs w:val="0"/>
        </w:rPr>
      </w:pPr>
      <w:r>
        <w:rPr>
          <w:rFonts w:ascii="Times New Roman" w:hAnsi="Times New Roman" w:cs="Times New Roman" w:eastAsia="Times New Roman" w:hint="default"/>
          <w:w w:val="95"/>
        </w:rPr>
        <w:t>(</w:t>
      </w:r>
      <w:r>
        <w:rPr>
          <w:w w:val="95"/>
        </w:rPr>
        <w:t>三</w:t>
      </w:r>
      <w:r>
        <w:rPr>
          <w:rFonts w:ascii="Times New Roman" w:hAnsi="Times New Roman" w:cs="Times New Roman" w:eastAsia="Times New Roman" w:hint="default"/>
          <w:w w:val="95"/>
        </w:rPr>
        <w:t>)</w:t>
        <w:tab/>
      </w:r>
      <w:r>
        <w:rPr/>
        <w:t>本期发生的同一控制下企业合并</w:t>
      </w:r>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1"/>
          <w:szCs w:val="11"/>
        </w:rPr>
      </w:pPr>
    </w:p>
    <w:tbl>
      <w:tblPr>
        <w:tblW w:w="0" w:type="auto"/>
        <w:jc w:val="left"/>
        <w:tblInd w:w="749" w:type="dxa"/>
        <w:tblLayout w:type="fixed"/>
        <w:tblCellMar>
          <w:top w:w="0" w:type="dxa"/>
          <w:left w:w="0" w:type="dxa"/>
          <w:bottom w:w="0" w:type="dxa"/>
          <w:right w:w="0" w:type="dxa"/>
        </w:tblCellMar>
        <w:tblLook w:val="01E0"/>
      </w:tblPr>
      <w:tblGrid>
        <w:gridCol w:w="1658"/>
        <w:gridCol w:w="1382"/>
        <w:gridCol w:w="1234"/>
        <w:gridCol w:w="1209"/>
        <w:gridCol w:w="1174"/>
        <w:gridCol w:w="1420"/>
      </w:tblGrid>
      <w:tr>
        <w:trPr>
          <w:trHeight w:val="1143" w:hRule="exact"/>
        </w:trPr>
        <w:tc>
          <w:tcPr>
            <w:tcW w:w="1658"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469" w:right="0"/>
              <w:jc w:val="left"/>
              <w:rPr>
                <w:rFonts w:ascii="宋体" w:hAnsi="宋体" w:cs="宋体" w:eastAsia="宋体" w:hint="default"/>
                <w:sz w:val="18"/>
                <w:szCs w:val="18"/>
              </w:rPr>
            </w:pPr>
            <w:r>
              <w:rPr>
                <w:rFonts w:ascii="宋体" w:hAnsi="宋体" w:cs="宋体" w:eastAsia="宋体" w:hint="default"/>
                <w:sz w:val="18"/>
                <w:szCs w:val="18"/>
              </w:rPr>
              <w:t>被合并方</w:t>
            </w:r>
          </w:p>
        </w:tc>
        <w:tc>
          <w:tcPr>
            <w:tcW w:w="1382" w:type="dxa"/>
            <w:tcBorders>
              <w:top w:val="single" w:sz="12" w:space="0" w:color="000000"/>
              <w:left w:val="nil" w:sz="6" w:space="0" w:color="auto"/>
              <w:bottom w:val="nil" w:sz="6" w:space="0" w:color="auto"/>
              <w:right w:val="nil" w:sz="6" w:space="0" w:color="auto"/>
            </w:tcBorders>
          </w:tcPr>
          <w:p>
            <w:pPr>
              <w:pStyle w:val="TableParagraph"/>
              <w:spacing w:line="381" w:lineRule="auto" w:before="41"/>
              <w:ind w:left="164" w:right="134"/>
              <w:jc w:val="center"/>
              <w:rPr>
                <w:rFonts w:ascii="宋体" w:hAnsi="宋体" w:cs="宋体" w:eastAsia="宋体" w:hint="default"/>
                <w:sz w:val="18"/>
                <w:szCs w:val="18"/>
              </w:rPr>
            </w:pPr>
            <w:r>
              <w:rPr>
                <w:rFonts w:ascii="宋体" w:hAnsi="宋体" w:cs="宋体" w:eastAsia="宋体" w:hint="default"/>
                <w:sz w:val="18"/>
                <w:szCs w:val="18"/>
              </w:rPr>
              <w:t>属于同一控制 下企业合并的 判断依据</w:t>
            </w:r>
          </w:p>
        </w:tc>
        <w:tc>
          <w:tcPr>
            <w:tcW w:w="1234"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381" w:lineRule="auto"/>
              <w:ind w:left="182" w:right="149"/>
              <w:jc w:val="left"/>
              <w:rPr>
                <w:rFonts w:ascii="宋体" w:hAnsi="宋体" w:cs="宋体" w:eastAsia="宋体" w:hint="default"/>
                <w:sz w:val="18"/>
                <w:szCs w:val="18"/>
              </w:rPr>
            </w:pPr>
            <w:r>
              <w:rPr>
                <w:rFonts w:ascii="宋体" w:hAnsi="宋体" w:cs="宋体" w:eastAsia="宋体" w:hint="default"/>
                <w:sz w:val="18"/>
                <w:szCs w:val="18"/>
              </w:rPr>
              <w:t>同一控制的 实际控制人</w:t>
            </w:r>
          </w:p>
        </w:tc>
        <w:tc>
          <w:tcPr>
            <w:tcW w:w="1209" w:type="dxa"/>
            <w:tcBorders>
              <w:top w:val="single" w:sz="12" w:space="0" w:color="000000"/>
              <w:left w:val="nil" w:sz="6" w:space="0" w:color="auto"/>
              <w:bottom w:val="nil" w:sz="6" w:space="0" w:color="auto"/>
              <w:right w:val="nil" w:sz="6" w:space="0" w:color="auto"/>
            </w:tcBorders>
          </w:tcPr>
          <w:p>
            <w:pPr>
              <w:pStyle w:val="TableParagraph"/>
              <w:spacing w:line="381" w:lineRule="auto" w:before="41"/>
              <w:ind w:left="154" w:right="152"/>
              <w:jc w:val="center"/>
              <w:rPr>
                <w:rFonts w:ascii="宋体" w:hAnsi="宋体" w:cs="宋体" w:eastAsia="宋体" w:hint="default"/>
                <w:sz w:val="18"/>
                <w:szCs w:val="18"/>
              </w:rPr>
            </w:pPr>
            <w:r>
              <w:rPr>
                <w:rFonts w:ascii="宋体" w:hAnsi="宋体" w:cs="宋体" w:eastAsia="宋体" w:hint="default"/>
                <w:sz w:val="18"/>
                <w:szCs w:val="18"/>
              </w:rPr>
              <w:t>合并本期期 初至合并日 的收入</w:t>
            </w:r>
          </w:p>
        </w:tc>
        <w:tc>
          <w:tcPr>
            <w:tcW w:w="1174" w:type="dxa"/>
            <w:tcBorders>
              <w:top w:val="single" w:sz="12" w:space="0" w:color="000000"/>
              <w:left w:val="nil" w:sz="6" w:space="0" w:color="auto"/>
              <w:bottom w:val="nil" w:sz="6" w:space="0" w:color="auto"/>
              <w:right w:val="nil" w:sz="6" w:space="0" w:color="auto"/>
            </w:tcBorders>
          </w:tcPr>
          <w:p>
            <w:pPr>
              <w:pStyle w:val="TableParagraph"/>
              <w:spacing w:line="381" w:lineRule="auto" w:before="41"/>
              <w:ind w:left="113" w:right="158"/>
              <w:jc w:val="center"/>
              <w:rPr>
                <w:rFonts w:ascii="宋体" w:hAnsi="宋体" w:cs="宋体" w:eastAsia="宋体" w:hint="default"/>
                <w:sz w:val="18"/>
                <w:szCs w:val="18"/>
              </w:rPr>
            </w:pPr>
            <w:r>
              <w:rPr>
                <w:rFonts w:ascii="宋体" w:hAnsi="宋体" w:cs="宋体" w:eastAsia="宋体" w:hint="default"/>
                <w:sz w:val="18"/>
                <w:szCs w:val="18"/>
              </w:rPr>
              <w:t>合并本期至 合并日的净 利润</w:t>
            </w:r>
          </w:p>
        </w:tc>
        <w:tc>
          <w:tcPr>
            <w:tcW w:w="1420" w:type="dxa"/>
            <w:tcBorders>
              <w:top w:val="single" w:sz="12" w:space="0" w:color="000000"/>
              <w:left w:val="nil" w:sz="6" w:space="0" w:color="auto"/>
              <w:bottom w:val="nil" w:sz="6" w:space="0" w:color="auto"/>
              <w:right w:val="nil" w:sz="6" w:space="0" w:color="auto"/>
            </w:tcBorders>
          </w:tcPr>
          <w:p>
            <w:pPr>
              <w:pStyle w:val="TableParagraph"/>
              <w:spacing w:line="381" w:lineRule="auto" w:before="41"/>
              <w:ind w:left="151" w:right="186"/>
              <w:jc w:val="center"/>
              <w:rPr>
                <w:rFonts w:ascii="宋体" w:hAnsi="宋体" w:cs="宋体" w:eastAsia="宋体" w:hint="default"/>
                <w:sz w:val="18"/>
                <w:szCs w:val="18"/>
              </w:rPr>
            </w:pPr>
            <w:r>
              <w:rPr>
                <w:rFonts w:ascii="宋体" w:hAnsi="宋体" w:cs="宋体" w:eastAsia="宋体" w:hint="default"/>
                <w:sz w:val="18"/>
                <w:szCs w:val="18"/>
              </w:rPr>
              <w:t>合并本期至合 并日的经营活 动现金流</w:t>
            </w:r>
          </w:p>
        </w:tc>
      </w:tr>
      <w:tr>
        <w:trPr>
          <w:trHeight w:val="768" w:hRule="exact"/>
        </w:trPr>
        <w:tc>
          <w:tcPr>
            <w:tcW w:w="1658" w:type="dxa"/>
            <w:tcBorders>
              <w:top w:val="nil" w:sz="6" w:space="0" w:color="auto"/>
              <w:left w:val="nil" w:sz="6" w:space="0" w:color="auto"/>
              <w:bottom w:val="single" w:sz="12" w:space="0" w:color="000000"/>
              <w:right w:val="nil" w:sz="6" w:space="0" w:color="auto"/>
            </w:tcBorders>
          </w:tcPr>
          <w:p>
            <w:pPr>
              <w:pStyle w:val="TableParagraph"/>
              <w:spacing w:line="381" w:lineRule="auto" w:before="46"/>
              <w:ind w:left="107" w:right="106"/>
              <w:jc w:val="left"/>
              <w:rPr>
                <w:rFonts w:ascii="宋体" w:hAnsi="宋体" w:cs="宋体" w:eastAsia="宋体" w:hint="default"/>
                <w:sz w:val="18"/>
                <w:szCs w:val="18"/>
              </w:rPr>
            </w:pPr>
            <w:r>
              <w:rPr>
                <w:rFonts w:ascii="宋体" w:hAnsi="宋体" w:cs="宋体" w:eastAsia="宋体" w:hint="default"/>
                <w:sz w:val="18"/>
                <w:szCs w:val="18"/>
              </w:rPr>
              <w:t>北京互联时代通讯 科技有限公司</w:t>
            </w:r>
          </w:p>
        </w:tc>
        <w:tc>
          <w:tcPr>
            <w:tcW w:w="1382" w:type="dxa"/>
            <w:tcBorders>
              <w:top w:val="nil" w:sz="6" w:space="0" w:color="auto"/>
              <w:left w:val="nil" w:sz="6" w:space="0" w:color="auto"/>
              <w:bottom w:val="single" w:sz="12" w:space="0" w:color="000000"/>
              <w:right w:val="nil" w:sz="6" w:space="0" w:color="auto"/>
            </w:tcBorders>
          </w:tcPr>
          <w:p>
            <w:pPr>
              <w:pStyle w:val="TableParagraph"/>
              <w:spacing w:line="381" w:lineRule="auto" w:before="46"/>
              <w:ind w:left="108" w:right="191"/>
              <w:jc w:val="left"/>
              <w:rPr>
                <w:rFonts w:ascii="宋体" w:hAnsi="宋体" w:cs="宋体" w:eastAsia="宋体" w:hint="default"/>
                <w:sz w:val="18"/>
                <w:szCs w:val="18"/>
              </w:rPr>
            </w:pPr>
            <w:r>
              <w:rPr>
                <w:rFonts w:ascii="宋体" w:hAnsi="宋体" w:cs="宋体" w:eastAsia="宋体" w:hint="default"/>
                <w:sz w:val="18"/>
                <w:szCs w:val="18"/>
              </w:rPr>
              <w:t>受同一实际控 制人控制</w:t>
            </w:r>
          </w:p>
        </w:tc>
        <w:tc>
          <w:tcPr>
            <w:tcW w:w="1234"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136" w:right="0"/>
              <w:jc w:val="left"/>
              <w:rPr>
                <w:rFonts w:ascii="宋体" w:hAnsi="宋体" w:cs="宋体" w:eastAsia="宋体" w:hint="default"/>
                <w:sz w:val="18"/>
                <w:szCs w:val="18"/>
              </w:rPr>
            </w:pPr>
            <w:r>
              <w:rPr>
                <w:rFonts w:ascii="宋体" w:hAnsi="宋体" w:cs="宋体" w:eastAsia="宋体" w:hint="default"/>
                <w:sz w:val="18"/>
                <w:szCs w:val="18"/>
              </w:rPr>
              <w:t>王宁、李力</w:t>
            </w:r>
          </w:p>
        </w:tc>
        <w:tc>
          <w:tcPr>
            <w:tcW w:w="1209"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left="151" w:right="0"/>
              <w:jc w:val="left"/>
              <w:rPr>
                <w:rFonts w:ascii="Times New Roman" w:hAnsi="Times New Roman" w:cs="Times New Roman" w:eastAsia="Times New Roman" w:hint="default"/>
                <w:sz w:val="18"/>
                <w:szCs w:val="18"/>
              </w:rPr>
            </w:pPr>
            <w:r>
              <w:rPr>
                <w:rFonts w:ascii="Times New Roman"/>
                <w:sz w:val="18"/>
              </w:rPr>
              <w:t>7,154,939.26</w:t>
            </w:r>
          </w:p>
        </w:tc>
        <w:tc>
          <w:tcPr>
            <w:tcW w:w="1174"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left="150" w:right="0"/>
              <w:jc w:val="left"/>
              <w:rPr>
                <w:rFonts w:ascii="Times New Roman" w:hAnsi="Times New Roman" w:cs="Times New Roman" w:eastAsia="Times New Roman" w:hint="default"/>
                <w:sz w:val="18"/>
                <w:szCs w:val="18"/>
              </w:rPr>
            </w:pPr>
            <w:r>
              <w:rPr>
                <w:rFonts w:ascii="Times New Roman"/>
                <w:sz w:val="18"/>
              </w:rPr>
              <w:t>-382,993.73</w:t>
            </w:r>
          </w:p>
        </w:tc>
        <w:tc>
          <w:tcPr>
            <w:tcW w:w="1420"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left="373" w:right="0"/>
              <w:jc w:val="left"/>
              <w:rPr>
                <w:rFonts w:ascii="Times New Roman" w:hAnsi="Times New Roman" w:cs="Times New Roman" w:eastAsia="Times New Roman" w:hint="default"/>
                <w:sz w:val="18"/>
                <w:szCs w:val="18"/>
              </w:rPr>
            </w:pPr>
            <w:r>
              <w:rPr>
                <w:rFonts w:ascii="Times New Roman"/>
                <w:sz w:val="18"/>
              </w:rPr>
              <w:t>6,402,822.81</w:t>
            </w:r>
          </w:p>
        </w:tc>
      </w:tr>
    </w:tbl>
    <w:p>
      <w:pPr>
        <w:spacing w:line="240" w:lineRule="auto" w:before="4"/>
        <w:rPr>
          <w:rFonts w:ascii="宋体" w:hAnsi="宋体" w:cs="宋体" w:eastAsia="宋体" w:hint="default"/>
          <w:b/>
          <w:bCs/>
          <w:sz w:val="28"/>
          <w:szCs w:val="28"/>
        </w:rPr>
      </w:pPr>
    </w:p>
    <w:p>
      <w:pPr>
        <w:tabs>
          <w:tab w:pos="853" w:val="left" w:leader="none"/>
        </w:tabs>
        <w:spacing w:before="35"/>
        <w:ind w:left="125" w:right="390" w:firstLine="0"/>
        <w:jc w:val="left"/>
        <w:rPr>
          <w:rFonts w:ascii="宋体" w:hAnsi="宋体" w:cs="宋体" w:eastAsia="宋体" w:hint="default"/>
          <w:sz w:val="21"/>
          <w:szCs w:val="21"/>
        </w:rPr>
      </w:pPr>
      <w:r>
        <w:rPr/>
        <w:pict>
          <v:group style="position:absolute;margin-left:119.520004pt;margin-top:-115.046021pt;width:404.8pt;height:96pt;mso-position-horizontal-relative:page;mso-position-vertical-relative:paragraph;z-index:-710560" coordorigin="2390,-2301" coordsize="8096,1920">
            <v:shape style="position:absolute;left:2390;top:-2301;width:8095;height:1920" type="#_x0000_t75" stroked="false">
              <v:imagedata r:id="rId98" o:title=""/>
            </v:shape>
            <v:shape style="position:absolute;left:5454;top:-1168;width:48;height:787" type="#_x0000_t75" stroked="false">
              <v:imagedata r:id="rId99" o:title=""/>
            </v:shape>
            <v:shape style="position:absolute;left:6664;top:-1168;width:48;height:787" type="#_x0000_t75" stroked="false">
              <v:imagedata r:id="rId99" o:title=""/>
            </v:shape>
            <v:shape style="position:absolute;left:7864;top:-1168;width:48;height:787" type="#_x0000_t75" stroked="false">
              <v:imagedata r:id="rId99" o:title=""/>
            </v:shape>
            <v:shape style="position:absolute;left:8998;top:-1168;width:48;height:787" type="#_x0000_t75" stroked="false">
              <v:imagedata r:id="rId99" o:title=""/>
            </v:shape>
            <w10:wrap type="none"/>
          </v:group>
        </w:pict>
      </w:r>
      <w:r>
        <w:rPr/>
        <w:pict>
          <v:shape style="position:absolute;margin-left:119.839996pt;margin-top:37.653976pt;width:402.732877pt;height:38.902500pt;mso-position-horizontal-relative:page;mso-position-vertical-relative:paragraph;z-index:-710536" type="#_x0000_t75" stroked="false">
            <v:imagedata r:id="rId100" o:title=""/>
          </v:shape>
        </w:pict>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四</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本期发生的非同一控制下企业合并</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1"/>
          <w:szCs w:val="11"/>
        </w:rPr>
      </w:pPr>
    </w:p>
    <w:tbl>
      <w:tblPr>
        <w:tblW w:w="0" w:type="auto"/>
        <w:jc w:val="left"/>
        <w:tblInd w:w="749" w:type="dxa"/>
        <w:tblLayout w:type="fixed"/>
        <w:tblCellMar>
          <w:top w:w="0" w:type="dxa"/>
          <w:left w:w="0" w:type="dxa"/>
          <w:bottom w:w="0" w:type="dxa"/>
          <w:right w:w="0" w:type="dxa"/>
        </w:tblCellMar>
        <w:tblLook w:val="01E0"/>
      </w:tblPr>
      <w:tblGrid>
        <w:gridCol w:w="3139"/>
        <w:gridCol w:w="1924"/>
        <w:gridCol w:w="2969"/>
      </w:tblGrid>
      <w:tr>
        <w:trPr>
          <w:trHeight w:val="401" w:hRule="exact"/>
        </w:trPr>
        <w:tc>
          <w:tcPr>
            <w:tcW w:w="3139"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right="60"/>
              <w:jc w:val="center"/>
              <w:rPr>
                <w:rFonts w:ascii="宋体" w:hAnsi="宋体" w:cs="宋体" w:eastAsia="宋体" w:hint="default"/>
                <w:sz w:val="21"/>
                <w:szCs w:val="21"/>
              </w:rPr>
            </w:pPr>
            <w:r>
              <w:rPr>
                <w:rFonts w:ascii="宋体" w:hAnsi="宋体" w:cs="宋体" w:eastAsia="宋体" w:hint="default"/>
                <w:sz w:val="21"/>
                <w:szCs w:val="21"/>
              </w:rPr>
              <w:t>被合并方</w:t>
            </w:r>
          </w:p>
        </w:tc>
        <w:tc>
          <w:tcPr>
            <w:tcW w:w="1924"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511" w:right="0"/>
              <w:jc w:val="left"/>
              <w:rPr>
                <w:rFonts w:ascii="宋体" w:hAnsi="宋体" w:cs="宋体" w:eastAsia="宋体" w:hint="default"/>
                <w:sz w:val="21"/>
                <w:szCs w:val="21"/>
              </w:rPr>
            </w:pPr>
            <w:r>
              <w:rPr>
                <w:rFonts w:ascii="宋体" w:hAnsi="宋体" w:cs="宋体" w:eastAsia="宋体" w:hint="default"/>
                <w:sz w:val="21"/>
                <w:szCs w:val="21"/>
              </w:rPr>
              <w:t>商誉金额</w:t>
            </w:r>
          </w:p>
        </w:tc>
        <w:tc>
          <w:tcPr>
            <w:tcW w:w="2969"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857" w:right="0"/>
              <w:jc w:val="left"/>
              <w:rPr>
                <w:rFonts w:ascii="宋体" w:hAnsi="宋体" w:cs="宋体" w:eastAsia="宋体" w:hint="default"/>
                <w:sz w:val="21"/>
                <w:szCs w:val="21"/>
              </w:rPr>
            </w:pPr>
            <w:r>
              <w:rPr>
                <w:rFonts w:ascii="宋体" w:hAnsi="宋体" w:cs="宋体" w:eastAsia="宋体" w:hint="default"/>
                <w:sz w:val="21"/>
                <w:szCs w:val="21"/>
              </w:rPr>
              <w:t>商誉计算方法</w:t>
            </w:r>
          </w:p>
        </w:tc>
      </w:tr>
      <w:tr>
        <w:trPr>
          <w:trHeight w:val="387" w:hRule="exact"/>
        </w:trPr>
        <w:tc>
          <w:tcPr>
            <w:tcW w:w="3139"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07" w:right="0"/>
              <w:jc w:val="left"/>
              <w:rPr>
                <w:rFonts w:ascii="宋体" w:hAnsi="宋体" w:cs="宋体" w:eastAsia="宋体" w:hint="default"/>
                <w:sz w:val="18"/>
                <w:szCs w:val="18"/>
              </w:rPr>
            </w:pPr>
            <w:r>
              <w:rPr>
                <w:rFonts w:ascii="宋体" w:hAnsi="宋体" w:cs="宋体" w:eastAsia="宋体" w:hint="default"/>
                <w:sz w:val="18"/>
                <w:szCs w:val="18"/>
              </w:rPr>
              <w:t>北京友联创新系统集成有限公司</w:t>
            </w:r>
          </w:p>
        </w:tc>
        <w:tc>
          <w:tcPr>
            <w:tcW w:w="1924"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left="780" w:right="0"/>
              <w:jc w:val="left"/>
              <w:rPr>
                <w:rFonts w:ascii="Times New Roman" w:hAnsi="Times New Roman" w:cs="Times New Roman" w:eastAsia="Times New Roman" w:hint="default"/>
                <w:sz w:val="18"/>
                <w:szCs w:val="18"/>
              </w:rPr>
            </w:pPr>
            <w:r>
              <w:rPr>
                <w:rFonts w:ascii="Times New Roman"/>
                <w:sz w:val="18"/>
              </w:rPr>
              <w:t>33,470,814.63</w:t>
            </w:r>
          </w:p>
        </w:tc>
        <w:tc>
          <w:tcPr>
            <w:tcW w:w="2969"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08" w:right="0"/>
              <w:jc w:val="left"/>
              <w:rPr>
                <w:rFonts w:ascii="宋体" w:hAnsi="宋体" w:cs="宋体" w:eastAsia="宋体" w:hint="default"/>
                <w:sz w:val="18"/>
                <w:szCs w:val="18"/>
              </w:rPr>
            </w:pPr>
            <w:r>
              <w:rPr>
                <w:rFonts w:ascii="宋体" w:hAnsi="宋体" w:cs="宋体" w:eastAsia="宋体" w:hint="default"/>
                <w:sz w:val="18"/>
                <w:szCs w:val="18"/>
              </w:rPr>
              <w:t>收购价款与购入股权价值的差额</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tabs>
          <w:tab w:pos="853" w:val="left" w:leader="none"/>
        </w:tabs>
        <w:spacing w:before="26"/>
        <w:ind w:left="125" w:right="390" w:firstLine="0"/>
        <w:jc w:val="left"/>
        <w:rPr>
          <w:rFonts w:ascii="宋体" w:hAnsi="宋体" w:cs="宋体" w:eastAsia="宋体" w:hint="default"/>
          <w:sz w:val="24"/>
          <w:szCs w:val="24"/>
        </w:rPr>
      </w:pPr>
      <w:r>
        <w:rPr>
          <w:rFonts w:ascii="宋体" w:hAnsi="宋体" w:cs="宋体" w:eastAsia="宋体" w:hint="default"/>
          <w:b/>
          <w:bCs/>
          <w:w w:val="95"/>
          <w:sz w:val="24"/>
          <w:szCs w:val="24"/>
        </w:rPr>
        <w:t>五、</w:t>
        <w:tab/>
      </w:r>
      <w:r>
        <w:rPr>
          <w:rFonts w:ascii="宋体" w:hAnsi="宋体" w:cs="宋体" w:eastAsia="宋体" w:hint="default"/>
          <w:b/>
          <w:bCs/>
          <w:sz w:val="24"/>
          <w:szCs w:val="24"/>
        </w:rPr>
        <w:t>合并财务报表主要项目注释</w:t>
      </w:r>
      <w:r>
        <w:rPr>
          <w:rFonts w:ascii="宋体" w:hAnsi="宋体" w:cs="宋体" w:eastAsia="宋体" w:hint="default"/>
          <w:sz w:val="24"/>
          <w:szCs w:val="24"/>
        </w:rPr>
      </w:r>
    </w:p>
    <w:p>
      <w:pPr>
        <w:pStyle w:val="BodyText"/>
        <w:spacing w:line="240" w:lineRule="auto" w:before="130"/>
        <w:ind w:left="857" w:right="390"/>
        <w:jc w:val="left"/>
      </w:pPr>
      <w:r>
        <w:rPr/>
        <w:t>（以下金额单位若未特别注明者均为人民币元）</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2"/>
        <w:tabs>
          <w:tab w:pos="853" w:val="left" w:leader="none"/>
        </w:tabs>
        <w:spacing w:line="240" w:lineRule="auto"/>
        <w:ind w:right="390"/>
        <w:jc w:val="left"/>
        <w:rPr>
          <w:b w:val="0"/>
          <w:bCs w:val="0"/>
        </w:rPr>
      </w:pPr>
      <w:r>
        <w:rPr/>
        <w:pict>
          <v:shape style="position:absolute;margin-left:269.160004pt;margin-top:16.891464pt;width:.479996pt;height:18pt;mso-position-horizontal-relative:page;mso-position-vertical-relative:paragraph;z-index:3232" type="#_x0000_t75" stroked="false">
            <v:imagedata r:id="rId101" o:title=""/>
          </v:shape>
        </w:pict>
      </w:r>
      <w:r>
        <w:rPr/>
        <w:pict>
          <v:shape style="position:absolute;margin-left:403.259979pt;margin-top:16.891464pt;width:.479996pt;height:18pt;mso-position-horizontal-relative:page;mso-position-vertical-relative:paragraph;z-index:3256" type="#_x0000_t75" stroked="false">
            <v:imagedata r:id="rId101" o:title=""/>
          </v:shape>
        </w:pict>
      </w: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spacing w:val="1"/>
        </w:rPr>
        <w:t>货币资金</w:t>
      </w:r>
      <w:r>
        <w:rPr>
          <w:b w:val="0"/>
          <w:bCs w:val="0"/>
        </w:rPr>
      </w:r>
    </w:p>
    <w:tbl>
      <w:tblPr>
        <w:tblW w:w="0" w:type="auto"/>
        <w:jc w:val="left"/>
        <w:tblInd w:w="749" w:type="dxa"/>
        <w:tblLayout w:type="fixed"/>
        <w:tblCellMar>
          <w:top w:w="0" w:type="dxa"/>
          <w:left w:w="0" w:type="dxa"/>
          <w:bottom w:w="0" w:type="dxa"/>
          <w:right w:w="0" w:type="dxa"/>
        </w:tblCellMar>
        <w:tblLook w:val="01E0"/>
      </w:tblPr>
      <w:tblGrid>
        <w:gridCol w:w="2904"/>
        <w:gridCol w:w="2722"/>
        <w:gridCol w:w="2574"/>
      </w:tblGrid>
      <w:tr>
        <w:trPr>
          <w:trHeight w:val="390" w:hRule="exact"/>
        </w:trPr>
        <w:tc>
          <w:tcPr>
            <w:tcW w:w="2904" w:type="dxa"/>
            <w:tcBorders>
              <w:top w:val="single" w:sz="12" w:space="0" w:color="000000"/>
              <w:left w:val="nil" w:sz="6" w:space="0" w:color="auto"/>
              <w:bottom w:val="single" w:sz="12" w:space="0" w:color="000000"/>
              <w:right w:val="nil" w:sz="6" w:space="0" w:color="auto"/>
            </w:tcBorders>
          </w:tcPr>
          <w:p>
            <w:pPr>
              <w:pStyle w:val="TableParagraph"/>
              <w:tabs>
                <w:tab w:pos="704" w:val="left" w:leader="none"/>
              </w:tabs>
              <w:spacing w:line="240" w:lineRule="auto" w:before="53"/>
              <w:ind w:left="74"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722" w:type="dxa"/>
            <w:tcBorders>
              <w:top w:val="single" w:sz="12" w:space="0" w:color="000000"/>
              <w:left w:val="nil" w:sz="6" w:space="0" w:color="auto"/>
              <w:bottom w:val="single" w:sz="12" w:space="0" w:color="000000"/>
              <w:right w:val="nil" w:sz="6" w:space="0" w:color="auto"/>
            </w:tcBorders>
          </w:tcPr>
          <w:p>
            <w:pPr>
              <w:pStyle w:val="TableParagraph"/>
              <w:spacing w:line="240" w:lineRule="auto" w:before="53"/>
              <w:ind w:left="994"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574" w:type="dxa"/>
            <w:tcBorders>
              <w:top w:val="single" w:sz="12" w:space="0" w:color="000000"/>
              <w:left w:val="nil" w:sz="6" w:space="0" w:color="auto"/>
              <w:bottom w:val="single" w:sz="12" w:space="0" w:color="000000"/>
              <w:right w:val="nil" w:sz="6" w:space="0" w:color="auto"/>
            </w:tcBorders>
          </w:tcPr>
          <w:p>
            <w:pPr>
              <w:pStyle w:val="TableParagraph"/>
              <w:spacing w:line="240" w:lineRule="auto" w:before="53"/>
              <w:ind w:left="887" w:right="0"/>
              <w:jc w:val="left"/>
              <w:rPr>
                <w:rFonts w:ascii="宋体" w:hAnsi="宋体" w:cs="宋体" w:eastAsia="宋体" w:hint="default"/>
                <w:sz w:val="21"/>
                <w:szCs w:val="21"/>
              </w:rPr>
            </w:pPr>
            <w:r>
              <w:rPr>
                <w:rFonts w:ascii="宋体" w:hAnsi="宋体" w:cs="宋体" w:eastAsia="宋体" w:hint="default"/>
                <w:sz w:val="21"/>
                <w:szCs w:val="21"/>
              </w:rPr>
              <w:t>年初余额</w:t>
            </w:r>
          </w:p>
        </w:tc>
      </w:tr>
    </w:tbl>
    <w:p>
      <w:pPr>
        <w:spacing w:after="0" w:line="240" w:lineRule="auto"/>
        <w:jc w:val="left"/>
        <w:rPr>
          <w:rFonts w:ascii="宋体" w:hAnsi="宋体" w:cs="宋体" w:eastAsia="宋体" w:hint="default"/>
          <w:sz w:val="21"/>
          <w:szCs w:val="21"/>
        </w:rPr>
        <w:sectPr>
          <w:headerReference w:type="default" r:id="rId96"/>
          <w:footerReference w:type="default" r:id="rId97"/>
          <w:pgSz w:w="11910" w:h="16840"/>
          <w:pgMar w:header="851" w:footer="982" w:top="1300" w:bottom="1180" w:left="1660" w:right="1140"/>
          <w:pgNumType w:start="116"/>
        </w:sectPr>
      </w:pPr>
    </w:p>
    <w:p>
      <w:pPr>
        <w:spacing w:line="240" w:lineRule="auto" w:before="3"/>
        <w:rPr>
          <w:rFonts w:ascii="宋体" w:hAnsi="宋体" w:cs="宋体" w:eastAsia="宋体" w:hint="default"/>
          <w:b/>
          <w:bCs/>
          <w:sz w:val="2"/>
          <w:szCs w:val="2"/>
        </w:rPr>
      </w:pPr>
      <w:r>
        <w:rPr/>
        <w:pict>
          <v:group style="position:absolute;margin-left:88.5pt;margin-top:67.680pt;width:443.6pt;height:.1pt;mso-position-horizontal-relative:page;mso-position-vertical-relative:page;z-index:-710464" coordorigin="1770,1354" coordsize="8872,2">
            <v:shape style="position:absolute;left:1770;top:1354;width:8872;height:2" coordorigin="1770,1354" coordsize="8872,0" path="m1770,1354l10642,1354e" filled="false" stroked="true" strokeweight=".72pt" strokecolor="#000000">
              <v:path arrowok="t"/>
            </v:shape>
            <w10:wrap type="none"/>
          </v:group>
        </w:pict>
      </w:r>
    </w:p>
    <w:tbl>
      <w:tblPr>
        <w:tblW w:w="0" w:type="auto"/>
        <w:jc w:val="left"/>
        <w:tblInd w:w="749" w:type="dxa"/>
        <w:tblLayout w:type="fixed"/>
        <w:tblCellMar>
          <w:top w:w="0" w:type="dxa"/>
          <w:left w:w="0" w:type="dxa"/>
          <w:bottom w:w="0" w:type="dxa"/>
          <w:right w:w="0" w:type="dxa"/>
        </w:tblCellMar>
        <w:tblLook w:val="01E0"/>
      </w:tblPr>
      <w:tblGrid>
        <w:gridCol w:w="2995"/>
        <w:gridCol w:w="3095"/>
        <w:gridCol w:w="2109"/>
      </w:tblGrid>
      <w:tr>
        <w:trPr>
          <w:trHeight w:val="538" w:hRule="exact"/>
        </w:trPr>
        <w:tc>
          <w:tcPr>
            <w:tcW w:w="2995" w:type="dxa"/>
            <w:tcBorders>
              <w:top w:val="single" w:sz="12" w:space="0" w:color="000000"/>
              <w:left w:val="nil" w:sz="6" w:space="0" w:color="auto"/>
              <w:bottom w:val="nil" w:sz="6" w:space="0" w:color="auto"/>
              <w:right w:val="nil" w:sz="6" w:space="0" w:color="auto"/>
            </w:tcBorders>
          </w:tcPr>
          <w:p>
            <w:pPr>
              <w:pStyle w:val="TableParagraph"/>
              <w:spacing w:line="240" w:lineRule="auto" w:before="53"/>
              <w:ind w:left="114" w:right="0"/>
              <w:jc w:val="left"/>
              <w:rPr>
                <w:rFonts w:ascii="宋体" w:hAnsi="宋体" w:cs="宋体" w:eastAsia="宋体" w:hint="default"/>
                <w:sz w:val="21"/>
                <w:szCs w:val="21"/>
              </w:rPr>
            </w:pPr>
            <w:r>
              <w:rPr>
                <w:rFonts w:ascii="宋体" w:hAnsi="宋体" w:cs="宋体" w:eastAsia="宋体" w:hint="default"/>
                <w:sz w:val="21"/>
                <w:szCs w:val="21"/>
              </w:rPr>
              <w:t>库存现金</w:t>
            </w:r>
          </w:p>
        </w:tc>
        <w:tc>
          <w:tcPr>
            <w:tcW w:w="3095" w:type="dxa"/>
            <w:tcBorders>
              <w:top w:val="single" w:sz="12" w:space="0" w:color="000000"/>
              <w:left w:val="nil" w:sz="6" w:space="0" w:color="auto"/>
              <w:bottom w:val="nil" w:sz="6" w:space="0" w:color="auto"/>
              <w:right w:val="nil" w:sz="6" w:space="0" w:color="auto"/>
            </w:tcBorders>
          </w:tcPr>
          <w:p>
            <w:pPr>
              <w:pStyle w:val="TableParagraph"/>
              <w:spacing w:line="240" w:lineRule="auto" w:before="117"/>
              <w:ind w:right="537"/>
              <w:jc w:val="right"/>
              <w:rPr>
                <w:rFonts w:ascii="Times New Roman" w:hAnsi="Times New Roman" w:cs="Times New Roman" w:eastAsia="Times New Roman" w:hint="default"/>
                <w:sz w:val="21"/>
                <w:szCs w:val="21"/>
              </w:rPr>
            </w:pPr>
            <w:r>
              <w:rPr>
                <w:rFonts w:ascii="Times New Roman"/>
                <w:spacing w:val="-3"/>
                <w:sz w:val="21"/>
              </w:rPr>
              <w:t>357,111.71</w:t>
            </w:r>
            <w:r>
              <w:rPr>
                <w:rFonts w:ascii="Times New Roman"/>
                <w:sz w:val="21"/>
              </w:rPr>
            </w:r>
          </w:p>
        </w:tc>
        <w:tc>
          <w:tcPr>
            <w:tcW w:w="2109" w:type="dxa"/>
            <w:tcBorders>
              <w:top w:val="single" w:sz="12" w:space="0" w:color="000000"/>
              <w:left w:val="nil" w:sz="6" w:space="0" w:color="auto"/>
              <w:bottom w:val="nil" w:sz="6" w:space="0" w:color="auto"/>
              <w:right w:val="nil" w:sz="6" w:space="0" w:color="auto"/>
            </w:tcBorders>
          </w:tcPr>
          <w:p>
            <w:pPr>
              <w:pStyle w:val="TableParagraph"/>
              <w:spacing w:line="240" w:lineRule="auto" w:before="117"/>
              <w:ind w:right="100"/>
              <w:jc w:val="right"/>
              <w:rPr>
                <w:rFonts w:ascii="Times New Roman" w:hAnsi="Times New Roman" w:cs="Times New Roman" w:eastAsia="Times New Roman" w:hint="default"/>
                <w:sz w:val="21"/>
                <w:szCs w:val="21"/>
              </w:rPr>
            </w:pPr>
            <w:r>
              <w:rPr>
                <w:rFonts w:ascii="Times New Roman"/>
                <w:spacing w:val="-1"/>
                <w:sz w:val="21"/>
              </w:rPr>
              <w:t>255,489.35</w:t>
            </w:r>
            <w:r>
              <w:rPr>
                <w:rFonts w:ascii="Times New Roman"/>
                <w:sz w:val="21"/>
              </w:rPr>
            </w:r>
          </w:p>
        </w:tc>
      </w:tr>
      <w:tr>
        <w:trPr>
          <w:trHeight w:val="370" w:hRule="exact"/>
        </w:trPr>
        <w:tc>
          <w:tcPr>
            <w:tcW w:w="2995" w:type="dxa"/>
            <w:tcBorders>
              <w:top w:val="nil" w:sz="6" w:space="0" w:color="auto"/>
              <w:left w:val="nil" w:sz="6" w:space="0" w:color="auto"/>
              <w:bottom w:val="nil" w:sz="6" w:space="0" w:color="auto"/>
              <w:right w:val="nil" w:sz="6" w:space="0" w:color="auto"/>
            </w:tcBorders>
          </w:tcPr>
          <w:p>
            <w:pPr>
              <w:pStyle w:val="TableParagraph"/>
              <w:spacing w:line="240" w:lineRule="auto" w:before="2"/>
              <w:ind w:left="114" w:right="0"/>
              <w:jc w:val="left"/>
              <w:rPr>
                <w:rFonts w:ascii="宋体" w:hAnsi="宋体" w:cs="宋体" w:eastAsia="宋体" w:hint="default"/>
                <w:sz w:val="21"/>
                <w:szCs w:val="21"/>
              </w:rPr>
            </w:pPr>
            <w:r>
              <w:rPr>
                <w:rFonts w:ascii="宋体" w:hAnsi="宋体" w:cs="宋体" w:eastAsia="宋体" w:hint="default"/>
                <w:sz w:val="21"/>
                <w:szCs w:val="21"/>
              </w:rPr>
              <w:t>银行存款</w:t>
            </w:r>
          </w:p>
        </w:tc>
        <w:tc>
          <w:tcPr>
            <w:tcW w:w="309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536"/>
              <w:jc w:val="right"/>
              <w:rPr>
                <w:rFonts w:ascii="Times New Roman" w:hAnsi="Times New Roman" w:cs="Times New Roman" w:eastAsia="Times New Roman" w:hint="default"/>
                <w:sz w:val="21"/>
                <w:szCs w:val="21"/>
              </w:rPr>
            </w:pPr>
            <w:r>
              <w:rPr>
                <w:rFonts w:ascii="Times New Roman"/>
                <w:spacing w:val="-1"/>
                <w:sz w:val="21"/>
              </w:rPr>
              <w:t>1,672,995,301.41</w:t>
            </w:r>
          </w:p>
        </w:tc>
        <w:tc>
          <w:tcPr>
            <w:tcW w:w="210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9"/>
              <w:jc w:val="right"/>
              <w:rPr>
                <w:rFonts w:ascii="Times New Roman" w:hAnsi="Times New Roman" w:cs="Times New Roman" w:eastAsia="Times New Roman" w:hint="default"/>
                <w:sz w:val="21"/>
                <w:szCs w:val="21"/>
              </w:rPr>
            </w:pPr>
            <w:r>
              <w:rPr>
                <w:rFonts w:ascii="Times New Roman"/>
                <w:spacing w:val="-1"/>
                <w:sz w:val="21"/>
              </w:rPr>
              <w:t>2,074,940,280.79</w:t>
            </w:r>
          </w:p>
        </w:tc>
      </w:tr>
      <w:tr>
        <w:trPr>
          <w:trHeight w:val="370" w:hRule="exact"/>
        </w:trPr>
        <w:tc>
          <w:tcPr>
            <w:tcW w:w="2995" w:type="dxa"/>
            <w:tcBorders>
              <w:top w:val="nil" w:sz="6" w:space="0" w:color="auto"/>
              <w:left w:val="nil" w:sz="6" w:space="0" w:color="auto"/>
              <w:bottom w:val="nil" w:sz="6" w:space="0" w:color="auto"/>
              <w:right w:val="nil" w:sz="6" w:space="0" w:color="auto"/>
            </w:tcBorders>
          </w:tcPr>
          <w:p>
            <w:pPr>
              <w:pStyle w:val="TableParagraph"/>
              <w:spacing w:line="240" w:lineRule="auto" w:before="2"/>
              <w:ind w:left="114" w:right="0"/>
              <w:jc w:val="left"/>
              <w:rPr>
                <w:rFonts w:ascii="宋体" w:hAnsi="宋体" w:cs="宋体" w:eastAsia="宋体" w:hint="default"/>
                <w:sz w:val="21"/>
                <w:szCs w:val="21"/>
              </w:rPr>
            </w:pPr>
            <w:r>
              <w:rPr>
                <w:rFonts w:ascii="宋体" w:hAnsi="宋体" w:cs="宋体" w:eastAsia="宋体" w:hint="default"/>
                <w:sz w:val="21"/>
                <w:szCs w:val="21"/>
              </w:rPr>
              <w:t>其他货币资金</w:t>
            </w:r>
          </w:p>
        </w:tc>
        <w:tc>
          <w:tcPr>
            <w:tcW w:w="309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534"/>
              <w:jc w:val="right"/>
              <w:rPr>
                <w:rFonts w:ascii="Times New Roman" w:hAnsi="Times New Roman" w:cs="Times New Roman" w:eastAsia="Times New Roman" w:hint="default"/>
                <w:sz w:val="21"/>
                <w:szCs w:val="21"/>
              </w:rPr>
            </w:pPr>
            <w:r>
              <w:rPr>
                <w:rFonts w:ascii="Times New Roman"/>
                <w:spacing w:val="-1"/>
                <w:sz w:val="21"/>
              </w:rPr>
              <w:t>4,294,632.25</w:t>
            </w:r>
          </w:p>
        </w:tc>
        <w:tc>
          <w:tcPr>
            <w:tcW w:w="210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7"/>
              <w:jc w:val="right"/>
              <w:rPr>
                <w:rFonts w:ascii="Times New Roman" w:hAnsi="Times New Roman" w:cs="Times New Roman" w:eastAsia="Times New Roman" w:hint="default"/>
                <w:sz w:val="21"/>
                <w:szCs w:val="21"/>
              </w:rPr>
            </w:pPr>
            <w:r>
              <w:rPr>
                <w:rFonts w:ascii="Times New Roman"/>
                <w:spacing w:val="-1"/>
                <w:sz w:val="21"/>
              </w:rPr>
              <w:t>2,417,228.34</w:t>
            </w:r>
          </w:p>
        </w:tc>
      </w:tr>
      <w:tr>
        <w:trPr>
          <w:trHeight w:val="324" w:hRule="exact"/>
        </w:trPr>
        <w:tc>
          <w:tcPr>
            <w:tcW w:w="2995" w:type="dxa"/>
            <w:tcBorders>
              <w:top w:val="nil" w:sz="6" w:space="0" w:color="auto"/>
              <w:left w:val="nil" w:sz="6" w:space="0" w:color="auto"/>
              <w:bottom w:val="single" w:sz="12" w:space="0" w:color="000000"/>
              <w:right w:val="nil" w:sz="6" w:space="0" w:color="auto"/>
            </w:tcBorders>
          </w:tcPr>
          <w:p>
            <w:pPr>
              <w:pStyle w:val="TableParagraph"/>
              <w:tabs>
                <w:tab w:pos="629" w:val="left" w:leader="none"/>
              </w:tabs>
              <w:spacing w:line="240" w:lineRule="auto" w:before="2"/>
              <w:ind w:right="14"/>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3095" w:type="dxa"/>
            <w:tcBorders>
              <w:top w:val="nil" w:sz="6" w:space="0" w:color="auto"/>
              <w:left w:val="nil" w:sz="6" w:space="0" w:color="auto"/>
              <w:bottom w:val="single" w:sz="12" w:space="0" w:color="000000"/>
              <w:right w:val="nil" w:sz="6" w:space="0" w:color="auto"/>
            </w:tcBorders>
          </w:tcPr>
          <w:p>
            <w:pPr>
              <w:pStyle w:val="TableParagraph"/>
              <w:spacing w:line="240" w:lineRule="auto" w:before="66"/>
              <w:ind w:right="536"/>
              <w:jc w:val="right"/>
              <w:rPr>
                <w:rFonts w:ascii="Times New Roman" w:hAnsi="Times New Roman" w:cs="Times New Roman" w:eastAsia="Times New Roman" w:hint="default"/>
                <w:sz w:val="21"/>
                <w:szCs w:val="21"/>
              </w:rPr>
            </w:pPr>
            <w:r>
              <w:rPr>
                <w:rFonts w:ascii="Times New Roman"/>
                <w:spacing w:val="-1"/>
                <w:sz w:val="21"/>
              </w:rPr>
              <w:t>1,677,647,045.37</w:t>
            </w:r>
          </w:p>
        </w:tc>
        <w:tc>
          <w:tcPr>
            <w:tcW w:w="2109" w:type="dxa"/>
            <w:tcBorders>
              <w:top w:val="nil" w:sz="6" w:space="0" w:color="auto"/>
              <w:left w:val="nil" w:sz="6" w:space="0" w:color="auto"/>
              <w:bottom w:val="single" w:sz="12" w:space="0" w:color="000000"/>
              <w:right w:val="nil" w:sz="6" w:space="0" w:color="auto"/>
            </w:tcBorders>
          </w:tcPr>
          <w:p>
            <w:pPr>
              <w:pStyle w:val="TableParagraph"/>
              <w:spacing w:line="240" w:lineRule="auto" w:before="66"/>
              <w:ind w:right="99"/>
              <w:jc w:val="right"/>
              <w:rPr>
                <w:rFonts w:ascii="Times New Roman" w:hAnsi="Times New Roman" w:cs="Times New Roman" w:eastAsia="Times New Roman" w:hint="default"/>
                <w:sz w:val="21"/>
                <w:szCs w:val="21"/>
              </w:rPr>
            </w:pPr>
            <w:r>
              <w:rPr>
                <w:rFonts w:ascii="Times New Roman"/>
                <w:spacing w:val="-1"/>
                <w:sz w:val="21"/>
              </w:rPr>
              <w:t>2,077,612,998.48</w:t>
            </w:r>
          </w:p>
        </w:tc>
      </w:tr>
    </w:tbl>
    <w:p>
      <w:pPr>
        <w:spacing w:line="240" w:lineRule="auto" w:before="12"/>
        <w:rPr>
          <w:rFonts w:ascii="宋体" w:hAnsi="宋体" w:cs="宋体" w:eastAsia="宋体" w:hint="default"/>
          <w:b/>
          <w:bCs/>
          <w:sz w:val="28"/>
          <w:szCs w:val="28"/>
        </w:rPr>
      </w:pPr>
    </w:p>
    <w:p>
      <w:pPr>
        <w:pStyle w:val="BodyText"/>
        <w:spacing w:line="240" w:lineRule="auto" w:before="35"/>
        <w:ind w:left="857" w:right="3777"/>
        <w:jc w:val="left"/>
      </w:pPr>
      <w:r>
        <w:rPr/>
        <w:pict>
          <v:group style="position:absolute;margin-left:119.520004pt;margin-top:-94.649017pt;width:411.75pt;height:74.25pt;mso-position-horizontal-relative:page;mso-position-vertical-relative:paragraph;z-index:-710440" coordorigin="2390,-1893" coordsize="8235,1485">
            <v:shape style="position:absolute;left:5369;top:-1893;width:2720;height:389" type="#_x0000_t75" stroked="false">
              <v:imagedata r:id="rId102" o:title=""/>
            </v:shape>
            <v:shape style="position:absolute;left:2390;top:-1533;width:8234;height:1124" type="#_x0000_t75" stroked="false">
              <v:imagedata r:id="rId103" o:title=""/>
            </v:shape>
            <w10:wrap type="none"/>
          </v:group>
        </w:pict>
      </w:r>
      <w:r>
        <w:rPr/>
        <w:pict>
          <v:shape style="position:absolute;margin-left:119.520004pt;margin-top:17.850983pt;width:409.644834pt;height:37.0125pt;mso-position-horizontal-relative:page;mso-position-vertical-relative:paragraph;z-index:-710416" type="#_x0000_t75" stroked="false">
            <v:imagedata r:id="rId104" o:title=""/>
          </v:shape>
        </w:pict>
      </w:r>
      <w:r>
        <w:rPr/>
        <w:t>其中受限制的货币资金明细如下：</w:t>
      </w:r>
    </w:p>
    <w:p>
      <w:pPr>
        <w:spacing w:line="240" w:lineRule="auto" w:before="5"/>
        <w:rPr>
          <w:rFonts w:ascii="宋体" w:hAnsi="宋体" w:cs="宋体" w:eastAsia="宋体" w:hint="default"/>
          <w:sz w:val="2"/>
          <w:szCs w:val="2"/>
        </w:rPr>
      </w:pPr>
    </w:p>
    <w:tbl>
      <w:tblPr>
        <w:tblW w:w="0" w:type="auto"/>
        <w:jc w:val="left"/>
        <w:tblInd w:w="749" w:type="dxa"/>
        <w:tblLayout w:type="fixed"/>
        <w:tblCellMar>
          <w:top w:w="0" w:type="dxa"/>
          <w:left w:w="0" w:type="dxa"/>
          <w:bottom w:w="0" w:type="dxa"/>
          <w:right w:w="0" w:type="dxa"/>
        </w:tblCellMar>
        <w:tblLook w:val="01E0"/>
      </w:tblPr>
      <w:tblGrid>
        <w:gridCol w:w="2890"/>
        <w:gridCol w:w="3141"/>
        <w:gridCol w:w="2169"/>
      </w:tblGrid>
      <w:tr>
        <w:trPr>
          <w:trHeight w:val="423" w:hRule="exact"/>
        </w:trPr>
        <w:tc>
          <w:tcPr>
            <w:tcW w:w="2890" w:type="dxa"/>
            <w:tcBorders>
              <w:top w:val="single" w:sz="12" w:space="0" w:color="000000"/>
              <w:left w:val="nil" w:sz="6" w:space="0" w:color="auto"/>
              <w:bottom w:val="nil" w:sz="6" w:space="0" w:color="auto"/>
              <w:right w:val="nil" w:sz="6" w:space="0" w:color="auto"/>
            </w:tcBorders>
          </w:tcPr>
          <w:p>
            <w:pPr>
              <w:pStyle w:val="TableParagraph"/>
              <w:tabs>
                <w:tab w:pos="690" w:val="left" w:leader="none"/>
              </w:tabs>
              <w:spacing w:line="240" w:lineRule="auto" w:before="53"/>
              <w:ind w:left="60"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141" w:type="dxa"/>
            <w:tcBorders>
              <w:top w:val="single" w:sz="12" w:space="0" w:color="000000"/>
              <w:left w:val="nil" w:sz="6" w:space="0" w:color="auto"/>
              <w:bottom w:val="nil" w:sz="6" w:space="0" w:color="auto"/>
              <w:right w:val="nil" w:sz="6" w:space="0" w:color="auto"/>
            </w:tcBorders>
          </w:tcPr>
          <w:p>
            <w:pPr>
              <w:pStyle w:val="TableParagraph"/>
              <w:spacing w:line="240" w:lineRule="auto" w:before="53"/>
              <w:ind w:left="994"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169" w:type="dxa"/>
            <w:tcBorders>
              <w:top w:val="single" w:sz="12" w:space="0" w:color="000000"/>
              <w:left w:val="nil" w:sz="6" w:space="0" w:color="auto"/>
              <w:bottom w:val="nil" w:sz="6" w:space="0" w:color="auto"/>
              <w:right w:val="nil" w:sz="6" w:space="0" w:color="auto"/>
            </w:tcBorders>
          </w:tcPr>
          <w:p>
            <w:pPr>
              <w:pStyle w:val="TableParagraph"/>
              <w:spacing w:line="240" w:lineRule="auto" w:before="53"/>
              <w:ind w:left="480"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36" w:hRule="exact"/>
        </w:trPr>
        <w:tc>
          <w:tcPr>
            <w:tcW w:w="2890"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银行保函保证金</w:t>
            </w:r>
          </w:p>
        </w:tc>
        <w:tc>
          <w:tcPr>
            <w:tcW w:w="3141" w:type="dxa"/>
            <w:tcBorders>
              <w:top w:val="nil" w:sz="6" w:space="0" w:color="auto"/>
              <w:left w:val="nil" w:sz="6" w:space="0" w:color="auto"/>
              <w:bottom w:val="single" w:sz="12" w:space="0" w:color="000000"/>
              <w:right w:val="nil" w:sz="6" w:space="0" w:color="auto"/>
            </w:tcBorders>
          </w:tcPr>
          <w:p>
            <w:pPr>
              <w:pStyle w:val="TableParagraph"/>
              <w:spacing w:line="240" w:lineRule="auto" w:before="78"/>
              <w:ind w:left="1556" w:right="0"/>
              <w:jc w:val="left"/>
              <w:rPr>
                <w:rFonts w:ascii="Times New Roman" w:hAnsi="Times New Roman" w:cs="Times New Roman" w:eastAsia="Times New Roman" w:hint="default"/>
                <w:sz w:val="21"/>
                <w:szCs w:val="21"/>
              </w:rPr>
            </w:pPr>
            <w:r>
              <w:rPr>
                <w:rFonts w:ascii="Times New Roman"/>
                <w:sz w:val="21"/>
              </w:rPr>
              <w:t>4,062,609.15</w:t>
            </w:r>
          </w:p>
        </w:tc>
        <w:tc>
          <w:tcPr>
            <w:tcW w:w="2169" w:type="dxa"/>
            <w:tcBorders>
              <w:top w:val="nil" w:sz="6" w:space="0" w:color="auto"/>
              <w:left w:val="nil" w:sz="6" w:space="0" w:color="auto"/>
              <w:bottom w:val="single" w:sz="12" w:space="0" w:color="000000"/>
              <w:right w:val="nil" w:sz="6" w:space="0" w:color="auto"/>
            </w:tcBorders>
          </w:tcPr>
          <w:p>
            <w:pPr>
              <w:pStyle w:val="TableParagraph"/>
              <w:spacing w:line="240" w:lineRule="auto" w:before="78"/>
              <w:ind w:left="965" w:right="0"/>
              <w:jc w:val="left"/>
              <w:rPr>
                <w:rFonts w:ascii="Times New Roman" w:hAnsi="Times New Roman" w:cs="Times New Roman" w:eastAsia="Times New Roman" w:hint="default"/>
                <w:sz w:val="21"/>
                <w:szCs w:val="21"/>
              </w:rPr>
            </w:pPr>
            <w:r>
              <w:rPr>
                <w:rFonts w:ascii="Times New Roman"/>
                <w:sz w:val="21"/>
              </w:rPr>
              <w:t>2,417,228.34</w:t>
            </w:r>
          </w:p>
        </w:tc>
      </w:tr>
    </w:tbl>
    <w:p>
      <w:pPr>
        <w:spacing w:line="240" w:lineRule="auto" w:before="0"/>
        <w:rPr>
          <w:rFonts w:ascii="宋体" w:hAnsi="宋体" w:cs="宋体" w:eastAsia="宋体" w:hint="default"/>
          <w:sz w:val="20"/>
          <w:szCs w:val="20"/>
        </w:rPr>
      </w:pPr>
    </w:p>
    <w:p>
      <w:pPr>
        <w:pStyle w:val="Heading2"/>
        <w:tabs>
          <w:tab w:pos="853" w:val="left" w:leader="none"/>
        </w:tabs>
        <w:spacing w:line="331" w:lineRule="auto" w:before="143"/>
        <w:ind w:left="857" w:right="7151" w:hanging="732"/>
        <w:jc w:val="left"/>
        <w:rPr>
          <w:b w:val="0"/>
          <w:bCs w:val="0"/>
        </w:rPr>
      </w:pP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spacing w:val="1"/>
        </w:rPr>
        <w:t>应收票据</w:t>
      </w:r>
      <w:r>
        <w:rPr>
          <w:spacing w:val="1"/>
          <w:w w:val="99"/>
        </w:rPr>
        <w:t> </w:t>
      </w:r>
      <w:r>
        <w:rPr/>
        <w:t>应收票据的分类</w:t>
      </w:r>
      <w:r>
        <w:rPr>
          <w:b w:val="0"/>
          <w:bCs w:val="0"/>
        </w:rPr>
      </w:r>
    </w:p>
    <w:p>
      <w:pPr>
        <w:spacing w:line="240" w:lineRule="auto" w:before="13"/>
        <w:rPr>
          <w:rFonts w:ascii="宋体" w:hAnsi="宋体" w:cs="宋体" w:eastAsia="宋体" w:hint="default"/>
          <w:b/>
          <w:bCs/>
          <w:sz w:val="27"/>
          <w:szCs w:val="27"/>
        </w:rPr>
      </w:pPr>
    </w:p>
    <w:tbl>
      <w:tblPr>
        <w:tblW w:w="0" w:type="auto"/>
        <w:jc w:val="left"/>
        <w:tblInd w:w="749" w:type="dxa"/>
        <w:tblLayout w:type="fixed"/>
        <w:tblCellMar>
          <w:top w:w="0" w:type="dxa"/>
          <w:left w:w="0" w:type="dxa"/>
          <w:bottom w:w="0" w:type="dxa"/>
          <w:right w:w="0" w:type="dxa"/>
        </w:tblCellMar>
        <w:tblLook w:val="01E0"/>
      </w:tblPr>
      <w:tblGrid>
        <w:gridCol w:w="3101"/>
        <w:gridCol w:w="2748"/>
        <w:gridCol w:w="1801"/>
      </w:tblGrid>
      <w:tr>
        <w:trPr>
          <w:trHeight w:val="393" w:hRule="exact"/>
        </w:trPr>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145"/>
              <w:jc w:val="right"/>
              <w:rPr>
                <w:rFonts w:ascii="宋体" w:hAnsi="宋体" w:cs="宋体" w:eastAsia="宋体" w:hint="default"/>
                <w:sz w:val="21"/>
                <w:szCs w:val="21"/>
              </w:rPr>
            </w:pPr>
            <w:r>
              <w:rPr>
                <w:rFonts w:ascii="宋体" w:hAnsi="宋体" w:cs="宋体" w:eastAsia="宋体" w:hint="default"/>
                <w:sz w:val="21"/>
                <w:szCs w:val="21"/>
              </w:rPr>
              <w:t>种类</w:t>
            </w:r>
          </w:p>
        </w:tc>
        <w:tc>
          <w:tcPr>
            <w:tcW w:w="2748"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147"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31"/>
              <w:ind w:left="760"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90" w:hRule="exact"/>
        </w:trPr>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7" w:right="0"/>
              <w:jc w:val="left"/>
              <w:rPr>
                <w:rFonts w:ascii="宋体" w:hAnsi="宋体" w:cs="宋体" w:eastAsia="宋体" w:hint="default"/>
                <w:sz w:val="21"/>
                <w:szCs w:val="21"/>
              </w:rPr>
            </w:pPr>
            <w:r>
              <w:rPr>
                <w:rFonts w:ascii="宋体" w:hAnsi="宋体" w:cs="宋体" w:eastAsia="宋体" w:hint="default"/>
                <w:sz w:val="21"/>
                <w:szCs w:val="21"/>
              </w:rPr>
              <w:t>银行承兑汇票</w:t>
            </w:r>
          </w:p>
        </w:tc>
        <w:tc>
          <w:tcPr>
            <w:tcW w:w="2748"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21"/>
                <w:szCs w:val="21"/>
              </w:rPr>
            </w:pPr>
            <w:r>
              <w:rPr>
                <w:rFonts w:ascii="Times New Roman"/>
                <w:spacing w:val="-1"/>
                <w:sz w:val="21"/>
              </w:rPr>
              <w:t>3,932,800.00</w:t>
            </w:r>
          </w:p>
        </w:tc>
        <w:tc>
          <w:tcPr>
            <w:tcW w:w="1801" w:type="dxa"/>
            <w:tcBorders>
              <w:top w:val="nil" w:sz="6" w:space="0" w:color="auto"/>
              <w:left w:val="nil" w:sz="6" w:space="0" w:color="auto"/>
              <w:bottom w:val="nil" w:sz="6" w:space="0" w:color="auto"/>
              <w:right w:val="nil" w:sz="6" w:space="0" w:color="auto"/>
            </w:tcBorders>
          </w:tcPr>
          <w:p>
            <w:pPr/>
          </w:p>
        </w:tc>
      </w:tr>
      <w:tr>
        <w:trPr>
          <w:trHeight w:val="390" w:hRule="exact"/>
        </w:trPr>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145"/>
              <w:jc w:val="right"/>
              <w:rPr>
                <w:rFonts w:ascii="宋体" w:hAnsi="宋体" w:cs="宋体" w:eastAsia="宋体" w:hint="default"/>
                <w:sz w:val="21"/>
                <w:szCs w:val="21"/>
              </w:rPr>
            </w:pPr>
            <w:r>
              <w:rPr>
                <w:rFonts w:ascii="宋体" w:hAnsi="宋体" w:cs="宋体" w:eastAsia="宋体" w:hint="default"/>
                <w:sz w:val="21"/>
                <w:szCs w:val="21"/>
              </w:rPr>
              <w:t>合计</w:t>
            </w:r>
          </w:p>
        </w:tc>
        <w:tc>
          <w:tcPr>
            <w:tcW w:w="274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5"/>
              <w:jc w:val="right"/>
              <w:rPr>
                <w:rFonts w:ascii="Times New Roman" w:hAnsi="Times New Roman" w:cs="Times New Roman" w:eastAsia="Times New Roman" w:hint="default"/>
                <w:sz w:val="21"/>
                <w:szCs w:val="21"/>
              </w:rPr>
            </w:pPr>
            <w:r>
              <w:rPr>
                <w:rFonts w:ascii="Times New Roman"/>
                <w:spacing w:val="-1"/>
                <w:sz w:val="21"/>
              </w:rPr>
              <w:t>3,932,800.00</w:t>
            </w:r>
          </w:p>
        </w:tc>
        <w:tc>
          <w:tcPr>
            <w:tcW w:w="1801" w:type="dxa"/>
            <w:tcBorders>
              <w:top w:val="nil" w:sz="6" w:space="0" w:color="auto"/>
              <w:left w:val="nil" w:sz="6" w:space="0" w:color="auto"/>
              <w:bottom w:val="nil" w:sz="6" w:space="0" w:color="auto"/>
              <w:right w:val="nil" w:sz="6" w:space="0" w:color="auto"/>
            </w:tcBorders>
          </w:tcPr>
          <w:p>
            <w:pPr/>
          </w:p>
        </w:tc>
      </w:tr>
    </w:tbl>
    <w:p>
      <w:pPr>
        <w:spacing w:line="240" w:lineRule="auto" w:before="7"/>
        <w:rPr>
          <w:rFonts w:ascii="宋体" w:hAnsi="宋体" w:cs="宋体" w:eastAsia="宋体" w:hint="default"/>
          <w:b/>
          <w:bCs/>
          <w:sz w:val="5"/>
          <w:szCs w:val="5"/>
        </w:rPr>
      </w:pPr>
    </w:p>
    <w:p>
      <w:pPr>
        <w:pStyle w:val="BodyText"/>
        <w:spacing w:line="240" w:lineRule="auto" w:before="35"/>
        <w:ind w:left="875" w:right="3777"/>
        <w:jc w:val="left"/>
      </w:pPr>
      <w:r>
        <w:rPr/>
        <w:pict>
          <v:group style="position:absolute;margin-left:119.010002pt;margin-top:-63.086014pt;width:412.75pt;height:60.2pt;mso-position-horizontal-relative:page;mso-position-vertical-relative:paragraph;z-index:-710392" coordorigin="2380,-1262" coordsize="8255,1204">
            <v:group style="position:absolute;left:2410;top:-1247;width:8204;height:2" coordorigin="2410,-1247" coordsize="8204,2">
              <v:shape style="position:absolute;left:2410;top:-1247;width:8204;height:2" coordorigin="2410,-1247" coordsize="8204,0" path="m2410,-1247l10613,-1247e" filled="false" stroked="true" strokeweight="1.5pt" strokecolor="#000000">
                <v:path arrowok="t"/>
              </v:shape>
              <v:shape style="position:absolute;left:5873;top:-1251;width:2410;height:413" type="#_x0000_t75" stroked="false">
                <v:imagedata r:id="rId105" o:title=""/>
              </v:shape>
            </v:group>
            <v:group style="position:absolute;left:2395;top:-73;width:3497;height:2" coordorigin="2395,-73" coordsize="3497,2">
              <v:shape style="position:absolute;left:2395;top:-73;width:3497;height:2" coordorigin="2395,-73" coordsize="3497,0" path="m2395,-73l5892,-73e" filled="false" stroked="true" strokeweight="1.5pt" strokecolor="#000000">
                <v:path arrowok="t"/>
              </v:shape>
            </v:group>
            <v:group style="position:absolute;left:5892;top:-73;width:2362;height:2" coordorigin="5892,-73" coordsize="2362,2">
              <v:shape style="position:absolute;left:5892;top:-73;width:2362;height:2" coordorigin="5892,-73" coordsize="2362,0" path="m5892,-73l8254,-73e" filled="false" stroked="true" strokeweight="1.5pt" strokecolor="#000000">
                <v:path arrowok="t"/>
              </v:shape>
              <v:shape style="position:absolute;left:2390;top:-870;width:8238;height:782" type="#_x0000_t75" stroked="false">
                <v:imagedata r:id="rId106" o:title=""/>
              </v:shape>
            </v:group>
            <v:group style="position:absolute;left:8254;top:-73;width:2367;height:2" coordorigin="8254,-73" coordsize="2367,2">
              <v:shape style="position:absolute;left:8254;top:-73;width:2367;height:2" coordorigin="8254,-73" coordsize="2367,0" path="m8254,-73l10620,-73e" filled="false" stroked="true" strokeweight="1.5pt" strokecolor="#000000">
                <v:path arrowok="t"/>
              </v:shape>
            </v:group>
            <w10:wrap type="none"/>
          </v:group>
        </w:pict>
      </w:r>
      <w:r>
        <w:rPr/>
        <w:t>期末本公司无已贴现或质押的商业承兑票据。</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Heading2"/>
        <w:tabs>
          <w:tab w:pos="853" w:val="left" w:leader="none"/>
        </w:tabs>
        <w:spacing w:line="240" w:lineRule="auto"/>
        <w:ind w:right="3777"/>
        <w:jc w:val="left"/>
        <w:rPr>
          <w:b w:val="0"/>
          <w:bCs w:val="0"/>
        </w:rPr>
      </w:pPr>
      <w:r>
        <w:rPr>
          <w:rFonts w:ascii="Times New Roman" w:hAnsi="Times New Roman" w:cs="Times New Roman" w:eastAsia="Times New Roman" w:hint="default"/>
          <w:w w:val="95"/>
        </w:rPr>
        <w:t>(</w:t>
      </w:r>
      <w:r>
        <w:rPr>
          <w:w w:val="95"/>
        </w:rPr>
        <w:t>三</w:t>
      </w:r>
      <w:r>
        <w:rPr>
          <w:rFonts w:ascii="Times New Roman" w:hAnsi="Times New Roman" w:cs="Times New Roman" w:eastAsia="Times New Roman" w:hint="default"/>
          <w:w w:val="95"/>
        </w:rPr>
        <w:t>)</w:t>
        <w:tab/>
      </w:r>
      <w:r>
        <w:rPr>
          <w:spacing w:val="1"/>
        </w:rPr>
        <w:t>应收账款</w:t>
      </w:r>
      <w:r>
        <w:rPr>
          <w:b w:val="0"/>
          <w:bCs w:val="0"/>
        </w:rPr>
      </w:r>
    </w:p>
    <w:p>
      <w:pPr>
        <w:tabs>
          <w:tab w:pos="1396" w:val="left" w:leader="none"/>
        </w:tabs>
        <w:spacing w:before="109"/>
        <w:ind w:left="857" w:right="3777" w:firstLine="0"/>
        <w:jc w:val="left"/>
        <w:rPr>
          <w:rFonts w:ascii="宋体" w:hAnsi="宋体" w:cs="宋体" w:eastAsia="宋体" w:hint="default"/>
          <w:sz w:val="21"/>
          <w:szCs w:val="21"/>
        </w:rPr>
      </w:pPr>
      <w:r>
        <w:rPr/>
        <w:pict>
          <v:group style="position:absolute;margin-left:146.130005pt;margin-top:40.816975pt;width:405.6pt;height:306.5pt;mso-position-horizontal-relative:page;mso-position-vertical-relative:paragraph;z-index:-710056" coordorigin="2923,816" coordsize="8112,6130">
            <v:group style="position:absolute;left:2959;top:831;width:8048;height:2" coordorigin="2959,831" coordsize="8048,2">
              <v:shape style="position:absolute;left:2959;top:831;width:8048;height:2" coordorigin="2959,831" coordsize="8048,0" path="m2959,831l11006,831e" filled="false" stroked="true" strokeweight="1.5pt" strokecolor="#000000">
                <v:path arrowok="t"/>
              </v:shape>
              <v:shape style="position:absolute;left:4170;top:827;width:3466;height:413" type="#_x0000_t75" stroked="false">
                <v:imagedata r:id="rId107" o:title=""/>
              </v:shape>
              <v:shape style="position:absolute;left:4170;top:1202;width:6864;height:1181" type="#_x0000_t75" stroked="false">
                <v:imagedata r:id="rId108" o:title=""/>
              </v:shape>
            </v:group>
            <v:group style="position:absolute;left:2938;top:6931;width:1252;height:2" coordorigin="2938,6931" coordsize="1252,2">
              <v:shape style="position:absolute;left:2938;top:6931;width:1252;height:2" coordorigin="2938,6931" coordsize="1252,0" path="m2938,6931l4189,6931e" filled="false" stroked="true" strokeweight="1.5pt" strokecolor="#000000">
                <v:path arrowok="t"/>
              </v:shape>
            </v:group>
            <v:group style="position:absolute;left:4189;top:6931;width:1150;height:2" coordorigin="4189,6931" coordsize="1150,2">
              <v:shape style="position:absolute;left:4189;top:6931;width:1150;height:2" coordorigin="4189,6931" coordsize="1150,0" path="m4189,6931l5339,6931e" filled="false" stroked="true" strokeweight="1.5pt" strokecolor="#000000">
                <v:path arrowok="t"/>
              </v:shape>
            </v:group>
            <v:group style="position:absolute;left:5339;top:6931;width:710;height:2" coordorigin="5339,6931" coordsize="710,2">
              <v:shape style="position:absolute;left:5339;top:6931;width:710;height:2" coordorigin="5339,6931" coordsize="710,0" path="m5339,6931l6048,6931e" filled="false" stroked="true" strokeweight="1.5pt" strokecolor="#000000">
                <v:path arrowok="t"/>
              </v:shape>
            </v:group>
            <v:group style="position:absolute;left:6048;top:6931;width:993;height:2" coordorigin="6048,6931" coordsize="993,2">
              <v:shape style="position:absolute;left:6048;top:6931;width:993;height:2" coordorigin="6048,6931" coordsize="993,0" path="m6048,6931l7040,6931e" filled="false" stroked="true" strokeweight="1.5pt" strokecolor="#000000">
                <v:path arrowok="t"/>
              </v:shape>
            </v:group>
            <v:group style="position:absolute;left:7040;top:6931;width:567;height:2" coordorigin="7040,6931" coordsize="567,2">
              <v:shape style="position:absolute;left:7040;top:6931;width:567;height:2" coordorigin="7040,6931" coordsize="567,0" path="m7040,6931l7607,6931e" filled="false" stroked="true" strokeweight="1.5pt" strokecolor="#000000">
                <v:path arrowok="t"/>
              </v:shape>
            </v:group>
            <v:group style="position:absolute;left:7607;top:6931;width:1134;height:2" coordorigin="7607,6931" coordsize="1134,2">
              <v:shape style="position:absolute;left:7607;top:6931;width:1134;height:2" coordorigin="7607,6931" coordsize="1134,0" path="m7607,6931l8741,6931e" filled="false" stroked="true" strokeweight="1.5pt" strokecolor="#000000">
                <v:path arrowok="t"/>
              </v:shape>
            </v:group>
            <v:group style="position:absolute;left:8741;top:6931;width:710;height:2" coordorigin="8741,6931" coordsize="710,2">
              <v:shape style="position:absolute;left:8741;top:6931;width:710;height:2" coordorigin="8741,6931" coordsize="710,0" path="m8741,6931l9450,6931e" filled="false" stroked="true" strokeweight="1.5pt" strokecolor="#000000">
                <v:path arrowok="t"/>
              </v:shape>
            </v:group>
            <v:group style="position:absolute;left:9450;top:6931;width:993;height:2" coordorigin="9450,6931" coordsize="993,2">
              <v:shape style="position:absolute;left:9450;top:6931;width:993;height:2" coordorigin="9450,6931" coordsize="993,0" path="m9450,6931l10442,6931e" filled="false" stroked="true" strokeweight="1.5pt" strokecolor="#000000">
                <v:path arrowok="t"/>
              </v:shape>
              <v:shape style="position:absolute;left:2933;top:2350;width:8095;height:4566" type="#_x0000_t75" stroked="false">
                <v:imagedata r:id="rId109" o:title=""/>
              </v:shape>
            </v:group>
            <v:group style="position:absolute;left:10442;top:6931;width:572;height:2" coordorigin="10442,6931" coordsize="572,2">
              <v:shape style="position:absolute;left:10442;top:6931;width:572;height:2" coordorigin="10442,6931" coordsize="572,0" path="m10442,6931l11014,6931e" filled="false" stroked="true" strokeweight="1.5pt" strokecolor="#000000">
                <v:path arrowok="t"/>
              </v:shape>
              <v:shape style="position:absolute;left:5644;top:968;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期末余额</w:t>
                      </w:r>
                      <w:r>
                        <w:rPr>
                          <w:rFonts w:ascii="宋体" w:hAnsi="宋体" w:cs="宋体" w:eastAsia="宋体" w:hint="default"/>
                          <w:sz w:val="13"/>
                          <w:szCs w:val="13"/>
                        </w:rPr>
                      </w:r>
                    </w:p>
                  </w:txbxContent>
                </v:textbox>
                <w10:wrap type="none"/>
              </v:shape>
              <v:shape style="position:absolute;left:9053;top:968;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年初余额</w:t>
                      </w:r>
                      <w:r>
                        <w:rPr>
                          <w:rFonts w:ascii="宋体" w:hAnsi="宋体" w:cs="宋体" w:eastAsia="宋体" w:hint="default"/>
                          <w:sz w:val="13"/>
                          <w:szCs w:val="13"/>
                        </w:rPr>
                      </w:r>
                    </w:p>
                  </w:txbxContent>
                </v:textbox>
                <w10:wrap type="none"/>
              </v:shape>
              <v:shape style="position:absolute;left:4864;top:1352;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账面余额</w:t>
                      </w:r>
                      <w:r>
                        <w:rPr>
                          <w:rFonts w:ascii="宋体" w:hAnsi="宋体" w:cs="宋体" w:eastAsia="宋体" w:hint="default"/>
                          <w:sz w:val="13"/>
                          <w:szCs w:val="13"/>
                        </w:rPr>
                      </w:r>
                    </w:p>
                  </w:txbxContent>
                </v:textbox>
                <w10:wrap type="none"/>
              </v:shape>
              <v:shape style="position:absolute;left:6572;top:1352;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xbxContent>
                </v:textbox>
                <w10:wrap type="none"/>
              </v:shape>
              <v:shape style="position:absolute;left:8274;top:1352;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账面余额</w:t>
                      </w:r>
                      <w:r>
                        <w:rPr>
                          <w:rFonts w:ascii="宋体" w:hAnsi="宋体" w:cs="宋体" w:eastAsia="宋体" w:hint="default"/>
                          <w:sz w:val="13"/>
                          <w:szCs w:val="13"/>
                        </w:rPr>
                      </w:r>
                    </w:p>
                  </w:txbxContent>
                </v:textbox>
                <w10:wrap type="none"/>
              </v:shape>
              <v:shape style="position:absolute;left:9974;top:1352;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xbxContent>
                </v:textbox>
                <w10:wrap type="none"/>
              </v:shape>
              <v:shape style="position:absolute;left:3443;top:1525;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种类</w:t>
                      </w:r>
                      <w:r>
                        <w:rPr>
                          <w:rFonts w:ascii="宋体" w:hAnsi="宋体" w:cs="宋体" w:eastAsia="宋体" w:hint="default"/>
                          <w:sz w:val="13"/>
                          <w:szCs w:val="13"/>
                        </w:rPr>
                      </w:r>
                    </w:p>
                  </w:txbxContent>
                </v:textbox>
                <w10:wrap type="none"/>
              </v:shape>
              <v:shape style="position:absolute;left:5568;top:1736;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xbxContent>
                </v:textbox>
                <w10:wrap type="none"/>
              </v:shape>
              <v:shape style="position:absolute;left:7199;top:1736;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xbxContent>
                </v:textbox>
                <w10:wrap type="none"/>
              </v:shape>
              <v:shape style="position:absolute;left:8970;top:1736;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xbxContent>
                </v:textbox>
                <w10:wrap type="none"/>
              </v:shape>
              <v:shape style="position:absolute;left:10601;top:1736;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xbxContent>
                </v:textbox>
                <w10:wrap type="none"/>
              </v:shape>
              <v:shape style="position:absolute;left:4639;top:1923;width:5441;height:130" type="#_x0000_t202" filled="false" stroked="false">
                <v:textbox inset="0,0,0,0">
                  <w:txbxContent>
                    <w:p>
                      <w:pPr>
                        <w:tabs>
                          <w:tab w:pos="1779" w:val="left" w:leader="none"/>
                          <w:tab w:pos="3409" w:val="left" w:leader="none"/>
                          <w:tab w:pos="5181"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金额</w:t>
                        <w:tab/>
                        <w:t>金额</w:t>
                        <w:tab/>
                        <w:t>金额</w:t>
                        <w:tab/>
                        <w:t>金额</w:t>
                      </w:r>
                      <w:r>
                        <w:rPr>
                          <w:rFonts w:ascii="宋体" w:hAnsi="宋体" w:cs="宋体" w:eastAsia="宋体" w:hint="default"/>
                          <w:sz w:val="13"/>
                          <w:szCs w:val="13"/>
                        </w:rPr>
                      </w:r>
                    </w:p>
                  </w:txbxContent>
                </v:textbox>
                <w10:wrap type="none"/>
              </v:shape>
              <v:shape style="position:absolute;left:3060;top:2494;width:1044;height:4299"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pacing w:val="12"/>
                          <w:sz w:val="13"/>
                          <w:szCs w:val="13"/>
                        </w:rPr>
                        <w:t>单项金</w:t>
                      </w:r>
                      <w:r>
                        <w:rPr>
                          <w:rFonts w:ascii="宋体" w:hAnsi="宋体" w:cs="宋体" w:eastAsia="宋体" w:hint="default"/>
                          <w:spacing w:val="-45"/>
                          <w:sz w:val="13"/>
                          <w:szCs w:val="13"/>
                        </w:rPr>
                        <w:t> </w:t>
                      </w:r>
                      <w:r>
                        <w:rPr>
                          <w:rFonts w:ascii="宋体" w:hAnsi="宋体" w:cs="宋体" w:eastAsia="宋体" w:hint="default"/>
                          <w:spacing w:val="9"/>
                          <w:sz w:val="13"/>
                          <w:szCs w:val="13"/>
                        </w:rPr>
                        <w:t>额重</w:t>
                      </w:r>
                      <w:r>
                        <w:rPr>
                          <w:rFonts w:ascii="宋体" w:hAnsi="宋体" w:cs="宋体" w:eastAsia="宋体" w:hint="default"/>
                          <w:spacing w:val="-45"/>
                          <w:sz w:val="13"/>
                          <w:szCs w:val="13"/>
                        </w:rPr>
                        <w:t> </w:t>
                      </w:r>
                      <w:r>
                        <w:rPr>
                          <w:rFonts w:ascii="宋体" w:hAnsi="宋体" w:cs="宋体" w:eastAsia="宋体" w:hint="default"/>
                          <w:spacing w:val="9"/>
                          <w:sz w:val="13"/>
                          <w:szCs w:val="13"/>
                        </w:rPr>
                        <w:t>大并</w:t>
                      </w:r>
                      <w:r>
                        <w:rPr>
                          <w:rFonts w:ascii="宋体" w:hAnsi="宋体" w:cs="宋体" w:eastAsia="宋体" w:hint="default"/>
                          <w:spacing w:val="-46"/>
                          <w:sz w:val="13"/>
                          <w:szCs w:val="13"/>
                        </w:rPr>
                        <w:t> </w:t>
                      </w:r>
                      <w:r>
                        <w:rPr>
                          <w:rFonts w:ascii="宋体" w:hAnsi="宋体" w:cs="宋体" w:eastAsia="宋体" w:hint="default"/>
                          <w:sz w:val="13"/>
                          <w:szCs w:val="13"/>
                        </w:rPr>
                      </w:r>
                    </w:p>
                    <w:p>
                      <w:pPr>
                        <w:spacing w:line="240" w:lineRule="auto" w:before="8"/>
                        <w:rPr>
                          <w:rFonts w:ascii="宋体" w:hAnsi="宋体" w:cs="宋体" w:eastAsia="宋体" w:hint="default"/>
                          <w:b/>
                          <w:bCs/>
                          <w:sz w:val="15"/>
                          <w:szCs w:val="15"/>
                        </w:rPr>
                      </w:pPr>
                    </w:p>
                    <w:p>
                      <w:pPr>
                        <w:spacing w:line="528" w:lineRule="auto" w:before="0"/>
                        <w:ind w:left="0" w:right="0" w:firstLine="0"/>
                        <w:jc w:val="left"/>
                        <w:rPr>
                          <w:rFonts w:ascii="宋体" w:hAnsi="宋体" w:cs="宋体" w:eastAsia="宋体" w:hint="default"/>
                          <w:sz w:val="13"/>
                          <w:szCs w:val="13"/>
                        </w:rPr>
                      </w:pPr>
                      <w:r>
                        <w:rPr>
                          <w:rFonts w:ascii="宋体" w:hAnsi="宋体" w:cs="宋体" w:eastAsia="宋体" w:hint="default"/>
                          <w:spacing w:val="12"/>
                          <w:sz w:val="13"/>
                          <w:szCs w:val="13"/>
                        </w:rPr>
                        <w:t>单项计</w:t>
                      </w:r>
                      <w:r>
                        <w:rPr>
                          <w:rFonts w:ascii="宋体" w:hAnsi="宋体" w:cs="宋体" w:eastAsia="宋体" w:hint="default"/>
                          <w:spacing w:val="-45"/>
                          <w:sz w:val="13"/>
                          <w:szCs w:val="13"/>
                        </w:rPr>
                        <w:t> </w:t>
                      </w:r>
                      <w:r>
                        <w:rPr>
                          <w:rFonts w:ascii="宋体" w:hAnsi="宋体" w:cs="宋体" w:eastAsia="宋体" w:hint="default"/>
                          <w:spacing w:val="9"/>
                          <w:sz w:val="13"/>
                          <w:szCs w:val="13"/>
                        </w:rPr>
                        <w:t>提坏</w:t>
                      </w:r>
                      <w:r>
                        <w:rPr>
                          <w:rFonts w:ascii="宋体" w:hAnsi="宋体" w:cs="宋体" w:eastAsia="宋体" w:hint="default"/>
                          <w:spacing w:val="-45"/>
                          <w:sz w:val="13"/>
                          <w:szCs w:val="13"/>
                        </w:rPr>
                        <w:t> </w:t>
                      </w:r>
                      <w:r>
                        <w:rPr>
                          <w:rFonts w:ascii="宋体" w:hAnsi="宋体" w:cs="宋体" w:eastAsia="宋体" w:hint="default"/>
                          <w:spacing w:val="9"/>
                          <w:sz w:val="13"/>
                          <w:szCs w:val="13"/>
                        </w:rPr>
                        <w:t>账准</w:t>
                      </w:r>
                      <w:r>
                        <w:rPr>
                          <w:rFonts w:ascii="宋体" w:hAnsi="宋体" w:cs="宋体" w:eastAsia="宋体" w:hint="default"/>
                          <w:spacing w:val="-46"/>
                          <w:sz w:val="13"/>
                          <w:szCs w:val="13"/>
                        </w:rPr>
                        <w:t> </w:t>
                      </w:r>
                      <w:r>
                        <w:rPr>
                          <w:rFonts w:ascii="宋体" w:hAnsi="宋体" w:cs="宋体" w:eastAsia="宋体" w:hint="default"/>
                          <w:sz w:val="13"/>
                          <w:szCs w:val="13"/>
                        </w:rPr>
                        <w:t>备的应收账款</w:t>
                      </w:r>
                    </w:p>
                    <w:p>
                      <w:pPr>
                        <w:spacing w:line="537" w:lineRule="auto" w:before="59"/>
                        <w:ind w:left="0" w:right="0" w:firstLine="0"/>
                        <w:jc w:val="left"/>
                        <w:rPr>
                          <w:rFonts w:ascii="宋体" w:hAnsi="宋体" w:cs="宋体" w:eastAsia="宋体" w:hint="default"/>
                          <w:sz w:val="13"/>
                          <w:szCs w:val="13"/>
                        </w:rPr>
                      </w:pPr>
                      <w:r>
                        <w:rPr>
                          <w:rFonts w:ascii="宋体" w:hAnsi="宋体" w:cs="宋体" w:eastAsia="宋体" w:hint="default"/>
                          <w:spacing w:val="12"/>
                          <w:sz w:val="13"/>
                          <w:szCs w:val="13"/>
                        </w:rPr>
                        <w:t>按组合</w:t>
                      </w:r>
                      <w:r>
                        <w:rPr>
                          <w:rFonts w:ascii="宋体" w:hAnsi="宋体" w:cs="宋体" w:eastAsia="宋体" w:hint="default"/>
                          <w:spacing w:val="-45"/>
                          <w:sz w:val="13"/>
                          <w:szCs w:val="13"/>
                        </w:rPr>
                        <w:t> </w:t>
                      </w:r>
                      <w:r>
                        <w:rPr>
                          <w:rFonts w:ascii="宋体" w:hAnsi="宋体" w:cs="宋体" w:eastAsia="宋体" w:hint="default"/>
                          <w:spacing w:val="9"/>
                          <w:sz w:val="13"/>
                          <w:szCs w:val="13"/>
                        </w:rPr>
                        <w:t>计提</w:t>
                      </w:r>
                      <w:r>
                        <w:rPr>
                          <w:rFonts w:ascii="宋体" w:hAnsi="宋体" w:cs="宋体" w:eastAsia="宋体" w:hint="default"/>
                          <w:spacing w:val="-45"/>
                          <w:sz w:val="13"/>
                          <w:szCs w:val="13"/>
                        </w:rPr>
                        <w:t> </w:t>
                      </w:r>
                      <w:r>
                        <w:rPr>
                          <w:rFonts w:ascii="宋体" w:hAnsi="宋体" w:cs="宋体" w:eastAsia="宋体" w:hint="default"/>
                          <w:spacing w:val="9"/>
                          <w:sz w:val="13"/>
                          <w:szCs w:val="13"/>
                        </w:rPr>
                        <w:t>坏账</w:t>
                      </w:r>
                      <w:r>
                        <w:rPr>
                          <w:rFonts w:ascii="宋体" w:hAnsi="宋体" w:cs="宋体" w:eastAsia="宋体" w:hint="default"/>
                          <w:spacing w:val="-46"/>
                          <w:sz w:val="13"/>
                          <w:szCs w:val="13"/>
                        </w:rPr>
                        <w:t> </w:t>
                      </w:r>
                      <w:r>
                        <w:rPr>
                          <w:rFonts w:ascii="宋体" w:hAnsi="宋体" w:cs="宋体" w:eastAsia="宋体" w:hint="default"/>
                          <w:sz w:val="13"/>
                          <w:szCs w:val="13"/>
                        </w:rPr>
                        <w:t>准备的应收账款</w:t>
                      </w:r>
                      <w:r>
                        <w:rPr>
                          <w:rFonts w:ascii="宋体" w:hAnsi="宋体" w:cs="宋体" w:eastAsia="宋体" w:hint="default"/>
                          <w:w w:val="99"/>
                          <w:sz w:val="13"/>
                          <w:szCs w:val="13"/>
                        </w:rPr>
                        <w:t> </w:t>
                      </w:r>
                      <w:r>
                        <w:rPr>
                          <w:rFonts w:ascii="宋体" w:hAnsi="宋体" w:cs="宋体" w:eastAsia="宋体" w:hint="default"/>
                          <w:sz w:val="13"/>
                          <w:szCs w:val="13"/>
                        </w:rPr>
                        <w:t>账龄分析法</w:t>
                      </w:r>
                      <w:r>
                        <w:rPr>
                          <w:rFonts w:ascii="宋体" w:hAnsi="宋体" w:cs="宋体" w:eastAsia="宋体" w:hint="default"/>
                          <w:w w:val="99"/>
                          <w:sz w:val="13"/>
                          <w:szCs w:val="13"/>
                        </w:rPr>
                        <w:t> </w:t>
                      </w:r>
                      <w:r>
                        <w:rPr>
                          <w:rFonts w:ascii="宋体" w:hAnsi="宋体" w:cs="宋体" w:eastAsia="宋体" w:hint="default"/>
                          <w:sz w:val="13"/>
                          <w:szCs w:val="13"/>
                        </w:rPr>
                        <w:t>组合小计</w:t>
                      </w:r>
                    </w:p>
                    <w:p>
                      <w:pPr>
                        <w:spacing w:line="528" w:lineRule="auto" w:before="54"/>
                        <w:ind w:left="0" w:right="0" w:firstLine="0"/>
                        <w:jc w:val="both"/>
                        <w:rPr>
                          <w:rFonts w:ascii="宋体" w:hAnsi="宋体" w:cs="宋体" w:eastAsia="宋体" w:hint="default"/>
                          <w:sz w:val="13"/>
                          <w:szCs w:val="13"/>
                        </w:rPr>
                      </w:pPr>
                      <w:r>
                        <w:rPr>
                          <w:rFonts w:ascii="宋体" w:hAnsi="宋体" w:cs="宋体" w:eastAsia="宋体" w:hint="default"/>
                          <w:spacing w:val="12"/>
                          <w:sz w:val="13"/>
                          <w:szCs w:val="13"/>
                        </w:rPr>
                        <w:t>单项金</w:t>
                      </w:r>
                      <w:r>
                        <w:rPr>
                          <w:rFonts w:ascii="宋体" w:hAnsi="宋体" w:cs="宋体" w:eastAsia="宋体" w:hint="default"/>
                          <w:spacing w:val="-45"/>
                          <w:sz w:val="13"/>
                          <w:szCs w:val="13"/>
                        </w:rPr>
                        <w:t> </w:t>
                      </w:r>
                      <w:r>
                        <w:rPr>
                          <w:rFonts w:ascii="宋体" w:hAnsi="宋体" w:cs="宋体" w:eastAsia="宋体" w:hint="default"/>
                          <w:spacing w:val="9"/>
                          <w:sz w:val="13"/>
                          <w:szCs w:val="13"/>
                        </w:rPr>
                        <w:t>额虽</w:t>
                      </w:r>
                      <w:r>
                        <w:rPr>
                          <w:rFonts w:ascii="宋体" w:hAnsi="宋体" w:cs="宋体" w:eastAsia="宋体" w:hint="default"/>
                          <w:spacing w:val="-45"/>
                          <w:sz w:val="13"/>
                          <w:szCs w:val="13"/>
                        </w:rPr>
                        <w:t> </w:t>
                      </w:r>
                      <w:r>
                        <w:rPr>
                          <w:rFonts w:ascii="宋体" w:hAnsi="宋体" w:cs="宋体" w:eastAsia="宋体" w:hint="default"/>
                          <w:spacing w:val="9"/>
                          <w:sz w:val="13"/>
                          <w:szCs w:val="13"/>
                        </w:rPr>
                        <w:t>不重</w:t>
                      </w:r>
                      <w:r>
                        <w:rPr>
                          <w:rFonts w:ascii="宋体" w:hAnsi="宋体" w:cs="宋体" w:eastAsia="宋体" w:hint="default"/>
                          <w:spacing w:val="-46"/>
                          <w:sz w:val="13"/>
                          <w:szCs w:val="13"/>
                        </w:rPr>
                        <w:t> </w:t>
                      </w:r>
                      <w:r>
                        <w:rPr>
                          <w:rFonts w:ascii="宋体" w:hAnsi="宋体" w:cs="宋体" w:eastAsia="宋体" w:hint="default"/>
                          <w:spacing w:val="12"/>
                          <w:sz w:val="13"/>
                          <w:szCs w:val="13"/>
                        </w:rPr>
                        <w:t>大但单</w:t>
                      </w:r>
                      <w:r>
                        <w:rPr>
                          <w:rFonts w:ascii="宋体" w:hAnsi="宋体" w:cs="宋体" w:eastAsia="宋体" w:hint="default"/>
                          <w:spacing w:val="-45"/>
                          <w:sz w:val="13"/>
                          <w:szCs w:val="13"/>
                        </w:rPr>
                        <w:t> </w:t>
                      </w:r>
                      <w:r>
                        <w:rPr>
                          <w:rFonts w:ascii="宋体" w:hAnsi="宋体" w:cs="宋体" w:eastAsia="宋体" w:hint="default"/>
                          <w:spacing w:val="9"/>
                          <w:sz w:val="13"/>
                          <w:szCs w:val="13"/>
                        </w:rPr>
                        <w:t>项计</w:t>
                      </w:r>
                      <w:r>
                        <w:rPr>
                          <w:rFonts w:ascii="宋体" w:hAnsi="宋体" w:cs="宋体" w:eastAsia="宋体" w:hint="default"/>
                          <w:spacing w:val="-45"/>
                          <w:sz w:val="13"/>
                          <w:szCs w:val="13"/>
                        </w:rPr>
                        <w:t> </w:t>
                      </w:r>
                      <w:r>
                        <w:rPr>
                          <w:rFonts w:ascii="宋体" w:hAnsi="宋体" w:cs="宋体" w:eastAsia="宋体" w:hint="default"/>
                          <w:spacing w:val="9"/>
                          <w:sz w:val="13"/>
                          <w:szCs w:val="13"/>
                        </w:rPr>
                        <w:t>提坏</w:t>
                      </w:r>
                      <w:r>
                        <w:rPr>
                          <w:rFonts w:ascii="宋体" w:hAnsi="宋体" w:cs="宋体" w:eastAsia="宋体" w:hint="default"/>
                          <w:spacing w:val="-46"/>
                          <w:sz w:val="13"/>
                          <w:szCs w:val="13"/>
                        </w:rPr>
                        <w:t> </w:t>
                      </w:r>
                      <w:r>
                        <w:rPr>
                          <w:rFonts w:ascii="宋体" w:hAnsi="宋体" w:cs="宋体" w:eastAsia="宋体" w:hint="default"/>
                          <w:spacing w:val="12"/>
                          <w:sz w:val="13"/>
                          <w:szCs w:val="13"/>
                        </w:rPr>
                        <w:t>账准备</w:t>
                      </w:r>
                      <w:r>
                        <w:rPr>
                          <w:rFonts w:ascii="宋体" w:hAnsi="宋体" w:cs="宋体" w:eastAsia="宋体" w:hint="default"/>
                          <w:spacing w:val="-45"/>
                          <w:sz w:val="13"/>
                          <w:szCs w:val="13"/>
                        </w:rPr>
                        <w:t> </w:t>
                      </w:r>
                      <w:r>
                        <w:rPr>
                          <w:rFonts w:ascii="宋体" w:hAnsi="宋体" w:cs="宋体" w:eastAsia="宋体" w:hint="default"/>
                          <w:spacing w:val="9"/>
                          <w:sz w:val="13"/>
                          <w:szCs w:val="13"/>
                        </w:rPr>
                        <w:t>的应</w:t>
                      </w:r>
                      <w:r>
                        <w:rPr>
                          <w:rFonts w:ascii="宋体" w:hAnsi="宋体" w:cs="宋体" w:eastAsia="宋体" w:hint="default"/>
                          <w:spacing w:val="-45"/>
                          <w:sz w:val="13"/>
                          <w:szCs w:val="13"/>
                        </w:rPr>
                        <w:t> </w:t>
                      </w:r>
                      <w:r>
                        <w:rPr>
                          <w:rFonts w:ascii="宋体" w:hAnsi="宋体" w:cs="宋体" w:eastAsia="宋体" w:hint="default"/>
                          <w:spacing w:val="9"/>
                          <w:sz w:val="13"/>
                          <w:szCs w:val="13"/>
                        </w:rPr>
                        <w:t>收账</w:t>
                      </w:r>
                      <w:r>
                        <w:rPr>
                          <w:rFonts w:ascii="宋体" w:hAnsi="宋体" w:cs="宋体" w:eastAsia="宋体" w:hint="default"/>
                          <w:spacing w:val="-46"/>
                          <w:sz w:val="13"/>
                          <w:szCs w:val="13"/>
                        </w:rPr>
                        <w:t> </w:t>
                      </w:r>
                      <w:r>
                        <w:rPr>
                          <w:rFonts w:ascii="宋体" w:hAnsi="宋体" w:cs="宋体" w:eastAsia="宋体" w:hint="default"/>
                          <w:sz w:val="13"/>
                          <w:szCs w:val="13"/>
                        </w:rPr>
                        <w:t>款</w:t>
                      </w:r>
                    </w:p>
                    <w:p>
                      <w:pPr>
                        <w:spacing w:before="58"/>
                        <w:ind w:left="0" w:right="17" w:firstLine="0"/>
                        <w:jc w:val="center"/>
                        <w:rPr>
                          <w:rFonts w:ascii="宋体" w:hAnsi="宋体" w:cs="宋体" w:eastAsia="宋体" w:hint="default"/>
                          <w:sz w:val="13"/>
                          <w:szCs w:val="13"/>
                        </w:rPr>
                      </w:pPr>
                      <w:r>
                        <w:rPr>
                          <w:rFonts w:ascii="宋体" w:hAnsi="宋体" w:cs="宋体" w:eastAsia="宋体" w:hint="default"/>
                          <w:sz w:val="13"/>
                          <w:szCs w:val="13"/>
                        </w:rPr>
                        <w:t>合计</w:t>
                      </w:r>
                    </w:p>
                  </w:txbxContent>
                </v:textbox>
                <w10:wrap type="none"/>
              </v:shape>
            </v:group>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应收账款按种类披露</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9"/>
          <w:szCs w:val="29"/>
        </w:rPr>
      </w:pPr>
    </w:p>
    <w:tbl>
      <w:tblPr>
        <w:tblW w:w="0" w:type="auto"/>
        <w:jc w:val="left"/>
        <w:tblInd w:w="2729" w:type="dxa"/>
        <w:tblLayout w:type="fixed"/>
        <w:tblCellMar>
          <w:top w:w="0" w:type="dxa"/>
          <w:left w:w="0" w:type="dxa"/>
          <w:bottom w:w="0" w:type="dxa"/>
          <w:right w:w="0" w:type="dxa"/>
        </w:tblCellMar>
        <w:tblLook w:val="01E0"/>
      </w:tblPr>
      <w:tblGrid>
        <w:gridCol w:w="985"/>
        <w:gridCol w:w="693"/>
        <w:gridCol w:w="977"/>
        <w:gridCol w:w="628"/>
        <w:gridCol w:w="1103"/>
        <w:gridCol w:w="725"/>
        <w:gridCol w:w="945"/>
        <w:gridCol w:w="510"/>
      </w:tblGrid>
      <w:tr>
        <w:trPr>
          <w:trHeight w:val="2558" w:hRule="exact"/>
        </w:trPr>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5"/>
              <w:ind w:left="35" w:right="0"/>
              <w:jc w:val="left"/>
              <w:rPr>
                <w:rFonts w:ascii="Times New Roman" w:hAnsi="Times New Roman" w:cs="Times New Roman" w:eastAsia="Times New Roman" w:hint="default"/>
                <w:sz w:val="13"/>
                <w:szCs w:val="13"/>
              </w:rPr>
            </w:pPr>
            <w:r>
              <w:rPr>
                <w:rFonts w:ascii="Times New Roman"/>
                <w:sz w:val="13"/>
              </w:rPr>
              <w:t>365,229,277.52</w:t>
            </w:r>
          </w:p>
        </w:tc>
        <w:tc>
          <w:tcPr>
            <w:tcW w:w="693" w:type="dxa"/>
            <w:tcBorders>
              <w:top w:val="nil" w:sz="6" w:space="0" w:color="auto"/>
              <w:left w:val="nil" w:sz="6" w:space="0" w:color="auto"/>
              <w:bottom w:val="nil" w:sz="6" w:space="0" w:color="auto"/>
              <w:right w:val="nil" w:sz="6" w:space="0" w:color="auto"/>
            </w:tcBorders>
          </w:tcPr>
          <w:p>
            <w:pPr>
              <w:pStyle w:val="TableParagraph"/>
              <w:spacing w:line="157" w:lineRule="exact"/>
              <w:ind w:left="139" w:right="0"/>
              <w:jc w:val="left"/>
              <w:rPr>
                <w:rFonts w:ascii="宋体" w:hAnsi="宋体" w:cs="宋体" w:eastAsia="宋体" w:hint="default"/>
                <w:sz w:val="13"/>
                <w:szCs w:val="13"/>
              </w:rPr>
            </w:pPr>
            <w:r>
              <w:rPr>
                <w:rFonts w:ascii="宋体" w:hAnsi="宋体" w:cs="宋体" w:eastAsia="宋体" w:hint="default"/>
                <w:sz w:val="13"/>
                <w:szCs w:val="13"/>
              </w:rPr>
              <w:t>（</w:t>
            </w:r>
            <w:r>
              <w:rPr>
                <w:rFonts w:ascii="Times New Roman" w:hAnsi="Times New Roman" w:cs="Times New Roman" w:eastAsia="Times New Roman" w:hint="default"/>
                <w:sz w:val="13"/>
                <w:szCs w:val="13"/>
              </w:rPr>
              <w:t>%</w:t>
            </w:r>
            <w:r>
              <w:rPr>
                <w:rFonts w:ascii="宋体" w:hAnsi="宋体" w:cs="宋体" w:eastAsia="宋体" w:hint="default"/>
                <w:sz w:val="13"/>
                <w:szCs w:val="13"/>
              </w:rPr>
              <w:t>）</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1"/>
              <w:ind w:left="213" w:right="0"/>
              <w:jc w:val="left"/>
              <w:rPr>
                <w:rFonts w:ascii="Times New Roman" w:hAnsi="Times New Roman" w:cs="Times New Roman" w:eastAsia="Times New Roman" w:hint="default"/>
                <w:sz w:val="13"/>
                <w:szCs w:val="13"/>
              </w:rPr>
            </w:pPr>
            <w:r>
              <w:rPr>
                <w:rFonts w:ascii="Times New Roman"/>
                <w:sz w:val="13"/>
              </w:rPr>
              <w:t>100.00</w:t>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5"/>
              <w:ind w:left="14" w:right="0"/>
              <w:jc w:val="center"/>
              <w:rPr>
                <w:rFonts w:ascii="Times New Roman" w:hAnsi="Times New Roman" w:cs="Times New Roman" w:eastAsia="Times New Roman" w:hint="default"/>
                <w:sz w:val="13"/>
                <w:szCs w:val="13"/>
              </w:rPr>
            </w:pPr>
            <w:r>
              <w:rPr>
                <w:rFonts w:ascii="Times New Roman"/>
                <w:sz w:val="13"/>
              </w:rPr>
              <w:t>21,674,471.87</w:t>
            </w:r>
          </w:p>
        </w:tc>
        <w:tc>
          <w:tcPr>
            <w:tcW w:w="628" w:type="dxa"/>
            <w:tcBorders>
              <w:top w:val="nil" w:sz="6" w:space="0" w:color="auto"/>
              <w:left w:val="nil" w:sz="6" w:space="0" w:color="auto"/>
              <w:bottom w:val="nil" w:sz="6" w:space="0" w:color="auto"/>
              <w:right w:val="nil" w:sz="6" w:space="0" w:color="auto"/>
            </w:tcBorders>
          </w:tcPr>
          <w:p>
            <w:pPr>
              <w:pStyle w:val="TableParagraph"/>
              <w:spacing w:line="157" w:lineRule="exact"/>
              <w:ind w:left="232" w:right="0" w:hanging="125"/>
              <w:jc w:val="left"/>
              <w:rPr>
                <w:rFonts w:ascii="宋体" w:hAnsi="宋体" w:cs="宋体" w:eastAsia="宋体" w:hint="default"/>
                <w:sz w:val="13"/>
                <w:szCs w:val="13"/>
              </w:rPr>
            </w:pPr>
            <w:r>
              <w:rPr>
                <w:rFonts w:ascii="宋体" w:hAnsi="宋体" w:cs="宋体" w:eastAsia="宋体" w:hint="default"/>
                <w:sz w:val="13"/>
                <w:szCs w:val="13"/>
              </w:rPr>
              <w:t>（</w:t>
            </w:r>
            <w:r>
              <w:rPr>
                <w:rFonts w:ascii="Times New Roman" w:hAnsi="Times New Roman" w:cs="Times New Roman" w:eastAsia="Times New Roman" w:hint="default"/>
                <w:sz w:val="13"/>
                <w:szCs w:val="13"/>
              </w:rPr>
              <w:t>%</w:t>
            </w:r>
            <w:r>
              <w:rPr>
                <w:rFonts w:ascii="宋体" w:hAnsi="宋体" w:cs="宋体" w:eastAsia="宋体" w:hint="default"/>
                <w:sz w:val="13"/>
                <w:szCs w:val="13"/>
              </w:rPr>
              <w:t>）</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1"/>
              <w:ind w:left="232" w:right="0"/>
              <w:jc w:val="left"/>
              <w:rPr>
                <w:rFonts w:ascii="Times New Roman" w:hAnsi="Times New Roman" w:cs="Times New Roman" w:eastAsia="Times New Roman" w:hint="default"/>
                <w:sz w:val="13"/>
                <w:szCs w:val="13"/>
              </w:rPr>
            </w:pPr>
            <w:r>
              <w:rPr>
                <w:rFonts w:ascii="Times New Roman"/>
                <w:sz w:val="13"/>
              </w:rPr>
              <w:t>5.93</w:t>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5"/>
              <w:ind w:right="137"/>
              <w:jc w:val="right"/>
              <w:rPr>
                <w:rFonts w:ascii="Times New Roman" w:hAnsi="Times New Roman" w:cs="Times New Roman" w:eastAsia="Times New Roman" w:hint="default"/>
                <w:sz w:val="13"/>
                <w:szCs w:val="13"/>
              </w:rPr>
            </w:pPr>
            <w:r>
              <w:rPr>
                <w:rFonts w:ascii="Times New Roman"/>
                <w:w w:val="95"/>
                <w:sz w:val="13"/>
              </w:rPr>
              <w:t>163,817,745.05</w:t>
            </w:r>
            <w:r>
              <w:rPr>
                <w:rFonts w:ascii="Times New Roman"/>
                <w:sz w:val="13"/>
              </w:rPr>
            </w:r>
          </w:p>
        </w:tc>
        <w:tc>
          <w:tcPr>
            <w:tcW w:w="725" w:type="dxa"/>
            <w:tcBorders>
              <w:top w:val="nil" w:sz="6" w:space="0" w:color="auto"/>
              <w:left w:val="nil" w:sz="6" w:space="0" w:color="auto"/>
              <w:bottom w:val="nil" w:sz="6" w:space="0" w:color="auto"/>
              <w:right w:val="nil" w:sz="6" w:space="0" w:color="auto"/>
            </w:tcBorders>
          </w:tcPr>
          <w:p>
            <w:pPr>
              <w:pStyle w:val="TableParagraph"/>
              <w:spacing w:line="157" w:lineRule="exact"/>
              <w:ind w:left="139" w:right="0"/>
              <w:jc w:val="left"/>
              <w:rPr>
                <w:rFonts w:ascii="宋体" w:hAnsi="宋体" w:cs="宋体" w:eastAsia="宋体" w:hint="default"/>
                <w:sz w:val="13"/>
                <w:szCs w:val="13"/>
              </w:rPr>
            </w:pPr>
            <w:r>
              <w:rPr>
                <w:rFonts w:ascii="宋体" w:hAnsi="宋体" w:cs="宋体" w:eastAsia="宋体" w:hint="default"/>
                <w:sz w:val="13"/>
                <w:szCs w:val="13"/>
              </w:rPr>
              <w:t>（</w:t>
            </w:r>
            <w:r>
              <w:rPr>
                <w:rFonts w:ascii="Times New Roman" w:hAnsi="Times New Roman" w:cs="Times New Roman" w:eastAsia="Times New Roman" w:hint="default"/>
                <w:sz w:val="13"/>
                <w:szCs w:val="13"/>
              </w:rPr>
              <w:t>%</w:t>
            </w:r>
            <w:r>
              <w:rPr>
                <w:rFonts w:ascii="宋体" w:hAnsi="宋体" w:cs="宋体" w:eastAsia="宋体" w:hint="default"/>
                <w:sz w:val="13"/>
                <w:szCs w:val="13"/>
              </w:rPr>
              <w:t>）</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1"/>
              <w:ind w:left="278" w:right="0"/>
              <w:jc w:val="left"/>
              <w:rPr>
                <w:rFonts w:ascii="Times New Roman" w:hAnsi="Times New Roman" w:cs="Times New Roman" w:eastAsia="Times New Roman" w:hint="default"/>
                <w:sz w:val="13"/>
                <w:szCs w:val="13"/>
              </w:rPr>
            </w:pPr>
            <w:r>
              <w:rPr>
                <w:rFonts w:ascii="Times New Roman"/>
                <w:sz w:val="13"/>
              </w:rPr>
              <w:t>99.87</w:t>
            </w:r>
          </w:p>
        </w:tc>
        <w:tc>
          <w:tcPr>
            <w:tcW w:w="94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5"/>
              <w:ind w:right="106"/>
              <w:jc w:val="right"/>
              <w:rPr>
                <w:rFonts w:ascii="Times New Roman" w:hAnsi="Times New Roman" w:cs="Times New Roman" w:eastAsia="Times New Roman" w:hint="default"/>
                <w:sz w:val="13"/>
                <w:szCs w:val="13"/>
              </w:rPr>
            </w:pPr>
            <w:r>
              <w:rPr>
                <w:rFonts w:ascii="Times New Roman"/>
                <w:w w:val="95"/>
                <w:sz w:val="13"/>
              </w:rPr>
              <w:t>9,917,872.97</w:t>
            </w:r>
            <w:r>
              <w:rPr>
                <w:rFonts w:ascii="Times New Roman"/>
                <w:sz w:val="13"/>
              </w:rPr>
            </w:r>
          </w:p>
        </w:tc>
        <w:tc>
          <w:tcPr>
            <w:tcW w:w="510" w:type="dxa"/>
            <w:tcBorders>
              <w:top w:val="nil" w:sz="6" w:space="0" w:color="auto"/>
              <w:left w:val="nil" w:sz="6" w:space="0" w:color="auto"/>
              <w:bottom w:val="nil" w:sz="6" w:space="0" w:color="auto"/>
              <w:right w:val="nil" w:sz="6" w:space="0" w:color="auto"/>
            </w:tcBorders>
          </w:tcPr>
          <w:p>
            <w:pPr>
              <w:pStyle w:val="TableParagraph"/>
              <w:spacing w:line="157" w:lineRule="exact"/>
              <w:ind w:left="232" w:right="0" w:hanging="125"/>
              <w:jc w:val="left"/>
              <w:rPr>
                <w:rFonts w:ascii="宋体" w:hAnsi="宋体" w:cs="宋体" w:eastAsia="宋体" w:hint="default"/>
                <w:sz w:val="13"/>
                <w:szCs w:val="13"/>
              </w:rPr>
            </w:pPr>
            <w:r>
              <w:rPr>
                <w:rFonts w:ascii="宋体" w:hAnsi="宋体" w:cs="宋体" w:eastAsia="宋体" w:hint="default"/>
                <w:sz w:val="13"/>
                <w:szCs w:val="13"/>
              </w:rPr>
              <w:t>（</w:t>
            </w:r>
            <w:r>
              <w:rPr>
                <w:rFonts w:ascii="Times New Roman" w:hAnsi="Times New Roman" w:cs="Times New Roman" w:eastAsia="Times New Roman" w:hint="default"/>
                <w:sz w:val="13"/>
                <w:szCs w:val="13"/>
              </w:rPr>
              <w:t>%</w:t>
            </w:r>
            <w:r>
              <w:rPr>
                <w:rFonts w:ascii="宋体" w:hAnsi="宋体" w:cs="宋体" w:eastAsia="宋体" w:hint="default"/>
                <w:sz w:val="13"/>
                <w:szCs w:val="13"/>
              </w:rPr>
              <w:t>）</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1"/>
              <w:ind w:left="232" w:right="0"/>
              <w:jc w:val="left"/>
              <w:rPr>
                <w:rFonts w:ascii="Times New Roman" w:hAnsi="Times New Roman" w:cs="Times New Roman" w:eastAsia="Times New Roman" w:hint="default"/>
                <w:sz w:val="13"/>
                <w:szCs w:val="13"/>
              </w:rPr>
            </w:pPr>
            <w:r>
              <w:rPr>
                <w:rFonts w:ascii="Times New Roman"/>
                <w:sz w:val="13"/>
              </w:rPr>
              <w:t>6.05</w:t>
            </w:r>
          </w:p>
        </w:tc>
      </w:tr>
      <w:tr>
        <w:trPr>
          <w:trHeight w:val="665" w:hRule="exact"/>
        </w:trPr>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8"/>
                <w:szCs w:val="8"/>
              </w:rPr>
            </w:pPr>
          </w:p>
          <w:p>
            <w:pPr>
              <w:pStyle w:val="TableParagraph"/>
              <w:spacing w:line="240" w:lineRule="auto"/>
              <w:ind w:left="35" w:right="0"/>
              <w:jc w:val="left"/>
              <w:rPr>
                <w:rFonts w:ascii="Times New Roman" w:hAnsi="Times New Roman" w:cs="Times New Roman" w:eastAsia="Times New Roman" w:hint="default"/>
                <w:sz w:val="13"/>
                <w:szCs w:val="13"/>
              </w:rPr>
            </w:pPr>
            <w:r>
              <w:rPr>
                <w:rFonts w:ascii="Times New Roman"/>
                <w:sz w:val="13"/>
              </w:rPr>
              <w:t>365,229,277.52</w:t>
            </w:r>
          </w:p>
        </w:tc>
        <w:tc>
          <w:tcPr>
            <w:tcW w:w="69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8"/>
                <w:szCs w:val="8"/>
              </w:rPr>
            </w:pPr>
          </w:p>
          <w:p>
            <w:pPr>
              <w:pStyle w:val="TableParagraph"/>
              <w:spacing w:line="240" w:lineRule="auto"/>
              <w:ind w:right="121"/>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8"/>
                <w:szCs w:val="8"/>
              </w:rPr>
            </w:pPr>
          </w:p>
          <w:p>
            <w:pPr>
              <w:pStyle w:val="TableParagraph"/>
              <w:spacing w:line="240" w:lineRule="auto"/>
              <w:ind w:left="14" w:right="0"/>
              <w:jc w:val="center"/>
              <w:rPr>
                <w:rFonts w:ascii="Times New Roman" w:hAnsi="Times New Roman" w:cs="Times New Roman" w:eastAsia="Times New Roman" w:hint="default"/>
                <w:sz w:val="13"/>
                <w:szCs w:val="13"/>
              </w:rPr>
            </w:pPr>
            <w:r>
              <w:rPr>
                <w:rFonts w:ascii="Times New Roman"/>
                <w:sz w:val="13"/>
              </w:rPr>
              <w:t>21,674,471.87</w:t>
            </w:r>
          </w:p>
        </w:tc>
        <w:tc>
          <w:tcPr>
            <w:tcW w:w="62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8"/>
                <w:szCs w:val="8"/>
              </w:rPr>
            </w:pPr>
          </w:p>
          <w:p>
            <w:pPr>
              <w:pStyle w:val="TableParagraph"/>
              <w:spacing w:line="240" w:lineRule="auto"/>
              <w:ind w:left="232" w:right="0"/>
              <w:jc w:val="left"/>
              <w:rPr>
                <w:rFonts w:ascii="Times New Roman" w:hAnsi="Times New Roman" w:cs="Times New Roman" w:eastAsia="Times New Roman" w:hint="default"/>
                <w:sz w:val="13"/>
                <w:szCs w:val="13"/>
              </w:rPr>
            </w:pPr>
            <w:r>
              <w:rPr>
                <w:rFonts w:ascii="Times New Roman"/>
                <w:sz w:val="13"/>
              </w:rPr>
              <w:t>5.93</w:t>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8"/>
                <w:szCs w:val="8"/>
              </w:rPr>
            </w:pPr>
          </w:p>
          <w:p>
            <w:pPr>
              <w:pStyle w:val="TableParagraph"/>
              <w:spacing w:line="240" w:lineRule="auto"/>
              <w:ind w:right="137"/>
              <w:jc w:val="right"/>
              <w:rPr>
                <w:rFonts w:ascii="Times New Roman" w:hAnsi="Times New Roman" w:cs="Times New Roman" w:eastAsia="Times New Roman" w:hint="default"/>
                <w:sz w:val="13"/>
                <w:szCs w:val="13"/>
              </w:rPr>
            </w:pPr>
            <w:r>
              <w:rPr>
                <w:rFonts w:ascii="Times New Roman"/>
                <w:w w:val="95"/>
                <w:sz w:val="13"/>
              </w:rPr>
              <w:t>163,817,745.05</w:t>
            </w:r>
            <w:r>
              <w:rPr>
                <w:rFonts w:ascii="Times New Roman"/>
                <w:sz w:val="13"/>
              </w:rPr>
            </w:r>
          </w:p>
        </w:tc>
        <w:tc>
          <w:tcPr>
            <w:tcW w:w="72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8"/>
                <w:szCs w:val="8"/>
              </w:rPr>
            </w:pPr>
          </w:p>
          <w:p>
            <w:pPr>
              <w:pStyle w:val="TableParagraph"/>
              <w:spacing w:line="240" w:lineRule="auto"/>
              <w:ind w:left="123" w:right="0"/>
              <w:jc w:val="center"/>
              <w:rPr>
                <w:rFonts w:ascii="Times New Roman" w:hAnsi="Times New Roman" w:cs="Times New Roman" w:eastAsia="Times New Roman" w:hint="default"/>
                <w:sz w:val="13"/>
                <w:szCs w:val="13"/>
              </w:rPr>
            </w:pPr>
            <w:r>
              <w:rPr>
                <w:rFonts w:ascii="Times New Roman"/>
                <w:sz w:val="13"/>
              </w:rPr>
              <w:t>99.87</w:t>
            </w:r>
          </w:p>
        </w:tc>
        <w:tc>
          <w:tcPr>
            <w:tcW w:w="94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8"/>
                <w:szCs w:val="8"/>
              </w:rPr>
            </w:pPr>
          </w:p>
          <w:p>
            <w:pPr>
              <w:pStyle w:val="TableParagraph"/>
              <w:spacing w:line="240" w:lineRule="auto"/>
              <w:ind w:right="106"/>
              <w:jc w:val="right"/>
              <w:rPr>
                <w:rFonts w:ascii="Times New Roman" w:hAnsi="Times New Roman" w:cs="Times New Roman" w:eastAsia="Times New Roman" w:hint="default"/>
                <w:sz w:val="13"/>
                <w:szCs w:val="13"/>
              </w:rPr>
            </w:pPr>
            <w:r>
              <w:rPr>
                <w:rFonts w:ascii="Times New Roman"/>
                <w:w w:val="95"/>
                <w:sz w:val="13"/>
              </w:rPr>
              <w:t>9,917,872.97</w:t>
            </w:r>
            <w:r>
              <w:rPr>
                <w:rFonts w:ascii="Times New Roman"/>
                <w:sz w:val="13"/>
              </w:rPr>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8"/>
                <w:szCs w:val="8"/>
              </w:rPr>
            </w:pPr>
          </w:p>
          <w:p>
            <w:pPr>
              <w:pStyle w:val="TableParagraph"/>
              <w:spacing w:line="240" w:lineRule="auto"/>
              <w:ind w:right="48"/>
              <w:jc w:val="right"/>
              <w:rPr>
                <w:rFonts w:ascii="Times New Roman" w:hAnsi="Times New Roman" w:cs="Times New Roman" w:eastAsia="Times New Roman" w:hint="default"/>
                <w:sz w:val="13"/>
                <w:szCs w:val="13"/>
              </w:rPr>
            </w:pPr>
            <w:r>
              <w:rPr>
                <w:rFonts w:ascii="Times New Roman"/>
                <w:w w:val="95"/>
                <w:sz w:val="13"/>
              </w:rPr>
              <w:t>6.05</w:t>
            </w:r>
            <w:r>
              <w:rPr>
                <w:rFonts w:ascii="Times New Roman"/>
                <w:sz w:val="13"/>
              </w:rPr>
            </w:r>
          </w:p>
        </w:tc>
      </w:tr>
      <w:tr>
        <w:trPr>
          <w:trHeight w:val="946" w:hRule="exact"/>
        </w:trPr>
        <w:tc>
          <w:tcPr>
            <w:tcW w:w="985" w:type="dxa"/>
            <w:tcBorders>
              <w:top w:val="nil" w:sz="6" w:space="0" w:color="auto"/>
              <w:left w:val="nil" w:sz="6" w:space="0" w:color="auto"/>
              <w:bottom w:val="nil" w:sz="6" w:space="0" w:color="auto"/>
              <w:right w:val="nil" w:sz="6" w:space="0" w:color="auto"/>
            </w:tcBorders>
          </w:tcPr>
          <w:p>
            <w:pPr/>
          </w:p>
        </w:tc>
        <w:tc>
          <w:tcPr>
            <w:tcW w:w="693" w:type="dxa"/>
            <w:tcBorders>
              <w:top w:val="nil" w:sz="6" w:space="0" w:color="auto"/>
              <w:left w:val="nil" w:sz="6" w:space="0" w:color="auto"/>
              <w:bottom w:val="nil" w:sz="6" w:space="0" w:color="auto"/>
              <w:right w:val="nil" w:sz="6" w:space="0" w:color="auto"/>
            </w:tcBorders>
          </w:tcPr>
          <w:p>
            <w:pPr/>
          </w:p>
        </w:tc>
        <w:tc>
          <w:tcPr>
            <w:tcW w:w="977" w:type="dxa"/>
            <w:tcBorders>
              <w:top w:val="nil" w:sz="6" w:space="0" w:color="auto"/>
              <w:left w:val="nil" w:sz="6" w:space="0" w:color="auto"/>
              <w:bottom w:val="nil" w:sz="6" w:space="0" w:color="auto"/>
              <w:right w:val="nil" w:sz="6" w:space="0" w:color="auto"/>
            </w:tcBorders>
          </w:tcPr>
          <w:p>
            <w:pPr/>
          </w:p>
        </w:tc>
        <w:tc>
          <w:tcPr>
            <w:tcW w:w="628" w:type="dxa"/>
            <w:tcBorders>
              <w:top w:val="nil" w:sz="6" w:space="0" w:color="auto"/>
              <w:left w:val="nil" w:sz="6" w:space="0" w:color="auto"/>
              <w:bottom w:val="nil" w:sz="6" w:space="0" w:color="auto"/>
              <w:right w:val="nil" w:sz="6" w:space="0" w:color="auto"/>
            </w:tcBorders>
          </w:tcPr>
          <w:p>
            <w:pP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137"/>
              <w:jc w:val="right"/>
              <w:rPr>
                <w:rFonts w:ascii="Times New Roman" w:hAnsi="Times New Roman" w:cs="Times New Roman" w:eastAsia="Times New Roman" w:hint="default"/>
                <w:sz w:val="13"/>
                <w:szCs w:val="13"/>
              </w:rPr>
            </w:pPr>
            <w:r>
              <w:rPr>
                <w:rFonts w:ascii="Times New Roman"/>
                <w:spacing w:val="-1"/>
                <w:sz w:val="13"/>
              </w:rPr>
              <w:t>211,160.83</w:t>
            </w:r>
          </w:p>
        </w:tc>
        <w:tc>
          <w:tcPr>
            <w:tcW w:w="72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187" w:right="0"/>
              <w:jc w:val="center"/>
              <w:rPr>
                <w:rFonts w:ascii="Times New Roman" w:hAnsi="Times New Roman" w:cs="Times New Roman" w:eastAsia="Times New Roman" w:hint="default"/>
                <w:sz w:val="13"/>
                <w:szCs w:val="13"/>
              </w:rPr>
            </w:pPr>
            <w:r>
              <w:rPr>
                <w:rFonts w:ascii="Times New Roman"/>
                <w:sz w:val="13"/>
              </w:rPr>
              <w:t>0.13</w:t>
            </w:r>
          </w:p>
        </w:tc>
        <w:tc>
          <w:tcPr>
            <w:tcW w:w="94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106"/>
              <w:jc w:val="right"/>
              <w:rPr>
                <w:rFonts w:ascii="Times New Roman" w:hAnsi="Times New Roman" w:cs="Times New Roman" w:eastAsia="Times New Roman" w:hint="default"/>
                <w:sz w:val="13"/>
                <w:szCs w:val="13"/>
              </w:rPr>
            </w:pPr>
            <w:r>
              <w:rPr>
                <w:rFonts w:ascii="Times New Roman"/>
                <w:w w:val="95"/>
                <w:sz w:val="13"/>
              </w:rPr>
              <w:t>1,055.80</w:t>
            </w:r>
            <w:r>
              <w:rPr>
                <w:rFonts w:ascii="Times New Roman"/>
                <w:sz w:val="13"/>
              </w:rPr>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48"/>
              <w:jc w:val="right"/>
              <w:rPr>
                <w:rFonts w:ascii="Times New Roman" w:hAnsi="Times New Roman" w:cs="Times New Roman" w:eastAsia="Times New Roman" w:hint="default"/>
                <w:sz w:val="13"/>
                <w:szCs w:val="13"/>
              </w:rPr>
            </w:pPr>
            <w:r>
              <w:rPr>
                <w:rFonts w:ascii="Times New Roman"/>
                <w:w w:val="95"/>
                <w:sz w:val="13"/>
              </w:rPr>
              <w:t>0.50</w:t>
            </w:r>
            <w:r>
              <w:rPr>
                <w:rFonts w:ascii="Times New Roman"/>
                <w:sz w:val="13"/>
              </w:rPr>
            </w:r>
          </w:p>
        </w:tc>
      </w:tr>
      <w:tr>
        <w:trPr>
          <w:trHeight w:val="638" w:hRule="exact"/>
        </w:trPr>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35" w:right="0"/>
              <w:jc w:val="left"/>
              <w:rPr>
                <w:rFonts w:ascii="Times New Roman" w:hAnsi="Times New Roman" w:cs="Times New Roman" w:eastAsia="Times New Roman" w:hint="default"/>
                <w:sz w:val="13"/>
                <w:szCs w:val="13"/>
              </w:rPr>
            </w:pPr>
            <w:r>
              <w:rPr>
                <w:rFonts w:ascii="Times New Roman"/>
                <w:sz w:val="13"/>
              </w:rPr>
              <w:t>365,229,277.52</w:t>
            </w:r>
          </w:p>
        </w:tc>
        <w:tc>
          <w:tcPr>
            <w:tcW w:w="69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120"/>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14" w:right="0"/>
              <w:jc w:val="center"/>
              <w:rPr>
                <w:rFonts w:ascii="Times New Roman" w:hAnsi="Times New Roman" w:cs="Times New Roman" w:eastAsia="Times New Roman" w:hint="default"/>
                <w:sz w:val="13"/>
                <w:szCs w:val="13"/>
              </w:rPr>
            </w:pPr>
            <w:r>
              <w:rPr>
                <w:rFonts w:ascii="Times New Roman"/>
                <w:sz w:val="13"/>
              </w:rPr>
              <w:t>21,674,471.87</w:t>
            </w:r>
          </w:p>
        </w:tc>
        <w:tc>
          <w:tcPr>
            <w:tcW w:w="628" w:type="dxa"/>
            <w:tcBorders>
              <w:top w:val="nil" w:sz="6" w:space="0" w:color="auto"/>
              <w:left w:val="nil" w:sz="6" w:space="0" w:color="auto"/>
              <w:bottom w:val="nil" w:sz="6" w:space="0" w:color="auto"/>
              <w:right w:val="nil" w:sz="6" w:space="0" w:color="auto"/>
            </w:tcBorders>
          </w:tcPr>
          <w:p>
            <w:pP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137"/>
              <w:jc w:val="right"/>
              <w:rPr>
                <w:rFonts w:ascii="Times New Roman" w:hAnsi="Times New Roman" w:cs="Times New Roman" w:eastAsia="Times New Roman" w:hint="default"/>
                <w:sz w:val="13"/>
                <w:szCs w:val="13"/>
              </w:rPr>
            </w:pPr>
            <w:r>
              <w:rPr>
                <w:rFonts w:ascii="Times New Roman"/>
                <w:w w:val="95"/>
                <w:sz w:val="13"/>
              </w:rPr>
              <w:t>164,028,905.88</w:t>
            </w:r>
            <w:r>
              <w:rPr>
                <w:rFonts w:ascii="Times New Roman"/>
                <w:sz w:val="13"/>
              </w:rPr>
            </w:r>
          </w:p>
        </w:tc>
        <w:tc>
          <w:tcPr>
            <w:tcW w:w="72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58" w:right="0"/>
              <w:jc w:val="center"/>
              <w:rPr>
                <w:rFonts w:ascii="Times New Roman" w:hAnsi="Times New Roman" w:cs="Times New Roman" w:eastAsia="Times New Roman" w:hint="default"/>
                <w:sz w:val="13"/>
                <w:szCs w:val="13"/>
              </w:rPr>
            </w:pPr>
            <w:r>
              <w:rPr>
                <w:rFonts w:ascii="Times New Roman"/>
                <w:sz w:val="13"/>
              </w:rPr>
              <w:t>100.00</w:t>
            </w:r>
          </w:p>
        </w:tc>
        <w:tc>
          <w:tcPr>
            <w:tcW w:w="94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106"/>
              <w:jc w:val="right"/>
              <w:rPr>
                <w:rFonts w:ascii="Times New Roman" w:hAnsi="Times New Roman" w:cs="Times New Roman" w:eastAsia="Times New Roman" w:hint="default"/>
                <w:sz w:val="13"/>
                <w:szCs w:val="13"/>
              </w:rPr>
            </w:pPr>
            <w:r>
              <w:rPr>
                <w:rFonts w:ascii="Times New Roman"/>
                <w:w w:val="95"/>
                <w:sz w:val="13"/>
              </w:rPr>
              <w:t>9,918,928.77</w:t>
            </w:r>
            <w:r>
              <w:rPr>
                <w:rFonts w:ascii="Times New Roman"/>
                <w:sz w:val="13"/>
              </w:rPr>
            </w:r>
          </w:p>
        </w:tc>
        <w:tc>
          <w:tcPr>
            <w:tcW w:w="510"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851" w:footer="982" w:top="1300" w:bottom="1180" w:left="1660" w:right="760"/>
        </w:sectPr>
      </w:pPr>
    </w:p>
    <w:p>
      <w:pPr>
        <w:spacing w:line="240" w:lineRule="auto" w:before="11"/>
        <w:rPr>
          <w:rFonts w:ascii="宋体" w:hAnsi="宋体" w:cs="宋体" w:eastAsia="宋体" w:hint="default"/>
          <w:b/>
          <w:bCs/>
          <w:sz w:val="2"/>
          <w:szCs w:val="2"/>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44.3pt;height:.75pt;mso-position-horizontal-relative:char;mso-position-vertical-relative:line" coordorigin="0,0" coordsize="8886,15">
            <v:group style="position:absolute;left:7;top:7;width:8872;height:2" coordorigin="7,7" coordsize="8872,2">
              <v:shape style="position:absolute;left:7;top:7;width:8872;height:2" coordorigin="7,7" coordsize="8872,0" path="m7,7l8879,7e" filled="false" stroked="true" strokeweight=".72pt" strokecolor="#000000">
                <v:path arrowok="t"/>
              </v:shape>
            </v:group>
          </v:group>
        </w:pict>
      </w:r>
      <w:r>
        <w:rPr>
          <w:rFonts w:ascii="宋体" w:hAnsi="宋体" w:cs="宋体" w:eastAsia="宋体" w:hint="default"/>
          <w:sz w:val="2"/>
          <w:szCs w:val="2"/>
        </w:rPr>
      </w:r>
    </w:p>
    <w:p>
      <w:pPr>
        <w:spacing w:line="240" w:lineRule="auto" w:before="1"/>
        <w:rPr>
          <w:rFonts w:ascii="宋体" w:hAnsi="宋体" w:cs="宋体" w:eastAsia="宋体" w:hint="default"/>
          <w:b/>
          <w:bCs/>
          <w:sz w:val="10"/>
          <w:szCs w:val="10"/>
        </w:rPr>
      </w:pPr>
    </w:p>
    <w:p>
      <w:pPr>
        <w:pStyle w:val="BodyText"/>
        <w:spacing w:line="348" w:lineRule="auto" w:before="35"/>
        <w:ind w:left="857" w:right="3777" w:firstLine="18"/>
        <w:jc w:val="left"/>
      </w:pPr>
      <w:r>
        <w:rPr/>
        <w:pict>
          <v:group style="position:absolute;margin-left:119.520004pt;margin-top:57.633987pt;width:432.6pt;height:173.5pt;mso-position-horizontal-relative:page;mso-position-vertical-relative:paragraph;z-index:-710008" coordorigin="2390,1153" coordsize="8652,3470">
            <v:shape style="position:absolute;left:3761;top:1153;width:3677;height:413" type="#_x0000_t75" stroked="false">
              <v:imagedata r:id="rId110" o:title=""/>
            </v:shape>
            <v:shape style="position:absolute;left:3761;top:1527;width:7282;height:422" type="#_x0000_t75" stroked="false">
              <v:imagedata r:id="rId111" o:title=""/>
            </v:shape>
            <v:shape style="position:absolute;left:3767;top:1917;width:6098;height:411" type="#_x0000_t75" stroked="false">
              <v:imagedata r:id="rId112" o:title=""/>
            </v:shape>
            <v:shape style="position:absolute;left:2390;top:2296;width:8652;height:2326" type="#_x0000_t75" stroked="false">
              <v:imagedata r:id="rId113" o:title=""/>
            </v:shape>
            <w10:wrap type="none"/>
          </v:group>
        </w:pict>
      </w:r>
      <w:r>
        <w:rPr/>
        <w:t>应收账款种类的说明： 组合中，采用账龄分析法计提坏账准备的应收账款：</w:t>
      </w:r>
    </w:p>
    <w:p>
      <w:pPr>
        <w:spacing w:line="240" w:lineRule="auto" w:before="11"/>
        <w:rPr>
          <w:rFonts w:ascii="宋体" w:hAnsi="宋体" w:cs="宋体" w:eastAsia="宋体" w:hint="default"/>
          <w:sz w:val="25"/>
          <w:szCs w:val="25"/>
        </w:rPr>
      </w:pPr>
    </w:p>
    <w:tbl>
      <w:tblPr>
        <w:tblW w:w="0" w:type="auto"/>
        <w:jc w:val="left"/>
        <w:tblInd w:w="756" w:type="dxa"/>
        <w:tblLayout w:type="fixed"/>
        <w:tblCellMar>
          <w:top w:w="0" w:type="dxa"/>
          <w:left w:w="0" w:type="dxa"/>
          <w:bottom w:w="0" w:type="dxa"/>
          <w:right w:w="0" w:type="dxa"/>
        </w:tblCellMar>
        <w:tblLook w:val="01E0"/>
      </w:tblPr>
      <w:tblGrid>
        <w:gridCol w:w="1218"/>
        <w:gridCol w:w="1698"/>
        <w:gridCol w:w="873"/>
        <w:gridCol w:w="1257"/>
        <w:gridCol w:w="1391"/>
        <w:gridCol w:w="1001"/>
        <w:gridCol w:w="1162"/>
      </w:tblGrid>
      <w:tr>
        <w:trPr>
          <w:trHeight w:val="387" w:hRule="exact"/>
        </w:trPr>
        <w:tc>
          <w:tcPr>
            <w:tcW w:w="3789" w:type="dxa"/>
            <w:gridSpan w:val="3"/>
            <w:tcBorders>
              <w:top w:val="single" w:sz="12" w:space="0" w:color="000000"/>
              <w:left w:val="nil" w:sz="6" w:space="0" w:color="auto"/>
              <w:bottom w:val="nil" w:sz="6" w:space="0" w:color="auto"/>
              <w:right w:val="nil" w:sz="6" w:space="0" w:color="auto"/>
            </w:tcBorders>
          </w:tcPr>
          <w:p>
            <w:pPr>
              <w:pStyle w:val="TableParagraph"/>
              <w:spacing w:line="240" w:lineRule="auto" w:before="41"/>
              <w:ind w:right="245"/>
              <w:jc w:val="right"/>
              <w:rPr>
                <w:rFonts w:ascii="宋体" w:hAnsi="宋体" w:cs="宋体" w:eastAsia="宋体" w:hint="default"/>
                <w:sz w:val="18"/>
                <w:szCs w:val="18"/>
              </w:rPr>
            </w:pPr>
            <w:r>
              <w:rPr>
                <w:rFonts w:ascii="宋体" w:hAnsi="宋体" w:cs="宋体" w:eastAsia="宋体" w:hint="default"/>
                <w:sz w:val="18"/>
                <w:szCs w:val="18"/>
              </w:rPr>
              <w:t>期末余额</w:t>
            </w:r>
          </w:p>
        </w:tc>
        <w:tc>
          <w:tcPr>
            <w:tcW w:w="1257" w:type="dxa"/>
            <w:tcBorders>
              <w:top w:val="single" w:sz="12" w:space="0" w:color="000000"/>
              <w:left w:val="nil" w:sz="6" w:space="0" w:color="auto"/>
              <w:bottom w:val="nil" w:sz="6" w:space="0" w:color="auto"/>
              <w:right w:val="nil" w:sz="6" w:space="0" w:color="auto"/>
            </w:tcBorders>
          </w:tcPr>
          <w:p>
            <w:pPr/>
          </w:p>
        </w:tc>
        <w:tc>
          <w:tcPr>
            <w:tcW w:w="1391" w:type="dxa"/>
            <w:tcBorders>
              <w:top w:val="single" w:sz="12" w:space="0" w:color="000000"/>
              <w:left w:val="nil" w:sz="6" w:space="0" w:color="auto"/>
              <w:bottom w:val="nil" w:sz="6" w:space="0" w:color="auto"/>
              <w:right w:val="nil" w:sz="6" w:space="0" w:color="auto"/>
            </w:tcBorders>
          </w:tcPr>
          <w:p>
            <w:pPr/>
          </w:p>
        </w:tc>
        <w:tc>
          <w:tcPr>
            <w:tcW w:w="1001"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162" w:type="dxa"/>
            <w:tcBorders>
              <w:top w:val="single" w:sz="12" w:space="0" w:color="000000"/>
              <w:left w:val="nil" w:sz="6" w:space="0" w:color="auto"/>
              <w:bottom w:val="nil" w:sz="6" w:space="0" w:color="auto"/>
              <w:right w:val="nil" w:sz="6" w:space="0" w:color="auto"/>
            </w:tcBorders>
          </w:tcPr>
          <w:p>
            <w:pPr/>
          </w:p>
        </w:tc>
      </w:tr>
      <w:tr>
        <w:trPr>
          <w:trHeight w:val="293" w:hRule="exact"/>
        </w:trPr>
        <w:tc>
          <w:tcPr>
            <w:tcW w:w="121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55"/>
              <w:jc w:val="right"/>
              <w:rPr>
                <w:rFonts w:ascii="宋体" w:hAnsi="宋体" w:cs="宋体" w:eastAsia="宋体" w:hint="default"/>
                <w:sz w:val="18"/>
                <w:szCs w:val="18"/>
              </w:rPr>
            </w:pPr>
            <w:r>
              <w:rPr>
                <w:rFonts w:ascii="宋体" w:hAnsi="宋体" w:cs="宋体" w:eastAsia="宋体" w:hint="default"/>
                <w:sz w:val="18"/>
                <w:szCs w:val="18"/>
              </w:rPr>
              <w:t>账龄</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53"/>
              <w:ind w:left="978" w:right="-1"/>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873" w:type="dxa"/>
            <w:tcBorders>
              <w:top w:val="nil" w:sz="6" w:space="0" w:color="auto"/>
              <w:left w:val="nil" w:sz="6" w:space="0" w:color="auto"/>
              <w:bottom w:val="nil" w:sz="6" w:space="0" w:color="auto"/>
              <w:right w:val="nil" w:sz="6" w:space="0" w:color="auto"/>
            </w:tcBorders>
          </w:tcPr>
          <w:p>
            <w:pPr/>
          </w:p>
        </w:tc>
        <w:tc>
          <w:tcPr>
            <w:tcW w:w="1257" w:type="dxa"/>
            <w:tcBorders>
              <w:top w:val="nil" w:sz="6" w:space="0" w:color="auto"/>
              <w:left w:val="nil" w:sz="6" w:space="0" w:color="auto"/>
              <w:bottom w:val="nil" w:sz="6" w:space="0" w:color="auto"/>
              <w:right w:val="nil" w:sz="6" w:space="0" w:color="auto"/>
            </w:tcBorders>
          </w:tcPr>
          <w:p>
            <w:pPr/>
          </w:p>
        </w:tc>
        <w:tc>
          <w:tcPr>
            <w:tcW w:w="239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3"/>
              <w:ind w:right="55"/>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162" w:type="dxa"/>
            <w:tcBorders>
              <w:top w:val="nil" w:sz="6" w:space="0" w:color="auto"/>
              <w:left w:val="nil" w:sz="6" w:space="0" w:color="auto"/>
              <w:bottom w:val="nil" w:sz="6" w:space="0" w:color="auto"/>
              <w:right w:val="nil" w:sz="6" w:space="0" w:color="auto"/>
            </w:tcBorders>
          </w:tcPr>
          <w:p>
            <w:pPr/>
          </w:p>
        </w:tc>
      </w:tr>
      <w:tr>
        <w:trPr>
          <w:trHeight w:val="192" w:hRule="exact"/>
        </w:trPr>
        <w:tc>
          <w:tcPr>
            <w:tcW w:w="1218" w:type="dxa"/>
            <w:tcBorders>
              <w:top w:val="nil" w:sz="6" w:space="0" w:color="auto"/>
              <w:left w:val="nil" w:sz="6" w:space="0" w:color="auto"/>
              <w:bottom w:val="nil" w:sz="6" w:space="0" w:color="auto"/>
              <w:right w:val="nil" w:sz="6" w:space="0" w:color="auto"/>
            </w:tcBorders>
          </w:tcPr>
          <w:p>
            <w:pPr/>
          </w:p>
        </w:tc>
        <w:tc>
          <w:tcPr>
            <w:tcW w:w="1698" w:type="dxa"/>
            <w:tcBorders>
              <w:top w:val="nil" w:sz="6" w:space="0" w:color="auto"/>
              <w:left w:val="nil" w:sz="6" w:space="0" w:color="auto"/>
              <w:bottom w:val="nil" w:sz="6" w:space="0" w:color="auto"/>
              <w:right w:val="nil" w:sz="6" w:space="0" w:color="auto"/>
            </w:tcBorders>
          </w:tcPr>
          <w:p>
            <w:pPr/>
          </w:p>
        </w:tc>
        <w:tc>
          <w:tcPr>
            <w:tcW w:w="873" w:type="dxa"/>
            <w:tcBorders>
              <w:top w:val="nil" w:sz="6" w:space="0" w:color="auto"/>
              <w:left w:val="nil" w:sz="6" w:space="0" w:color="auto"/>
              <w:bottom w:val="nil" w:sz="6" w:space="0" w:color="auto"/>
              <w:right w:val="nil" w:sz="6" w:space="0" w:color="auto"/>
            </w:tcBorders>
          </w:tcPr>
          <w:p>
            <w:pPr/>
          </w:p>
        </w:tc>
        <w:tc>
          <w:tcPr>
            <w:tcW w:w="1257" w:type="dxa"/>
            <w:tcBorders>
              <w:top w:val="nil" w:sz="6" w:space="0" w:color="auto"/>
              <w:left w:val="nil" w:sz="6" w:space="0" w:color="auto"/>
              <w:bottom w:val="nil" w:sz="6" w:space="0" w:color="auto"/>
              <w:right w:val="nil" w:sz="6" w:space="0" w:color="auto"/>
            </w:tcBorders>
          </w:tcPr>
          <w:p>
            <w:pPr>
              <w:pStyle w:val="TableParagraph"/>
              <w:spacing w:line="184" w:lineRule="exact"/>
              <w:ind w:left="22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391" w:type="dxa"/>
            <w:tcBorders>
              <w:top w:val="nil" w:sz="6" w:space="0" w:color="auto"/>
              <w:left w:val="nil" w:sz="6" w:space="0" w:color="auto"/>
              <w:bottom w:val="nil" w:sz="6" w:space="0" w:color="auto"/>
              <w:right w:val="nil" w:sz="6" w:space="0" w:color="auto"/>
            </w:tcBorders>
          </w:tcPr>
          <w:p>
            <w:pPr/>
          </w:p>
        </w:tc>
        <w:tc>
          <w:tcPr>
            <w:tcW w:w="1001"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Style w:val="TableParagraph"/>
              <w:spacing w:line="184" w:lineRule="exact"/>
              <w:ind w:left="220"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296" w:hRule="exact"/>
        </w:trPr>
        <w:tc>
          <w:tcPr>
            <w:tcW w:w="1218" w:type="dxa"/>
            <w:tcBorders>
              <w:top w:val="nil" w:sz="6" w:space="0" w:color="auto"/>
              <w:left w:val="nil" w:sz="6" w:space="0" w:color="auto"/>
              <w:bottom w:val="nil" w:sz="6" w:space="0" w:color="auto"/>
              <w:right w:val="nil" w:sz="6" w:space="0" w:color="auto"/>
            </w:tcBorders>
          </w:tcPr>
          <w:p>
            <w:pPr/>
          </w:p>
        </w:tc>
        <w:tc>
          <w:tcPr>
            <w:tcW w:w="1698" w:type="dxa"/>
            <w:tcBorders>
              <w:top w:val="nil" w:sz="6" w:space="0" w:color="auto"/>
              <w:left w:val="nil" w:sz="6" w:space="0" w:color="auto"/>
              <w:bottom w:val="nil" w:sz="6" w:space="0" w:color="auto"/>
              <w:right w:val="nil" w:sz="6" w:space="0" w:color="auto"/>
            </w:tcBorders>
          </w:tcPr>
          <w:p>
            <w:pPr>
              <w:pStyle w:val="TableParagraph"/>
              <w:spacing w:line="188" w:lineRule="exact"/>
              <w:ind w:left="4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873" w:type="dxa"/>
            <w:tcBorders>
              <w:top w:val="nil" w:sz="6" w:space="0" w:color="auto"/>
              <w:left w:val="nil" w:sz="6" w:space="0" w:color="auto"/>
              <w:bottom w:val="nil" w:sz="6" w:space="0" w:color="auto"/>
              <w:right w:val="nil" w:sz="6" w:space="0" w:color="auto"/>
            </w:tcBorders>
          </w:tcPr>
          <w:p>
            <w:pPr>
              <w:pStyle w:val="TableParagraph"/>
              <w:spacing w:line="202" w:lineRule="exact"/>
              <w:ind w:left="-1" w:right="0"/>
              <w:jc w:val="left"/>
              <w:rPr>
                <w:rFonts w:ascii="宋体" w:hAnsi="宋体" w:cs="宋体" w:eastAsia="宋体" w:hint="default"/>
                <w:sz w:val="18"/>
                <w:szCs w:val="18"/>
              </w:rPr>
            </w:pPr>
            <w:r>
              <w:rPr>
                <w:rFonts w:ascii="宋体" w:hAnsi="宋体" w:cs="宋体" w:eastAsia="宋体" w:hint="default"/>
                <w:spacing w:val="-12"/>
                <w:sz w:val="18"/>
                <w:szCs w:val="18"/>
              </w:rPr>
              <w:t>比例（</w:t>
            </w:r>
            <w:r>
              <w:rPr>
                <w:rFonts w:ascii="Times New Roman" w:hAnsi="Times New Roman" w:cs="Times New Roman" w:eastAsia="Times New Roman" w:hint="default"/>
                <w:spacing w:val="-12"/>
                <w:sz w:val="18"/>
                <w:szCs w:val="18"/>
              </w:rPr>
              <w:t>%</w:t>
            </w:r>
            <w:r>
              <w:rPr>
                <w:rFonts w:ascii="宋体" w:hAnsi="宋体" w:cs="宋体" w:eastAsia="宋体" w:hint="default"/>
                <w:spacing w:val="-12"/>
                <w:sz w:val="18"/>
                <w:szCs w:val="18"/>
              </w:rPr>
              <w:t>）</w:t>
            </w:r>
          </w:p>
        </w:tc>
        <w:tc>
          <w:tcPr>
            <w:tcW w:w="1257" w:type="dxa"/>
            <w:tcBorders>
              <w:top w:val="nil" w:sz="6" w:space="0" w:color="auto"/>
              <w:left w:val="nil" w:sz="6" w:space="0" w:color="auto"/>
              <w:bottom w:val="nil" w:sz="6" w:space="0" w:color="auto"/>
              <w:right w:val="nil" w:sz="6" w:space="0" w:color="auto"/>
            </w:tcBorders>
          </w:tcPr>
          <w:p>
            <w:pPr/>
          </w:p>
        </w:tc>
        <w:tc>
          <w:tcPr>
            <w:tcW w:w="1391" w:type="dxa"/>
            <w:tcBorders>
              <w:top w:val="nil" w:sz="6" w:space="0" w:color="auto"/>
              <w:left w:val="nil" w:sz="6" w:space="0" w:color="auto"/>
              <w:bottom w:val="nil" w:sz="6" w:space="0" w:color="auto"/>
              <w:right w:val="nil" w:sz="6" w:space="0" w:color="auto"/>
            </w:tcBorders>
          </w:tcPr>
          <w:p>
            <w:pPr>
              <w:pStyle w:val="TableParagraph"/>
              <w:spacing w:line="188" w:lineRule="exact"/>
              <w:ind w:right="47"/>
              <w:jc w:val="center"/>
              <w:rPr>
                <w:rFonts w:ascii="宋体" w:hAnsi="宋体" w:cs="宋体" w:eastAsia="宋体" w:hint="default"/>
                <w:sz w:val="18"/>
                <w:szCs w:val="18"/>
              </w:rPr>
            </w:pPr>
            <w:r>
              <w:rPr>
                <w:rFonts w:ascii="宋体" w:hAnsi="宋体" w:cs="宋体" w:eastAsia="宋体" w:hint="default"/>
                <w:sz w:val="18"/>
                <w:szCs w:val="18"/>
              </w:rPr>
              <w:t>金额</w:t>
            </w:r>
          </w:p>
        </w:tc>
        <w:tc>
          <w:tcPr>
            <w:tcW w:w="1001" w:type="dxa"/>
            <w:tcBorders>
              <w:top w:val="nil" w:sz="6" w:space="0" w:color="auto"/>
              <w:left w:val="nil" w:sz="6" w:space="0" w:color="auto"/>
              <w:bottom w:val="nil" w:sz="6" w:space="0" w:color="auto"/>
              <w:right w:val="nil" w:sz="6" w:space="0" w:color="auto"/>
            </w:tcBorders>
          </w:tcPr>
          <w:p>
            <w:pPr>
              <w:pStyle w:val="TableParagraph"/>
              <w:spacing w:line="202" w:lineRule="exact"/>
              <w:ind w:right="23"/>
              <w:jc w:val="right"/>
              <w:rPr>
                <w:rFonts w:ascii="宋体" w:hAnsi="宋体" w:cs="宋体" w:eastAsia="宋体" w:hint="default"/>
                <w:sz w:val="18"/>
                <w:szCs w:val="18"/>
              </w:rPr>
            </w:pPr>
            <w:r>
              <w:rPr>
                <w:rFonts w:ascii="宋体" w:hAnsi="宋体" w:cs="宋体" w:eastAsia="宋体" w:hint="default"/>
                <w:spacing w:val="-1"/>
                <w:sz w:val="18"/>
                <w:szCs w:val="18"/>
              </w:rPr>
              <w:t>比例（</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p>
        </w:tc>
        <w:tc>
          <w:tcPr>
            <w:tcW w:w="1162" w:type="dxa"/>
            <w:tcBorders>
              <w:top w:val="nil" w:sz="6" w:space="0" w:color="auto"/>
              <w:left w:val="nil" w:sz="6" w:space="0" w:color="auto"/>
              <w:bottom w:val="nil" w:sz="6" w:space="0" w:color="auto"/>
              <w:right w:val="nil" w:sz="6" w:space="0" w:color="auto"/>
            </w:tcBorders>
          </w:tcPr>
          <w:p>
            <w:pPr/>
          </w:p>
        </w:tc>
      </w:tr>
      <w:tr>
        <w:trPr>
          <w:trHeight w:val="385" w:hRule="exact"/>
        </w:trPr>
        <w:tc>
          <w:tcPr>
            <w:tcW w:w="1218"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57" w:right="0"/>
              <w:jc w:val="left"/>
              <w:rPr>
                <w:rFonts w:ascii="Times New Roman" w:hAnsi="Times New Roman" w:cs="Times New Roman" w:eastAsia="Times New Roman" w:hint="default"/>
                <w:sz w:val="18"/>
                <w:szCs w:val="18"/>
              </w:rPr>
            </w:pPr>
            <w:r>
              <w:rPr>
                <w:rFonts w:ascii="Times New Roman"/>
                <w:sz w:val="18"/>
              </w:rPr>
              <w:t>339,428,161.92</w:t>
            </w:r>
          </w:p>
        </w:tc>
        <w:tc>
          <w:tcPr>
            <w:tcW w:w="873"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14" w:right="0"/>
              <w:jc w:val="left"/>
              <w:rPr>
                <w:rFonts w:ascii="Times New Roman" w:hAnsi="Times New Roman" w:cs="Times New Roman" w:eastAsia="Times New Roman" w:hint="default"/>
                <w:sz w:val="18"/>
                <w:szCs w:val="18"/>
              </w:rPr>
            </w:pPr>
            <w:r>
              <w:rPr>
                <w:rFonts w:ascii="Times New Roman"/>
                <w:sz w:val="18"/>
              </w:rPr>
              <w:t>92.94</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6"/>
              <w:jc w:val="right"/>
              <w:rPr>
                <w:rFonts w:ascii="Times New Roman" w:hAnsi="Times New Roman" w:cs="Times New Roman" w:eastAsia="Times New Roman" w:hint="default"/>
                <w:sz w:val="18"/>
                <w:szCs w:val="18"/>
              </w:rPr>
            </w:pPr>
            <w:r>
              <w:rPr>
                <w:rFonts w:ascii="Times New Roman"/>
                <w:spacing w:val="-1"/>
                <w:sz w:val="18"/>
              </w:rPr>
              <w:t>16,971,408.09</w:t>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8"/>
                <w:szCs w:val="18"/>
              </w:rPr>
            </w:pPr>
            <w:r>
              <w:rPr>
                <w:rFonts w:ascii="Times New Roman"/>
                <w:spacing w:val="-1"/>
                <w:sz w:val="18"/>
              </w:rPr>
              <w:t>151,756,119.54</w:t>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3"/>
              <w:jc w:val="right"/>
              <w:rPr>
                <w:rFonts w:ascii="Times New Roman" w:hAnsi="Times New Roman" w:cs="Times New Roman" w:eastAsia="Times New Roman" w:hint="default"/>
                <w:sz w:val="18"/>
                <w:szCs w:val="18"/>
              </w:rPr>
            </w:pPr>
            <w:r>
              <w:rPr>
                <w:rFonts w:ascii="Times New Roman"/>
                <w:sz w:val="18"/>
              </w:rPr>
              <w:t>92.64</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8"/>
              <w:jc w:val="right"/>
              <w:rPr>
                <w:rFonts w:ascii="Times New Roman" w:hAnsi="Times New Roman" w:cs="Times New Roman" w:eastAsia="Times New Roman" w:hint="default"/>
                <w:sz w:val="18"/>
                <w:szCs w:val="18"/>
              </w:rPr>
            </w:pPr>
            <w:r>
              <w:rPr>
                <w:rFonts w:ascii="Times New Roman"/>
                <w:spacing w:val="-1"/>
                <w:sz w:val="18"/>
              </w:rPr>
              <w:t>7,587,805.98</w:t>
            </w:r>
          </w:p>
        </w:tc>
      </w:tr>
      <w:tr>
        <w:trPr>
          <w:trHeight w:val="384" w:hRule="exact"/>
        </w:trPr>
        <w:tc>
          <w:tcPr>
            <w:tcW w:w="1218"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81"/>
              <w:ind w:left="446" w:right="0"/>
              <w:jc w:val="left"/>
              <w:rPr>
                <w:rFonts w:ascii="Times New Roman" w:hAnsi="Times New Roman" w:cs="Times New Roman" w:eastAsia="Times New Roman" w:hint="default"/>
                <w:sz w:val="18"/>
                <w:szCs w:val="18"/>
              </w:rPr>
            </w:pPr>
            <w:r>
              <w:rPr>
                <w:rFonts w:ascii="Times New Roman"/>
                <w:sz w:val="18"/>
              </w:rPr>
              <w:t>18,729,006.29</w:t>
            </w:r>
          </w:p>
        </w:tc>
        <w:tc>
          <w:tcPr>
            <w:tcW w:w="873" w:type="dxa"/>
            <w:tcBorders>
              <w:top w:val="nil" w:sz="6" w:space="0" w:color="auto"/>
              <w:left w:val="nil" w:sz="6" w:space="0" w:color="auto"/>
              <w:bottom w:val="nil" w:sz="6" w:space="0" w:color="auto"/>
              <w:right w:val="nil" w:sz="6" w:space="0" w:color="auto"/>
            </w:tcBorders>
          </w:tcPr>
          <w:p>
            <w:pPr>
              <w:pStyle w:val="TableParagraph"/>
              <w:spacing w:line="240" w:lineRule="auto" w:before="81"/>
              <w:ind w:left="404" w:right="0"/>
              <w:jc w:val="left"/>
              <w:rPr>
                <w:rFonts w:ascii="Times New Roman" w:hAnsi="Times New Roman" w:cs="Times New Roman" w:eastAsia="Times New Roman" w:hint="default"/>
                <w:sz w:val="18"/>
                <w:szCs w:val="18"/>
              </w:rPr>
            </w:pPr>
            <w:r>
              <w:rPr>
                <w:rFonts w:ascii="Times New Roman"/>
                <w:sz w:val="18"/>
              </w:rPr>
              <w:t>5.13</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56"/>
              <w:jc w:val="right"/>
              <w:rPr>
                <w:rFonts w:ascii="Times New Roman" w:hAnsi="Times New Roman" w:cs="Times New Roman" w:eastAsia="Times New Roman" w:hint="default"/>
                <w:sz w:val="18"/>
                <w:szCs w:val="18"/>
              </w:rPr>
            </w:pPr>
            <w:r>
              <w:rPr>
                <w:rFonts w:ascii="Times New Roman"/>
                <w:spacing w:val="-1"/>
                <w:sz w:val="18"/>
              </w:rPr>
              <w:t>1,872,900.63</w:t>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7"/>
              <w:jc w:val="right"/>
              <w:rPr>
                <w:rFonts w:ascii="Times New Roman" w:hAnsi="Times New Roman" w:cs="Times New Roman" w:eastAsia="Times New Roman" w:hint="default"/>
                <w:sz w:val="18"/>
                <w:szCs w:val="18"/>
              </w:rPr>
            </w:pPr>
            <w:r>
              <w:rPr>
                <w:rFonts w:ascii="Times New Roman"/>
                <w:spacing w:val="-1"/>
                <w:sz w:val="18"/>
              </w:rPr>
              <w:t>7,680,276.97</w:t>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14"/>
              <w:jc w:val="right"/>
              <w:rPr>
                <w:rFonts w:ascii="Times New Roman" w:hAnsi="Times New Roman" w:cs="Times New Roman" w:eastAsia="Times New Roman" w:hint="default"/>
                <w:sz w:val="18"/>
                <w:szCs w:val="18"/>
              </w:rPr>
            </w:pPr>
            <w:r>
              <w:rPr>
                <w:rFonts w:ascii="Times New Roman"/>
                <w:sz w:val="18"/>
              </w:rPr>
              <w:t>4.69</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99"/>
              <w:jc w:val="right"/>
              <w:rPr>
                <w:rFonts w:ascii="Times New Roman" w:hAnsi="Times New Roman" w:cs="Times New Roman" w:eastAsia="Times New Roman" w:hint="default"/>
                <w:sz w:val="18"/>
                <w:szCs w:val="18"/>
              </w:rPr>
            </w:pPr>
            <w:r>
              <w:rPr>
                <w:rFonts w:ascii="Times New Roman"/>
                <w:sz w:val="18"/>
              </w:rPr>
              <w:t>768,027.70</w:t>
            </w:r>
          </w:p>
        </w:tc>
      </w:tr>
      <w:tr>
        <w:trPr>
          <w:trHeight w:val="385" w:hRule="exact"/>
        </w:trPr>
        <w:tc>
          <w:tcPr>
            <w:tcW w:w="1218"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81"/>
              <w:ind w:left="536" w:right="0"/>
              <w:jc w:val="left"/>
              <w:rPr>
                <w:rFonts w:ascii="Times New Roman" w:hAnsi="Times New Roman" w:cs="Times New Roman" w:eastAsia="Times New Roman" w:hint="default"/>
                <w:sz w:val="18"/>
                <w:szCs w:val="18"/>
              </w:rPr>
            </w:pPr>
            <w:r>
              <w:rPr>
                <w:rFonts w:ascii="Times New Roman"/>
                <w:sz w:val="18"/>
              </w:rPr>
              <w:t>4,551,387.45</w:t>
            </w:r>
          </w:p>
        </w:tc>
        <w:tc>
          <w:tcPr>
            <w:tcW w:w="873" w:type="dxa"/>
            <w:tcBorders>
              <w:top w:val="nil" w:sz="6" w:space="0" w:color="auto"/>
              <w:left w:val="nil" w:sz="6" w:space="0" w:color="auto"/>
              <w:bottom w:val="nil" w:sz="6" w:space="0" w:color="auto"/>
              <w:right w:val="nil" w:sz="6" w:space="0" w:color="auto"/>
            </w:tcBorders>
          </w:tcPr>
          <w:p>
            <w:pPr>
              <w:pStyle w:val="TableParagraph"/>
              <w:spacing w:line="240" w:lineRule="auto" w:before="81"/>
              <w:ind w:left="404" w:right="0"/>
              <w:jc w:val="left"/>
              <w:rPr>
                <w:rFonts w:ascii="Times New Roman" w:hAnsi="Times New Roman" w:cs="Times New Roman" w:eastAsia="Times New Roman" w:hint="default"/>
                <w:sz w:val="18"/>
                <w:szCs w:val="18"/>
              </w:rPr>
            </w:pPr>
            <w:r>
              <w:rPr>
                <w:rFonts w:ascii="Times New Roman"/>
                <w:sz w:val="18"/>
              </w:rPr>
              <w:t>1.25</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56"/>
              <w:jc w:val="right"/>
              <w:rPr>
                <w:rFonts w:ascii="Times New Roman" w:hAnsi="Times New Roman" w:cs="Times New Roman" w:eastAsia="Times New Roman" w:hint="default"/>
                <w:sz w:val="18"/>
                <w:szCs w:val="18"/>
              </w:rPr>
            </w:pPr>
            <w:r>
              <w:rPr>
                <w:rFonts w:ascii="Times New Roman"/>
                <w:spacing w:val="-1"/>
                <w:sz w:val="18"/>
              </w:rPr>
              <w:t>1,365,416.24</w:t>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7"/>
              <w:jc w:val="right"/>
              <w:rPr>
                <w:rFonts w:ascii="Times New Roman" w:hAnsi="Times New Roman" w:cs="Times New Roman" w:eastAsia="Times New Roman" w:hint="default"/>
                <w:sz w:val="18"/>
                <w:szCs w:val="18"/>
              </w:rPr>
            </w:pPr>
            <w:r>
              <w:rPr>
                <w:rFonts w:ascii="Times New Roman"/>
                <w:spacing w:val="-1"/>
                <w:sz w:val="18"/>
              </w:rPr>
              <w:t>3,143,174.95</w:t>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14"/>
              <w:jc w:val="right"/>
              <w:rPr>
                <w:rFonts w:ascii="Times New Roman" w:hAnsi="Times New Roman" w:cs="Times New Roman" w:eastAsia="Times New Roman" w:hint="default"/>
                <w:sz w:val="18"/>
                <w:szCs w:val="18"/>
              </w:rPr>
            </w:pPr>
            <w:r>
              <w:rPr>
                <w:rFonts w:ascii="Times New Roman"/>
                <w:sz w:val="18"/>
              </w:rPr>
              <w:t>1.92</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99"/>
              <w:jc w:val="right"/>
              <w:rPr>
                <w:rFonts w:ascii="Times New Roman" w:hAnsi="Times New Roman" w:cs="Times New Roman" w:eastAsia="Times New Roman" w:hint="default"/>
                <w:sz w:val="18"/>
                <w:szCs w:val="18"/>
              </w:rPr>
            </w:pPr>
            <w:r>
              <w:rPr>
                <w:rFonts w:ascii="Times New Roman"/>
                <w:sz w:val="18"/>
              </w:rPr>
              <w:t>942,952.49</w:t>
            </w:r>
          </w:p>
        </w:tc>
      </w:tr>
      <w:tr>
        <w:trPr>
          <w:trHeight w:val="385" w:hRule="exact"/>
        </w:trPr>
        <w:tc>
          <w:tcPr>
            <w:tcW w:w="1218"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82"/>
              <w:ind w:left="536" w:right="0"/>
              <w:jc w:val="left"/>
              <w:rPr>
                <w:rFonts w:ascii="Times New Roman" w:hAnsi="Times New Roman" w:cs="Times New Roman" w:eastAsia="Times New Roman" w:hint="default"/>
                <w:sz w:val="18"/>
                <w:szCs w:val="18"/>
              </w:rPr>
            </w:pPr>
            <w:r>
              <w:rPr>
                <w:rFonts w:ascii="Times New Roman"/>
                <w:sz w:val="18"/>
              </w:rPr>
              <w:t>1,839,435.27</w:t>
            </w:r>
          </w:p>
        </w:tc>
        <w:tc>
          <w:tcPr>
            <w:tcW w:w="873" w:type="dxa"/>
            <w:tcBorders>
              <w:top w:val="nil" w:sz="6" w:space="0" w:color="auto"/>
              <w:left w:val="nil" w:sz="6" w:space="0" w:color="auto"/>
              <w:bottom w:val="nil" w:sz="6" w:space="0" w:color="auto"/>
              <w:right w:val="nil" w:sz="6" w:space="0" w:color="auto"/>
            </w:tcBorders>
          </w:tcPr>
          <w:p>
            <w:pPr>
              <w:pStyle w:val="TableParagraph"/>
              <w:spacing w:line="240" w:lineRule="auto" w:before="82"/>
              <w:ind w:left="404" w:right="0"/>
              <w:jc w:val="left"/>
              <w:rPr>
                <w:rFonts w:ascii="Times New Roman" w:hAnsi="Times New Roman" w:cs="Times New Roman" w:eastAsia="Times New Roman" w:hint="default"/>
                <w:sz w:val="18"/>
                <w:szCs w:val="18"/>
              </w:rPr>
            </w:pPr>
            <w:r>
              <w:rPr>
                <w:rFonts w:ascii="Times New Roman"/>
                <w:sz w:val="18"/>
              </w:rPr>
              <w:t>0.50</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6"/>
              <w:jc w:val="right"/>
              <w:rPr>
                <w:rFonts w:ascii="Times New Roman" w:hAnsi="Times New Roman" w:cs="Times New Roman" w:eastAsia="Times New Roman" w:hint="default"/>
                <w:sz w:val="18"/>
                <w:szCs w:val="18"/>
              </w:rPr>
            </w:pPr>
            <w:r>
              <w:rPr>
                <w:rFonts w:ascii="Times New Roman"/>
                <w:sz w:val="18"/>
              </w:rPr>
              <w:t>919,717.64</w:t>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7"/>
              <w:jc w:val="right"/>
              <w:rPr>
                <w:rFonts w:ascii="Times New Roman" w:hAnsi="Times New Roman" w:cs="Times New Roman" w:eastAsia="Times New Roman" w:hint="default"/>
                <w:sz w:val="18"/>
                <w:szCs w:val="18"/>
              </w:rPr>
            </w:pPr>
            <w:r>
              <w:rPr>
                <w:rFonts w:ascii="Times New Roman"/>
                <w:spacing w:val="-1"/>
                <w:sz w:val="18"/>
              </w:rPr>
              <w:t>1,238,173.59</w:t>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4"/>
              <w:jc w:val="right"/>
              <w:rPr>
                <w:rFonts w:ascii="Times New Roman" w:hAnsi="Times New Roman" w:cs="Times New Roman" w:eastAsia="Times New Roman" w:hint="default"/>
                <w:sz w:val="18"/>
                <w:szCs w:val="18"/>
              </w:rPr>
            </w:pPr>
            <w:r>
              <w:rPr>
                <w:rFonts w:ascii="Times New Roman"/>
                <w:sz w:val="18"/>
              </w:rPr>
              <w:t>0.75</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z w:val="18"/>
              </w:rPr>
              <w:t>619,086.80</w:t>
            </w:r>
          </w:p>
        </w:tc>
      </w:tr>
      <w:tr>
        <w:trPr>
          <w:trHeight w:val="384" w:hRule="exact"/>
        </w:trPr>
        <w:tc>
          <w:tcPr>
            <w:tcW w:w="1218"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81"/>
              <w:ind w:left="670" w:right="0"/>
              <w:jc w:val="left"/>
              <w:rPr>
                <w:rFonts w:ascii="Times New Roman" w:hAnsi="Times New Roman" w:cs="Times New Roman" w:eastAsia="Times New Roman" w:hint="default"/>
                <w:sz w:val="18"/>
                <w:szCs w:val="18"/>
              </w:rPr>
            </w:pPr>
            <w:r>
              <w:rPr>
                <w:rFonts w:ascii="Times New Roman"/>
                <w:sz w:val="18"/>
              </w:rPr>
              <w:t>681,286.59</w:t>
            </w:r>
          </w:p>
        </w:tc>
        <w:tc>
          <w:tcPr>
            <w:tcW w:w="873" w:type="dxa"/>
            <w:tcBorders>
              <w:top w:val="nil" w:sz="6" w:space="0" w:color="auto"/>
              <w:left w:val="nil" w:sz="6" w:space="0" w:color="auto"/>
              <w:bottom w:val="nil" w:sz="6" w:space="0" w:color="auto"/>
              <w:right w:val="nil" w:sz="6" w:space="0" w:color="auto"/>
            </w:tcBorders>
          </w:tcPr>
          <w:p>
            <w:pPr>
              <w:pStyle w:val="TableParagraph"/>
              <w:spacing w:line="240" w:lineRule="auto" w:before="81"/>
              <w:ind w:left="404" w:right="0"/>
              <w:jc w:val="left"/>
              <w:rPr>
                <w:rFonts w:ascii="Times New Roman" w:hAnsi="Times New Roman" w:cs="Times New Roman" w:eastAsia="Times New Roman" w:hint="default"/>
                <w:sz w:val="18"/>
                <w:szCs w:val="18"/>
              </w:rPr>
            </w:pPr>
            <w:r>
              <w:rPr>
                <w:rFonts w:ascii="Times New Roman"/>
                <w:sz w:val="18"/>
              </w:rPr>
              <w:t>0.18</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56"/>
              <w:jc w:val="right"/>
              <w:rPr>
                <w:rFonts w:ascii="Times New Roman" w:hAnsi="Times New Roman" w:cs="Times New Roman" w:eastAsia="Times New Roman" w:hint="default"/>
                <w:sz w:val="18"/>
                <w:szCs w:val="18"/>
              </w:rPr>
            </w:pPr>
            <w:r>
              <w:rPr>
                <w:rFonts w:ascii="Times New Roman"/>
                <w:sz w:val="18"/>
              </w:rPr>
              <w:t>545,029.27</w:t>
            </w:r>
          </w:p>
        </w:tc>
        <w:tc>
          <w:tcPr>
            <w:tcW w:w="1391" w:type="dxa"/>
            <w:tcBorders>
              <w:top w:val="nil" w:sz="6" w:space="0" w:color="auto"/>
              <w:left w:val="nil" w:sz="6" w:space="0" w:color="auto"/>
              <w:bottom w:val="nil" w:sz="6" w:space="0" w:color="auto"/>
              <w:right w:val="nil" w:sz="6" w:space="0" w:color="auto"/>
            </w:tcBorders>
          </w:tcPr>
          <w:p>
            <w:pPr/>
          </w:p>
        </w:tc>
        <w:tc>
          <w:tcPr>
            <w:tcW w:w="1001"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
        </w:tc>
      </w:tr>
      <w:tr>
        <w:trPr>
          <w:trHeight w:val="390" w:hRule="exact"/>
        </w:trPr>
        <w:tc>
          <w:tcPr>
            <w:tcW w:w="1218"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right="355"/>
              <w:jc w:val="right"/>
              <w:rPr>
                <w:rFonts w:ascii="宋体" w:hAnsi="宋体" w:cs="宋体" w:eastAsia="宋体" w:hint="default"/>
                <w:sz w:val="18"/>
                <w:szCs w:val="18"/>
              </w:rPr>
            </w:pPr>
            <w:r>
              <w:rPr>
                <w:rFonts w:ascii="宋体" w:hAnsi="宋体" w:cs="宋体" w:eastAsia="宋体" w:hint="default"/>
                <w:sz w:val="18"/>
                <w:szCs w:val="18"/>
              </w:rPr>
              <w:t>合计</w:t>
            </w:r>
          </w:p>
        </w:tc>
        <w:tc>
          <w:tcPr>
            <w:tcW w:w="1698"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left="357" w:right="0"/>
              <w:jc w:val="left"/>
              <w:rPr>
                <w:rFonts w:ascii="Times New Roman" w:hAnsi="Times New Roman" w:cs="Times New Roman" w:eastAsia="Times New Roman" w:hint="default"/>
                <w:sz w:val="18"/>
                <w:szCs w:val="18"/>
              </w:rPr>
            </w:pPr>
            <w:r>
              <w:rPr>
                <w:rFonts w:ascii="Times New Roman"/>
                <w:sz w:val="18"/>
              </w:rPr>
              <w:t>365,229,277.52</w:t>
            </w:r>
          </w:p>
        </w:tc>
        <w:tc>
          <w:tcPr>
            <w:tcW w:w="873"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left="224" w:right="0"/>
              <w:jc w:val="left"/>
              <w:rPr>
                <w:rFonts w:ascii="Times New Roman" w:hAnsi="Times New Roman" w:cs="Times New Roman" w:eastAsia="Times New Roman" w:hint="default"/>
                <w:sz w:val="18"/>
                <w:szCs w:val="18"/>
              </w:rPr>
            </w:pPr>
            <w:r>
              <w:rPr>
                <w:rFonts w:ascii="Times New Roman"/>
                <w:sz w:val="18"/>
              </w:rPr>
              <w:t>100.00</w:t>
            </w:r>
          </w:p>
        </w:tc>
        <w:tc>
          <w:tcPr>
            <w:tcW w:w="1257"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56"/>
              <w:jc w:val="right"/>
              <w:rPr>
                <w:rFonts w:ascii="Times New Roman" w:hAnsi="Times New Roman" w:cs="Times New Roman" w:eastAsia="Times New Roman" w:hint="default"/>
                <w:sz w:val="18"/>
                <w:szCs w:val="18"/>
              </w:rPr>
            </w:pPr>
            <w:r>
              <w:rPr>
                <w:rFonts w:ascii="Times New Roman"/>
                <w:spacing w:val="-1"/>
                <w:sz w:val="18"/>
              </w:rPr>
              <w:t>21,674,471.87</w:t>
            </w:r>
          </w:p>
        </w:tc>
        <w:tc>
          <w:tcPr>
            <w:tcW w:w="1391"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pacing w:val="-1"/>
                <w:sz w:val="18"/>
              </w:rPr>
              <w:t>163,817,745.05</w:t>
            </w:r>
          </w:p>
        </w:tc>
        <w:tc>
          <w:tcPr>
            <w:tcW w:w="1001"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13"/>
              <w:jc w:val="right"/>
              <w:rPr>
                <w:rFonts w:ascii="Times New Roman" w:hAnsi="Times New Roman" w:cs="Times New Roman" w:eastAsia="Times New Roman" w:hint="default"/>
                <w:sz w:val="18"/>
                <w:szCs w:val="18"/>
              </w:rPr>
            </w:pPr>
            <w:r>
              <w:rPr>
                <w:rFonts w:ascii="Times New Roman"/>
                <w:sz w:val="18"/>
              </w:rPr>
              <w:t>100.00</w:t>
            </w:r>
          </w:p>
        </w:tc>
        <w:tc>
          <w:tcPr>
            <w:tcW w:w="1162"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99"/>
              <w:jc w:val="right"/>
              <w:rPr>
                <w:rFonts w:ascii="Times New Roman" w:hAnsi="Times New Roman" w:cs="Times New Roman" w:eastAsia="Times New Roman" w:hint="default"/>
                <w:sz w:val="18"/>
                <w:szCs w:val="18"/>
              </w:rPr>
            </w:pPr>
            <w:r>
              <w:rPr>
                <w:rFonts w:ascii="Times New Roman"/>
                <w:spacing w:val="-1"/>
                <w:sz w:val="18"/>
              </w:rPr>
              <w:t>9,917,872.97</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pStyle w:val="Heading2"/>
        <w:tabs>
          <w:tab w:pos="1396" w:val="left" w:leader="none"/>
        </w:tabs>
        <w:spacing w:line="240" w:lineRule="auto" w:before="35"/>
        <w:ind w:left="857" w:right="0"/>
        <w:jc w:val="left"/>
        <w:rPr>
          <w:b w:val="0"/>
          <w:bCs w:val="0"/>
        </w:rPr>
      </w:pPr>
      <w:r>
        <w:rPr>
          <w:rFonts w:ascii="Times New Roman" w:hAnsi="Times New Roman" w:cs="Times New Roman" w:eastAsia="Times New Roman" w:hint="default"/>
          <w:w w:val="95"/>
        </w:rPr>
        <w:t>2</w:t>
      </w:r>
      <w:r>
        <w:rPr>
          <w:w w:val="95"/>
        </w:rPr>
        <w:t>、</w:t>
        <w:tab/>
      </w:r>
      <w:r>
        <w:rPr/>
        <w:t>期末应收账款中无持本公司</w:t>
      </w:r>
      <w:r>
        <w:rPr>
          <w:spacing w:val="-62"/>
        </w:rPr>
        <w:t> </w:t>
      </w:r>
      <w:r>
        <w:rPr>
          <w:rFonts w:ascii="Times New Roman" w:hAnsi="Times New Roman" w:cs="Times New Roman" w:eastAsia="Times New Roman" w:hint="default"/>
        </w:rPr>
        <w:t>5</w:t>
      </w:r>
      <w:r>
        <w:rPr/>
        <w:t>％以上（含</w:t>
      </w:r>
      <w:r>
        <w:rPr>
          <w:spacing w:val="-62"/>
        </w:rPr>
        <w:t> </w:t>
      </w:r>
      <w:r>
        <w:rPr>
          <w:rFonts w:ascii="Times New Roman" w:hAnsi="Times New Roman" w:cs="Times New Roman" w:eastAsia="Times New Roman" w:hint="default"/>
        </w:rPr>
        <w:t>5</w:t>
      </w:r>
      <w:r>
        <w:rPr/>
        <w:t>％）表决权股份的股东单位欠款。</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1396" w:val="left" w:leader="none"/>
        </w:tabs>
        <w:spacing w:before="0"/>
        <w:ind w:left="857" w:right="3777" w:firstLine="0"/>
        <w:jc w:val="left"/>
        <w:rPr>
          <w:rFonts w:ascii="宋体" w:hAnsi="宋体" w:cs="宋体" w:eastAsia="宋体" w:hint="default"/>
          <w:sz w:val="21"/>
          <w:szCs w:val="21"/>
        </w:rPr>
      </w:pPr>
      <w:r>
        <w:rPr/>
        <w:pict>
          <v:group style="position:absolute;margin-left:146.639999pt;margin-top:31.471558pt;width:393.15pt;height:153.450pt;mso-position-horizontal-relative:page;mso-position-vertical-relative:paragraph;z-index:-709984" coordorigin="2933,629" coordsize="7863,3069">
            <v:shape style="position:absolute;left:5738;top:629;width:3646;height:787" type="#_x0000_t75" stroked="false">
              <v:imagedata r:id="rId114" o:title=""/>
            </v:shape>
            <v:shape style="position:absolute;left:2933;top:1378;width:7862;height:2320" type="#_x0000_t75" stroked="false">
              <v:imagedata r:id="rId115" o:title=""/>
            </v:shape>
            <w10:wrap type="none"/>
          </v:group>
        </w:pict>
      </w: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应收账款中欠款金额前五名</w:t>
      </w:r>
      <w:r>
        <w:rPr>
          <w:rFonts w:ascii="宋体" w:hAnsi="宋体" w:cs="宋体" w:eastAsia="宋体" w:hint="default"/>
          <w:sz w:val="21"/>
          <w:szCs w:val="21"/>
        </w:rPr>
      </w:r>
    </w:p>
    <w:p>
      <w:pPr>
        <w:spacing w:line="240" w:lineRule="auto" w:before="1"/>
        <w:rPr>
          <w:rFonts w:ascii="宋体" w:hAnsi="宋体" w:cs="宋体" w:eastAsia="宋体" w:hint="default"/>
          <w:b/>
          <w:bCs/>
          <w:sz w:val="25"/>
          <w:szCs w:val="25"/>
        </w:rPr>
      </w:pPr>
    </w:p>
    <w:tbl>
      <w:tblPr>
        <w:tblW w:w="0" w:type="auto"/>
        <w:jc w:val="left"/>
        <w:tblInd w:w="1291" w:type="dxa"/>
        <w:tblLayout w:type="fixed"/>
        <w:tblCellMar>
          <w:top w:w="0" w:type="dxa"/>
          <w:left w:w="0" w:type="dxa"/>
          <w:bottom w:w="0" w:type="dxa"/>
          <w:right w:w="0" w:type="dxa"/>
        </w:tblCellMar>
        <w:tblLook w:val="01E0"/>
      </w:tblPr>
      <w:tblGrid>
        <w:gridCol w:w="2789"/>
        <w:gridCol w:w="1034"/>
        <w:gridCol w:w="1387"/>
        <w:gridCol w:w="1209"/>
        <w:gridCol w:w="1399"/>
      </w:tblGrid>
      <w:tr>
        <w:trPr>
          <w:trHeight w:val="792" w:hRule="exact"/>
        </w:trPr>
        <w:tc>
          <w:tcPr>
            <w:tcW w:w="2789"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21"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034" w:type="dxa"/>
            <w:tcBorders>
              <w:top w:val="single" w:sz="12" w:space="0" w:color="000000"/>
              <w:left w:val="nil" w:sz="6" w:space="0" w:color="auto"/>
              <w:bottom w:val="nil" w:sz="6" w:space="0" w:color="auto"/>
              <w:right w:val="nil" w:sz="6" w:space="0" w:color="auto"/>
            </w:tcBorders>
          </w:tcPr>
          <w:p>
            <w:pPr>
              <w:pStyle w:val="TableParagraph"/>
              <w:spacing w:line="381" w:lineRule="auto" w:before="41"/>
              <w:ind w:left="340" w:right="151" w:hanging="180"/>
              <w:jc w:val="left"/>
              <w:rPr>
                <w:rFonts w:ascii="宋体" w:hAnsi="宋体" w:cs="宋体" w:eastAsia="宋体" w:hint="default"/>
                <w:sz w:val="18"/>
                <w:szCs w:val="18"/>
              </w:rPr>
            </w:pPr>
            <w:r>
              <w:rPr>
                <w:rFonts w:ascii="宋体" w:hAnsi="宋体" w:cs="宋体" w:eastAsia="宋体" w:hint="default"/>
                <w:sz w:val="18"/>
                <w:szCs w:val="18"/>
              </w:rPr>
              <w:t>与本公司 关系</w:t>
            </w:r>
          </w:p>
        </w:tc>
        <w:tc>
          <w:tcPr>
            <w:tcW w:w="1387"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32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209"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10"/>
              <w:jc w:val="center"/>
              <w:rPr>
                <w:rFonts w:ascii="宋体" w:hAnsi="宋体" w:cs="宋体" w:eastAsia="宋体" w:hint="default"/>
                <w:sz w:val="18"/>
                <w:szCs w:val="18"/>
              </w:rPr>
            </w:pPr>
            <w:r>
              <w:rPr>
                <w:rFonts w:ascii="宋体" w:hAnsi="宋体" w:cs="宋体" w:eastAsia="宋体" w:hint="default"/>
                <w:sz w:val="18"/>
                <w:szCs w:val="18"/>
              </w:rPr>
              <w:t>年限</w:t>
            </w:r>
          </w:p>
        </w:tc>
        <w:tc>
          <w:tcPr>
            <w:tcW w:w="1399" w:type="dxa"/>
            <w:tcBorders>
              <w:top w:val="single" w:sz="12" w:space="0" w:color="000000"/>
              <w:left w:val="nil" w:sz="6" w:space="0" w:color="auto"/>
              <w:bottom w:val="nil" w:sz="6" w:space="0" w:color="auto"/>
              <w:right w:val="nil" w:sz="6" w:space="0" w:color="auto"/>
            </w:tcBorders>
          </w:tcPr>
          <w:p>
            <w:pPr>
              <w:pStyle w:val="TableParagraph"/>
              <w:spacing w:line="381" w:lineRule="auto" w:before="41"/>
              <w:ind w:left="202" w:right="159" w:hanging="46"/>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占应收账款总 额的比例</w:t>
            </w:r>
            <w:r>
              <w:rPr>
                <w:rFonts w:ascii="Times New Roman" w:hAnsi="Times New Roman" w:cs="Times New Roman" w:eastAsia="Times New Roman" w:hint="default"/>
                <w:sz w:val="18"/>
                <w:szCs w:val="18"/>
              </w:rPr>
              <w:t>(%)</w:t>
            </w:r>
          </w:p>
        </w:tc>
      </w:tr>
      <w:tr>
        <w:trPr>
          <w:trHeight w:val="440" w:hRule="exact"/>
        </w:trPr>
        <w:tc>
          <w:tcPr>
            <w:tcW w:w="2789" w:type="dxa"/>
            <w:tcBorders>
              <w:top w:val="nil" w:sz="6" w:space="0" w:color="auto"/>
              <w:left w:val="nil" w:sz="6" w:space="0" w:color="auto"/>
              <w:bottom w:val="nil" w:sz="6" w:space="0" w:color="auto"/>
              <w:right w:val="nil" w:sz="6" w:space="0" w:color="auto"/>
            </w:tcBorders>
          </w:tcPr>
          <w:p>
            <w:pPr>
              <w:pStyle w:val="TableParagraph"/>
              <w:spacing w:line="240" w:lineRule="auto" w:before="60"/>
              <w:ind w:left="108" w:right="0"/>
              <w:jc w:val="left"/>
              <w:rPr>
                <w:rFonts w:ascii="宋体" w:hAnsi="宋体" w:cs="宋体" w:eastAsia="宋体" w:hint="default"/>
                <w:sz w:val="18"/>
                <w:szCs w:val="18"/>
              </w:rPr>
            </w:pPr>
            <w:r>
              <w:rPr>
                <w:rFonts w:ascii="宋体" w:hAnsi="宋体" w:cs="宋体" w:eastAsia="宋体" w:hint="default"/>
                <w:sz w:val="18"/>
                <w:szCs w:val="18"/>
              </w:rPr>
              <w:t>卓望信息技术（北京）有限公司</w:t>
            </w: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60"/>
              <w:ind w:left="7" w:right="0"/>
              <w:jc w:val="center"/>
              <w:rPr>
                <w:rFonts w:ascii="宋体" w:hAnsi="宋体" w:cs="宋体" w:eastAsia="宋体" w:hint="default"/>
                <w:sz w:val="18"/>
                <w:szCs w:val="18"/>
              </w:rPr>
            </w:pPr>
            <w:r>
              <w:rPr>
                <w:rFonts w:ascii="宋体" w:hAnsi="宋体" w:cs="宋体" w:eastAsia="宋体" w:hint="default"/>
                <w:sz w:val="18"/>
                <w:szCs w:val="18"/>
              </w:rPr>
              <w:t>主要客户</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pacing w:val="-1"/>
                <w:sz w:val="18"/>
              </w:rPr>
              <w:t>174,941,599.32</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60"/>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39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8"/>
              <w:jc w:val="right"/>
              <w:rPr>
                <w:rFonts w:ascii="Times New Roman" w:hAnsi="Times New Roman" w:cs="Times New Roman" w:eastAsia="Times New Roman" w:hint="default"/>
                <w:sz w:val="18"/>
                <w:szCs w:val="18"/>
              </w:rPr>
            </w:pPr>
            <w:r>
              <w:rPr>
                <w:rFonts w:ascii="Times New Roman"/>
                <w:sz w:val="18"/>
              </w:rPr>
              <w:t>47.90</w:t>
            </w:r>
          </w:p>
        </w:tc>
      </w:tr>
      <w:tr>
        <w:trPr>
          <w:trHeight w:val="460" w:hRule="exact"/>
        </w:trPr>
        <w:tc>
          <w:tcPr>
            <w:tcW w:w="2789"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08" w:right="0"/>
              <w:jc w:val="left"/>
              <w:rPr>
                <w:rFonts w:ascii="宋体" w:hAnsi="宋体" w:cs="宋体" w:eastAsia="宋体" w:hint="default"/>
                <w:sz w:val="18"/>
                <w:szCs w:val="18"/>
              </w:rPr>
            </w:pPr>
            <w:r>
              <w:rPr>
                <w:rFonts w:ascii="宋体" w:hAnsi="宋体" w:cs="宋体" w:eastAsia="宋体" w:hint="default"/>
                <w:sz w:val="18"/>
                <w:szCs w:val="18"/>
              </w:rPr>
              <w:t>中国移动通信集团北京有限公司</w:t>
            </w: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7" w:right="0"/>
              <w:jc w:val="center"/>
              <w:rPr>
                <w:rFonts w:ascii="宋体" w:hAnsi="宋体" w:cs="宋体" w:eastAsia="宋体" w:hint="default"/>
                <w:sz w:val="18"/>
                <w:szCs w:val="18"/>
              </w:rPr>
            </w:pPr>
            <w:r>
              <w:rPr>
                <w:rFonts w:ascii="宋体" w:hAnsi="宋体" w:cs="宋体" w:eastAsia="宋体" w:hint="default"/>
                <w:sz w:val="18"/>
                <w:szCs w:val="18"/>
              </w:rPr>
              <w:t>主要客户</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06"/>
              <w:jc w:val="right"/>
              <w:rPr>
                <w:rFonts w:ascii="Times New Roman" w:hAnsi="Times New Roman" w:cs="Times New Roman" w:eastAsia="Times New Roman" w:hint="default"/>
                <w:sz w:val="18"/>
                <w:szCs w:val="18"/>
              </w:rPr>
            </w:pPr>
            <w:r>
              <w:rPr>
                <w:rFonts w:ascii="Times New Roman"/>
                <w:spacing w:val="-1"/>
                <w:sz w:val="18"/>
              </w:rPr>
              <w:t>17,508,373.24</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0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年以内</w:t>
            </w:r>
            <w:r>
              <w:rPr>
                <w:rFonts w:ascii="宋体" w:hAnsi="宋体" w:cs="宋体" w:eastAsia="宋体" w:hint="default"/>
                <w:spacing w:val="-1"/>
                <w:sz w:val="18"/>
                <w:szCs w:val="18"/>
              </w:rPr>
              <w:t> </w:t>
            </w:r>
            <w:r>
              <w:rPr>
                <w:rFonts w:ascii="Times New Roman" w:hAnsi="Times New Roman" w:cs="Times New Roman" w:eastAsia="Times New Roman" w:hint="default"/>
                <w:sz w:val="18"/>
                <w:szCs w:val="18"/>
              </w:rPr>
              <w:t>*1</w:t>
            </w:r>
          </w:p>
        </w:tc>
        <w:tc>
          <w:tcPr>
            <w:tcW w:w="1399"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98"/>
              <w:jc w:val="right"/>
              <w:rPr>
                <w:rFonts w:ascii="Times New Roman" w:hAnsi="Times New Roman" w:cs="Times New Roman" w:eastAsia="Times New Roman" w:hint="default"/>
                <w:sz w:val="18"/>
                <w:szCs w:val="18"/>
              </w:rPr>
            </w:pPr>
            <w:r>
              <w:rPr>
                <w:rFonts w:ascii="Times New Roman"/>
                <w:sz w:val="18"/>
              </w:rPr>
              <w:t>4.79</w:t>
            </w:r>
          </w:p>
        </w:tc>
      </w:tr>
      <w:tr>
        <w:trPr>
          <w:trHeight w:val="460" w:hRule="exact"/>
        </w:trPr>
        <w:tc>
          <w:tcPr>
            <w:tcW w:w="2789"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08" w:right="0"/>
              <w:jc w:val="left"/>
              <w:rPr>
                <w:rFonts w:ascii="宋体" w:hAnsi="宋体" w:cs="宋体" w:eastAsia="宋体" w:hint="default"/>
                <w:sz w:val="18"/>
                <w:szCs w:val="18"/>
              </w:rPr>
            </w:pPr>
            <w:r>
              <w:rPr>
                <w:rFonts w:ascii="宋体" w:hAnsi="宋体" w:cs="宋体" w:eastAsia="宋体" w:hint="default"/>
                <w:sz w:val="18"/>
                <w:szCs w:val="18"/>
              </w:rPr>
              <w:t>中国移动通信集团重庆有限公司</w:t>
            </w: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80"/>
              <w:ind w:left="7" w:right="0"/>
              <w:jc w:val="center"/>
              <w:rPr>
                <w:rFonts w:ascii="宋体" w:hAnsi="宋体" w:cs="宋体" w:eastAsia="宋体" w:hint="default"/>
                <w:sz w:val="18"/>
                <w:szCs w:val="18"/>
              </w:rPr>
            </w:pPr>
            <w:r>
              <w:rPr>
                <w:rFonts w:ascii="宋体" w:hAnsi="宋体" w:cs="宋体" w:eastAsia="宋体" w:hint="default"/>
                <w:sz w:val="18"/>
                <w:szCs w:val="18"/>
              </w:rPr>
              <w:t>主要客户</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06"/>
              <w:jc w:val="right"/>
              <w:rPr>
                <w:rFonts w:ascii="Times New Roman" w:hAnsi="Times New Roman" w:cs="Times New Roman" w:eastAsia="Times New Roman" w:hint="default"/>
                <w:sz w:val="18"/>
                <w:szCs w:val="18"/>
              </w:rPr>
            </w:pPr>
            <w:r>
              <w:rPr>
                <w:rFonts w:ascii="Times New Roman"/>
                <w:spacing w:val="-1"/>
                <w:sz w:val="18"/>
              </w:rPr>
              <w:t>20,272,986.46</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0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 </w:t>
            </w:r>
            <w:r>
              <w:rPr>
                <w:rFonts w:ascii="宋体" w:hAnsi="宋体" w:cs="宋体" w:eastAsia="宋体" w:hint="default"/>
                <w:sz w:val="18"/>
                <w:szCs w:val="18"/>
              </w:rPr>
              <w:t>年以内</w:t>
            </w:r>
            <w:r>
              <w:rPr>
                <w:rFonts w:ascii="宋体" w:hAnsi="宋体" w:cs="宋体" w:eastAsia="宋体" w:hint="default"/>
                <w:spacing w:val="-1"/>
                <w:sz w:val="18"/>
                <w:szCs w:val="18"/>
              </w:rPr>
              <w:t> </w:t>
            </w:r>
            <w:r>
              <w:rPr>
                <w:rFonts w:ascii="Times New Roman" w:hAnsi="Times New Roman" w:cs="Times New Roman" w:eastAsia="Times New Roman" w:hint="default"/>
                <w:sz w:val="18"/>
                <w:szCs w:val="18"/>
              </w:rPr>
              <w:t>*2</w:t>
            </w:r>
          </w:p>
        </w:tc>
        <w:tc>
          <w:tcPr>
            <w:tcW w:w="1399"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98"/>
              <w:jc w:val="right"/>
              <w:rPr>
                <w:rFonts w:ascii="Times New Roman" w:hAnsi="Times New Roman" w:cs="Times New Roman" w:eastAsia="Times New Roman" w:hint="default"/>
                <w:sz w:val="18"/>
                <w:szCs w:val="18"/>
              </w:rPr>
            </w:pPr>
            <w:r>
              <w:rPr>
                <w:rFonts w:ascii="Times New Roman"/>
                <w:sz w:val="18"/>
              </w:rPr>
              <w:t>5.55</w:t>
            </w:r>
          </w:p>
        </w:tc>
      </w:tr>
      <w:tr>
        <w:trPr>
          <w:trHeight w:val="460" w:hRule="exact"/>
        </w:trPr>
        <w:tc>
          <w:tcPr>
            <w:tcW w:w="2789"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08" w:right="0"/>
              <w:jc w:val="left"/>
              <w:rPr>
                <w:rFonts w:ascii="宋体" w:hAnsi="宋体" w:cs="宋体" w:eastAsia="宋体" w:hint="default"/>
                <w:sz w:val="18"/>
                <w:szCs w:val="18"/>
              </w:rPr>
            </w:pPr>
            <w:r>
              <w:rPr>
                <w:rFonts w:ascii="宋体" w:hAnsi="宋体" w:cs="宋体" w:eastAsia="宋体" w:hint="default"/>
                <w:sz w:val="18"/>
                <w:szCs w:val="18"/>
              </w:rPr>
              <w:t>中国移动通信集团广东有限公司</w:t>
            </w: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7" w:right="0"/>
              <w:jc w:val="center"/>
              <w:rPr>
                <w:rFonts w:ascii="宋体" w:hAnsi="宋体" w:cs="宋体" w:eastAsia="宋体" w:hint="default"/>
                <w:sz w:val="18"/>
                <w:szCs w:val="18"/>
              </w:rPr>
            </w:pPr>
            <w:r>
              <w:rPr>
                <w:rFonts w:ascii="宋体" w:hAnsi="宋体" w:cs="宋体" w:eastAsia="宋体" w:hint="default"/>
                <w:sz w:val="18"/>
                <w:szCs w:val="18"/>
              </w:rPr>
              <w:t>主要客户</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06"/>
              <w:jc w:val="right"/>
              <w:rPr>
                <w:rFonts w:ascii="Times New Roman" w:hAnsi="Times New Roman" w:cs="Times New Roman" w:eastAsia="Times New Roman" w:hint="default"/>
                <w:sz w:val="18"/>
                <w:szCs w:val="18"/>
              </w:rPr>
            </w:pPr>
            <w:r>
              <w:rPr>
                <w:rFonts w:ascii="Times New Roman"/>
                <w:spacing w:val="-1"/>
                <w:sz w:val="18"/>
              </w:rPr>
              <w:t>13,258,567.11</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399"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98"/>
              <w:jc w:val="right"/>
              <w:rPr>
                <w:rFonts w:ascii="Times New Roman" w:hAnsi="Times New Roman" w:cs="Times New Roman" w:eastAsia="Times New Roman" w:hint="default"/>
                <w:sz w:val="18"/>
                <w:szCs w:val="18"/>
              </w:rPr>
            </w:pPr>
            <w:r>
              <w:rPr>
                <w:rFonts w:ascii="Times New Roman"/>
                <w:sz w:val="18"/>
              </w:rPr>
              <w:t>3.63</w:t>
            </w:r>
          </w:p>
        </w:tc>
      </w:tr>
      <w:tr>
        <w:trPr>
          <w:trHeight w:val="467" w:hRule="exact"/>
        </w:trPr>
        <w:tc>
          <w:tcPr>
            <w:tcW w:w="2789"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left="108" w:right="0"/>
              <w:jc w:val="left"/>
              <w:rPr>
                <w:rFonts w:ascii="宋体" w:hAnsi="宋体" w:cs="宋体" w:eastAsia="宋体" w:hint="default"/>
                <w:sz w:val="18"/>
                <w:szCs w:val="18"/>
              </w:rPr>
            </w:pPr>
            <w:r>
              <w:rPr>
                <w:rFonts w:ascii="宋体" w:hAnsi="宋体" w:cs="宋体" w:eastAsia="宋体" w:hint="default"/>
                <w:sz w:val="18"/>
                <w:szCs w:val="18"/>
              </w:rPr>
              <w:t>中国人寿保险股份有限公司</w:t>
            </w:r>
          </w:p>
        </w:tc>
        <w:tc>
          <w:tcPr>
            <w:tcW w:w="1034"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left="7" w:right="0"/>
              <w:jc w:val="center"/>
              <w:rPr>
                <w:rFonts w:ascii="宋体" w:hAnsi="宋体" w:cs="宋体" w:eastAsia="宋体" w:hint="default"/>
                <w:sz w:val="18"/>
                <w:szCs w:val="18"/>
              </w:rPr>
            </w:pPr>
            <w:r>
              <w:rPr>
                <w:rFonts w:ascii="宋体" w:hAnsi="宋体" w:cs="宋体" w:eastAsia="宋体" w:hint="default"/>
                <w:sz w:val="18"/>
                <w:szCs w:val="18"/>
              </w:rPr>
              <w:t>主要客户</w:t>
            </w:r>
          </w:p>
        </w:tc>
        <w:tc>
          <w:tcPr>
            <w:tcW w:w="1387"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106"/>
              <w:jc w:val="right"/>
              <w:rPr>
                <w:rFonts w:ascii="Times New Roman" w:hAnsi="Times New Roman" w:cs="Times New Roman" w:eastAsia="Times New Roman" w:hint="default"/>
                <w:sz w:val="18"/>
                <w:szCs w:val="18"/>
              </w:rPr>
            </w:pPr>
            <w:r>
              <w:rPr>
                <w:rFonts w:ascii="Times New Roman"/>
                <w:spacing w:val="-1"/>
                <w:sz w:val="18"/>
              </w:rPr>
              <w:t>12,228,251.08</w:t>
            </w:r>
          </w:p>
        </w:tc>
        <w:tc>
          <w:tcPr>
            <w:tcW w:w="1209"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left="10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年以内</w:t>
            </w:r>
            <w:r>
              <w:rPr>
                <w:rFonts w:ascii="宋体" w:hAnsi="宋体" w:cs="宋体" w:eastAsia="宋体" w:hint="default"/>
                <w:spacing w:val="-1"/>
                <w:sz w:val="18"/>
                <w:szCs w:val="18"/>
              </w:rPr>
              <w:t> </w:t>
            </w:r>
            <w:r>
              <w:rPr>
                <w:rFonts w:ascii="Times New Roman" w:hAnsi="Times New Roman" w:cs="Times New Roman" w:eastAsia="Times New Roman" w:hint="default"/>
                <w:sz w:val="18"/>
                <w:szCs w:val="18"/>
              </w:rPr>
              <w:t>*3</w:t>
            </w:r>
          </w:p>
        </w:tc>
        <w:tc>
          <w:tcPr>
            <w:tcW w:w="1399"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98"/>
              <w:jc w:val="right"/>
              <w:rPr>
                <w:rFonts w:ascii="Times New Roman" w:hAnsi="Times New Roman" w:cs="Times New Roman" w:eastAsia="Times New Roman" w:hint="default"/>
                <w:sz w:val="18"/>
                <w:szCs w:val="18"/>
              </w:rPr>
            </w:pPr>
            <w:r>
              <w:rPr>
                <w:rFonts w:ascii="Times New Roman"/>
                <w:sz w:val="18"/>
              </w:rPr>
              <w:t>3.35</w:t>
            </w:r>
          </w:p>
        </w:tc>
      </w:tr>
    </w:tbl>
    <w:p>
      <w:pPr>
        <w:spacing w:line="240" w:lineRule="auto" w:before="4"/>
        <w:rPr>
          <w:rFonts w:ascii="宋体" w:hAnsi="宋体" w:cs="宋体" w:eastAsia="宋体" w:hint="default"/>
          <w:b/>
          <w:bCs/>
          <w:sz w:val="28"/>
          <w:szCs w:val="28"/>
        </w:rPr>
      </w:pPr>
    </w:p>
    <w:p>
      <w:pPr>
        <w:pStyle w:val="BodyText"/>
        <w:spacing w:line="240" w:lineRule="auto" w:before="35"/>
        <w:ind w:left="857" w:right="0"/>
        <w:jc w:val="left"/>
      </w:pPr>
      <w:r>
        <w:rPr>
          <w:rFonts w:ascii="Times New Roman" w:hAnsi="Times New Roman" w:cs="Times New Roman" w:eastAsia="Times New Roman" w:hint="default"/>
        </w:rPr>
        <w:t>*1</w:t>
      </w:r>
      <w:r>
        <w:rPr/>
        <w:t>：其中：</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t>年以内</w:t>
      </w:r>
      <w:r>
        <w:rPr>
          <w:spacing w:val="-57"/>
        </w:rPr>
        <w:t> </w:t>
      </w:r>
      <w:r>
        <w:rPr>
          <w:rFonts w:ascii="Times New Roman" w:hAnsi="Times New Roman" w:cs="Times New Roman" w:eastAsia="Times New Roman" w:hint="default"/>
        </w:rPr>
        <w:t>11,532,338.00</w:t>
      </w:r>
      <w:r>
        <w:rPr>
          <w:rFonts w:ascii="Times New Roman" w:hAnsi="Times New Roman" w:cs="Times New Roman" w:eastAsia="Times New Roman" w:hint="default"/>
          <w:spacing w:val="-3"/>
        </w:rPr>
        <w:t> </w:t>
      </w:r>
      <w:r>
        <w:rPr/>
        <w:t>元；</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年</w:t>
      </w:r>
      <w:r>
        <w:rPr>
          <w:spacing w:val="-58"/>
        </w:rPr>
        <w:t> </w:t>
      </w:r>
      <w:r>
        <w:rPr>
          <w:rFonts w:ascii="Times New Roman" w:hAnsi="Times New Roman" w:cs="Times New Roman" w:eastAsia="Times New Roman" w:hint="default"/>
        </w:rPr>
        <w:t>5,206,702.12</w:t>
      </w:r>
      <w:r>
        <w:rPr>
          <w:rFonts w:ascii="Times New Roman" w:hAnsi="Times New Roman" w:cs="Times New Roman" w:eastAsia="Times New Roman" w:hint="default"/>
          <w:spacing w:val="-3"/>
        </w:rPr>
        <w:t> </w:t>
      </w:r>
      <w:r>
        <w:rPr/>
        <w:t>元；</w:t>
      </w:r>
      <w:r>
        <w:rPr>
          <w:rFonts w:ascii="Times New Roman" w:hAnsi="Times New Roman" w:cs="Times New Roman" w:eastAsia="Times New Roman" w:hint="default"/>
        </w:rPr>
        <w:t>3-4</w:t>
      </w:r>
      <w:r>
        <w:rPr>
          <w:rFonts w:ascii="Times New Roman" w:hAnsi="Times New Roman" w:cs="Times New Roman" w:eastAsia="Times New Roman" w:hint="default"/>
          <w:spacing w:val="-4"/>
        </w:rPr>
        <w:t> </w:t>
      </w:r>
      <w:r>
        <w:rPr/>
        <w:t>年</w:t>
      </w:r>
      <w:r>
        <w:rPr>
          <w:spacing w:val="-58"/>
        </w:rPr>
        <w:t> </w:t>
      </w:r>
      <w:r>
        <w:rPr>
          <w:rFonts w:ascii="Times New Roman" w:hAnsi="Times New Roman" w:cs="Times New Roman" w:eastAsia="Times New Roman" w:hint="default"/>
        </w:rPr>
        <w:t>769,333.12</w:t>
      </w:r>
      <w:r>
        <w:rPr>
          <w:rFonts w:ascii="Times New Roman" w:hAnsi="Times New Roman" w:cs="Times New Roman" w:eastAsia="Times New Roman" w:hint="default"/>
          <w:spacing w:val="-3"/>
        </w:rPr>
        <w:t> </w:t>
      </w:r>
      <w:r>
        <w:rPr/>
        <w:t>元。</w:t>
      </w:r>
    </w:p>
    <w:p>
      <w:pPr>
        <w:pStyle w:val="BodyText"/>
        <w:spacing w:line="240" w:lineRule="auto" w:before="109"/>
        <w:ind w:left="857" w:right="0"/>
        <w:jc w:val="left"/>
      </w:pPr>
      <w:r>
        <w:rPr>
          <w:rFonts w:ascii="Times New Roman" w:hAnsi="Times New Roman" w:cs="Times New Roman" w:eastAsia="Times New Roman" w:hint="default"/>
        </w:rPr>
        <w:t>*2</w:t>
      </w:r>
      <w:r>
        <w:rPr/>
        <w:t>：其中：</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t>年以内</w:t>
      </w:r>
      <w:r>
        <w:rPr>
          <w:spacing w:val="-57"/>
        </w:rPr>
        <w:t> </w:t>
      </w:r>
      <w:r>
        <w:rPr>
          <w:rFonts w:ascii="Times New Roman" w:hAnsi="Times New Roman" w:cs="Times New Roman" w:eastAsia="Times New Roman" w:hint="default"/>
        </w:rPr>
        <w:t>20,262,437.46</w:t>
      </w:r>
      <w:r>
        <w:rPr>
          <w:rFonts w:ascii="Times New Roman" w:hAnsi="Times New Roman" w:cs="Times New Roman" w:eastAsia="Times New Roman" w:hint="default"/>
          <w:spacing w:val="-3"/>
        </w:rPr>
        <w:t> </w:t>
      </w:r>
      <w:r>
        <w:rPr/>
        <w:t>元；</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年</w:t>
      </w:r>
      <w:r>
        <w:rPr>
          <w:spacing w:val="-58"/>
        </w:rPr>
        <w:t> </w:t>
      </w:r>
      <w:r>
        <w:rPr>
          <w:rFonts w:ascii="Times New Roman" w:hAnsi="Times New Roman" w:cs="Times New Roman" w:eastAsia="Times New Roman" w:hint="default"/>
        </w:rPr>
        <w:t>10,549.00</w:t>
      </w:r>
      <w:r>
        <w:rPr>
          <w:rFonts w:ascii="Times New Roman" w:hAnsi="Times New Roman" w:cs="Times New Roman" w:eastAsia="Times New Roman" w:hint="default"/>
          <w:spacing w:val="-3"/>
        </w:rPr>
        <w:t> </w:t>
      </w:r>
      <w:r>
        <w:rPr/>
        <w:t>元。</w:t>
      </w:r>
    </w:p>
    <w:p>
      <w:pPr>
        <w:pStyle w:val="BodyText"/>
        <w:spacing w:line="240" w:lineRule="auto" w:before="109"/>
        <w:ind w:left="857" w:right="0"/>
        <w:jc w:val="left"/>
      </w:pPr>
      <w:r>
        <w:rPr>
          <w:rFonts w:ascii="Times New Roman" w:hAnsi="Times New Roman" w:cs="Times New Roman" w:eastAsia="Times New Roman" w:hint="default"/>
        </w:rPr>
        <w:t>*3</w:t>
      </w:r>
      <w:r>
        <w:rPr/>
        <w:t>：其中：</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年以内</w:t>
      </w:r>
      <w:r>
        <w:rPr>
          <w:spacing w:val="-56"/>
        </w:rPr>
        <w:t> </w:t>
      </w:r>
      <w:r>
        <w:rPr>
          <w:rFonts w:ascii="Times New Roman" w:hAnsi="Times New Roman" w:cs="Times New Roman" w:eastAsia="Times New Roman" w:hint="default"/>
        </w:rPr>
        <w:t>12,226,480.00</w:t>
      </w:r>
      <w:r>
        <w:rPr>
          <w:rFonts w:ascii="Times New Roman" w:hAnsi="Times New Roman" w:cs="Times New Roman" w:eastAsia="Times New Roman" w:hint="default"/>
          <w:spacing w:val="-2"/>
        </w:rPr>
        <w:t> </w:t>
      </w:r>
      <w:r>
        <w:rPr/>
        <w:t>元；</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17,64.60</w:t>
      </w:r>
      <w:r>
        <w:rPr>
          <w:rFonts w:ascii="Times New Roman" w:hAnsi="Times New Roman" w:cs="Times New Roman" w:eastAsia="Times New Roman" w:hint="default"/>
          <w:spacing w:val="-3"/>
        </w:rPr>
        <w:t> </w:t>
      </w:r>
      <w:r>
        <w:rPr/>
        <w:t>元；</w:t>
      </w:r>
      <w:r>
        <w:rPr>
          <w:rFonts w:ascii="Times New Roman" w:hAnsi="Times New Roman" w:cs="Times New Roman" w:eastAsia="Times New Roman" w:hint="default"/>
        </w:rPr>
        <w:t>2-3</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6.48</w:t>
      </w:r>
      <w:r>
        <w:rPr>
          <w:rFonts w:ascii="Times New Roman" w:hAnsi="Times New Roman" w:cs="Times New Roman" w:eastAsia="Times New Roman" w:hint="default"/>
          <w:spacing w:val="-3"/>
        </w:rPr>
        <w:t> </w:t>
      </w:r>
      <w:r>
        <w:rPr/>
        <w:t>元。</w:t>
      </w:r>
    </w:p>
    <w:p>
      <w:pPr>
        <w:spacing w:line="240" w:lineRule="auto" w:before="3"/>
        <w:rPr>
          <w:rFonts w:ascii="宋体" w:hAnsi="宋体" w:cs="宋体" w:eastAsia="宋体" w:hint="default"/>
          <w:sz w:val="32"/>
          <w:szCs w:val="32"/>
        </w:rPr>
      </w:pPr>
    </w:p>
    <w:p>
      <w:pPr>
        <w:pStyle w:val="Heading2"/>
        <w:tabs>
          <w:tab w:pos="854" w:val="left" w:leader="none"/>
        </w:tabs>
        <w:spacing w:line="240" w:lineRule="auto"/>
        <w:ind w:right="3777"/>
        <w:jc w:val="left"/>
        <w:rPr>
          <w:b w:val="0"/>
          <w:bCs w:val="0"/>
        </w:rPr>
      </w:pPr>
      <w:r>
        <w:rPr>
          <w:rFonts w:ascii="Times New Roman" w:hAnsi="Times New Roman" w:cs="Times New Roman" w:eastAsia="Times New Roman" w:hint="default"/>
          <w:w w:val="95"/>
        </w:rPr>
        <w:t>(</w:t>
      </w:r>
      <w:r>
        <w:rPr>
          <w:w w:val="95"/>
        </w:rPr>
        <w:t>四</w:t>
      </w:r>
      <w:r>
        <w:rPr>
          <w:rFonts w:ascii="Times New Roman" w:hAnsi="Times New Roman" w:cs="Times New Roman" w:eastAsia="Times New Roman" w:hint="default"/>
          <w:w w:val="95"/>
        </w:rPr>
        <w:t>)</w:t>
        <w:tab/>
      </w:r>
      <w:r>
        <w:rPr/>
        <w:t>其他应收款</w:t>
      </w:r>
      <w:r>
        <w:rPr>
          <w:b w:val="0"/>
          <w:bCs w:val="0"/>
        </w:rPr>
      </w:r>
    </w:p>
    <w:p>
      <w:pPr>
        <w:tabs>
          <w:tab w:pos="1396" w:val="left" w:leader="none"/>
        </w:tabs>
        <w:spacing w:before="109"/>
        <w:ind w:left="857" w:right="3777" w:firstLine="0"/>
        <w:jc w:val="left"/>
        <w:rPr>
          <w:rFonts w:ascii="宋体" w:hAnsi="宋体" w:cs="宋体" w:eastAsia="宋体" w:hint="default"/>
          <w:sz w:val="21"/>
          <w:szCs w:val="21"/>
        </w:rPr>
      </w:pPr>
      <w:r>
        <w:rPr/>
        <w:pict>
          <v:group style="position:absolute;margin-left:147.210007pt;margin-top:20.772467pt;width:396.8pt;height:78.9pt;mso-position-horizontal-relative:page;mso-position-vertical-relative:paragraph;z-index:-709960" coordorigin="2944,415" coordsize="7936,1578">
            <v:group style="position:absolute;left:2959;top:430;width:7906;height:2" coordorigin="2959,430" coordsize="7906,2">
              <v:shape style="position:absolute;left:2959;top:430;width:7906;height:2" coordorigin="2959,430" coordsize="7906,0" path="m2959,430l10865,430e" filled="false" stroked="true" strokeweight="1.5pt" strokecolor="#000000">
                <v:path arrowok="t"/>
              </v:shape>
              <v:shape style="position:absolute;left:4328;top:426;width:3079;height:413" type="#_x0000_t75" stroked="false">
                <v:imagedata r:id="rId116" o:title=""/>
              </v:shape>
            </v:group>
            <v:group style="position:absolute;left:2959;top:1978;width:1389;height:2" coordorigin="2959,1978" coordsize="1389,2">
              <v:shape style="position:absolute;left:2959;top:1978;width:1389;height:2" coordorigin="2959,1978" coordsize="1389,0" path="m2959,1978l4348,1978e" filled="false" stroked="true" strokeweight="1.5pt" strokecolor="#000000">
                <v:path arrowok="t"/>
              </v:shape>
              <v:shape style="position:absolute;left:4328;top:807;width:6551;height:1176" type="#_x0000_t75" stroked="false">
                <v:imagedata r:id="rId117" o:title=""/>
              </v:shape>
            </v:group>
            <v:group style="position:absolute;left:4348;top:1978;width:932;height:2" coordorigin="4348,1978" coordsize="932,2">
              <v:shape style="position:absolute;left:4348;top:1978;width:932;height:2" coordorigin="4348,1978" coordsize="932,0" path="m4348,1978l5279,1978e" filled="false" stroked="true" strokeweight="1.5pt" strokecolor="#000000">
                <v:path arrowok="t"/>
              </v:shape>
              <v:shape style="position:absolute;left:5260;top:1195;width:48;height:787" type="#_x0000_t75" stroked="false">
                <v:imagedata r:id="rId118" o:title=""/>
              </v:shape>
            </v:group>
            <v:group style="position:absolute;left:5279;top:1978;width:710;height:2" coordorigin="5279,1978" coordsize="710,2">
              <v:shape style="position:absolute;left:5279;top:1978;width:710;height:2" coordorigin="5279,1978" coordsize="710,0" path="m5279,1978l5988,1978e" filled="false" stroked="true" strokeweight="1.5pt" strokecolor="#000000">
                <v:path arrowok="t"/>
              </v:shape>
              <v:shape style="position:absolute;left:5969;top:1195;width:48;height:787" type="#_x0000_t75" stroked="false">
                <v:imagedata r:id="rId118" o:title=""/>
              </v:shape>
            </v:group>
            <v:group style="position:absolute;left:5988;top:1978;width:851;height:2" coordorigin="5988,1978" coordsize="851,2">
              <v:shape style="position:absolute;left:5988;top:1978;width:851;height:2" coordorigin="5988,1978" coordsize="851,0" path="m5988,1978l6839,1978e" filled="false" stroked="true" strokeweight="1.5pt" strokecolor="#000000">
                <v:path arrowok="t"/>
              </v:shape>
              <v:shape style="position:absolute;left:6820;top:1195;width:48;height:787" type="#_x0000_t75" stroked="false">
                <v:imagedata r:id="rId118" o:title=""/>
              </v:shape>
            </v:group>
            <v:group style="position:absolute;left:6839;top:1978;width:540;height:2" coordorigin="6839,1978" coordsize="540,2">
              <v:shape style="position:absolute;left:6839;top:1978;width:540;height:2" coordorigin="6839,1978" coordsize="540,0" path="m6839,1978l7379,1978e" filled="false" stroked="true" strokeweight="1.5pt" strokecolor="#000000">
                <v:path arrowok="t"/>
              </v:shape>
              <v:shape style="position:absolute;left:7360;top:1195;width:48;height:787" type="#_x0000_t75" stroked="false">
                <v:imagedata r:id="rId118" o:title=""/>
              </v:shape>
            </v:group>
            <v:group style="position:absolute;left:7379;top:1978;width:1019;height:2" coordorigin="7379,1978" coordsize="1019,2">
              <v:shape style="position:absolute;left:7379;top:1978;width:1019;height:2" coordorigin="7379,1978" coordsize="1019,0" path="m7379,1978l8398,1978e" filled="false" stroked="true" strokeweight="1.5pt" strokecolor="#000000">
                <v:path arrowok="t"/>
              </v:shape>
              <v:shape style="position:absolute;left:8378;top:1195;width:48;height:768" type="#_x0000_t75" stroked="false">
                <v:imagedata r:id="rId119" o:title=""/>
              </v:shape>
            </v:group>
            <v:group style="position:absolute;left:8398;top:1978;width:767;height:2" coordorigin="8398,1978" coordsize="767,2">
              <v:shape style="position:absolute;left:8398;top:1978;width:767;height:2" coordorigin="8398,1978" coordsize="767,0" path="m8398,1978l9164,1978e" filled="false" stroked="true" strokeweight="1.5pt" strokecolor="#000000">
                <v:path arrowok="t"/>
              </v:shape>
              <v:shape style="position:absolute;left:9145;top:1195;width:48;height:787" type="#_x0000_t75" stroked="false">
                <v:imagedata r:id="rId118" o:title=""/>
              </v:shape>
            </v:group>
            <v:group style="position:absolute;left:9164;top:1978;width:995;height:2" coordorigin="9164,1978" coordsize="995,2">
              <v:shape style="position:absolute;left:9164;top:1978;width:995;height:2" coordorigin="9164,1978" coordsize="995,0" path="m9164,1978l10159,1978e" filled="false" stroked="true" strokeweight="1.5pt" strokecolor="#000000">
                <v:path arrowok="t"/>
              </v:shape>
              <v:shape style="position:absolute;left:10140;top:1195;width:48;height:787" type="#_x0000_t75" stroked="false">
                <v:imagedata r:id="rId118" o:title=""/>
              </v:shape>
            </v:group>
            <v:group style="position:absolute;left:10159;top:1978;width:706;height:2" coordorigin="10159,1978" coordsize="706,2">
              <v:shape style="position:absolute;left:10159;top:1978;width:706;height:2" coordorigin="10159,1978" coordsize="706,0" path="m10159,1978l10865,1978e" filled="false" stroked="true" strokeweight="1.5pt" strokecolor="#000000">
                <v:path arrowok="t"/>
              </v:shape>
            </v:group>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其他应收款按种类披露：</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tbl>
      <w:tblPr>
        <w:tblW w:w="0" w:type="auto"/>
        <w:jc w:val="left"/>
        <w:tblInd w:w="1661" w:type="dxa"/>
        <w:tblLayout w:type="fixed"/>
        <w:tblCellMar>
          <w:top w:w="0" w:type="dxa"/>
          <w:left w:w="0" w:type="dxa"/>
          <w:bottom w:w="0" w:type="dxa"/>
          <w:right w:w="0" w:type="dxa"/>
        </w:tblCellMar>
        <w:tblLook w:val="01E0"/>
      </w:tblPr>
      <w:tblGrid>
        <w:gridCol w:w="2121"/>
        <w:gridCol w:w="764"/>
        <w:gridCol w:w="742"/>
        <w:gridCol w:w="592"/>
        <w:gridCol w:w="982"/>
        <w:gridCol w:w="808"/>
        <w:gridCol w:w="735"/>
        <w:gridCol w:w="800"/>
      </w:tblGrid>
      <w:tr>
        <w:trPr>
          <w:trHeight w:val="393" w:hRule="exact"/>
        </w:trPr>
        <w:tc>
          <w:tcPr>
            <w:tcW w:w="2121" w:type="dxa"/>
            <w:tcBorders>
              <w:top w:val="nil" w:sz="6" w:space="0" w:color="auto"/>
              <w:left w:val="nil" w:sz="6" w:space="0" w:color="auto"/>
              <w:bottom w:val="nil" w:sz="6" w:space="0" w:color="auto"/>
              <w:right w:val="nil" w:sz="6" w:space="0" w:color="auto"/>
            </w:tcBorders>
          </w:tcPr>
          <w:p>
            <w:pPr/>
          </w:p>
        </w:tc>
        <w:tc>
          <w:tcPr>
            <w:tcW w:w="764"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65" w:right="0"/>
              <w:jc w:val="left"/>
              <w:rPr>
                <w:rFonts w:ascii="宋体" w:hAnsi="宋体" w:cs="宋体" w:eastAsia="宋体" w:hint="default"/>
                <w:sz w:val="13"/>
                <w:szCs w:val="13"/>
              </w:rPr>
            </w:pPr>
            <w:r>
              <w:rPr>
                <w:rFonts w:ascii="宋体" w:hAnsi="宋体" w:cs="宋体" w:eastAsia="宋体" w:hint="default"/>
                <w:sz w:val="13"/>
                <w:szCs w:val="13"/>
              </w:rPr>
              <w:t>期末余额</w:t>
            </w:r>
          </w:p>
        </w:tc>
        <w:tc>
          <w:tcPr>
            <w:tcW w:w="742" w:type="dxa"/>
            <w:tcBorders>
              <w:top w:val="nil" w:sz="6" w:space="0" w:color="auto"/>
              <w:left w:val="nil" w:sz="6" w:space="0" w:color="auto"/>
              <w:bottom w:val="nil" w:sz="6" w:space="0" w:color="auto"/>
              <w:right w:val="nil" w:sz="6" w:space="0" w:color="auto"/>
            </w:tcBorders>
          </w:tcPr>
          <w:p>
            <w:pPr/>
          </w:p>
        </w:tc>
        <w:tc>
          <w:tcPr>
            <w:tcW w:w="592" w:type="dxa"/>
            <w:tcBorders>
              <w:top w:val="nil" w:sz="6" w:space="0" w:color="auto"/>
              <w:left w:val="nil" w:sz="6" w:space="0" w:color="auto"/>
              <w:bottom w:val="nil" w:sz="6" w:space="0" w:color="auto"/>
              <w:right w:val="nil" w:sz="6" w:space="0" w:color="auto"/>
            </w:tcBorders>
          </w:tcPr>
          <w:p>
            <w:pPr/>
          </w:p>
        </w:tc>
        <w:tc>
          <w:tcPr>
            <w:tcW w:w="982" w:type="dxa"/>
            <w:tcBorders>
              <w:top w:val="nil" w:sz="6" w:space="0" w:color="auto"/>
              <w:left w:val="nil" w:sz="6" w:space="0" w:color="auto"/>
              <w:bottom w:val="nil" w:sz="6" w:space="0" w:color="auto"/>
              <w:right w:val="nil" w:sz="6" w:space="0" w:color="auto"/>
            </w:tcBorders>
          </w:tcPr>
          <w:p>
            <w:pPr/>
          </w:p>
        </w:tc>
        <w:tc>
          <w:tcPr>
            <w:tcW w:w="154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6"/>
              <w:ind w:left="345" w:right="0"/>
              <w:jc w:val="left"/>
              <w:rPr>
                <w:rFonts w:ascii="宋体" w:hAnsi="宋体" w:cs="宋体" w:eastAsia="宋体" w:hint="default"/>
                <w:sz w:val="13"/>
                <w:szCs w:val="13"/>
              </w:rPr>
            </w:pPr>
            <w:r>
              <w:rPr>
                <w:rFonts w:ascii="宋体" w:hAnsi="宋体" w:cs="宋体" w:eastAsia="宋体" w:hint="default"/>
                <w:sz w:val="13"/>
                <w:szCs w:val="13"/>
              </w:rPr>
              <w:t>年初余额</w:t>
            </w:r>
          </w:p>
        </w:tc>
        <w:tc>
          <w:tcPr>
            <w:tcW w:w="800" w:type="dxa"/>
            <w:tcBorders>
              <w:top w:val="nil" w:sz="6" w:space="0" w:color="auto"/>
              <w:left w:val="nil" w:sz="6" w:space="0" w:color="auto"/>
              <w:bottom w:val="nil" w:sz="6" w:space="0" w:color="auto"/>
              <w:right w:val="nil" w:sz="6" w:space="0" w:color="auto"/>
            </w:tcBorders>
          </w:tcPr>
          <w:p>
            <w:pPr/>
          </w:p>
        </w:tc>
      </w:tr>
      <w:tr>
        <w:trPr>
          <w:trHeight w:val="278" w:hRule="exact"/>
        </w:trPr>
        <w:tc>
          <w:tcPr>
            <w:tcW w:w="212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8"/>
              <w:jc w:val="right"/>
              <w:rPr>
                <w:rFonts w:ascii="宋体" w:hAnsi="宋体" w:cs="宋体" w:eastAsia="宋体" w:hint="default"/>
                <w:sz w:val="13"/>
                <w:szCs w:val="13"/>
              </w:rPr>
            </w:pPr>
            <w:r>
              <w:rPr>
                <w:rFonts w:ascii="宋体" w:hAnsi="宋体" w:cs="宋体" w:eastAsia="宋体" w:hint="default"/>
                <w:w w:val="95"/>
                <w:sz w:val="13"/>
                <w:szCs w:val="13"/>
              </w:rPr>
              <w:t>账面余额</w:t>
            </w:r>
            <w:r>
              <w:rPr>
                <w:rFonts w:ascii="宋体" w:hAnsi="宋体" w:cs="宋体" w:eastAsia="宋体" w:hint="default"/>
                <w:sz w:val="13"/>
                <w:szCs w:val="13"/>
              </w:rPr>
            </w:r>
          </w:p>
        </w:tc>
        <w:tc>
          <w:tcPr>
            <w:tcW w:w="764"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Style w:val="TableParagraph"/>
              <w:spacing w:line="240" w:lineRule="auto" w:before="86"/>
              <w:ind w:left="220" w:right="0"/>
              <w:jc w:val="left"/>
              <w:rPr>
                <w:rFonts w:ascii="宋体" w:hAnsi="宋体" w:cs="宋体" w:eastAsia="宋体" w:hint="default"/>
                <w:sz w:val="13"/>
                <w:szCs w:val="13"/>
              </w:rPr>
            </w:pPr>
            <w:r>
              <w:rPr>
                <w:rFonts w:ascii="宋体" w:hAnsi="宋体" w:cs="宋体" w:eastAsia="宋体" w:hint="default"/>
                <w:sz w:val="13"/>
                <w:szCs w:val="13"/>
              </w:rPr>
              <w:t>坏账准备</w:t>
            </w:r>
          </w:p>
        </w:tc>
        <w:tc>
          <w:tcPr>
            <w:tcW w:w="592" w:type="dxa"/>
            <w:tcBorders>
              <w:top w:val="nil" w:sz="6" w:space="0" w:color="auto"/>
              <w:left w:val="nil" w:sz="6" w:space="0" w:color="auto"/>
              <w:bottom w:val="nil" w:sz="6" w:space="0" w:color="auto"/>
              <w:right w:val="nil" w:sz="6" w:space="0" w:color="auto"/>
            </w:tcBorders>
          </w:tcPr>
          <w:p>
            <w:pP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86"/>
              <w:ind w:left="476" w:right="-13"/>
              <w:jc w:val="left"/>
              <w:rPr>
                <w:rFonts w:ascii="宋体" w:hAnsi="宋体" w:cs="宋体" w:eastAsia="宋体" w:hint="default"/>
                <w:sz w:val="13"/>
                <w:szCs w:val="13"/>
              </w:rPr>
            </w:pPr>
            <w:r>
              <w:rPr>
                <w:rFonts w:ascii="宋体" w:hAnsi="宋体" w:cs="宋体" w:eastAsia="宋体" w:hint="default"/>
                <w:w w:val="95"/>
                <w:sz w:val="13"/>
                <w:szCs w:val="13"/>
              </w:rPr>
              <w:t>账面余额</w:t>
            </w:r>
            <w:r>
              <w:rPr>
                <w:rFonts w:ascii="宋体" w:hAnsi="宋体" w:cs="宋体" w:eastAsia="宋体" w:hint="default"/>
                <w:sz w:val="13"/>
                <w:szCs w:val="13"/>
              </w:rPr>
            </w:r>
          </w:p>
        </w:tc>
        <w:tc>
          <w:tcPr>
            <w:tcW w:w="808" w:type="dxa"/>
            <w:tcBorders>
              <w:top w:val="nil" w:sz="6" w:space="0" w:color="auto"/>
              <w:left w:val="nil" w:sz="6" w:space="0" w:color="auto"/>
              <w:bottom w:val="nil" w:sz="6" w:space="0" w:color="auto"/>
              <w:right w:val="nil" w:sz="6" w:space="0" w:color="auto"/>
            </w:tcBorders>
          </w:tcPr>
          <w:p>
            <w:pPr/>
          </w:p>
        </w:tc>
        <w:tc>
          <w:tcPr>
            <w:tcW w:w="153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6"/>
              <w:ind w:left="430" w:right="0"/>
              <w:jc w:val="left"/>
              <w:rPr>
                <w:rFonts w:ascii="宋体" w:hAnsi="宋体" w:cs="宋体" w:eastAsia="宋体" w:hint="default"/>
                <w:sz w:val="13"/>
                <w:szCs w:val="13"/>
              </w:rPr>
            </w:pPr>
            <w:r>
              <w:rPr>
                <w:rFonts w:ascii="宋体" w:hAnsi="宋体" w:cs="宋体" w:eastAsia="宋体" w:hint="default"/>
                <w:sz w:val="13"/>
                <w:szCs w:val="13"/>
              </w:rPr>
              <w:t>坏账准备</w:t>
            </w:r>
          </w:p>
        </w:tc>
      </w:tr>
      <w:tr>
        <w:trPr>
          <w:trHeight w:val="193" w:hRule="exact"/>
        </w:trPr>
        <w:tc>
          <w:tcPr>
            <w:tcW w:w="2121" w:type="dxa"/>
            <w:tcBorders>
              <w:top w:val="nil" w:sz="6" w:space="0" w:color="auto"/>
              <w:left w:val="nil" w:sz="6" w:space="0" w:color="auto"/>
              <w:bottom w:val="nil" w:sz="6" w:space="0" w:color="auto"/>
              <w:right w:val="nil" w:sz="6" w:space="0" w:color="auto"/>
            </w:tcBorders>
          </w:tcPr>
          <w:p>
            <w:pPr>
              <w:pStyle w:val="TableParagraph"/>
              <w:spacing w:line="151" w:lineRule="exact"/>
              <w:ind w:left="200" w:right="0"/>
              <w:jc w:val="left"/>
              <w:rPr>
                <w:rFonts w:ascii="宋体" w:hAnsi="宋体" w:cs="宋体" w:eastAsia="宋体" w:hint="default"/>
                <w:sz w:val="13"/>
                <w:szCs w:val="13"/>
              </w:rPr>
            </w:pPr>
            <w:r>
              <w:rPr>
                <w:rFonts w:ascii="宋体" w:hAnsi="宋体" w:cs="宋体" w:eastAsia="宋体" w:hint="default"/>
                <w:sz w:val="13"/>
                <w:szCs w:val="13"/>
              </w:rPr>
              <w:t>种类</w:t>
            </w:r>
          </w:p>
        </w:tc>
        <w:tc>
          <w:tcPr>
            <w:tcW w:w="764"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
        </w:tc>
        <w:tc>
          <w:tcPr>
            <w:tcW w:w="592" w:type="dxa"/>
            <w:tcBorders>
              <w:top w:val="nil" w:sz="6" w:space="0" w:color="auto"/>
              <w:left w:val="nil" w:sz="6" w:space="0" w:color="auto"/>
              <w:bottom w:val="nil" w:sz="6" w:space="0" w:color="auto"/>
              <w:right w:val="nil" w:sz="6" w:space="0" w:color="auto"/>
            </w:tcBorders>
          </w:tcPr>
          <w:p>
            <w:pPr/>
          </w:p>
        </w:tc>
        <w:tc>
          <w:tcPr>
            <w:tcW w:w="982" w:type="dxa"/>
            <w:tcBorders>
              <w:top w:val="nil" w:sz="6" w:space="0" w:color="auto"/>
              <w:left w:val="nil" w:sz="6" w:space="0" w:color="auto"/>
              <w:bottom w:val="nil" w:sz="6" w:space="0" w:color="auto"/>
              <w:right w:val="nil" w:sz="6" w:space="0" w:color="auto"/>
            </w:tcBorders>
          </w:tcPr>
          <w:p>
            <w:pPr/>
          </w:p>
        </w:tc>
        <w:tc>
          <w:tcPr>
            <w:tcW w:w="808" w:type="dxa"/>
            <w:tcBorders>
              <w:top w:val="nil" w:sz="6" w:space="0" w:color="auto"/>
              <w:left w:val="nil" w:sz="6" w:space="0" w:color="auto"/>
              <w:bottom w:val="nil" w:sz="6" w:space="0" w:color="auto"/>
              <w:right w:val="nil" w:sz="6" w:space="0" w:color="auto"/>
            </w:tcBorders>
          </w:tcPr>
          <w:p>
            <w:pPr/>
          </w:p>
        </w:tc>
        <w:tc>
          <w:tcPr>
            <w:tcW w:w="735" w:type="dxa"/>
            <w:tcBorders>
              <w:top w:val="nil" w:sz="6" w:space="0" w:color="auto"/>
              <w:left w:val="nil" w:sz="6" w:space="0" w:color="auto"/>
              <w:bottom w:val="nil" w:sz="6" w:space="0" w:color="auto"/>
              <w:right w:val="nil" w:sz="6" w:space="0" w:color="auto"/>
            </w:tcBorders>
          </w:tcPr>
          <w:p>
            <w:pPr/>
          </w:p>
        </w:tc>
        <w:tc>
          <w:tcPr>
            <w:tcW w:w="800" w:type="dxa"/>
            <w:tcBorders>
              <w:top w:val="nil" w:sz="6" w:space="0" w:color="auto"/>
              <w:left w:val="nil" w:sz="6" w:space="0" w:color="auto"/>
              <w:bottom w:val="nil" w:sz="6" w:space="0" w:color="auto"/>
              <w:right w:val="nil" w:sz="6" w:space="0" w:color="auto"/>
            </w:tcBorders>
          </w:tcPr>
          <w:p>
            <w:pPr/>
          </w:p>
        </w:tc>
      </w:tr>
      <w:tr>
        <w:trPr>
          <w:trHeight w:val="684" w:hRule="exact"/>
        </w:trPr>
        <w:tc>
          <w:tcPr>
            <w:tcW w:w="212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366" w:right="0"/>
              <w:jc w:val="left"/>
              <w:rPr>
                <w:rFonts w:ascii="宋体" w:hAnsi="宋体" w:cs="宋体" w:eastAsia="宋体" w:hint="default"/>
                <w:sz w:val="13"/>
                <w:szCs w:val="13"/>
              </w:rPr>
            </w:pPr>
            <w:r>
              <w:rPr>
                <w:rFonts w:ascii="宋体" w:hAnsi="宋体" w:cs="宋体" w:eastAsia="宋体" w:hint="default"/>
                <w:sz w:val="13"/>
                <w:szCs w:val="13"/>
              </w:rPr>
              <w:t>金额</w:t>
            </w:r>
          </w:p>
        </w:tc>
        <w:tc>
          <w:tcPr>
            <w:tcW w:w="764" w:type="dxa"/>
            <w:tcBorders>
              <w:top w:val="nil" w:sz="6" w:space="0" w:color="auto"/>
              <w:left w:val="nil" w:sz="6" w:space="0" w:color="auto"/>
              <w:bottom w:val="nil" w:sz="6" w:space="0" w:color="auto"/>
              <w:right w:val="nil" w:sz="6" w:space="0" w:color="auto"/>
            </w:tcBorders>
          </w:tcPr>
          <w:p>
            <w:pPr>
              <w:pStyle w:val="TableParagraph"/>
              <w:spacing w:line="240" w:lineRule="auto" w:before="1"/>
              <w:ind w:left="64" w:right="0"/>
              <w:jc w:val="left"/>
              <w:rPr>
                <w:rFonts w:ascii="宋体" w:hAnsi="宋体" w:cs="宋体" w:eastAsia="宋体" w:hint="default"/>
                <w:sz w:val="13"/>
                <w:szCs w:val="13"/>
              </w:rPr>
            </w:pPr>
            <w:r>
              <w:rPr>
                <w:rFonts w:ascii="宋体" w:hAnsi="宋体" w:cs="宋体" w:eastAsia="宋体" w:hint="default"/>
                <w:sz w:val="13"/>
                <w:szCs w:val="13"/>
              </w:rPr>
              <w:t>比例</w:t>
            </w: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0" w:right="0"/>
              <w:jc w:val="left"/>
              <w:rPr>
                <w:rFonts w:ascii="宋体" w:hAnsi="宋体" w:cs="宋体" w:eastAsia="宋体" w:hint="default"/>
                <w:sz w:val="13"/>
                <w:szCs w:val="13"/>
              </w:rPr>
            </w:pPr>
            <w:r>
              <w:rPr>
                <w:rFonts w:ascii="宋体" w:hAnsi="宋体" w:cs="宋体" w:eastAsia="宋体" w:hint="default"/>
                <w:sz w:val="13"/>
                <w:szCs w:val="13"/>
              </w:rPr>
              <w:t>（</w:t>
            </w:r>
            <w:r>
              <w:rPr>
                <w:rFonts w:ascii="Times New Roman" w:hAnsi="Times New Roman" w:cs="Times New Roman" w:eastAsia="Times New Roman" w:hint="default"/>
                <w:sz w:val="13"/>
                <w:szCs w:val="13"/>
              </w:rPr>
              <w:t>%</w:t>
            </w:r>
            <w:r>
              <w:rPr>
                <w:rFonts w:ascii="宋体" w:hAnsi="宋体" w:cs="宋体" w:eastAsia="宋体" w:hint="default"/>
                <w:sz w:val="13"/>
                <w:szCs w:val="13"/>
              </w:rPr>
              <w:t>）</w:t>
            </w:r>
          </w:p>
        </w:tc>
        <w:tc>
          <w:tcPr>
            <w:tcW w:w="74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80" w:right="0"/>
              <w:jc w:val="left"/>
              <w:rPr>
                <w:rFonts w:ascii="宋体" w:hAnsi="宋体" w:cs="宋体" w:eastAsia="宋体" w:hint="default"/>
                <w:sz w:val="13"/>
                <w:szCs w:val="13"/>
              </w:rPr>
            </w:pPr>
            <w:r>
              <w:rPr>
                <w:rFonts w:ascii="宋体" w:hAnsi="宋体" w:cs="宋体" w:eastAsia="宋体" w:hint="default"/>
                <w:sz w:val="13"/>
                <w:szCs w:val="13"/>
              </w:rPr>
              <w:t>金额</w:t>
            </w:r>
          </w:p>
        </w:tc>
        <w:tc>
          <w:tcPr>
            <w:tcW w:w="592" w:type="dxa"/>
            <w:tcBorders>
              <w:top w:val="nil" w:sz="6" w:space="0" w:color="auto"/>
              <w:left w:val="nil" w:sz="6" w:space="0" w:color="auto"/>
              <w:bottom w:val="nil" w:sz="6" w:space="0" w:color="auto"/>
              <w:right w:val="nil" w:sz="6" w:space="0" w:color="auto"/>
            </w:tcBorders>
          </w:tcPr>
          <w:p>
            <w:pPr>
              <w:pStyle w:val="TableParagraph"/>
              <w:spacing w:line="240" w:lineRule="auto" w:before="1"/>
              <w:ind w:left="33" w:right="0"/>
              <w:jc w:val="left"/>
              <w:rPr>
                <w:rFonts w:ascii="宋体" w:hAnsi="宋体" w:cs="宋体" w:eastAsia="宋体" w:hint="default"/>
                <w:sz w:val="13"/>
                <w:szCs w:val="13"/>
              </w:rPr>
            </w:pPr>
            <w:r>
              <w:rPr>
                <w:rFonts w:ascii="宋体" w:hAnsi="宋体" w:cs="宋体" w:eastAsia="宋体" w:hint="default"/>
                <w:sz w:val="13"/>
                <w:szCs w:val="13"/>
              </w:rPr>
              <w:t>比例</w:t>
            </w: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2" w:right="0"/>
              <w:jc w:val="left"/>
              <w:rPr>
                <w:rFonts w:ascii="宋体" w:hAnsi="宋体" w:cs="宋体" w:eastAsia="宋体" w:hint="default"/>
                <w:sz w:val="13"/>
                <w:szCs w:val="13"/>
              </w:rPr>
            </w:pPr>
            <w:r>
              <w:rPr>
                <w:rFonts w:ascii="宋体" w:hAnsi="宋体" w:cs="宋体" w:eastAsia="宋体" w:hint="default"/>
                <w:sz w:val="13"/>
                <w:szCs w:val="13"/>
              </w:rPr>
              <w:t>（</w:t>
            </w:r>
            <w:r>
              <w:rPr>
                <w:rFonts w:ascii="Times New Roman" w:hAnsi="Times New Roman" w:cs="Times New Roman" w:eastAsia="Times New Roman" w:hint="default"/>
                <w:sz w:val="13"/>
                <w:szCs w:val="13"/>
              </w:rPr>
              <w:t>%</w:t>
            </w:r>
            <w:r>
              <w:rPr>
                <w:rFonts w:ascii="宋体" w:hAnsi="宋体" w:cs="宋体" w:eastAsia="宋体" w:hint="default"/>
                <w:sz w:val="13"/>
                <w:szCs w:val="13"/>
              </w:rPr>
              <w:t>）</w:t>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222" w:right="0"/>
              <w:jc w:val="left"/>
              <w:rPr>
                <w:rFonts w:ascii="宋体" w:hAnsi="宋体" w:cs="宋体" w:eastAsia="宋体" w:hint="default"/>
                <w:sz w:val="13"/>
                <w:szCs w:val="13"/>
              </w:rPr>
            </w:pPr>
            <w:r>
              <w:rPr>
                <w:rFonts w:ascii="宋体" w:hAnsi="宋体" w:cs="宋体" w:eastAsia="宋体" w:hint="default"/>
                <w:sz w:val="13"/>
                <w:szCs w:val="13"/>
              </w:rPr>
              <w:t>金额</w:t>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3" w:right="0"/>
              <w:jc w:val="left"/>
              <w:rPr>
                <w:rFonts w:ascii="宋体" w:hAnsi="宋体" w:cs="宋体" w:eastAsia="宋体" w:hint="default"/>
                <w:sz w:val="13"/>
                <w:szCs w:val="13"/>
              </w:rPr>
            </w:pPr>
            <w:r>
              <w:rPr>
                <w:rFonts w:ascii="宋体" w:hAnsi="宋体" w:cs="宋体" w:eastAsia="宋体" w:hint="default"/>
                <w:spacing w:val="-3"/>
                <w:sz w:val="13"/>
                <w:szCs w:val="13"/>
              </w:rPr>
              <w:t>比例（</w:t>
            </w:r>
            <w:r>
              <w:rPr>
                <w:rFonts w:ascii="Times New Roman" w:hAnsi="Times New Roman" w:cs="Times New Roman" w:eastAsia="Times New Roman" w:hint="default"/>
                <w:spacing w:val="-3"/>
                <w:sz w:val="13"/>
                <w:szCs w:val="13"/>
              </w:rPr>
              <w:t>%</w:t>
            </w:r>
            <w:r>
              <w:rPr>
                <w:rFonts w:ascii="宋体" w:hAnsi="宋体" w:cs="宋体" w:eastAsia="宋体" w:hint="default"/>
                <w:spacing w:val="-3"/>
                <w:sz w:val="13"/>
                <w:szCs w:val="13"/>
              </w:rPr>
              <w:t>）</w:t>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205" w:right="0"/>
              <w:jc w:val="left"/>
              <w:rPr>
                <w:rFonts w:ascii="宋体" w:hAnsi="宋体" w:cs="宋体" w:eastAsia="宋体" w:hint="default"/>
                <w:sz w:val="13"/>
                <w:szCs w:val="13"/>
              </w:rPr>
            </w:pPr>
            <w:r>
              <w:rPr>
                <w:rFonts w:ascii="宋体" w:hAnsi="宋体" w:cs="宋体" w:eastAsia="宋体" w:hint="default"/>
                <w:sz w:val="13"/>
                <w:szCs w:val="13"/>
              </w:rPr>
              <w:t>金额</w:t>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before="1"/>
              <w:ind w:left="322" w:right="0"/>
              <w:jc w:val="left"/>
              <w:rPr>
                <w:rFonts w:ascii="宋体" w:hAnsi="宋体" w:cs="宋体" w:eastAsia="宋体" w:hint="default"/>
                <w:sz w:val="13"/>
                <w:szCs w:val="13"/>
              </w:rPr>
            </w:pPr>
            <w:r>
              <w:rPr>
                <w:rFonts w:ascii="宋体" w:hAnsi="宋体" w:cs="宋体" w:eastAsia="宋体" w:hint="default"/>
                <w:sz w:val="13"/>
                <w:szCs w:val="13"/>
              </w:rPr>
              <w:t>比例</w:t>
            </w: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269" w:right="0"/>
              <w:jc w:val="left"/>
              <w:rPr>
                <w:rFonts w:ascii="宋体" w:hAnsi="宋体" w:cs="宋体" w:eastAsia="宋体" w:hint="default"/>
                <w:sz w:val="13"/>
                <w:szCs w:val="13"/>
              </w:rPr>
            </w:pPr>
            <w:r>
              <w:rPr>
                <w:rFonts w:ascii="宋体" w:hAnsi="宋体" w:cs="宋体" w:eastAsia="宋体" w:hint="default"/>
                <w:sz w:val="13"/>
                <w:szCs w:val="13"/>
              </w:rPr>
              <w:t>（</w:t>
            </w:r>
            <w:r>
              <w:rPr>
                <w:rFonts w:ascii="Times New Roman" w:hAnsi="Times New Roman" w:cs="Times New Roman" w:eastAsia="Times New Roman" w:hint="default"/>
                <w:sz w:val="13"/>
                <w:szCs w:val="13"/>
              </w:rPr>
              <w:t>%</w:t>
            </w:r>
            <w:r>
              <w:rPr>
                <w:rFonts w:ascii="宋体" w:hAnsi="宋体" w:cs="宋体" w:eastAsia="宋体" w:hint="default"/>
                <w:sz w:val="13"/>
                <w:szCs w:val="13"/>
              </w:rPr>
              <w:t>）</w:t>
            </w:r>
          </w:p>
        </w:tc>
      </w:tr>
    </w:tbl>
    <w:p>
      <w:pPr>
        <w:spacing w:after="0" w:line="240" w:lineRule="auto"/>
        <w:jc w:val="left"/>
        <w:rPr>
          <w:rFonts w:ascii="宋体" w:hAnsi="宋体" w:cs="宋体" w:eastAsia="宋体" w:hint="default"/>
          <w:sz w:val="13"/>
          <w:szCs w:val="13"/>
        </w:rPr>
        <w:sectPr>
          <w:pgSz w:w="11910" w:h="16840"/>
          <w:pgMar w:header="851" w:footer="982" w:top="1300" w:bottom="1180" w:left="1660" w:right="760"/>
        </w:sectPr>
      </w:pPr>
    </w:p>
    <w:p>
      <w:pPr>
        <w:spacing w:line="240" w:lineRule="auto" w:before="3"/>
        <w:rPr>
          <w:rFonts w:ascii="宋体" w:hAnsi="宋体" w:cs="宋体" w:eastAsia="宋体" w:hint="default"/>
          <w:b/>
          <w:bCs/>
          <w:sz w:val="2"/>
          <w:szCs w:val="2"/>
        </w:rPr>
      </w:pPr>
      <w:r>
        <w:rPr/>
        <w:pict>
          <v:group style="position:absolute;margin-left:88.5pt;margin-top:67.680pt;width:443.6pt;height:.1pt;mso-position-horizontal-relative:page;mso-position-vertical-relative:page;z-index:-709936" coordorigin="1770,1354" coordsize="8872,2">
            <v:shape style="position:absolute;left:1770;top:1354;width:8872;height:2" coordorigin="1770,1354" coordsize="8872,0" path="m1770,1354l10642,1354e" filled="false" stroked="true" strokeweight=".72pt" strokecolor="#000000">
              <v:path arrowok="t"/>
            </v:shape>
            <w10:wrap type="none"/>
          </v:group>
        </w:pict>
      </w:r>
    </w:p>
    <w:tbl>
      <w:tblPr>
        <w:tblW w:w="0" w:type="auto"/>
        <w:jc w:val="left"/>
        <w:tblInd w:w="1291" w:type="dxa"/>
        <w:tblLayout w:type="fixed"/>
        <w:tblCellMar>
          <w:top w:w="0" w:type="dxa"/>
          <w:left w:w="0" w:type="dxa"/>
          <w:bottom w:w="0" w:type="dxa"/>
          <w:right w:w="0" w:type="dxa"/>
        </w:tblCellMar>
        <w:tblLook w:val="01E0"/>
      </w:tblPr>
      <w:tblGrid>
        <w:gridCol w:w="1418"/>
        <w:gridCol w:w="982"/>
        <w:gridCol w:w="665"/>
        <w:gridCol w:w="874"/>
        <w:gridCol w:w="553"/>
        <w:gridCol w:w="1056"/>
        <w:gridCol w:w="767"/>
        <w:gridCol w:w="1030"/>
        <w:gridCol w:w="568"/>
      </w:tblGrid>
      <w:tr>
        <w:trPr>
          <w:trHeight w:val="1243" w:hRule="exact"/>
        </w:trPr>
        <w:tc>
          <w:tcPr>
            <w:tcW w:w="1418" w:type="dxa"/>
            <w:tcBorders>
              <w:top w:val="single" w:sz="12" w:space="0" w:color="000000"/>
              <w:left w:val="nil" w:sz="6" w:space="0" w:color="auto"/>
              <w:bottom w:val="nil" w:sz="6" w:space="0" w:color="auto"/>
              <w:right w:val="nil" w:sz="6" w:space="0" w:color="auto"/>
            </w:tcBorders>
          </w:tcPr>
          <w:p>
            <w:pPr>
              <w:pStyle w:val="TableParagraph"/>
              <w:spacing w:line="528" w:lineRule="auto" w:before="81"/>
              <w:ind w:left="108" w:right="122"/>
              <w:jc w:val="left"/>
              <w:rPr>
                <w:rFonts w:ascii="宋体" w:hAnsi="宋体" w:cs="宋体" w:eastAsia="宋体" w:hint="default"/>
                <w:sz w:val="13"/>
                <w:szCs w:val="13"/>
              </w:rPr>
            </w:pPr>
            <w:r>
              <w:rPr>
                <w:rFonts w:ascii="宋体" w:hAnsi="宋体" w:cs="宋体" w:eastAsia="宋体" w:hint="default"/>
                <w:sz w:val="13"/>
                <w:szCs w:val="13"/>
              </w:rPr>
              <w:t>单项金额重大并单项</w:t>
            </w:r>
            <w:r>
              <w:rPr>
                <w:rFonts w:ascii="宋体" w:hAnsi="宋体" w:cs="宋体" w:eastAsia="宋体" w:hint="default"/>
                <w:spacing w:val="-53"/>
                <w:sz w:val="13"/>
                <w:szCs w:val="13"/>
              </w:rPr>
              <w:t> </w:t>
            </w:r>
            <w:r>
              <w:rPr>
                <w:rFonts w:ascii="宋体" w:hAnsi="宋体" w:cs="宋体" w:eastAsia="宋体" w:hint="default"/>
                <w:spacing w:val="-53"/>
                <w:sz w:val="13"/>
                <w:szCs w:val="13"/>
              </w:rPr>
            </w:r>
            <w:r>
              <w:rPr>
                <w:rFonts w:ascii="宋体" w:hAnsi="宋体" w:cs="宋体" w:eastAsia="宋体" w:hint="default"/>
                <w:sz w:val="13"/>
                <w:szCs w:val="13"/>
              </w:rPr>
              <w:t>计提坏账准备的其他</w:t>
            </w:r>
          </w:p>
          <w:p>
            <w:pPr>
              <w:pStyle w:val="TableParagraph"/>
              <w:spacing w:line="240" w:lineRule="auto" w:before="48"/>
              <w:ind w:left="108" w:right="0"/>
              <w:jc w:val="left"/>
              <w:rPr>
                <w:rFonts w:ascii="宋体" w:hAnsi="宋体" w:cs="宋体" w:eastAsia="宋体" w:hint="default"/>
                <w:sz w:val="13"/>
                <w:szCs w:val="13"/>
              </w:rPr>
            </w:pPr>
            <w:r>
              <w:rPr>
                <w:rFonts w:ascii="宋体" w:hAnsi="宋体" w:cs="宋体" w:eastAsia="宋体" w:hint="default"/>
                <w:sz w:val="13"/>
                <w:szCs w:val="13"/>
              </w:rPr>
              <w:t>应收款</w:t>
            </w:r>
          </w:p>
        </w:tc>
        <w:tc>
          <w:tcPr>
            <w:tcW w:w="982" w:type="dxa"/>
            <w:tcBorders>
              <w:top w:val="single" w:sz="12" w:space="0" w:color="000000"/>
              <w:left w:val="nil" w:sz="6" w:space="0" w:color="auto"/>
              <w:bottom w:val="nil" w:sz="6" w:space="0" w:color="auto"/>
              <w:right w:val="nil" w:sz="6" w:space="0" w:color="auto"/>
            </w:tcBorders>
          </w:tcPr>
          <w:p>
            <w:pPr/>
          </w:p>
        </w:tc>
        <w:tc>
          <w:tcPr>
            <w:tcW w:w="665" w:type="dxa"/>
            <w:tcBorders>
              <w:top w:val="single" w:sz="12" w:space="0" w:color="000000"/>
              <w:left w:val="nil" w:sz="6" w:space="0" w:color="auto"/>
              <w:bottom w:val="nil" w:sz="6" w:space="0" w:color="auto"/>
              <w:right w:val="nil" w:sz="6" w:space="0" w:color="auto"/>
            </w:tcBorders>
          </w:tcPr>
          <w:p>
            <w:pPr/>
          </w:p>
        </w:tc>
        <w:tc>
          <w:tcPr>
            <w:tcW w:w="874" w:type="dxa"/>
            <w:tcBorders>
              <w:top w:val="single" w:sz="12" w:space="0" w:color="000000"/>
              <w:left w:val="nil" w:sz="6" w:space="0" w:color="auto"/>
              <w:bottom w:val="nil" w:sz="6" w:space="0" w:color="auto"/>
              <w:right w:val="nil" w:sz="6" w:space="0" w:color="auto"/>
            </w:tcBorders>
          </w:tcPr>
          <w:p>
            <w:pPr/>
          </w:p>
        </w:tc>
        <w:tc>
          <w:tcPr>
            <w:tcW w:w="553" w:type="dxa"/>
            <w:tcBorders>
              <w:top w:val="single" w:sz="12" w:space="0" w:color="000000"/>
              <w:left w:val="nil" w:sz="6" w:space="0" w:color="auto"/>
              <w:bottom w:val="nil" w:sz="6" w:space="0" w:color="auto"/>
              <w:right w:val="nil" w:sz="6" w:space="0" w:color="auto"/>
            </w:tcBorders>
          </w:tcPr>
          <w:p>
            <w:pPr/>
          </w:p>
        </w:tc>
        <w:tc>
          <w:tcPr>
            <w:tcW w:w="1056"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203"/>
              <w:jc w:val="right"/>
              <w:rPr>
                <w:rFonts w:ascii="Times New Roman" w:hAnsi="Times New Roman" w:cs="Times New Roman" w:eastAsia="Times New Roman" w:hint="default"/>
                <w:sz w:val="13"/>
                <w:szCs w:val="13"/>
              </w:rPr>
            </w:pPr>
            <w:r>
              <w:rPr>
                <w:rFonts w:ascii="Times New Roman"/>
                <w:w w:val="95"/>
                <w:sz w:val="13"/>
              </w:rPr>
              <w:t>10,050,000.00</w:t>
            </w:r>
            <w:r>
              <w:rPr>
                <w:rFonts w:ascii="Times New Roman"/>
                <w:sz w:val="13"/>
              </w:rPr>
            </w:r>
          </w:p>
        </w:tc>
        <w:tc>
          <w:tcPr>
            <w:tcW w:w="767"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left="68" w:right="0"/>
              <w:jc w:val="center"/>
              <w:rPr>
                <w:rFonts w:ascii="Times New Roman" w:hAnsi="Times New Roman" w:cs="Times New Roman" w:eastAsia="Times New Roman" w:hint="default"/>
                <w:sz w:val="13"/>
                <w:szCs w:val="13"/>
              </w:rPr>
            </w:pPr>
            <w:r>
              <w:rPr>
                <w:rFonts w:ascii="Times New Roman"/>
                <w:sz w:val="13"/>
              </w:rPr>
              <w:t>51.11</w:t>
            </w:r>
          </w:p>
        </w:tc>
        <w:tc>
          <w:tcPr>
            <w:tcW w:w="1030"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238"/>
              <w:jc w:val="right"/>
              <w:rPr>
                <w:rFonts w:ascii="Times New Roman" w:hAnsi="Times New Roman" w:cs="Times New Roman" w:eastAsia="Times New Roman" w:hint="default"/>
                <w:sz w:val="13"/>
                <w:szCs w:val="13"/>
              </w:rPr>
            </w:pPr>
            <w:r>
              <w:rPr>
                <w:rFonts w:ascii="Times New Roman"/>
                <w:w w:val="95"/>
                <w:sz w:val="13"/>
              </w:rPr>
              <w:t>50,250.00</w:t>
            </w:r>
            <w:r>
              <w:rPr>
                <w:rFonts w:ascii="Times New Roman"/>
                <w:sz w:val="13"/>
              </w:rPr>
            </w:r>
          </w:p>
        </w:tc>
        <w:tc>
          <w:tcPr>
            <w:tcW w:w="568"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98"/>
              <w:jc w:val="right"/>
              <w:rPr>
                <w:rFonts w:ascii="Times New Roman" w:hAnsi="Times New Roman" w:cs="Times New Roman" w:eastAsia="Times New Roman" w:hint="default"/>
                <w:sz w:val="13"/>
                <w:szCs w:val="13"/>
              </w:rPr>
            </w:pPr>
            <w:r>
              <w:rPr>
                <w:rFonts w:ascii="Times New Roman"/>
                <w:w w:val="95"/>
                <w:sz w:val="13"/>
              </w:rPr>
              <w:t>0.50</w:t>
            </w:r>
            <w:r>
              <w:rPr>
                <w:rFonts w:ascii="Times New Roman"/>
                <w:sz w:val="13"/>
              </w:rPr>
            </w:r>
          </w:p>
        </w:tc>
      </w:tr>
      <w:tr>
        <w:trPr>
          <w:trHeight w:val="758" w:hRule="exact"/>
        </w:trPr>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08" w:right="0"/>
              <w:jc w:val="left"/>
              <w:rPr>
                <w:rFonts w:ascii="宋体" w:hAnsi="宋体" w:cs="宋体" w:eastAsia="宋体" w:hint="default"/>
                <w:sz w:val="13"/>
                <w:szCs w:val="13"/>
              </w:rPr>
            </w:pPr>
            <w:r>
              <w:rPr>
                <w:rFonts w:ascii="宋体" w:hAnsi="宋体" w:cs="宋体" w:eastAsia="宋体" w:hint="default"/>
                <w:sz w:val="13"/>
                <w:szCs w:val="13"/>
              </w:rPr>
              <w:t>按组合计提坏账准备</w:t>
            </w: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08" w:right="0"/>
              <w:jc w:val="left"/>
              <w:rPr>
                <w:rFonts w:ascii="宋体" w:hAnsi="宋体" w:cs="宋体" w:eastAsia="宋体" w:hint="default"/>
                <w:sz w:val="13"/>
                <w:szCs w:val="13"/>
              </w:rPr>
            </w:pPr>
            <w:r>
              <w:rPr>
                <w:rFonts w:ascii="宋体" w:hAnsi="宋体" w:cs="宋体" w:eastAsia="宋体" w:hint="default"/>
                <w:sz w:val="13"/>
                <w:szCs w:val="13"/>
              </w:rPr>
              <w:t>的其他应收款</w:t>
            </w:r>
          </w:p>
        </w:tc>
        <w:tc>
          <w:tcPr>
            <w:tcW w:w="982" w:type="dxa"/>
            <w:tcBorders>
              <w:top w:val="nil" w:sz="6" w:space="0" w:color="auto"/>
              <w:left w:val="nil" w:sz="6" w:space="0" w:color="auto"/>
              <w:bottom w:val="nil" w:sz="6" w:space="0" w:color="auto"/>
              <w:right w:val="nil" w:sz="6" w:space="0" w:color="auto"/>
            </w:tcBorders>
          </w:tcPr>
          <w:p>
            <w:pPr/>
          </w:p>
        </w:tc>
        <w:tc>
          <w:tcPr>
            <w:tcW w:w="665"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c>
          <w:tcPr>
            <w:tcW w:w="553" w:type="dxa"/>
            <w:tcBorders>
              <w:top w:val="nil" w:sz="6" w:space="0" w:color="auto"/>
              <w:left w:val="nil" w:sz="6" w:space="0" w:color="auto"/>
              <w:bottom w:val="nil" w:sz="6" w:space="0" w:color="auto"/>
              <w:right w:val="nil" w:sz="6" w:space="0" w:color="auto"/>
            </w:tcBorders>
          </w:tcPr>
          <w:p>
            <w:pPr/>
          </w:p>
        </w:tc>
        <w:tc>
          <w:tcPr>
            <w:tcW w:w="1056" w:type="dxa"/>
            <w:tcBorders>
              <w:top w:val="nil" w:sz="6" w:space="0" w:color="auto"/>
              <w:left w:val="nil" w:sz="6" w:space="0" w:color="auto"/>
              <w:bottom w:val="nil" w:sz="6" w:space="0" w:color="auto"/>
              <w:right w:val="nil" w:sz="6" w:space="0" w:color="auto"/>
            </w:tcBorders>
          </w:tcPr>
          <w:p>
            <w:pPr/>
          </w:p>
        </w:tc>
        <w:tc>
          <w:tcPr>
            <w:tcW w:w="767" w:type="dxa"/>
            <w:tcBorders>
              <w:top w:val="nil" w:sz="6" w:space="0" w:color="auto"/>
              <w:left w:val="nil" w:sz="6" w:space="0" w:color="auto"/>
              <w:bottom w:val="nil" w:sz="6" w:space="0" w:color="auto"/>
              <w:right w:val="nil" w:sz="6" w:space="0" w:color="auto"/>
            </w:tcBorders>
          </w:tcPr>
          <w:p>
            <w:pPr/>
          </w:p>
        </w:tc>
        <w:tc>
          <w:tcPr>
            <w:tcW w:w="1030" w:type="dxa"/>
            <w:tcBorders>
              <w:top w:val="nil" w:sz="6" w:space="0" w:color="auto"/>
              <w:left w:val="nil" w:sz="6" w:space="0" w:color="auto"/>
              <w:bottom w:val="nil" w:sz="6" w:space="0" w:color="auto"/>
              <w:right w:val="nil" w:sz="6" w:space="0" w:color="auto"/>
            </w:tcBorders>
          </w:tcPr>
          <w:p>
            <w:pPr/>
          </w:p>
        </w:tc>
        <w:tc>
          <w:tcPr>
            <w:tcW w:w="568" w:type="dxa"/>
            <w:tcBorders>
              <w:top w:val="nil" w:sz="6" w:space="0" w:color="auto"/>
              <w:left w:val="nil" w:sz="6" w:space="0" w:color="auto"/>
              <w:bottom w:val="nil" w:sz="6" w:space="0" w:color="auto"/>
              <w:right w:val="nil" w:sz="6" w:space="0" w:color="auto"/>
            </w:tcBorders>
          </w:tcPr>
          <w:p>
            <w:pPr/>
          </w:p>
        </w:tc>
      </w:tr>
      <w:tr>
        <w:trPr>
          <w:trHeight w:val="388" w:hRule="exact"/>
        </w:trPr>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08" w:right="0"/>
              <w:jc w:val="left"/>
              <w:rPr>
                <w:rFonts w:ascii="宋体" w:hAnsi="宋体" w:cs="宋体" w:eastAsia="宋体" w:hint="default"/>
                <w:sz w:val="13"/>
                <w:szCs w:val="13"/>
              </w:rPr>
            </w:pPr>
            <w:r>
              <w:rPr>
                <w:rFonts w:ascii="宋体" w:hAnsi="宋体" w:cs="宋体" w:eastAsia="宋体" w:hint="default"/>
                <w:sz w:val="13"/>
                <w:szCs w:val="13"/>
              </w:rPr>
              <w:t>账龄分析法</w:t>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8"/>
                <w:szCs w:val="8"/>
              </w:rPr>
            </w:pPr>
          </w:p>
          <w:p>
            <w:pPr>
              <w:pStyle w:val="TableParagraph"/>
              <w:spacing w:line="240" w:lineRule="auto"/>
              <w:ind w:left="124" w:right="0"/>
              <w:jc w:val="left"/>
              <w:rPr>
                <w:rFonts w:ascii="Times New Roman" w:hAnsi="Times New Roman" w:cs="Times New Roman" w:eastAsia="Times New Roman" w:hint="default"/>
                <w:sz w:val="13"/>
                <w:szCs w:val="13"/>
              </w:rPr>
            </w:pPr>
            <w:r>
              <w:rPr>
                <w:rFonts w:ascii="Times New Roman"/>
                <w:sz w:val="13"/>
              </w:rPr>
              <w:t>7,550,219.50</w:t>
            </w:r>
          </w:p>
        </w:tc>
        <w:tc>
          <w:tcPr>
            <w:tcW w:w="66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8"/>
                <w:szCs w:val="8"/>
              </w:rPr>
            </w:pPr>
          </w:p>
          <w:p>
            <w:pPr>
              <w:pStyle w:val="TableParagraph"/>
              <w:spacing w:line="240" w:lineRule="auto"/>
              <w:ind w:right="131"/>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8"/>
                <w:szCs w:val="8"/>
              </w:rPr>
            </w:pPr>
          </w:p>
          <w:p>
            <w:pPr>
              <w:pStyle w:val="TableParagraph"/>
              <w:spacing w:line="240" w:lineRule="auto"/>
              <w:ind w:right="22"/>
              <w:jc w:val="center"/>
              <w:rPr>
                <w:rFonts w:ascii="Times New Roman" w:hAnsi="Times New Roman" w:cs="Times New Roman" w:eastAsia="Times New Roman" w:hint="default"/>
                <w:sz w:val="13"/>
                <w:szCs w:val="13"/>
              </w:rPr>
            </w:pPr>
            <w:r>
              <w:rPr>
                <w:rFonts w:ascii="Times New Roman"/>
                <w:sz w:val="13"/>
              </w:rPr>
              <w:t>554,699.14</w:t>
            </w:r>
          </w:p>
        </w:tc>
        <w:tc>
          <w:tcPr>
            <w:tcW w:w="5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8"/>
                <w:szCs w:val="8"/>
              </w:rPr>
            </w:pPr>
          </w:p>
          <w:p>
            <w:pPr>
              <w:pStyle w:val="TableParagraph"/>
              <w:spacing w:line="240" w:lineRule="auto"/>
              <w:ind w:right="9"/>
              <w:jc w:val="center"/>
              <w:rPr>
                <w:rFonts w:ascii="Times New Roman" w:hAnsi="Times New Roman" w:cs="Times New Roman" w:eastAsia="Times New Roman" w:hint="default"/>
                <w:sz w:val="13"/>
                <w:szCs w:val="13"/>
              </w:rPr>
            </w:pPr>
            <w:r>
              <w:rPr>
                <w:rFonts w:ascii="Times New Roman"/>
                <w:sz w:val="13"/>
              </w:rPr>
              <w:t>7.35</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8"/>
                <w:szCs w:val="8"/>
              </w:rPr>
            </w:pPr>
          </w:p>
          <w:p>
            <w:pPr>
              <w:pStyle w:val="TableParagraph"/>
              <w:spacing w:line="240" w:lineRule="auto"/>
              <w:ind w:right="203"/>
              <w:jc w:val="right"/>
              <w:rPr>
                <w:rFonts w:ascii="Times New Roman" w:hAnsi="Times New Roman" w:cs="Times New Roman" w:eastAsia="Times New Roman" w:hint="default"/>
                <w:sz w:val="13"/>
                <w:szCs w:val="13"/>
              </w:rPr>
            </w:pPr>
            <w:r>
              <w:rPr>
                <w:rFonts w:ascii="Times New Roman"/>
                <w:w w:val="95"/>
                <w:sz w:val="13"/>
              </w:rPr>
              <w:t>8,698,584.16</w:t>
            </w:r>
            <w:r>
              <w:rPr>
                <w:rFonts w:ascii="Times New Roman"/>
                <w:sz w:val="13"/>
              </w:rPr>
            </w:r>
          </w:p>
        </w:tc>
        <w:tc>
          <w:tcPr>
            <w:tcW w:w="76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8"/>
                <w:szCs w:val="8"/>
              </w:rPr>
            </w:pPr>
          </w:p>
          <w:p>
            <w:pPr>
              <w:pStyle w:val="TableParagraph"/>
              <w:spacing w:line="240" w:lineRule="auto"/>
              <w:ind w:left="64" w:right="0"/>
              <w:jc w:val="center"/>
              <w:rPr>
                <w:rFonts w:ascii="Times New Roman" w:hAnsi="Times New Roman" w:cs="Times New Roman" w:eastAsia="Times New Roman" w:hint="default"/>
                <w:sz w:val="13"/>
                <w:szCs w:val="13"/>
              </w:rPr>
            </w:pPr>
            <w:r>
              <w:rPr>
                <w:rFonts w:ascii="Times New Roman"/>
                <w:sz w:val="13"/>
              </w:rPr>
              <w:t>44.23</w:t>
            </w: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8"/>
                <w:szCs w:val="8"/>
              </w:rPr>
            </w:pPr>
          </w:p>
          <w:p>
            <w:pPr>
              <w:pStyle w:val="TableParagraph"/>
              <w:spacing w:line="240" w:lineRule="auto"/>
              <w:ind w:right="238"/>
              <w:jc w:val="right"/>
              <w:rPr>
                <w:rFonts w:ascii="Times New Roman" w:hAnsi="Times New Roman" w:cs="Times New Roman" w:eastAsia="Times New Roman" w:hint="default"/>
                <w:sz w:val="13"/>
                <w:szCs w:val="13"/>
              </w:rPr>
            </w:pPr>
            <w:r>
              <w:rPr>
                <w:rFonts w:ascii="Times New Roman"/>
                <w:w w:val="95"/>
                <w:sz w:val="13"/>
              </w:rPr>
              <w:t>790,469.78</w:t>
            </w:r>
            <w:r>
              <w:rPr>
                <w:rFonts w:ascii="Times New Roman"/>
                <w:sz w:val="13"/>
              </w:rPr>
            </w:r>
          </w:p>
        </w:tc>
        <w:tc>
          <w:tcPr>
            <w:tcW w:w="56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8"/>
                <w:szCs w:val="8"/>
              </w:rPr>
            </w:pPr>
          </w:p>
          <w:p>
            <w:pPr>
              <w:pStyle w:val="TableParagraph"/>
              <w:spacing w:line="240" w:lineRule="auto"/>
              <w:ind w:right="98"/>
              <w:jc w:val="right"/>
              <w:rPr>
                <w:rFonts w:ascii="Times New Roman" w:hAnsi="Times New Roman" w:cs="Times New Roman" w:eastAsia="Times New Roman" w:hint="default"/>
                <w:sz w:val="13"/>
                <w:szCs w:val="13"/>
              </w:rPr>
            </w:pPr>
            <w:r>
              <w:rPr>
                <w:rFonts w:ascii="Times New Roman"/>
                <w:w w:val="95"/>
                <w:sz w:val="13"/>
              </w:rPr>
              <w:t>9.09</w:t>
            </w:r>
            <w:r>
              <w:rPr>
                <w:rFonts w:ascii="Times New Roman"/>
                <w:sz w:val="13"/>
              </w:rPr>
            </w:r>
          </w:p>
        </w:tc>
      </w:tr>
      <w:tr>
        <w:trPr>
          <w:trHeight w:val="385" w:hRule="exact"/>
        </w:trPr>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08" w:right="0"/>
              <w:jc w:val="left"/>
              <w:rPr>
                <w:rFonts w:ascii="宋体" w:hAnsi="宋体" w:cs="宋体" w:eastAsia="宋体" w:hint="default"/>
                <w:sz w:val="13"/>
                <w:szCs w:val="13"/>
              </w:rPr>
            </w:pPr>
            <w:r>
              <w:rPr>
                <w:rFonts w:ascii="宋体" w:hAnsi="宋体" w:cs="宋体" w:eastAsia="宋体" w:hint="default"/>
                <w:sz w:val="13"/>
                <w:szCs w:val="13"/>
              </w:rPr>
              <w:t>组合小计</w:t>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8"/>
                <w:szCs w:val="8"/>
              </w:rPr>
            </w:pPr>
          </w:p>
          <w:p>
            <w:pPr>
              <w:pStyle w:val="TableParagraph"/>
              <w:spacing w:line="240" w:lineRule="auto"/>
              <w:ind w:left="124" w:right="0"/>
              <w:jc w:val="left"/>
              <w:rPr>
                <w:rFonts w:ascii="Times New Roman" w:hAnsi="Times New Roman" w:cs="Times New Roman" w:eastAsia="Times New Roman" w:hint="default"/>
                <w:sz w:val="13"/>
                <w:szCs w:val="13"/>
              </w:rPr>
            </w:pPr>
            <w:r>
              <w:rPr>
                <w:rFonts w:ascii="Times New Roman"/>
                <w:sz w:val="13"/>
              </w:rPr>
              <w:t>7,550,219.50</w:t>
            </w:r>
          </w:p>
        </w:tc>
        <w:tc>
          <w:tcPr>
            <w:tcW w:w="66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8"/>
                <w:szCs w:val="8"/>
              </w:rPr>
            </w:pPr>
          </w:p>
          <w:p>
            <w:pPr>
              <w:pStyle w:val="TableParagraph"/>
              <w:spacing w:line="240" w:lineRule="auto"/>
              <w:ind w:right="131"/>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8"/>
                <w:szCs w:val="8"/>
              </w:rPr>
            </w:pPr>
          </w:p>
          <w:p>
            <w:pPr>
              <w:pStyle w:val="TableParagraph"/>
              <w:spacing w:line="240" w:lineRule="auto"/>
              <w:ind w:right="22"/>
              <w:jc w:val="center"/>
              <w:rPr>
                <w:rFonts w:ascii="Times New Roman" w:hAnsi="Times New Roman" w:cs="Times New Roman" w:eastAsia="Times New Roman" w:hint="default"/>
                <w:sz w:val="13"/>
                <w:szCs w:val="13"/>
              </w:rPr>
            </w:pPr>
            <w:r>
              <w:rPr>
                <w:rFonts w:ascii="Times New Roman"/>
                <w:sz w:val="13"/>
              </w:rPr>
              <w:t>554,699.14</w:t>
            </w:r>
          </w:p>
        </w:tc>
        <w:tc>
          <w:tcPr>
            <w:tcW w:w="55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8"/>
                <w:szCs w:val="8"/>
              </w:rPr>
            </w:pPr>
          </w:p>
          <w:p>
            <w:pPr>
              <w:pStyle w:val="TableParagraph"/>
              <w:spacing w:line="240" w:lineRule="auto"/>
              <w:ind w:right="9"/>
              <w:jc w:val="center"/>
              <w:rPr>
                <w:rFonts w:ascii="Times New Roman" w:hAnsi="Times New Roman" w:cs="Times New Roman" w:eastAsia="Times New Roman" w:hint="default"/>
                <w:sz w:val="13"/>
                <w:szCs w:val="13"/>
              </w:rPr>
            </w:pPr>
            <w:r>
              <w:rPr>
                <w:rFonts w:ascii="Times New Roman"/>
                <w:sz w:val="13"/>
              </w:rPr>
              <w:t>7.35</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8"/>
                <w:szCs w:val="8"/>
              </w:rPr>
            </w:pPr>
          </w:p>
          <w:p>
            <w:pPr>
              <w:pStyle w:val="TableParagraph"/>
              <w:spacing w:line="240" w:lineRule="auto"/>
              <w:ind w:right="203"/>
              <w:jc w:val="right"/>
              <w:rPr>
                <w:rFonts w:ascii="Times New Roman" w:hAnsi="Times New Roman" w:cs="Times New Roman" w:eastAsia="Times New Roman" w:hint="default"/>
                <w:sz w:val="13"/>
                <w:szCs w:val="13"/>
              </w:rPr>
            </w:pPr>
            <w:r>
              <w:rPr>
                <w:rFonts w:ascii="Times New Roman"/>
                <w:w w:val="95"/>
                <w:sz w:val="13"/>
              </w:rPr>
              <w:t>8,698,584.16</w:t>
            </w:r>
            <w:r>
              <w:rPr>
                <w:rFonts w:ascii="Times New Roman"/>
                <w:sz w:val="13"/>
              </w:rPr>
            </w:r>
          </w:p>
        </w:tc>
        <w:tc>
          <w:tcPr>
            <w:tcW w:w="76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8"/>
                <w:szCs w:val="8"/>
              </w:rPr>
            </w:pPr>
          </w:p>
          <w:p>
            <w:pPr>
              <w:pStyle w:val="TableParagraph"/>
              <w:spacing w:line="240" w:lineRule="auto"/>
              <w:ind w:left="64" w:right="0"/>
              <w:jc w:val="center"/>
              <w:rPr>
                <w:rFonts w:ascii="Times New Roman" w:hAnsi="Times New Roman" w:cs="Times New Roman" w:eastAsia="Times New Roman" w:hint="default"/>
                <w:sz w:val="13"/>
                <w:szCs w:val="13"/>
              </w:rPr>
            </w:pPr>
            <w:r>
              <w:rPr>
                <w:rFonts w:ascii="Times New Roman"/>
                <w:sz w:val="13"/>
              </w:rPr>
              <w:t>44.23</w:t>
            </w: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8"/>
                <w:szCs w:val="8"/>
              </w:rPr>
            </w:pPr>
          </w:p>
          <w:p>
            <w:pPr>
              <w:pStyle w:val="TableParagraph"/>
              <w:spacing w:line="240" w:lineRule="auto"/>
              <w:ind w:right="238"/>
              <w:jc w:val="right"/>
              <w:rPr>
                <w:rFonts w:ascii="Times New Roman" w:hAnsi="Times New Roman" w:cs="Times New Roman" w:eastAsia="Times New Roman" w:hint="default"/>
                <w:sz w:val="13"/>
                <w:szCs w:val="13"/>
              </w:rPr>
            </w:pPr>
            <w:r>
              <w:rPr>
                <w:rFonts w:ascii="Times New Roman"/>
                <w:w w:val="95"/>
                <w:sz w:val="13"/>
              </w:rPr>
              <w:t>790,469.78</w:t>
            </w:r>
            <w:r>
              <w:rPr>
                <w:rFonts w:ascii="Times New Roman"/>
                <w:sz w:val="13"/>
              </w:rPr>
            </w:r>
          </w:p>
        </w:tc>
        <w:tc>
          <w:tcPr>
            <w:tcW w:w="56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8"/>
                <w:szCs w:val="8"/>
              </w:rPr>
            </w:pPr>
          </w:p>
          <w:p>
            <w:pPr>
              <w:pStyle w:val="TableParagraph"/>
              <w:spacing w:line="240" w:lineRule="auto"/>
              <w:ind w:right="98"/>
              <w:jc w:val="right"/>
              <w:rPr>
                <w:rFonts w:ascii="Times New Roman" w:hAnsi="Times New Roman" w:cs="Times New Roman" w:eastAsia="Times New Roman" w:hint="default"/>
                <w:sz w:val="13"/>
                <w:szCs w:val="13"/>
              </w:rPr>
            </w:pPr>
            <w:r>
              <w:rPr>
                <w:rFonts w:ascii="Times New Roman"/>
                <w:w w:val="95"/>
                <w:sz w:val="13"/>
              </w:rPr>
              <w:t>9.09</w:t>
            </w:r>
            <w:r>
              <w:rPr>
                <w:rFonts w:ascii="Times New Roman"/>
                <w:sz w:val="13"/>
              </w:rPr>
            </w:r>
          </w:p>
        </w:tc>
      </w:tr>
      <w:tr>
        <w:trPr>
          <w:trHeight w:val="1129" w:hRule="exact"/>
        </w:trPr>
        <w:tc>
          <w:tcPr>
            <w:tcW w:w="1418" w:type="dxa"/>
            <w:tcBorders>
              <w:top w:val="nil" w:sz="6" w:space="0" w:color="auto"/>
              <w:left w:val="nil" w:sz="6" w:space="0" w:color="auto"/>
              <w:bottom w:val="nil" w:sz="6" w:space="0" w:color="auto"/>
              <w:right w:val="nil" w:sz="6" w:space="0" w:color="auto"/>
            </w:tcBorders>
          </w:tcPr>
          <w:p>
            <w:pPr>
              <w:pStyle w:val="TableParagraph"/>
              <w:spacing w:line="528" w:lineRule="auto" w:before="83"/>
              <w:ind w:left="108" w:right="122"/>
              <w:jc w:val="left"/>
              <w:rPr>
                <w:rFonts w:ascii="宋体" w:hAnsi="宋体" w:cs="宋体" w:eastAsia="宋体" w:hint="default"/>
                <w:sz w:val="13"/>
                <w:szCs w:val="13"/>
              </w:rPr>
            </w:pPr>
            <w:r>
              <w:rPr>
                <w:rFonts w:ascii="宋体" w:hAnsi="宋体" w:cs="宋体" w:eastAsia="宋体" w:hint="default"/>
                <w:sz w:val="13"/>
                <w:szCs w:val="13"/>
              </w:rPr>
              <w:t>单项金额虽不重大但</w:t>
            </w:r>
            <w:r>
              <w:rPr>
                <w:rFonts w:ascii="宋体" w:hAnsi="宋体" w:cs="宋体" w:eastAsia="宋体" w:hint="default"/>
                <w:spacing w:val="-53"/>
                <w:sz w:val="13"/>
                <w:szCs w:val="13"/>
              </w:rPr>
              <w:t> </w:t>
            </w:r>
            <w:r>
              <w:rPr>
                <w:rFonts w:ascii="宋体" w:hAnsi="宋体" w:cs="宋体" w:eastAsia="宋体" w:hint="default"/>
                <w:spacing w:val="-53"/>
                <w:sz w:val="13"/>
                <w:szCs w:val="13"/>
              </w:rPr>
            </w:r>
            <w:r>
              <w:rPr>
                <w:rFonts w:ascii="宋体" w:hAnsi="宋体" w:cs="宋体" w:eastAsia="宋体" w:hint="default"/>
                <w:sz w:val="13"/>
                <w:szCs w:val="13"/>
              </w:rPr>
              <w:t>单项计提坏账准备的</w:t>
            </w:r>
          </w:p>
          <w:p>
            <w:pPr>
              <w:pStyle w:val="TableParagraph"/>
              <w:spacing w:line="240" w:lineRule="auto" w:before="48"/>
              <w:ind w:left="108" w:right="0"/>
              <w:jc w:val="left"/>
              <w:rPr>
                <w:rFonts w:ascii="宋体" w:hAnsi="宋体" w:cs="宋体" w:eastAsia="宋体" w:hint="default"/>
                <w:sz w:val="13"/>
                <w:szCs w:val="13"/>
              </w:rPr>
            </w:pPr>
            <w:r>
              <w:rPr>
                <w:rFonts w:ascii="宋体" w:hAnsi="宋体" w:cs="宋体" w:eastAsia="宋体" w:hint="default"/>
                <w:sz w:val="13"/>
                <w:szCs w:val="13"/>
              </w:rPr>
              <w:t>其他应收款</w:t>
            </w:r>
          </w:p>
        </w:tc>
        <w:tc>
          <w:tcPr>
            <w:tcW w:w="982" w:type="dxa"/>
            <w:tcBorders>
              <w:top w:val="nil" w:sz="6" w:space="0" w:color="auto"/>
              <w:left w:val="nil" w:sz="6" w:space="0" w:color="auto"/>
              <w:bottom w:val="nil" w:sz="6" w:space="0" w:color="auto"/>
              <w:right w:val="nil" w:sz="6" w:space="0" w:color="auto"/>
            </w:tcBorders>
          </w:tcPr>
          <w:p>
            <w:pPr/>
          </w:p>
        </w:tc>
        <w:tc>
          <w:tcPr>
            <w:tcW w:w="665"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c>
          <w:tcPr>
            <w:tcW w:w="553" w:type="dxa"/>
            <w:tcBorders>
              <w:top w:val="nil" w:sz="6" w:space="0" w:color="auto"/>
              <w:left w:val="nil" w:sz="6" w:space="0" w:color="auto"/>
              <w:bottom w:val="nil" w:sz="6" w:space="0" w:color="auto"/>
              <w:right w:val="nil" w:sz="6" w:space="0" w:color="auto"/>
            </w:tcBorders>
          </w:tcPr>
          <w:p>
            <w:pP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right="203"/>
              <w:jc w:val="right"/>
              <w:rPr>
                <w:rFonts w:ascii="Times New Roman" w:hAnsi="Times New Roman" w:cs="Times New Roman" w:eastAsia="Times New Roman" w:hint="default"/>
                <w:sz w:val="13"/>
                <w:szCs w:val="13"/>
              </w:rPr>
            </w:pPr>
            <w:r>
              <w:rPr>
                <w:rFonts w:ascii="Times New Roman"/>
                <w:w w:val="95"/>
                <w:sz w:val="13"/>
              </w:rPr>
              <w:t>916,271.78</w:t>
            </w:r>
            <w:r>
              <w:rPr>
                <w:rFonts w:ascii="Times New Roman"/>
                <w:sz w:val="13"/>
              </w:rPr>
            </w:r>
          </w:p>
        </w:tc>
        <w:tc>
          <w:tcPr>
            <w:tcW w:w="76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left="128" w:right="0"/>
              <w:jc w:val="center"/>
              <w:rPr>
                <w:rFonts w:ascii="Times New Roman" w:hAnsi="Times New Roman" w:cs="Times New Roman" w:eastAsia="Times New Roman" w:hint="default"/>
                <w:sz w:val="13"/>
                <w:szCs w:val="13"/>
              </w:rPr>
            </w:pPr>
            <w:r>
              <w:rPr>
                <w:rFonts w:ascii="Times New Roman"/>
                <w:sz w:val="13"/>
              </w:rPr>
              <w:t>4.66</w:t>
            </w: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right="238"/>
              <w:jc w:val="right"/>
              <w:rPr>
                <w:rFonts w:ascii="Times New Roman" w:hAnsi="Times New Roman" w:cs="Times New Roman" w:eastAsia="Times New Roman" w:hint="default"/>
                <w:sz w:val="13"/>
                <w:szCs w:val="13"/>
              </w:rPr>
            </w:pPr>
            <w:r>
              <w:rPr>
                <w:rFonts w:ascii="Times New Roman"/>
                <w:w w:val="95"/>
                <w:sz w:val="13"/>
              </w:rPr>
              <w:t>4,578.61</w:t>
            </w:r>
            <w:r>
              <w:rPr>
                <w:rFonts w:ascii="Times New Roman"/>
                <w:sz w:val="13"/>
              </w:rPr>
            </w:r>
          </w:p>
        </w:tc>
        <w:tc>
          <w:tcPr>
            <w:tcW w:w="5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right="98"/>
              <w:jc w:val="right"/>
              <w:rPr>
                <w:rFonts w:ascii="Times New Roman" w:hAnsi="Times New Roman" w:cs="Times New Roman" w:eastAsia="Times New Roman" w:hint="default"/>
                <w:sz w:val="13"/>
                <w:szCs w:val="13"/>
              </w:rPr>
            </w:pPr>
            <w:r>
              <w:rPr>
                <w:rFonts w:ascii="Times New Roman"/>
                <w:w w:val="95"/>
                <w:sz w:val="13"/>
              </w:rPr>
              <w:t>0.50</w:t>
            </w:r>
            <w:r>
              <w:rPr>
                <w:rFonts w:ascii="Times New Roman"/>
                <w:sz w:val="13"/>
              </w:rPr>
            </w:r>
          </w:p>
        </w:tc>
      </w:tr>
      <w:tr>
        <w:trPr>
          <w:trHeight w:val="396" w:hRule="exact"/>
        </w:trPr>
        <w:tc>
          <w:tcPr>
            <w:tcW w:w="1418"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17"/>
              <w:jc w:val="center"/>
              <w:rPr>
                <w:rFonts w:ascii="宋体" w:hAnsi="宋体" w:cs="宋体" w:eastAsia="宋体" w:hint="default"/>
                <w:sz w:val="13"/>
                <w:szCs w:val="13"/>
              </w:rPr>
            </w:pPr>
            <w:r>
              <w:rPr>
                <w:rFonts w:ascii="宋体" w:hAnsi="宋体" w:cs="宋体" w:eastAsia="宋体" w:hint="default"/>
                <w:sz w:val="13"/>
                <w:szCs w:val="13"/>
              </w:rPr>
              <w:t>合计</w:t>
            </w:r>
          </w:p>
        </w:tc>
        <w:tc>
          <w:tcPr>
            <w:tcW w:w="982"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0"/>
              <w:jc w:val="left"/>
              <w:rPr>
                <w:rFonts w:ascii="宋体" w:hAnsi="宋体" w:cs="宋体" w:eastAsia="宋体" w:hint="default"/>
                <w:b/>
                <w:bCs/>
                <w:sz w:val="8"/>
                <w:szCs w:val="8"/>
              </w:rPr>
            </w:pPr>
          </w:p>
          <w:p>
            <w:pPr>
              <w:pStyle w:val="TableParagraph"/>
              <w:spacing w:line="240" w:lineRule="auto"/>
              <w:ind w:left="124" w:right="0"/>
              <w:jc w:val="left"/>
              <w:rPr>
                <w:rFonts w:ascii="Times New Roman" w:hAnsi="Times New Roman" w:cs="Times New Roman" w:eastAsia="Times New Roman" w:hint="default"/>
                <w:sz w:val="13"/>
                <w:szCs w:val="13"/>
              </w:rPr>
            </w:pPr>
            <w:r>
              <w:rPr>
                <w:rFonts w:ascii="Times New Roman"/>
                <w:sz w:val="13"/>
              </w:rPr>
              <w:t>7,550,219.50</w:t>
            </w:r>
          </w:p>
        </w:tc>
        <w:tc>
          <w:tcPr>
            <w:tcW w:w="665"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0"/>
              <w:jc w:val="left"/>
              <w:rPr>
                <w:rFonts w:ascii="宋体" w:hAnsi="宋体" w:cs="宋体" w:eastAsia="宋体" w:hint="default"/>
                <w:b/>
                <w:bCs/>
                <w:sz w:val="8"/>
                <w:szCs w:val="8"/>
              </w:rPr>
            </w:pPr>
          </w:p>
          <w:p>
            <w:pPr>
              <w:pStyle w:val="TableParagraph"/>
              <w:spacing w:line="240" w:lineRule="auto"/>
              <w:ind w:right="131"/>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87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0"/>
              <w:jc w:val="left"/>
              <w:rPr>
                <w:rFonts w:ascii="宋体" w:hAnsi="宋体" w:cs="宋体" w:eastAsia="宋体" w:hint="default"/>
                <w:b/>
                <w:bCs/>
                <w:sz w:val="8"/>
                <w:szCs w:val="8"/>
              </w:rPr>
            </w:pPr>
          </w:p>
          <w:p>
            <w:pPr>
              <w:pStyle w:val="TableParagraph"/>
              <w:spacing w:line="240" w:lineRule="auto"/>
              <w:ind w:right="21"/>
              <w:jc w:val="center"/>
              <w:rPr>
                <w:rFonts w:ascii="Times New Roman" w:hAnsi="Times New Roman" w:cs="Times New Roman" w:eastAsia="Times New Roman" w:hint="default"/>
                <w:sz w:val="13"/>
                <w:szCs w:val="13"/>
              </w:rPr>
            </w:pPr>
            <w:r>
              <w:rPr>
                <w:rFonts w:ascii="Times New Roman"/>
                <w:sz w:val="13"/>
              </w:rPr>
              <w:t>554,699.14</w:t>
            </w:r>
          </w:p>
        </w:tc>
        <w:tc>
          <w:tcPr>
            <w:tcW w:w="553" w:type="dxa"/>
            <w:tcBorders>
              <w:top w:val="nil" w:sz="6" w:space="0" w:color="auto"/>
              <w:left w:val="nil" w:sz="6" w:space="0" w:color="auto"/>
              <w:bottom w:val="single" w:sz="12" w:space="0" w:color="000000"/>
              <w:right w:val="nil" w:sz="6" w:space="0" w:color="auto"/>
            </w:tcBorders>
          </w:tcPr>
          <w:p>
            <w:pPr/>
          </w:p>
        </w:tc>
        <w:tc>
          <w:tcPr>
            <w:tcW w:w="1056"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0"/>
              <w:jc w:val="left"/>
              <w:rPr>
                <w:rFonts w:ascii="宋体" w:hAnsi="宋体" w:cs="宋体" w:eastAsia="宋体" w:hint="default"/>
                <w:b/>
                <w:bCs/>
                <w:sz w:val="8"/>
                <w:szCs w:val="8"/>
              </w:rPr>
            </w:pPr>
          </w:p>
          <w:p>
            <w:pPr>
              <w:pStyle w:val="TableParagraph"/>
              <w:spacing w:line="240" w:lineRule="auto"/>
              <w:ind w:right="203"/>
              <w:jc w:val="right"/>
              <w:rPr>
                <w:rFonts w:ascii="Times New Roman" w:hAnsi="Times New Roman" w:cs="Times New Roman" w:eastAsia="Times New Roman" w:hint="default"/>
                <w:sz w:val="13"/>
                <w:szCs w:val="13"/>
              </w:rPr>
            </w:pPr>
            <w:r>
              <w:rPr>
                <w:rFonts w:ascii="Times New Roman"/>
                <w:w w:val="95"/>
                <w:sz w:val="13"/>
              </w:rPr>
              <w:t>19,664,855.94</w:t>
            </w:r>
            <w:r>
              <w:rPr>
                <w:rFonts w:ascii="Times New Roman"/>
                <w:sz w:val="13"/>
              </w:rPr>
            </w:r>
          </w:p>
        </w:tc>
        <w:tc>
          <w:tcPr>
            <w:tcW w:w="76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0"/>
              <w:jc w:val="left"/>
              <w:rPr>
                <w:rFonts w:ascii="宋体" w:hAnsi="宋体" w:cs="宋体" w:eastAsia="宋体" w:hint="default"/>
                <w:b/>
                <w:bCs/>
                <w:sz w:val="8"/>
                <w:szCs w:val="8"/>
              </w:rPr>
            </w:pPr>
          </w:p>
          <w:p>
            <w:pPr>
              <w:pStyle w:val="TableParagraph"/>
              <w:spacing w:line="240" w:lineRule="auto"/>
              <w:ind w:right="0"/>
              <w:jc w:val="center"/>
              <w:rPr>
                <w:rFonts w:ascii="Times New Roman" w:hAnsi="Times New Roman" w:cs="Times New Roman" w:eastAsia="Times New Roman" w:hint="default"/>
                <w:sz w:val="13"/>
                <w:szCs w:val="13"/>
              </w:rPr>
            </w:pPr>
            <w:r>
              <w:rPr>
                <w:rFonts w:ascii="Times New Roman"/>
                <w:sz w:val="13"/>
              </w:rPr>
              <w:t>100.00</w:t>
            </w:r>
          </w:p>
        </w:tc>
        <w:tc>
          <w:tcPr>
            <w:tcW w:w="1030"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0"/>
              <w:jc w:val="left"/>
              <w:rPr>
                <w:rFonts w:ascii="宋体" w:hAnsi="宋体" w:cs="宋体" w:eastAsia="宋体" w:hint="default"/>
                <w:b/>
                <w:bCs/>
                <w:sz w:val="8"/>
                <w:szCs w:val="8"/>
              </w:rPr>
            </w:pPr>
          </w:p>
          <w:p>
            <w:pPr>
              <w:pStyle w:val="TableParagraph"/>
              <w:spacing w:line="240" w:lineRule="auto"/>
              <w:ind w:right="238"/>
              <w:jc w:val="right"/>
              <w:rPr>
                <w:rFonts w:ascii="Times New Roman" w:hAnsi="Times New Roman" w:cs="Times New Roman" w:eastAsia="Times New Roman" w:hint="default"/>
                <w:sz w:val="13"/>
                <w:szCs w:val="13"/>
              </w:rPr>
            </w:pPr>
            <w:r>
              <w:rPr>
                <w:rFonts w:ascii="Times New Roman"/>
                <w:w w:val="95"/>
                <w:sz w:val="13"/>
              </w:rPr>
              <w:t>845,298.39</w:t>
            </w:r>
            <w:r>
              <w:rPr>
                <w:rFonts w:ascii="Times New Roman"/>
                <w:sz w:val="13"/>
              </w:rPr>
            </w:r>
          </w:p>
        </w:tc>
        <w:tc>
          <w:tcPr>
            <w:tcW w:w="568" w:type="dxa"/>
            <w:tcBorders>
              <w:top w:val="nil" w:sz="6" w:space="0" w:color="auto"/>
              <w:left w:val="nil" w:sz="6" w:space="0" w:color="auto"/>
              <w:bottom w:val="single" w:sz="12" w:space="0" w:color="000000"/>
              <w:right w:val="nil" w:sz="6" w:space="0" w:color="auto"/>
            </w:tcBorders>
          </w:tcPr>
          <w:p>
            <w:pPr/>
          </w:p>
        </w:tc>
      </w:tr>
    </w:tbl>
    <w:p>
      <w:pPr>
        <w:pStyle w:val="BodyText"/>
        <w:spacing w:line="348" w:lineRule="auto" w:before="93"/>
        <w:ind w:left="857" w:right="3547" w:firstLine="18"/>
        <w:jc w:val="left"/>
      </w:pPr>
      <w:r>
        <w:rPr/>
        <w:pict>
          <v:group style="position:absolute;margin-left:146.639999pt;margin-top:-210.906021pt;width:397.8pt;height:209.4pt;mso-position-horizontal-relative:page;mso-position-vertical-relative:paragraph;z-index:-709912" coordorigin="2933,-4218" coordsize="7956,4188">
            <v:shape style="position:absolute;left:4328;top:-4218;width:5860;height:1162" type="#_x0000_t75" stroked="false">
              <v:imagedata r:id="rId120" o:title=""/>
            </v:shape>
            <v:shape style="position:absolute;left:2933;top:-3095;width:7956;height:3065" type="#_x0000_t75" stroked="false">
              <v:imagedata r:id="rId121" o:title=""/>
            </v:shape>
            <w10:wrap type="none"/>
          </v:group>
        </w:pict>
      </w:r>
      <w:r>
        <w:rPr/>
        <w:pict>
          <v:group style="position:absolute;margin-left:119.520004pt;margin-top:39.953987pt;width:431.3pt;height:211.95pt;mso-position-horizontal-relative:page;mso-position-vertical-relative:paragraph;z-index:-709840" coordorigin="2390,799" coordsize="8626,4239">
            <v:group style="position:absolute;left:2417;top:814;width:5151;height:2" coordorigin="2417,814" coordsize="5151,2">
              <v:shape style="position:absolute;left:2417;top:814;width:5151;height:2" coordorigin="2417,814" coordsize="5151,0" path="m2417,814l7567,814e" filled="false" stroked="true" strokeweight="1.5pt" strokecolor="#000000">
                <v:path arrowok="t"/>
              </v:shape>
            </v:group>
            <v:group style="position:absolute;left:7567;top:814;width:3423;height:2" coordorigin="7567,814" coordsize="3423,2">
              <v:shape style="position:absolute;left:7567;top:814;width:3423;height:2" coordorigin="7567,814" coordsize="3423,0" path="m7567,814l10990,814e" filled="false" stroked="true" strokeweight="1.5pt" strokecolor="#000000">
                <v:path arrowok="t"/>
              </v:shape>
              <v:shape style="position:absolute;left:3986;top:810;width:3580;height:413" type="#_x0000_t75" stroked="false">
                <v:imagedata r:id="rId122" o:title=""/>
              </v:shape>
              <v:shape style="position:absolute;left:3993;top:1191;width:7017;height:411" type="#_x0000_t75" stroked="false">
                <v:imagedata r:id="rId123" o:title=""/>
              </v:shape>
              <v:shape style="position:absolute;left:3986;top:1569;width:5820;height:797" type="#_x0000_t75" stroked="false">
                <v:imagedata r:id="rId124" o:title=""/>
              </v:shape>
              <v:shape style="position:absolute;left:2390;top:2328;width:8626;height:2710" type="#_x0000_t75" stroked="false">
                <v:imagedata r:id="rId125" o:title=""/>
              </v:shape>
              <v:shape style="position:absolute;left:5416;top:92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909;top:92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group>
            <w10:wrap type="none"/>
          </v:group>
        </w:pict>
      </w:r>
      <w:r>
        <w:rPr/>
        <w:t>其他应收款种类的说明： 组合中，采用账龄分析法计提坏账准备的其他应收款：</w:t>
      </w:r>
    </w:p>
    <w:p>
      <w:pPr>
        <w:spacing w:line="240" w:lineRule="auto" w:before="8"/>
        <w:rPr>
          <w:rFonts w:ascii="宋体" w:hAnsi="宋体" w:cs="宋体" w:eastAsia="宋体" w:hint="default"/>
          <w:sz w:val="26"/>
          <w:szCs w:val="26"/>
        </w:rPr>
      </w:pPr>
    </w:p>
    <w:tbl>
      <w:tblPr>
        <w:tblW w:w="0" w:type="auto"/>
        <w:jc w:val="left"/>
        <w:tblInd w:w="822" w:type="dxa"/>
        <w:tblLayout w:type="fixed"/>
        <w:tblCellMar>
          <w:top w:w="0" w:type="dxa"/>
          <w:left w:w="0" w:type="dxa"/>
          <w:bottom w:w="0" w:type="dxa"/>
          <w:right w:w="0" w:type="dxa"/>
        </w:tblCellMar>
        <w:tblLook w:val="01E0"/>
      </w:tblPr>
      <w:tblGrid>
        <w:gridCol w:w="1434"/>
        <w:gridCol w:w="1638"/>
        <w:gridCol w:w="785"/>
        <w:gridCol w:w="1366"/>
        <w:gridCol w:w="1381"/>
        <w:gridCol w:w="766"/>
        <w:gridCol w:w="1072"/>
      </w:tblGrid>
      <w:tr>
        <w:trPr>
          <w:trHeight w:val="464" w:hRule="exact"/>
        </w:trPr>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525"/>
              <w:jc w:val="right"/>
              <w:rPr>
                <w:rFonts w:ascii="宋体" w:hAnsi="宋体" w:cs="宋体" w:eastAsia="宋体" w:hint="default"/>
                <w:sz w:val="18"/>
                <w:szCs w:val="18"/>
              </w:rPr>
            </w:pPr>
            <w:r>
              <w:rPr>
                <w:rFonts w:ascii="宋体" w:hAnsi="宋体" w:cs="宋体" w:eastAsia="宋体" w:hint="default"/>
                <w:sz w:val="18"/>
                <w:szCs w:val="18"/>
              </w:rPr>
              <w:t>账龄</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85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785"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62"/>
              <w:jc w:val="right"/>
              <w:rPr>
                <w:rFonts w:ascii="宋体" w:hAnsi="宋体" w:cs="宋体" w:eastAsia="宋体" w:hint="default"/>
                <w:sz w:val="18"/>
                <w:szCs w:val="18"/>
              </w:rPr>
            </w:pPr>
            <w:r>
              <w:rPr>
                <w:rFonts w:ascii="宋体" w:hAnsi="宋体" w:cs="宋体" w:eastAsia="宋体" w:hint="default"/>
                <w:sz w:val="18"/>
                <w:szCs w:val="18"/>
              </w:rPr>
              <w:t>账面余额</w:t>
            </w:r>
          </w:p>
        </w:tc>
        <w:tc>
          <w:tcPr>
            <w:tcW w:w="1838" w:type="dxa"/>
            <w:gridSpan w:val="2"/>
            <w:tcBorders>
              <w:top w:val="nil" w:sz="6" w:space="0" w:color="auto"/>
              <w:left w:val="nil" w:sz="6" w:space="0" w:color="auto"/>
              <w:bottom w:val="nil" w:sz="6" w:space="0" w:color="auto"/>
              <w:right w:val="nil" w:sz="6" w:space="0" w:color="auto"/>
            </w:tcBorders>
          </w:tcPr>
          <w:p>
            <w:pPr/>
          </w:p>
        </w:tc>
      </w:tr>
      <w:tr>
        <w:trPr>
          <w:trHeight w:val="683" w:hRule="exact"/>
        </w:trPr>
        <w:tc>
          <w:tcPr>
            <w:tcW w:w="1434" w:type="dxa"/>
            <w:tcBorders>
              <w:top w:val="nil" w:sz="6" w:space="0" w:color="auto"/>
              <w:left w:val="nil" w:sz="6" w:space="0" w:color="auto"/>
              <w:bottom w:val="nil" w:sz="6" w:space="0" w:color="auto"/>
              <w:right w:val="nil" w:sz="6" w:space="0" w:color="auto"/>
            </w:tcBorders>
          </w:tcPr>
          <w:p>
            <w:pP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153"/>
              <w:ind w:left="35"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785" w:type="dxa"/>
            <w:tcBorders>
              <w:top w:val="nil" w:sz="6" w:space="0" w:color="auto"/>
              <w:left w:val="nil" w:sz="6" w:space="0" w:color="auto"/>
              <w:bottom w:val="nil" w:sz="6" w:space="0" w:color="auto"/>
              <w:right w:val="nil" w:sz="6" w:space="0" w:color="auto"/>
            </w:tcBorders>
          </w:tcPr>
          <w:p>
            <w:pPr>
              <w:pStyle w:val="TableParagraph"/>
              <w:spacing w:line="202" w:lineRule="exact"/>
              <w:ind w:left="138"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39"/>
              <w:ind w:left="6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66" w:type="dxa"/>
            <w:tcBorders>
              <w:top w:val="nil" w:sz="6" w:space="0" w:color="auto"/>
              <w:left w:val="nil" w:sz="6" w:space="0" w:color="auto"/>
              <w:bottom w:val="nil" w:sz="6" w:space="0" w:color="auto"/>
              <w:right w:val="nil" w:sz="6" w:space="0" w:color="auto"/>
            </w:tcBorders>
          </w:tcPr>
          <w:p>
            <w:pPr>
              <w:pStyle w:val="TableParagraph"/>
              <w:spacing w:line="191" w:lineRule="exact"/>
              <w:ind w:left="1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153"/>
              <w:ind w:left="399"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6" w:type="dxa"/>
            <w:tcBorders>
              <w:top w:val="nil" w:sz="6" w:space="0" w:color="auto"/>
              <w:left w:val="nil" w:sz="6" w:space="0" w:color="auto"/>
              <w:bottom w:val="nil" w:sz="6" w:space="0" w:color="auto"/>
              <w:right w:val="nil" w:sz="6" w:space="0" w:color="auto"/>
            </w:tcBorders>
          </w:tcPr>
          <w:p>
            <w:pPr>
              <w:pStyle w:val="TableParagraph"/>
              <w:spacing w:line="202" w:lineRule="exact"/>
              <w:ind w:left="139"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39"/>
              <w:ind w:left="6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072" w:type="dxa"/>
            <w:tcBorders>
              <w:top w:val="nil" w:sz="6" w:space="0" w:color="auto"/>
              <w:left w:val="nil" w:sz="6" w:space="0" w:color="auto"/>
              <w:bottom w:val="nil" w:sz="6" w:space="0" w:color="auto"/>
              <w:right w:val="nil" w:sz="6" w:space="0" w:color="auto"/>
            </w:tcBorders>
          </w:tcPr>
          <w:p>
            <w:pPr>
              <w:pStyle w:val="TableParagraph"/>
              <w:spacing w:line="191" w:lineRule="exact"/>
              <w:ind w:left="177"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84" w:hRule="exact"/>
        </w:trPr>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81"/>
              <w:ind w:left="527" w:right="0"/>
              <w:jc w:val="left"/>
              <w:rPr>
                <w:rFonts w:ascii="Times New Roman" w:hAnsi="Times New Roman" w:cs="Times New Roman" w:eastAsia="Times New Roman" w:hint="default"/>
                <w:sz w:val="18"/>
                <w:szCs w:val="18"/>
              </w:rPr>
            </w:pPr>
            <w:r>
              <w:rPr>
                <w:rFonts w:ascii="Times New Roman"/>
                <w:sz w:val="18"/>
              </w:rPr>
              <w:t>6,067,155.85</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4"/>
              <w:jc w:val="center"/>
              <w:rPr>
                <w:rFonts w:ascii="Times New Roman" w:hAnsi="Times New Roman" w:cs="Times New Roman" w:eastAsia="Times New Roman" w:hint="default"/>
                <w:sz w:val="18"/>
                <w:szCs w:val="18"/>
              </w:rPr>
            </w:pPr>
            <w:r>
              <w:rPr>
                <w:rFonts w:ascii="Times New Roman"/>
                <w:sz w:val="18"/>
              </w:rPr>
              <w:t>80.36</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68"/>
              <w:jc w:val="right"/>
              <w:rPr>
                <w:rFonts w:ascii="Times New Roman" w:hAnsi="Times New Roman" w:cs="Times New Roman" w:eastAsia="Times New Roman" w:hint="default"/>
                <w:sz w:val="18"/>
                <w:szCs w:val="18"/>
              </w:rPr>
            </w:pPr>
            <w:r>
              <w:rPr>
                <w:rFonts w:ascii="Times New Roman"/>
                <w:sz w:val="18"/>
              </w:rPr>
              <w:t>303,357.79</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81"/>
              <w:ind w:left="270" w:right="0"/>
              <w:jc w:val="left"/>
              <w:rPr>
                <w:rFonts w:ascii="Times New Roman" w:hAnsi="Times New Roman" w:cs="Times New Roman" w:eastAsia="Times New Roman" w:hint="default"/>
                <w:sz w:val="18"/>
                <w:szCs w:val="18"/>
              </w:rPr>
            </w:pPr>
            <w:r>
              <w:rPr>
                <w:rFonts w:ascii="Times New Roman"/>
                <w:sz w:val="18"/>
              </w:rPr>
              <w:t>7,404,583.86</w:t>
            </w:r>
          </w:p>
        </w:tc>
        <w:tc>
          <w:tcPr>
            <w:tcW w:w="76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76"/>
              <w:jc w:val="right"/>
              <w:rPr>
                <w:rFonts w:ascii="Times New Roman" w:hAnsi="Times New Roman" w:cs="Times New Roman" w:eastAsia="Times New Roman" w:hint="default"/>
                <w:sz w:val="18"/>
                <w:szCs w:val="18"/>
              </w:rPr>
            </w:pPr>
            <w:r>
              <w:rPr>
                <w:rFonts w:ascii="Times New Roman"/>
                <w:sz w:val="18"/>
              </w:rPr>
              <w:t>85.12</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370,229.20</w:t>
            </w:r>
          </w:p>
        </w:tc>
      </w:tr>
      <w:tr>
        <w:trPr>
          <w:trHeight w:val="385" w:hRule="exact"/>
        </w:trPr>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81"/>
              <w:ind w:left="527" w:right="0"/>
              <w:jc w:val="left"/>
              <w:rPr>
                <w:rFonts w:ascii="Times New Roman" w:hAnsi="Times New Roman" w:cs="Times New Roman" w:eastAsia="Times New Roman" w:hint="default"/>
                <w:sz w:val="18"/>
                <w:szCs w:val="18"/>
              </w:rPr>
            </w:pPr>
            <w:r>
              <w:rPr>
                <w:rFonts w:ascii="Times New Roman"/>
                <w:sz w:val="18"/>
              </w:rPr>
              <w:t>1,251,176.25</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4"/>
              <w:jc w:val="center"/>
              <w:rPr>
                <w:rFonts w:ascii="Times New Roman" w:hAnsi="Times New Roman" w:cs="Times New Roman" w:eastAsia="Times New Roman" w:hint="default"/>
                <w:sz w:val="18"/>
                <w:szCs w:val="18"/>
              </w:rPr>
            </w:pPr>
            <w:r>
              <w:rPr>
                <w:rFonts w:ascii="Times New Roman"/>
                <w:sz w:val="18"/>
              </w:rPr>
              <w:t>16.57</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67"/>
              <w:jc w:val="right"/>
              <w:rPr>
                <w:rFonts w:ascii="Times New Roman" w:hAnsi="Times New Roman" w:cs="Times New Roman" w:eastAsia="Times New Roman" w:hint="default"/>
                <w:sz w:val="18"/>
                <w:szCs w:val="18"/>
              </w:rPr>
            </w:pPr>
            <w:r>
              <w:rPr>
                <w:rFonts w:ascii="Times New Roman"/>
                <w:spacing w:val="-1"/>
                <w:sz w:val="18"/>
              </w:rPr>
              <w:t>125,117.63</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63"/>
              <w:jc w:val="right"/>
              <w:rPr>
                <w:rFonts w:ascii="Times New Roman" w:hAnsi="Times New Roman" w:cs="Times New Roman" w:eastAsia="Times New Roman" w:hint="default"/>
                <w:sz w:val="18"/>
                <w:szCs w:val="18"/>
              </w:rPr>
            </w:pPr>
            <w:r>
              <w:rPr>
                <w:rFonts w:ascii="Times New Roman"/>
                <w:sz w:val="18"/>
              </w:rPr>
              <w:t>2,443.80</w:t>
            </w:r>
          </w:p>
        </w:tc>
        <w:tc>
          <w:tcPr>
            <w:tcW w:w="76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75"/>
              <w:jc w:val="right"/>
              <w:rPr>
                <w:rFonts w:ascii="Times New Roman" w:hAnsi="Times New Roman" w:cs="Times New Roman" w:eastAsia="Times New Roman" w:hint="default"/>
                <w:sz w:val="18"/>
                <w:szCs w:val="18"/>
              </w:rPr>
            </w:pPr>
            <w:r>
              <w:rPr>
                <w:rFonts w:ascii="Times New Roman"/>
                <w:sz w:val="18"/>
              </w:rPr>
              <w:t>0.03</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244.38</w:t>
            </w:r>
          </w:p>
        </w:tc>
      </w:tr>
      <w:tr>
        <w:trPr>
          <w:trHeight w:val="385" w:hRule="exact"/>
        </w:trPr>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82"/>
              <w:ind w:left="661" w:right="0"/>
              <w:jc w:val="left"/>
              <w:rPr>
                <w:rFonts w:ascii="Times New Roman" w:hAnsi="Times New Roman" w:cs="Times New Roman" w:eastAsia="Times New Roman" w:hint="default"/>
                <w:sz w:val="18"/>
                <w:szCs w:val="18"/>
              </w:rPr>
            </w:pPr>
            <w:r>
              <w:rPr>
                <w:rFonts w:ascii="Times New Roman"/>
                <w:sz w:val="18"/>
              </w:rPr>
              <w:t>102,443.80</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82"/>
              <w:ind w:left="74" w:right="0"/>
              <w:jc w:val="center"/>
              <w:rPr>
                <w:rFonts w:ascii="Times New Roman" w:hAnsi="Times New Roman" w:cs="Times New Roman" w:eastAsia="Times New Roman" w:hint="default"/>
                <w:sz w:val="18"/>
                <w:szCs w:val="18"/>
              </w:rPr>
            </w:pPr>
            <w:r>
              <w:rPr>
                <w:rFonts w:ascii="Times New Roman"/>
                <w:sz w:val="18"/>
              </w:rPr>
              <w:t>1.36</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68"/>
              <w:jc w:val="right"/>
              <w:rPr>
                <w:rFonts w:ascii="Times New Roman" w:hAnsi="Times New Roman" w:cs="Times New Roman" w:eastAsia="Times New Roman" w:hint="default"/>
                <w:sz w:val="18"/>
                <w:szCs w:val="18"/>
              </w:rPr>
            </w:pPr>
            <w:r>
              <w:rPr>
                <w:rFonts w:ascii="Times New Roman"/>
                <w:sz w:val="18"/>
              </w:rPr>
              <w:t>30,733.14</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82"/>
              <w:ind w:left="269" w:right="0"/>
              <w:jc w:val="left"/>
              <w:rPr>
                <w:rFonts w:ascii="Times New Roman" w:hAnsi="Times New Roman" w:cs="Times New Roman" w:eastAsia="Times New Roman" w:hint="default"/>
                <w:sz w:val="18"/>
                <w:szCs w:val="18"/>
              </w:rPr>
            </w:pPr>
            <w:r>
              <w:rPr>
                <w:rFonts w:ascii="Times New Roman"/>
                <w:sz w:val="18"/>
              </w:rPr>
              <w:t>1,225,778.00</w:t>
            </w:r>
          </w:p>
        </w:tc>
        <w:tc>
          <w:tcPr>
            <w:tcW w:w="76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75"/>
              <w:jc w:val="right"/>
              <w:rPr>
                <w:rFonts w:ascii="Times New Roman" w:hAnsi="Times New Roman" w:cs="Times New Roman" w:eastAsia="Times New Roman" w:hint="default"/>
                <w:sz w:val="18"/>
                <w:szCs w:val="18"/>
              </w:rPr>
            </w:pPr>
            <w:r>
              <w:rPr>
                <w:rFonts w:ascii="Times New Roman"/>
                <w:sz w:val="18"/>
              </w:rPr>
              <w:t>14.09</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367,733.40</w:t>
            </w:r>
          </w:p>
        </w:tc>
      </w:tr>
      <w:tr>
        <w:trPr>
          <w:trHeight w:val="384" w:hRule="exact"/>
        </w:trPr>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81"/>
              <w:ind w:left="751" w:right="0"/>
              <w:jc w:val="left"/>
              <w:rPr>
                <w:rFonts w:ascii="Times New Roman" w:hAnsi="Times New Roman" w:cs="Times New Roman" w:eastAsia="Times New Roman" w:hint="default"/>
                <w:sz w:val="18"/>
                <w:szCs w:val="18"/>
              </w:rPr>
            </w:pPr>
            <w:r>
              <w:rPr>
                <w:rFonts w:ascii="Times New Roman"/>
                <w:sz w:val="18"/>
              </w:rPr>
              <w:t>64,600.00</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73" w:right="0"/>
              <w:jc w:val="center"/>
              <w:rPr>
                <w:rFonts w:ascii="Times New Roman" w:hAnsi="Times New Roman" w:cs="Times New Roman" w:eastAsia="Times New Roman" w:hint="default"/>
                <w:sz w:val="18"/>
                <w:szCs w:val="18"/>
              </w:rPr>
            </w:pPr>
            <w:r>
              <w:rPr>
                <w:rFonts w:ascii="Times New Roman"/>
                <w:sz w:val="18"/>
              </w:rPr>
              <w:t>0.86</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68"/>
              <w:jc w:val="right"/>
              <w:rPr>
                <w:rFonts w:ascii="Times New Roman" w:hAnsi="Times New Roman" w:cs="Times New Roman" w:eastAsia="Times New Roman" w:hint="default"/>
                <w:sz w:val="18"/>
                <w:szCs w:val="18"/>
              </w:rPr>
            </w:pPr>
            <w:r>
              <w:rPr>
                <w:rFonts w:ascii="Times New Roman"/>
                <w:sz w:val="18"/>
              </w:rPr>
              <w:t>32,300.00</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62"/>
              <w:jc w:val="right"/>
              <w:rPr>
                <w:rFonts w:ascii="Times New Roman" w:hAnsi="Times New Roman" w:cs="Times New Roman" w:eastAsia="Times New Roman" w:hint="default"/>
                <w:sz w:val="18"/>
                <w:szCs w:val="18"/>
              </w:rPr>
            </w:pPr>
            <w:r>
              <w:rPr>
                <w:rFonts w:ascii="Times New Roman"/>
                <w:sz w:val="18"/>
              </w:rPr>
              <w:t>9,200.00</w:t>
            </w:r>
          </w:p>
        </w:tc>
        <w:tc>
          <w:tcPr>
            <w:tcW w:w="76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75"/>
              <w:jc w:val="right"/>
              <w:rPr>
                <w:rFonts w:ascii="Times New Roman" w:hAnsi="Times New Roman" w:cs="Times New Roman" w:eastAsia="Times New Roman" w:hint="default"/>
                <w:sz w:val="18"/>
                <w:szCs w:val="18"/>
              </w:rPr>
            </w:pPr>
            <w:r>
              <w:rPr>
                <w:rFonts w:ascii="Times New Roman"/>
                <w:spacing w:val="-2"/>
                <w:w w:val="95"/>
                <w:sz w:val="18"/>
              </w:rPr>
              <w:t>0.11</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4,600.00</w:t>
            </w:r>
          </w:p>
        </w:tc>
      </w:tr>
      <w:tr>
        <w:trPr>
          <w:trHeight w:val="385" w:hRule="exact"/>
        </w:trPr>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81"/>
              <w:ind w:left="841" w:right="0"/>
              <w:jc w:val="left"/>
              <w:rPr>
                <w:rFonts w:ascii="Times New Roman" w:hAnsi="Times New Roman" w:cs="Times New Roman" w:eastAsia="Times New Roman" w:hint="default"/>
                <w:sz w:val="18"/>
                <w:szCs w:val="18"/>
              </w:rPr>
            </w:pPr>
            <w:r>
              <w:rPr>
                <w:rFonts w:ascii="Times New Roman"/>
                <w:sz w:val="18"/>
              </w:rPr>
              <w:t>8,265.10</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81" w:right="0"/>
              <w:jc w:val="center"/>
              <w:rPr>
                <w:rFonts w:ascii="Times New Roman" w:hAnsi="Times New Roman" w:cs="Times New Roman" w:eastAsia="Times New Roman" w:hint="default"/>
                <w:sz w:val="18"/>
                <w:szCs w:val="18"/>
              </w:rPr>
            </w:pPr>
            <w:r>
              <w:rPr>
                <w:rFonts w:ascii="Times New Roman"/>
                <w:sz w:val="18"/>
              </w:rPr>
              <w:t>0.11</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68"/>
              <w:jc w:val="right"/>
              <w:rPr>
                <w:rFonts w:ascii="Times New Roman" w:hAnsi="Times New Roman" w:cs="Times New Roman" w:eastAsia="Times New Roman" w:hint="default"/>
                <w:sz w:val="18"/>
                <w:szCs w:val="18"/>
              </w:rPr>
            </w:pPr>
            <w:r>
              <w:rPr>
                <w:rFonts w:ascii="Times New Roman"/>
                <w:sz w:val="18"/>
              </w:rPr>
              <w:t>6,612.08</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63"/>
              <w:jc w:val="right"/>
              <w:rPr>
                <w:rFonts w:ascii="Times New Roman" w:hAnsi="Times New Roman" w:cs="Times New Roman" w:eastAsia="Times New Roman" w:hint="default"/>
                <w:sz w:val="18"/>
                <w:szCs w:val="18"/>
              </w:rPr>
            </w:pPr>
            <w:r>
              <w:rPr>
                <w:rFonts w:ascii="Times New Roman"/>
                <w:sz w:val="18"/>
              </w:rPr>
              <w:t>44,578.50</w:t>
            </w:r>
          </w:p>
        </w:tc>
        <w:tc>
          <w:tcPr>
            <w:tcW w:w="76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75"/>
              <w:jc w:val="right"/>
              <w:rPr>
                <w:rFonts w:ascii="Times New Roman" w:hAnsi="Times New Roman" w:cs="Times New Roman" w:eastAsia="Times New Roman" w:hint="default"/>
                <w:sz w:val="18"/>
                <w:szCs w:val="18"/>
              </w:rPr>
            </w:pPr>
            <w:r>
              <w:rPr>
                <w:rFonts w:ascii="Times New Roman"/>
                <w:sz w:val="18"/>
              </w:rPr>
              <w:t>0.51</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35,662.80</w:t>
            </w:r>
          </w:p>
        </w:tc>
      </w:tr>
      <w:tr>
        <w:trPr>
          <w:trHeight w:val="385" w:hRule="exact"/>
        </w:trPr>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82"/>
              <w:ind w:left="751" w:right="0"/>
              <w:jc w:val="left"/>
              <w:rPr>
                <w:rFonts w:ascii="Times New Roman" w:hAnsi="Times New Roman" w:cs="Times New Roman" w:eastAsia="Times New Roman" w:hint="default"/>
                <w:sz w:val="18"/>
                <w:szCs w:val="18"/>
              </w:rPr>
            </w:pPr>
            <w:r>
              <w:rPr>
                <w:rFonts w:ascii="Times New Roman"/>
                <w:sz w:val="18"/>
              </w:rPr>
              <w:t>56,578.50</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82"/>
              <w:ind w:left="74" w:right="0"/>
              <w:jc w:val="center"/>
              <w:rPr>
                <w:rFonts w:ascii="Times New Roman" w:hAnsi="Times New Roman" w:cs="Times New Roman" w:eastAsia="Times New Roman" w:hint="default"/>
                <w:sz w:val="18"/>
                <w:szCs w:val="18"/>
              </w:rPr>
            </w:pPr>
            <w:r>
              <w:rPr>
                <w:rFonts w:ascii="Times New Roman"/>
                <w:sz w:val="18"/>
              </w:rPr>
              <w:t>0.74</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68"/>
              <w:jc w:val="right"/>
              <w:rPr>
                <w:rFonts w:ascii="Times New Roman" w:hAnsi="Times New Roman" w:cs="Times New Roman" w:eastAsia="Times New Roman" w:hint="default"/>
                <w:sz w:val="18"/>
                <w:szCs w:val="18"/>
              </w:rPr>
            </w:pPr>
            <w:r>
              <w:rPr>
                <w:rFonts w:ascii="Times New Roman"/>
                <w:sz w:val="18"/>
              </w:rPr>
              <w:t>56,578.50</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63"/>
              <w:jc w:val="right"/>
              <w:rPr>
                <w:rFonts w:ascii="Times New Roman" w:hAnsi="Times New Roman" w:cs="Times New Roman" w:eastAsia="Times New Roman" w:hint="default"/>
                <w:sz w:val="18"/>
                <w:szCs w:val="18"/>
              </w:rPr>
            </w:pPr>
            <w:r>
              <w:rPr>
                <w:rFonts w:ascii="Times New Roman"/>
                <w:sz w:val="18"/>
              </w:rPr>
              <w:t>12,000.00</w:t>
            </w:r>
          </w:p>
        </w:tc>
        <w:tc>
          <w:tcPr>
            <w:tcW w:w="76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75"/>
              <w:jc w:val="right"/>
              <w:rPr>
                <w:rFonts w:ascii="Times New Roman" w:hAnsi="Times New Roman" w:cs="Times New Roman" w:eastAsia="Times New Roman" w:hint="default"/>
                <w:sz w:val="18"/>
                <w:szCs w:val="18"/>
              </w:rPr>
            </w:pPr>
            <w:r>
              <w:rPr>
                <w:rFonts w:ascii="Times New Roman"/>
                <w:sz w:val="18"/>
              </w:rPr>
              <w:t>0.14</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12,000.00</w:t>
            </w:r>
          </w:p>
        </w:tc>
      </w:tr>
      <w:tr>
        <w:trPr>
          <w:trHeight w:val="389" w:hRule="exact"/>
        </w:trPr>
        <w:tc>
          <w:tcPr>
            <w:tcW w:w="1434"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right="525"/>
              <w:jc w:val="right"/>
              <w:rPr>
                <w:rFonts w:ascii="宋体" w:hAnsi="宋体" w:cs="宋体" w:eastAsia="宋体" w:hint="default"/>
                <w:sz w:val="18"/>
                <w:szCs w:val="18"/>
              </w:rPr>
            </w:pPr>
            <w:r>
              <w:rPr>
                <w:rFonts w:ascii="宋体" w:hAnsi="宋体" w:cs="宋体" w:eastAsia="宋体" w:hint="default"/>
                <w:sz w:val="18"/>
                <w:szCs w:val="18"/>
              </w:rPr>
              <w:t>合计</w:t>
            </w:r>
          </w:p>
        </w:tc>
        <w:tc>
          <w:tcPr>
            <w:tcW w:w="1638"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left="527" w:right="0"/>
              <w:jc w:val="left"/>
              <w:rPr>
                <w:rFonts w:ascii="Times New Roman" w:hAnsi="Times New Roman" w:cs="Times New Roman" w:eastAsia="Times New Roman" w:hint="default"/>
                <w:sz w:val="18"/>
                <w:szCs w:val="18"/>
              </w:rPr>
            </w:pPr>
            <w:r>
              <w:rPr>
                <w:rFonts w:ascii="Times New Roman"/>
                <w:sz w:val="18"/>
              </w:rPr>
              <w:t>7,550,219.50</w:t>
            </w:r>
          </w:p>
        </w:tc>
        <w:tc>
          <w:tcPr>
            <w:tcW w:w="785"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04"/>
              <w:jc w:val="center"/>
              <w:rPr>
                <w:rFonts w:ascii="Times New Roman" w:hAnsi="Times New Roman" w:cs="Times New Roman" w:eastAsia="Times New Roman" w:hint="default"/>
                <w:sz w:val="18"/>
                <w:szCs w:val="18"/>
              </w:rPr>
            </w:pPr>
            <w:r>
              <w:rPr>
                <w:rFonts w:ascii="Times New Roman"/>
                <w:sz w:val="18"/>
              </w:rPr>
              <w:t>100.00</w:t>
            </w:r>
          </w:p>
        </w:tc>
        <w:tc>
          <w:tcPr>
            <w:tcW w:w="1366"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268"/>
              <w:jc w:val="right"/>
              <w:rPr>
                <w:rFonts w:ascii="Times New Roman" w:hAnsi="Times New Roman" w:cs="Times New Roman" w:eastAsia="Times New Roman" w:hint="default"/>
                <w:sz w:val="18"/>
                <w:szCs w:val="18"/>
              </w:rPr>
            </w:pPr>
            <w:r>
              <w:rPr>
                <w:rFonts w:ascii="Times New Roman"/>
                <w:sz w:val="18"/>
              </w:rPr>
              <w:t>554,699.14</w:t>
            </w:r>
          </w:p>
        </w:tc>
        <w:tc>
          <w:tcPr>
            <w:tcW w:w="1381"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left="270" w:right="0"/>
              <w:jc w:val="left"/>
              <w:rPr>
                <w:rFonts w:ascii="Times New Roman" w:hAnsi="Times New Roman" w:cs="Times New Roman" w:eastAsia="Times New Roman" w:hint="default"/>
                <w:sz w:val="18"/>
                <w:szCs w:val="18"/>
              </w:rPr>
            </w:pPr>
            <w:r>
              <w:rPr>
                <w:rFonts w:ascii="Times New Roman"/>
                <w:sz w:val="18"/>
              </w:rPr>
              <w:t>8,698,584.16</w:t>
            </w:r>
          </w:p>
        </w:tc>
        <w:tc>
          <w:tcPr>
            <w:tcW w:w="766"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75"/>
              <w:jc w:val="right"/>
              <w:rPr>
                <w:rFonts w:ascii="Times New Roman" w:hAnsi="Times New Roman" w:cs="Times New Roman" w:eastAsia="Times New Roman" w:hint="default"/>
                <w:sz w:val="18"/>
                <w:szCs w:val="18"/>
              </w:rPr>
            </w:pPr>
            <w:r>
              <w:rPr>
                <w:rFonts w:ascii="Times New Roman"/>
                <w:sz w:val="18"/>
              </w:rPr>
              <w:t>100.00</w:t>
            </w:r>
          </w:p>
        </w:tc>
        <w:tc>
          <w:tcPr>
            <w:tcW w:w="1072"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790,469.78</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Heading2"/>
        <w:tabs>
          <w:tab w:pos="1396" w:val="left" w:leader="none"/>
        </w:tabs>
        <w:spacing w:line="240" w:lineRule="auto" w:before="35"/>
        <w:ind w:left="857" w:right="0"/>
        <w:jc w:val="left"/>
        <w:rPr>
          <w:b w:val="0"/>
          <w:bCs w:val="0"/>
        </w:rPr>
      </w:pPr>
      <w:r>
        <w:rPr>
          <w:rFonts w:ascii="Times New Roman" w:hAnsi="Times New Roman" w:cs="Times New Roman" w:eastAsia="Times New Roman" w:hint="default"/>
          <w:w w:val="95"/>
        </w:rPr>
        <w:t>2</w:t>
      </w:r>
      <w:r>
        <w:rPr>
          <w:w w:val="95"/>
        </w:rPr>
        <w:t>、</w:t>
        <w:tab/>
      </w:r>
      <w:r>
        <w:rPr/>
        <w:t>期末其他应收款中无持本公司</w:t>
      </w:r>
      <w:r>
        <w:rPr>
          <w:spacing w:val="-62"/>
        </w:rPr>
        <w:t> </w:t>
      </w:r>
      <w:r>
        <w:rPr>
          <w:rFonts w:ascii="Times New Roman" w:hAnsi="Times New Roman" w:cs="Times New Roman" w:eastAsia="Times New Roman" w:hint="default"/>
        </w:rPr>
        <w:t>5</w:t>
      </w:r>
      <w:r>
        <w:rPr/>
        <w:t>％以上（含</w:t>
      </w:r>
      <w:r>
        <w:rPr>
          <w:spacing w:val="-62"/>
        </w:rPr>
        <w:t> </w:t>
      </w:r>
      <w:r>
        <w:rPr>
          <w:rFonts w:ascii="Times New Roman" w:hAnsi="Times New Roman" w:cs="Times New Roman" w:eastAsia="Times New Roman" w:hint="default"/>
        </w:rPr>
        <w:t>5</w:t>
      </w:r>
      <w:r>
        <w:rPr/>
        <w:t>％）表决权股份的股东单位欠款。</w:t>
      </w:r>
      <w:r>
        <w:rPr>
          <w:b w:val="0"/>
          <w:bCs w:val="0"/>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396" w:val="left" w:leader="none"/>
        </w:tabs>
        <w:spacing w:before="0"/>
        <w:ind w:left="857" w:right="3547" w:firstLine="0"/>
        <w:jc w:val="left"/>
        <w:rPr>
          <w:rFonts w:ascii="宋体" w:hAnsi="宋体" w:cs="宋体" w:eastAsia="宋体" w:hint="default"/>
          <w:sz w:val="21"/>
          <w:szCs w:val="21"/>
        </w:rPr>
      </w:pPr>
      <w:r>
        <w:rPr/>
        <w:pict>
          <v:group style="position:absolute;margin-left:146.639999pt;margin-top:31.53447pt;width:390.5pt;height:122.85pt;mso-position-horizontal-relative:page;mso-position-vertical-relative:paragraph;z-index:-709816" coordorigin="2933,631" coordsize="7810,2457">
            <v:shape style="position:absolute;left:5437;top:631;width:4028;height:787" type="#_x0000_t75" stroked="false">
              <v:imagedata r:id="rId126" o:title=""/>
            </v:shape>
            <v:shape style="position:absolute;left:2933;top:1379;width:7810;height:1708" type="#_x0000_t75" stroked="false">
              <v:imagedata r:id="rId127" o:title=""/>
            </v:shape>
            <w10:wrap type="none"/>
          </v:group>
        </w:pict>
      </w: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其他应收款金额前五名情况</w:t>
      </w:r>
      <w:r>
        <w:rPr>
          <w:rFonts w:ascii="宋体" w:hAnsi="宋体" w:cs="宋体" w:eastAsia="宋体" w:hint="default"/>
          <w:sz w:val="21"/>
          <w:szCs w:val="21"/>
        </w:rPr>
      </w:r>
    </w:p>
    <w:p>
      <w:pPr>
        <w:spacing w:line="240" w:lineRule="auto" w:before="2"/>
        <w:rPr>
          <w:rFonts w:ascii="宋体" w:hAnsi="宋体" w:cs="宋体" w:eastAsia="宋体" w:hint="default"/>
          <w:b/>
          <w:bCs/>
          <w:sz w:val="25"/>
          <w:szCs w:val="25"/>
        </w:rPr>
      </w:pPr>
    </w:p>
    <w:tbl>
      <w:tblPr>
        <w:tblW w:w="0" w:type="auto"/>
        <w:jc w:val="left"/>
        <w:tblInd w:w="1291" w:type="dxa"/>
        <w:tblLayout w:type="fixed"/>
        <w:tblCellMar>
          <w:top w:w="0" w:type="dxa"/>
          <w:left w:w="0" w:type="dxa"/>
          <w:bottom w:w="0" w:type="dxa"/>
          <w:right w:w="0" w:type="dxa"/>
        </w:tblCellMar>
        <w:tblLook w:val="01E0"/>
      </w:tblPr>
      <w:tblGrid>
        <w:gridCol w:w="2492"/>
        <w:gridCol w:w="1277"/>
        <w:gridCol w:w="1050"/>
        <w:gridCol w:w="1670"/>
        <w:gridCol w:w="1282"/>
      </w:tblGrid>
      <w:tr>
        <w:trPr>
          <w:trHeight w:val="774" w:hRule="exact"/>
        </w:trPr>
        <w:tc>
          <w:tcPr>
            <w:tcW w:w="2492"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277"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50"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406" w:right="0"/>
              <w:jc w:val="left"/>
              <w:rPr>
                <w:rFonts w:ascii="宋体" w:hAnsi="宋体" w:cs="宋体" w:eastAsia="宋体" w:hint="default"/>
                <w:sz w:val="18"/>
                <w:szCs w:val="18"/>
              </w:rPr>
            </w:pPr>
            <w:r>
              <w:rPr>
                <w:rFonts w:ascii="宋体" w:hAnsi="宋体" w:cs="宋体" w:eastAsia="宋体" w:hint="default"/>
                <w:sz w:val="18"/>
                <w:szCs w:val="18"/>
              </w:rPr>
              <w:t>年限</w:t>
            </w:r>
          </w:p>
        </w:tc>
        <w:tc>
          <w:tcPr>
            <w:tcW w:w="1670" w:type="dxa"/>
            <w:tcBorders>
              <w:top w:val="single" w:sz="12" w:space="0" w:color="000000"/>
              <w:left w:val="nil" w:sz="6" w:space="0" w:color="auto"/>
              <w:bottom w:val="nil" w:sz="6" w:space="0" w:color="auto"/>
              <w:right w:val="nil" w:sz="6" w:space="0" w:color="auto"/>
            </w:tcBorders>
          </w:tcPr>
          <w:p>
            <w:pPr>
              <w:pStyle w:val="TableParagraph"/>
              <w:spacing w:line="381" w:lineRule="auto" w:before="41"/>
              <w:ind w:left="401" w:right="140" w:hanging="135"/>
              <w:jc w:val="left"/>
              <w:rPr>
                <w:rFonts w:ascii="Times New Roman" w:hAnsi="Times New Roman" w:cs="Times New Roman" w:eastAsia="Times New Roman" w:hint="default"/>
                <w:sz w:val="18"/>
                <w:szCs w:val="18"/>
              </w:rPr>
            </w:pPr>
            <w:r>
              <w:rPr>
                <w:rFonts w:ascii="宋体" w:hAnsi="宋体" w:cs="宋体" w:eastAsia="宋体" w:hint="default"/>
                <w:sz w:val="18"/>
                <w:szCs w:val="18"/>
              </w:rPr>
              <w:t>占其他应收款总 额的比例</w:t>
            </w:r>
            <w:r>
              <w:rPr>
                <w:rFonts w:ascii="Times New Roman" w:hAnsi="Times New Roman" w:cs="Times New Roman" w:eastAsia="Times New Roman" w:hint="default"/>
                <w:sz w:val="18"/>
                <w:szCs w:val="18"/>
              </w:rPr>
              <w:t>(%)</w:t>
            </w:r>
          </w:p>
        </w:tc>
        <w:tc>
          <w:tcPr>
            <w:tcW w:w="1282"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193" w:right="0"/>
              <w:jc w:val="left"/>
              <w:rPr>
                <w:rFonts w:ascii="宋体" w:hAnsi="宋体" w:cs="宋体" w:eastAsia="宋体" w:hint="default"/>
                <w:sz w:val="18"/>
                <w:szCs w:val="18"/>
              </w:rPr>
            </w:pPr>
            <w:r>
              <w:rPr>
                <w:rFonts w:ascii="宋体" w:hAnsi="宋体" w:cs="宋体" w:eastAsia="宋体" w:hint="default"/>
                <w:sz w:val="18"/>
                <w:szCs w:val="18"/>
              </w:rPr>
              <w:t>性质或内容</w:t>
            </w:r>
          </w:p>
        </w:tc>
      </w:tr>
      <w:tr>
        <w:trPr>
          <w:trHeight w:val="384" w:hRule="exact"/>
        </w:trPr>
        <w:tc>
          <w:tcPr>
            <w:tcW w:w="2492"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项目实施备用金</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spacing w:val="-1"/>
                <w:sz w:val="18"/>
              </w:rPr>
              <w:t>1,197,217.29</w:t>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sz w:val="18"/>
              </w:rPr>
              <w:t>15.86</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备用金</w:t>
            </w:r>
          </w:p>
        </w:tc>
      </w:tr>
      <w:tr>
        <w:trPr>
          <w:trHeight w:val="403" w:hRule="exact"/>
        </w:trPr>
        <w:tc>
          <w:tcPr>
            <w:tcW w:w="2492"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中信国际招标公司</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7"/>
              <w:jc w:val="right"/>
              <w:rPr>
                <w:rFonts w:ascii="Times New Roman" w:hAnsi="Times New Roman" w:cs="Times New Roman" w:eastAsia="Times New Roman" w:hint="default"/>
                <w:sz w:val="18"/>
                <w:szCs w:val="18"/>
              </w:rPr>
            </w:pPr>
            <w:r>
              <w:rPr>
                <w:rFonts w:ascii="Times New Roman"/>
                <w:sz w:val="18"/>
              </w:rPr>
              <w:t>656,000.00</w:t>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sz w:val="18"/>
              </w:rPr>
              <w:t>8.69</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投标保证金</w:t>
            </w:r>
          </w:p>
        </w:tc>
      </w:tr>
      <w:tr>
        <w:trPr>
          <w:trHeight w:val="441" w:hRule="exact"/>
        </w:trPr>
        <w:tc>
          <w:tcPr>
            <w:tcW w:w="2492" w:type="dxa"/>
            <w:tcBorders>
              <w:top w:val="nil" w:sz="6" w:space="0" w:color="auto"/>
              <w:left w:val="nil" w:sz="6" w:space="0" w:color="auto"/>
              <w:bottom w:val="nil" w:sz="6" w:space="0" w:color="auto"/>
              <w:right w:val="nil" w:sz="6" w:space="0" w:color="auto"/>
            </w:tcBorders>
          </w:tcPr>
          <w:p>
            <w:pPr>
              <w:pStyle w:val="TableParagraph"/>
              <w:spacing w:line="240" w:lineRule="auto" w:before="60"/>
              <w:ind w:left="108" w:right="0"/>
              <w:jc w:val="left"/>
              <w:rPr>
                <w:rFonts w:ascii="宋体" w:hAnsi="宋体" w:cs="宋体" w:eastAsia="宋体" w:hint="default"/>
                <w:sz w:val="18"/>
                <w:szCs w:val="18"/>
              </w:rPr>
            </w:pPr>
            <w:r>
              <w:rPr>
                <w:rFonts w:ascii="宋体" w:hAnsi="宋体" w:cs="宋体" w:eastAsia="宋体" w:hint="default"/>
                <w:sz w:val="18"/>
                <w:szCs w:val="18"/>
              </w:rPr>
              <w:t>中国人民银行集中采购中心</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7"/>
              <w:jc w:val="right"/>
              <w:rPr>
                <w:rFonts w:ascii="Times New Roman" w:hAnsi="Times New Roman" w:cs="Times New Roman" w:eastAsia="Times New Roman" w:hint="default"/>
                <w:sz w:val="18"/>
                <w:szCs w:val="18"/>
              </w:rPr>
            </w:pPr>
            <w:r>
              <w:rPr>
                <w:rFonts w:ascii="Times New Roman"/>
                <w:sz w:val="18"/>
              </w:rPr>
              <w:t>345,769.90</w:t>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60"/>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4.58</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60"/>
              <w:ind w:left="108" w:right="0"/>
              <w:jc w:val="left"/>
              <w:rPr>
                <w:rFonts w:ascii="宋体" w:hAnsi="宋体" w:cs="宋体" w:eastAsia="宋体" w:hint="default"/>
                <w:sz w:val="18"/>
                <w:szCs w:val="18"/>
              </w:rPr>
            </w:pPr>
            <w:r>
              <w:rPr>
                <w:rFonts w:ascii="宋体" w:hAnsi="宋体" w:cs="宋体" w:eastAsia="宋体" w:hint="default"/>
                <w:sz w:val="18"/>
                <w:szCs w:val="18"/>
              </w:rPr>
              <w:t>履约保证金</w:t>
            </w:r>
          </w:p>
        </w:tc>
      </w:tr>
      <w:tr>
        <w:trPr>
          <w:trHeight w:val="466" w:hRule="exact"/>
        </w:trPr>
        <w:tc>
          <w:tcPr>
            <w:tcW w:w="2492"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left="108" w:right="0"/>
              <w:jc w:val="left"/>
              <w:rPr>
                <w:rFonts w:ascii="宋体" w:hAnsi="宋体" w:cs="宋体" w:eastAsia="宋体" w:hint="default"/>
                <w:sz w:val="18"/>
                <w:szCs w:val="18"/>
              </w:rPr>
            </w:pPr>
            <w:r>
              <w:rPr>
                <w:rFonts w:ascii="宋体" w:hAnsi="宋体" w:cs="宋体" w:eastAsia="宋体" w:hint="default"/>
                <w:sz w:val="18"/>
                <w:szCs w:val="18"/>
              </w:rPr>
              <w:t>天津信合金融网络中心</w:t>
            </w:r>
          </w:p>
        </w:tc>
        <w:tc>
          <w:tcPr>
            <w:tcW w:w="1277"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107"/>
              <w:jc w:val="right"/>
              <w:rPr>
                <w:rFonts w:ascii="Times New Roman" w:hAnsi="Times New Roman" w:cs="Times New Roman" w:eastAsia="Times New Roman" w:hint="default"/>
                <w:sz w:val="18"/>
                <w:szCs w:val="18"/>
              </w:rPr>
            </w:pPr>
            <w:r>
              <w:rPr>
                <w:rFonts w:ascii="Times New Roman"/>
                <w:sz w:val="18"/>
              </w:rPr>
              <w:t>342,003.00</w:t>
            </w:r>
          </w:p>
        </w:tc>
        <w:tc>
          <w:tcPr>
            <w:tcW w:w="1050"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70"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106"/>
              <w:jc w:val="right"/>
              <w:rPr>
                <w:rFonts w:ascii="Times New Roman" w:hAnsi="Times New Roman" w:cs="Times New Roman" w:eastAsia="Times New Roman" w:hint="default"/>
                <w:sz w:val="18"/>
                <w:szCs w:val="18"/>
              </w:rPr>
            </w:pPr>
            <w:r>
              <w:rPr>
                <w:rFonts w:ascii="Times New Roman"/>
                <w:sz w:val="18"/>
              </w:rPr>
              <w:t>4.53</w:t>
            </w:r>
          </w:p>
        </w:tc>
        <w:tc>
          <w:tcPr>
            <w:tcW w:w="1282"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left="108" w:right="0"/>
              <w:jc w:val="left"/>
              <w:rPr>
                <w:rFonts w:ascii="宋体" w:hAnsi="宋体" w:cs="宋体" w:eastAsia="宋体" w:hint="default"/>
                <w:sz w:val="18"/>
                <w:szCs w:val="18"/>
              </w:rPr>
            </w:pPr>
            <w:r>
              <w:rPr>
                <w:rFonts w:ascii="宋体" w:hAnsi="宋体" w:cs="宋体" w:eastAsia="宋体" w:hint="default"/>
                <w:sz w:val="18"/>
                <w:szCs w:val="18"/>
              </w:rPr>
              <w:t>履约保证金</w:t>
            </w:r>
          </w:p>
        </w:tc>
      </w:tr>
    </w:tbl>
    <w:p>
      <w:pPr>
        <w:spacing w:after="0" w:line="240" w:lineRule="auto"/>
        <w:jc w:val="left"/>
        <w:rPr>
          <w:rFonts w:ascii="宋体" w:hAnsi="宋体" w:cs="宋体" w:eastAsia="宋体" w:hint="default"/>
          <w:sz w:val="18"/>
          <w:szCs w:val="18"/>
        </w:rPr>
        <w:sectPr>
          <w:pgSz w:w="11910" w:h="16840"/>
          <w:pgMar w:header="851" w:footer="982" w:top="1300" w:bottom="1180" w:left="1660" w:right="780"/>
        </w:sectPr>
      </w:pPr>
    </w:p>
    <w:p>
      <w:pPr>
        <w:spacing w:line="240" w:lineRule="auto" w:before="3"/>
        <w:rPr>
          <w:rFonts w:ascii="宋体" w:hAnsi="宋体" w:cs="宋体" w:eastAsia="宋体" w:hint="default"/>
          <w:b/>
          <w:bCs/>
          <w:sz w:val="2"/>
          <w:szCs w:val="2"/>
        </w:rPr>
      </w:pPr>
    </w:p>
    <w:tbl>
      <w:tblPr>
        <w:tblW w:w="0" w:type="auto"/>
        <w:jc w:val="left"/>
        <w:tblInd w:w="1291" w:type="dxa"/>
        <w:tblLayout w:type="fixed"/>
        <w:tblCellMar>
          <w:top w:w="0" w:type="dxa"/>
          <w:left w:w="0" w:type="dxa"/>
          <w:bottom w:w="0" w:type="dxa"/>
          <w:right w:w="0" w:type="dxa"/>
        </w:tblCellMar>
        <w:tblLook w:val="01E0"/>
      </w:tblPr>
      <w:tblGrid>
        <w:gridCol w:w="2379"/>
        <w:gridCol w:w="1390"/>
        <w:gridCol w:w="1540"/>
        <w:gridCol w:w="1181"/>
        <w:gridCol w:w="1282"/>
      </w:tblGrid>
      <w:tr>
        <w:trPr>
          <w:trHeight w:val="581" w:hRule="exact"/>
        </w:trPr>
        <w:tc>
          <w:tcPr>
            <w:tcW w:w="2379" w:type="dxa"/>
            <w:tcBorders>
              <w:top w:val="single" w:sz="12" w:space="0" w:color="000000"/>
              <w:left w:val="nil" w:sz="6" w:space="0" w:color="auto"/>
              <w:bottom w:val="single" w:sz="12" w:space="0" w:color="000000"/>
              <w:right w:val="nil" w:sz="6" w:space="0" w:color="auto"/>
            </w:tcBorders>
          </w:tcPr>
          <w:p>
            <w:pPr>
              <w:pStyle w:val="TableParagraph"/>
              <w:spacing w:line="240" w:lineRule="auto" w:before="79"/>
              <w:ind w:left="107" w:right="0"/>
              <w:jc w:val="left"/>
              <w:rPr>
                <w:rFonts w:ascii="宋体" w:hAnsi="宋体" w:cs="宋体" w:eastAsia="宋体" w:hint="default"/>
                <w:sz w:val="18"/>
                <w:szCs w:val="18"/>
              </w:rPr>
            </w:pPr>
            <w:r>
              <w:rPr>
                <w:rFonts w:ascii="宋体" w:hAnsi="宋体" w:cs="宋体" w:eastAsia="宋体" w:hint="default"/>
                <w:sz w:val="18"/>
                <w:szCs w:val="18"/>
              </w:rPr>
              <w:t>长沙银行股份有限公司</w:t>
            </w:r>
          </w:p>
        </w:tc>
        <w:tc>
          <w:tcPr>
            <w:tcW w:w="1390" w:type="dxa"/>
            <w:tcBorders>
              <w:top w:val="single" w:sz="12" w:space="0" w:color="000000"/>
              <w:left w:val="nil" w:sz="6" w:space="0" w:color="auto"/>
              <w:bottom w:val="single" w:sz="12" w:space="0" w:color="000000"/>
              <w:right w:val="nil" w:sz="6" w:space="0" w:color="auto"/>
            </w:tcBorders>
          </w:tcPr>
          <w:p>
            <w:pPr>
              <w:pStyle w:val="TableParagraph"/>
              <w:spacing w:line="240" w:lineRule="auto"/>
              <w:ind w:left="125" w:right="0"/>
              <w:jc w:val="left"/>
              <w:rPr>
                <w:rFonts w:ascii="Times New Roman" w:hAnsi="Times New Roman" w:cs="Times New Roman" w:eastAsia="Times New Roman" w:hint="default"/>
                <w:sz w:val="18"/>
                <w:szCs w:val="18"/>
              </w:rPr>
            </w:pPr>
            <w:r>
              <w:rPr>
                <w:position w:val="-16"/>
              </w:rPr>
              <w:drawing>
                <wp:inline distT="0" distB="0" distL="0" distR="0">
                  <wp:extent cx="6144" cy="288035"/>
                  <wp:effectExtent l="0" t="0" r="0" b="0"/>
                  <wp:docPr id="25" name="image90.png" descr=""/>
                  <wp:cNvGraphicFramePr>
                    <a:graphicFrameLocks noChangeAspect="1"/>
                  </wp:cNvGraphicFramePr>
                  <a:graphic>
                    <a:graphicData uri="http://schemas.openxmlformats.org/drawingml/2006/picture">
                      <pic:pic>
                        <pic:nvPicPr>
                          <pic:cNvPr id="26" name="image90.png"/>
                          <pic:cNvPicPr/>
                        </pic:nvPicPr>
                        <pic:blipFill>
                          <a:blip r:embed="rId128" cstate="print"/>
                          <a:stretch>
                            <a:fillRect/>
                          </a:stretch>
                        </pic:blipFill>
                        <pic:spPr>
                          <a:xfrm>
                            <a:off x="0" y="0"/>
                            <a:ext cx="6144" cy="288035"/>
                          </a:xfrm>
                          <a:prstGeom prst="rect">
                            <a:avLst/>
                          </a:prstGeom>
                        </pic:spPr>
                      </pic:pic>
                    </a:graphicData>
                  </a:graphic>
                </wp:inline>
              </w:drawing>
            </w:r>
            <w:r>
              <w:rPr>
                <w:position w:val="-16"/>
              </w:rPr>
            </w:r>
            <w:r>
              <w:rPr>
                <w:rFonts w:ascii="Times New Roman"/>
                <w:sz w:val="20"/>
              </w:rPr>
              <w:t>      </w:t>
            </w:r>
            <w:r>
              <w:rPr>
                <w:rFonts w:ascii="Times New Roman"/>
                <w:sz w:val="18"/>
              </w:rPr>
              <w:t>260,000.00</w:t>
            </w:r>
          </w:p>
        </w:tc>
        <w:tc>
          <w:tcPr>
            <w:tcW w:w="1540" w:type="dxa"/>
            <w:tcBorders>
              <w:top w:val="single" w:sz="12" w:space="0" w:color="000000"/>
              <w:left w:val="nil" w:sz="6" w:space="0" w:color="auto"/>
              <w:bottom w:val="single" w:sz="12" w:space="0" w:color="000000"/>
              <w:right w:val="nil" w:sz="6" w:space="0" w:color="auto"/>
            </w:tcBorders>
          </w:tcPr>
          <w:p>
            <w:pPr>
              <w:pStyle w:val="TableParagraph"/>
              <w:tabs>
                <w:tab w:pos="1169" w:val="left" w:leader="none"/>
              </w:tabs>
              <w:spacing w:line="240" w:lineRule="auto"/>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tab/>
            </w:r>
            <w:r>
              <w:rPr>
                <w:rFonts w:ascii="宋体" w:hAnsi="宋体" w:cs="宋体" w:eastAsia="宋体" w:hint="default"/>
                <w:position w:val="-15"/>
                <w:sz w:val="18"/>
                <w:szCs w:val="18"/>
              </w:rPr>
              <w:drawing>
                <wp:inline distT="0" distB="0" distL="0" distR="0">
                  <wp:extent cx="6144" cy="288035"/>
                  <wp:effectExtent l="0" t="0" r="0" b="0"/>
                  <wp:docPr id="27" name="image90.png" descr=""/>
                  <wp:cNvGraphicFramePr>
                    <a:graphicFrameLocks noChangeAspect="1"/>
                  </wp:cNvGraphicFramePr>
                  <a:graphic>
                    <a:graphicData uri="http://schemas.openxmlformats.org/drawingml/2006/picture">
                      <pic:pic>
                        <pic:nvPicPr>
                          <pic:cNvPr id="28" name="image90.png"/>
                          <pic:cNvPicPr/>
                        </pic:nvPicPr>
                        <pic:blipFill>
                          <a:blip r:embed="rId128" cstate="print"/>
                          <a:stretch>
                            <a:fillRect/>
                          </a:stretch>
                        </pic:blipFill>
                        <pic:spPr>
                          <a:xfrm>
                            <a:off x="0" y="0"/>
                            <a:ext cx="6144" cy="288035"/>
                          </a:xfrm>
                          <a:prstGeom prst="rect">
                            <a:avLst/>
                          </a:prstGeom>
                        </pic:spPr>
                      </pic:pic>
                    </a:graphicData>
                  </a:graphic>
                </wp:inline>
              </w:drawing>
            </w:r>
            <w:r>
              <w:rPr>
                <w:rFonts w:ascii="宋体" w:hAnsi="宋体" w:cs="宋体" w:eastAsia="宋体" w:hint="default"/>
                <w:position w:val="-15"/>
                <w:sz w:val="18"/>
                <w:szCs w:val="18"/>
              </w:rPr>
            </w:r>
            <w:r>
              <w:rPr>
                <w:rFonts w:ascii="宋体" w:hAnsi="宋体" w:cs="宋体" w:eastAsia="宋体" w:hint="default"/>
                <w:sz w:val="18"/>
                <w:szCs w:val="18"/>
              </w:rPr>
            </w:r>
          </w:p>
        </w:tc>
        <w:tc>
          <w:tcPr>
            <w:tcW w:w="1181" w:type="dxa"/>
            <w:tcBorders>
              <w:top w:val="single" w:sz="12" w:space="0" w:color="000000"/>
              <w:left w:val="nil" w:sz="6" w:space="0" w:color="auto"/>
              <w:bottom w:val="single" w:sz="12" w:space="0" w:color="000000"/>
              <w:right w:val="nil" w:sz="6" w:space="0" w:color="auto"/>
            </w:tcBorders>
          </w:tcPr>
          <w:p>
            <w:pPr>
              <w:pStyle w:val="TableParagraph"/>
              <w:spacing w:line="240" w:lineRule="auto" w:before="119"/>
              <w:ind w:left="757" w:right="0"/>
              <w:jc w:val="left"/>
              <w:rPr>
                <w:rFonts w:ascii="Times New Roman" w:hAnsi="Times New Roman" w:cs="Times New Roman" w:eastAsia="Times New Roman" w:hint="default"/>
                <w:sz w:val="18"/>
                <w:szCs w:val="18"/>
              </w:rPr>
            </w:pPr>
            <w:r>
              <w:rPr>
                <w:rFonts w:ascii="Times New Roman"/>
                <w:sz w:val="18"/>
              </w:rPr>
              <w:t>3.44</w:t>
            </w:r>
          </w:p>
        </w:tc>
        <w:tc>
          <w:tcPr>
            <w:tcW w:w="1282" w:type="dxa"/>
            <w:tcBorders>
              <w:top w:val="single" w:sz="12" w:space="0" w:color="000000"/>
              <w:left w:val="nil" w:sz="6" w:space="0" w:color="auto"/>
              <w:bottom w:val="single" w:sz="12" w:space="0" w:color="000000"/>
              <w:right w:val="nil" w:sz="6" w:space="0" w:color="auto"/>
            </w:tcBorders>
          </w:tcPr>
          <w:p>
            <w:pPr>
              <w:pStyle w:val="TableParagraph"/>
              <w:spacing w:line="240" w:lineRule="auto" w:before="79"/>
              <w:ind w:left="108" w:right="0"/>
              <w:jc w:val="left"/>
              <w:rPr>
                <w:rFonts w:ascii="宋体" w:hAnsi="宋体" w:cs="宋体" w:eastAsia="宋体" w:hint="default"/>
                <w:sz w:val="18"/>
                <w:szCs w:val="18"/>
              </w:rPr>
            </w:pPr>
            <w:r>
              <w:rPr>
                <w:rFonts w:ascii="宋体" w:hAnsi="宋体" w:cs="宋体" w:eastAsia="宋体" w:hint="default"/>
                <w:sz w:val="18"/>
                <w:szCs w:val="18"/>
              </w:rPr>
              <w:t>投标保证金</w:t>
            </w:r>
          </w:p>
        </w:tc>
      </w:tr>
    </w:tbl>
    <w:p>
      <w:pPr>
        <w:spacing w:line="240" w:lineRule="auto" w:before="4"/>
        <w:rPr>
          <w:rFonts w:ascii="宋体" w:hAnsi="宋体" w:cs="宋体" w:eastAsia="宋体" w:hint="default"/>
          <w:b/>
          <w:bCs/>
          <w:sz w:val="28"/>
          <w:szCs w:val="28"/>
        </w:rPr>
      </w:pPr>
    </w:p>
    <w:p>
      <w:pPr>
        <w:tabs>
          <w:tab w:pos="853" w:val="left" w:leader="none"/>
        </w:tabs>
        <w:spacing w:before="35"/>
        <w:ind w:left="125" w:right="0" w:firstLine="0"/>
        <w:jc w:val="left"/>
        <w:rPr>
          <w:rFonts w:ascii="宋体" w:hAnsi="宋体" w:cs="宋体" w:eastAsia="宋体" w:hint="default"/>
          <w:sz w:val="21"/>
          <w:szCs w:val="21"/>
        </w:rPr>
      </w:pPr>
      <w:r>
        <w:rPr/>
        <w:pict>
          <v:group style="position:absolute;margin-left:88.5pt;margin-top:-48.326042pt;width:443.6pt;height:.1pt;mso-position-horizontal-relative:page;mso-position-vertical-relative:paragraph;z-index:-709288" coordorigin="1770,-967" coordsize="8872,2">
            <v:shape style="position:absolute;left:1770;top:-967;width:8872;height:2" coordorigin="1770,-967" coordsize="8872,0" path="m1770,-967l10642,-967e" filled="false" stroked="true" strokeweight=".72pt" strokecolor="#000000">
              <v:path arrowok="t"/>
            </v:shape>
            <w10:wrap type="none"/>
          </v:group>
        </w:pict>
      </w:r>
      <w:r>
        <w:rPr/>
        <w:pict>
          <v:shape style="position:absolute;margin-left:335.820007pt;margin-top:-42.506042pt;width:.483836pt;height:22.68pt;mso-position-horizontal-relative:page;mso-position-vertical-relative:paragraph;z-index:-709264" type="#_x0000_t75" stroked="false">
            <v:imagedata r:id="rId128" o:title=""/>
          </v:shape>
        </w:pict>
      </w:r>
      <w:r>
        <w:rPr/>
        <w:pict>
          <v:shape style="position:absolute;margin-left:471.839996pt;margin-top:-42.506042pt;width:.483836pt;height:22.68pt;mso-position-horizontal-relative:page;mso-position-vertical-relative:paragraph;z-index:-709240" type="#_x0000_t75" stroked="false">
            <v:imagedata r:id="rId128" o:title=""/>
          </v:shape>
        </w:pict>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五</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预付款项</w:t>
      </w:r>
      <w:r>
        <w:rPr>
          <w:rFonts w:ascii="宋体" w:hAnsi="宋体" w:cs="宋体" w:eastAsia="宋体" w:hint="default"/>
          <w:sz w:val="21"/>
          <w:szCs w:val="21"/>
        </w:rPr>
      </w:r>
    </w:p>
    <w:p>
      <w:pPr>
        <w:tabs>
          <w:tab w:pos="1396" w:val="left" w:leader="none"/>
        </w:tabs>
        <w:spacing w:before="109"/>
        <w:ind w:left="857" w:right="0" w:firstLine="0"/>
        <w:jc w:val="left"/>
        <w:rPr>
          <w:rFonts w:ascii="宋体" w:hAnsi="宋体" w:cs="宋体" w:eastAsia="宋体" w:hint="default"/>
          <w:sz w:val="21"/>
          <w:szCs w:val="21"/>
        </w:rPr>
      </w:pPr>
      <w:r>
        <w:rPr/>
        <w:pict>
          <v:group style="position:absolute;margin-left:146.639999pt;margin-top:20.832451pt;width:393pt;height:135.550pt;mso-position-horizontal-relative:page;mso-position-vertical-relative:paragraph;z-index:-709168" coordorigin="2933,417" coordsize="7860,2711">
            <v:group style="position:absolute;left:2959;top:432;width:7806;height:2" coordorigin="2959,432" coordsize="7806,2">
              <v:shape style="position:absolute;left:2959;top:432;width:7806;height:2" coordorigin="2959,432" coordsize="7806,0" path="m2959,432l10765,432e" filled="false" stroked="true" strokeweight="1.5pt" strokecolor="#000000">
                <v:path arrowok="t"/>
              </v:shape>
              <v:shape style="position:absolute;left:4658;top:427;width:2983;height:413" type="#_x0000_t75" stroked="false">
                <v:imagedata r:id="rId129" o:title=""/>
              </v:shape>
              <v:shape style="position:absolute;left:4658;top:802;width:6134;height:422" type="#_x0000_t75" stroked="false">
                <v:imagedata r:id="rId130" o:title=""/>
              </v:shape>
              <v:shape style="position:absolute;left:2933;top:1186;width:7860;height:1942" type="#_x0000_t75" stroked="false">
                <v:imagedata r:id="rId131" o:title=""/>
              </v:shape>
              <v:shape style="position:absolute;left:5790;top:54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834;top:54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group>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预付款项按账龄列示</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tbl>
      <w:tblPr>
        <w:tblW w:w="0" w:type="auto"/>
        <w:jc w:val="left"/>
        <w:tblInd w:w="1365" w:type="dxa"/>
        <w:tblLayout w:type="fixed"/>
        <w:tblCellMar>
          <w:top w:w="0" w:type="dxa"/>
          <w:left w:w="0" w:type="dxa"/>
          <w:bottom w:w="0" w:type="dxa"/>
          <w:right w:w="0" w:type="dxa"/>
        </w:tblCellMar>
        <w:tblLook w:val="01E0"/>
      </w:tblPr>
      <w:tblGrid>
        <w:gridCol w:w="1584"/>
        <w:gridCol w:w="1943"/>
        <w:gridCol w:w="1327"/>
        <w:gridCol w:w="1802"/>
        <w:gridCol w:w="1020"/>
      </w:tblGrid>
      <w:tr>
        <w:trPr>
          <w:trHeight w:val="494" w:hRule="exact"/>
        </w:trPr>
        <w:tc>
          <w:tcPr>
            <w:tcW w:w="1584" w:type="dxa"/>
            <w:tcBorders>
              <w:top w:val="nil" w:sz="6" w:space="0" w:color="auto"/>
              <w:left w:val="nil" w:sz="6" w:space="0" w:color="auto"/>
              <w:bottom w:val="nil" w:sz="6" w:space="0" w:color="auto"/>
              <w:right w:val="nil" w:sz="6" w:space="0" w:color="auto"/>
            </w:tcBorders>
          </w:tcPr>
          <w:p>
            <w:pPr>
              <w:pStyle w:val="TableParagraph"/>
              <w:spacing w:line="180" w:lineRule="exact"/>
              <w:ind w:right="609"/>
              <w:jc w:val="right"/>
              <w:rPr>
                <w:rFonts w:ascii="宋体" w:hAnsi="宋体" w:cs="宋体" w:eastAsia="宋体" w:hint="default"/>
                <w:sz w:val="18"/>
                <w:szCs w:val="18"/>
              </w:rPr>
            </w:pPr>
            <w:r>
              <w:rPr>
                <w:rFonts w:ascii="宋体" w:hAnsi="宋体" w:cs="宋体" w:eastAsia="宋体" w:hint="default"/>
                <w:sz w:val="18"/>
                <w:szCs w:val="18"/>
              </w:rPr>
              <w:t>账龄</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61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18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36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19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r>
      <w:tr>
        <w:trPr>
          <w:trHeight w:val="384" w:hRule="exact"/>
        </w:trPr>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78"/>
              <w:jc w:val="right"/>
              <w:rPr>
                <w:rFonts w:ascii="Times New Roman" w:hAnsi="Times New Roman" w:cs="Times New Roman" w:eastAsia="Times New Roman" w:hint="default"/>
                <w:sz w:val="18"/>
                <w:szCs w:val="18"/>
              </w:rPr>
            </w:pPr>
            <w:r>
              <w:rPr>
                <w:rFonts w:ascii="Times New Roman"/>
                <w:spacing w:val="-1"/>
                <w:sz w:val="18"/>
              </w:rPr>
              <w:t>15,819,430.64</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67"/>
              <w:jc w:val="right"/>
              <w:rPr>
                <w:rFonts w:ascii="Times New Roman" w:hAnsi="Times New Roman" w:cs="Times New Roman" w:eastAsia="Times New Roman" w:hint="default"/>
                <w:sz w:val="18"/>
                <w:szCs w:val="18"/>
              </w:rPr>
            </w:pPr>
            <w:r>
              <w:rPr>
                <w:rFonts w:ascii="Times New Roman"/>
                <w:sz w:val="18"/>
              </w:rPr>
              <w:t>99.98</w:t>
            </w: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88"/>
              <w:jc w:val="right"/>
              <w:rPr>
                <w:rFonts w:ascii="Times New Roman" w:hAnsi="Times New Roman" w:cs="Times New Roman" w:eastAsia="Times New Roman" w:hint="default"/>
                <w:sz w:val="18"/>
                <w:szCs w:val="18"/>
              </w:rPr>
            </w:pPr>
            <w:r>
              <w:rPr>
                <w:rFonts w:ascii="Times New Roman"/>
                <w:spacing w:val="-1"/>
                <w:sz w:val="18"/>
              </w:rPr>
              <w:t>4,547,013.73</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98.10</w:t>
            </w:r>
          </w:p>
        </w:tc>
      </w:tr>
      <w:tr>
        <w:trPr>
          <w:trHeight w:val="385" w:hRule="exact"/>
        </w:trPr>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43"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88"/>
              <w:jc w:val="right"/>
              <w:rPr>
                <w:rFonts w:ascii="Times New Roman" w:hAnsi="Times New Roman" w:cs="Times New Roman" w:eastAsia="Times New Roman" w:hint="default"/>
                <w:sz w:val="18"/>
                <w:szCs w:val="18"/>
              </w:rPr>
            </w:pPr>
            <w:r>
              <w:rPr>
                <w:rFonts w:ascii="Times New Roman"/>
                <w:sz w:val="18"/>
              </w:rPr>
              <w:t>39,180.99</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0.85</w:t>
            </w:r>
          </w:p>
        </w:tc>
      </w:tr>
      <w:tr>
        <w:trPr>
          <w:trHeight w:val="385" w:hRule="exact"/>
        </w:trPr>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78"/>
              <w:jc w:val="right"/>
              <w:rPr>
                <w:rFonts w:ascii="Times New Roman" w:hAnsi="Times New Roman" w:cs="Times New Roman" w:eastAsia="Times New Roman" w:hint="default"/>
                <w:sz w:val="18"/>
                <w:szCs w:val="18"/>
              </w:rPr>
            </w:pPr>
            <w:r>
              <w:rPr>
                <w:rFonts w:ascii="Times New Roman"/>
                <w:spacing w:val="-1"/>
                <w:w w:val="95"/>
                <w:sz w:val="18"/>
              </w:rPr>
              <w:t>3,178.11</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67"/>
              <w:jc w:val="right"/>
              <w:rPr>
                <w:rFonts w:ascii="Times New Roman" w:hAnsi="Times New Roman" w:cs="Times New Roman" w:eastAsia="Times New Roman" w:hint="default"/>
                <w:sz w:val="18"/>
                <w:szCs w:val="18"/>
              </w:rPr>
            </w:pPr>
            <w:r>
              <w:rPr>
                <w:rFonts w:ascii="Times New Roman"/>
                <w:sz w:val="18"/>
              </w:rPr>
              <w:t>0.02</w:t>
            </w: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88"/>
              <w:jc w:val="right"/>
              <w:rPr>
                <w:rFonts w:ascii="Times New Roman" w:hAnsi="Times New Roman" w:cs="Times New Roman" w:eastAsia="Times New Roman" w:hint="default"/>
                <w:sz w:val="18"/>
                <w:szCs w:val="18"/>
              </w:rPr>
            </w:pPr>
            <w:r>
              <w:rPr>
                <w:rFonts w:ascii="Times New Roman"/>
                <w:sz w:val="18"/>
              </w:rPr>
              <w:t>18,734.00</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0.40</w:t>
            </w:r>
          </w:p>
        </w:tc>
      </w:tr>
      <w:tr>
        <w:trPr>
          <w:trHeight w:val="384" w:hRule="exact"/>
        </w:trPr>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943"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88"/>
              <w:jc w:val="right"/>
              <w:rPr>
                <w:rFonts w:ascii="Times New Roman" w:hAnsi="Times New Roman" w:cs="Times New Roman" w:eastAsia="Times New Roman" w:hint="default"/>
                <w:sz w:val="18"/>
                <w:szCs w:val="18"/>
              </w:rPr>
            </w:pPr>
            <w:r>
              <w:rPr>
                <w:rFonts w:ascii="Times New Roman"/>
                <w:sz w:val="18"/>
              </w:rPr>
              <w:t>30,061.98</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0.65</w:t>
            </w:r>
          </w:p>
        </w:tc>
      </w:tr>
      <w:tr>
        <w:trPr>
          <w:trHeight w:val="390" w:hRule="exact"/>
        </w:trPr>
        <w:tc>
          <w:tcPr>
            <w:tcW w:w="1584"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right="609"/>
              <w:jc w:val="right"/>
              <w:rPr>
                <w:rFonts w:ascii="宋体" w:hAnsi="宋体" w:cs="宋体" w:eastAsia="宋体" w:hint="default"/>
                <w:sz w:val="18"/>
                <w:szCs w:val="18"/>
              </w:rPr>
            </w:pPr>
            <w:r>
              <w:rPr>
                <w:rFonts w:ascii="宋体" w:hAnsi="宋体" w:cs="宋体" w:eastAsia="宋体" w:hint="default"/>
                <w:sz w:val="18"/>
                <w:szCs w:val="18"/>
              </w:rPr>
              <w:t>合计</w:t>
            </w:r>
          </w:p>
        </w:tc>
        <w:tc>
          <w:tcPr>
            <w:tcW w:w="1943"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78"/>
              <w:jc w:val="right"/>
              <w:rPr>
                <w:rFonts w:ascii="Times New Roman" w:hAnsi="Times New Roman" w:cs="Times New Roman" w:eastAsia="Times New Roman" w:hint="default"/>
                <w:sz w:val="18"/>
                <w:szCs w:val="18"/>
              </w:rPr>
            </w:pPr>
            <w:r>
              <w:rPr>
                <w:rFonts w:ascii="Times New Roman"/>
                <w:spacing w:val="-1"/>
                <w:sz w:val="18"/>
              </w:rPr>
              <w:t>15,822,608.75</w:t>
            </w:r>
          </w:p>
        </w:tc>
        <w:tc>
          <w:tcPr>
            <w:tcW w:w="1327"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367"/>
              <w:jc w:val="right"/>
              <w:rPr>
                <w:rFonts w:ascii="Times New Roman" w:hAnsi="Times New Roman" w:cs="Times New Roman" w:eastAsia="Times New Roman" w:hint="default"/>
                <w:sz w:val="18"/>
                <w:szCs w:val="18"/>
              </w:rPr>
            </w:pPr>
            <w:r>
              <w:rPr>
                <w:rFonts w:ascii="Times New Roman"/>
                <w:sz w:val="18"/>
              </w:rPr>
              <w:t>100.00</w:t>
            </w:r>
          </w:p>
        </w:tc>
        <w:tc>
          <w:tcPr>
            <w:tcW w:w="1802"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88"/>
              <w:jc w:val="right"/>
              <w:rPr>
                <w:rFonts w:ascii="Times New Roman" w:hAnsi="Times New Roman" w:cs="Times New Roman" w:eastAsia="Times New Roman" w:hint="default"/>
                <w:sz w:val="18"/>
                <w:szCs w:val="18"/>
              </w:rPr>
            </w:pPr>
            <w:r>
              <w:rPr>
                <w:rFonts w:ascii="Times New Roman"/>
                <w:spacing w:val="-1"/>
                <w:sz w:val="18"/>
              </w:rPr>
              <w:t>4,634,990.70</w:t>
            </w:r>
          </w:p>
        </w:tc>
        <w:tc>
          <w:tcPr>
            <w:tcW w:w="1020"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100.00</w:t>
            </w:r>
          </w:p>
        </w:tc>
      </w:tr>
    </w:tbl>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1"/>
          <w:szCs w:val="21"/>
        </w:rPr>
      </w:pPr>
    </w:p>
    <w:p>
      <w:pPr>
        <w:tabs>
          <w:tab w:pos="1396" w:val="left" w:leader="none"/>
        </w:tabs>
        <w:spacing w:before="35"/>
        <w:ind w:left="857" w:right="0" w:firstLine="0"/>
        <w:jc w:val="left"/>
        <w:rPr>
          <w:rFonts w:ascii="宋体" w:hAnsi="宋体" w:cs="宋体" w:eastAsia="宋体" w:hint="default"/>
          <w:sz w:val="21"/>
          <w:szCs w:val="21"/>
        </w:rPr>
      </w:pPr>
      <w:r>
        <w:rPr/>
        <w:pict>
          <v:group style="position:absolute;margin-left:146.639999pt;margin-top:17.671066pt;width:396.8pt;height:172.45pt;mso-position-horizontal-relative:page;mso-position-vertical-relative:paragraph;z-index:-709144" coordorigin="2933,353" coordsize="7936,3449">
            <v:shape style="position:absolute;left:6029;top:353;width:3572;height:787" type="#_x0000_t75" stroked="false">
              <v:imagedata r:id="rId132" o:title=""/>
            </v:shape>
            <v:shape style="position:absolute;left:2933;top:1102;width:7936;height:2700" type="#_x0000_t75" stroked="false">
              <v:imagedata r:id="rId133" o:title=""/>
            </v:shape>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预付款项金额前五名单位情况</w:t>
      </w:r>
      <w:r>
        <w:rPr>
          <w:rFonts w:ascii="宋体" w:hAnsi="宋体" w:cs="宋体" w:eastAsia="宋体" w:hint="default"/>
          <w:sz w:val="21"/>
          <w:szCs w:val="21"/>
        </w:rPr>
      </w:r>
    </w:p>
    <w:tbl>
      <w:tblPr>
        <w:tblW w:w="0" w:type="auto"/>
        <w:jc w:val="left"/>
        <w:tblInd w:w="1291" w:type="dxa"/>
        <w:tblLayout w:type="fixed"/>
        <w:tblCellMar>
          <w:top w:w="0" w:type="dxa"/>
          <w:left w:w="0" w:type="dxa"/>
          <w:bottom w:w="0" w:type="dxa"/>
          <w:right w:w="0" w:type="dxa"/>
        </w:tblCellMar>
        <w:tblLook w:val="01E0"/>
      </w:tblPr>
      <w:tblGrid>
        <w:gridCol w:w="3139"/>
        <w:gridCol w:w="1133"/>
        <w:gridCol w:w="1336"/>
        <w:gridCol w:w="954"/>
        <w:gridCol w:w="1332"/>
      </w:tblGrid>
      <w:tr>
        <w:trPr>
          <w:trHeight w:val="769" w:hRule="exact"/>
        </w:trPr>
        <w:tc>
          <w:tcPr>
            <w:tcW w:w="3139"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35"/>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133" w:type="dxa"/>
            <w:tcBorders>
              <w:top w:val="single" w:sz="12" w:space="0" w:color="000000"/>
              <w:left w:val="nil" w:sz="6" w:space="0" w:color="auto"/>
              <w:bottom w:val="nil" w:sz="6" w:space="0" w:color="auto"/>
              <w:right w:val="nil" w:sz="6" w:space="0" w:color="auto"/>
            </w:tcBorders>
          </w:tcPr>
          <w:p>
            <w:pPr>
              <w:pStyle w:val="TableParagraph"/>
              <w:spacing w:line="381" w:lineRule="auto" w:before="41"/>
              <w:ind w:left="325" w:right="265" w:hanging="180"/>
              <w:jc w:val="left"/>
              <w:rPr>
                <w:rFonts w:ascii="宋体" w:hAnsi="宋体" w:cs="宋体" w:eastAsia="宋体" w:hint="default"/>
                <w:sz w:val="18"/>
                <w:szCs w:val="18"/>
              </w:rPr>
            </w:pPr>
            <w:r>
              <w:rPr>
                <w:rFonts w:ascii="宋体" w:hAnsi="宋体" w:cs="宋体" w:eastAsia="宋体" w:hint="default"/>
                <w:sz w:val="18"/>
                <w:szCs w:val="18"/>
              </w:rPr>
              <w:t>与本公司 关系</w:t>
            </w:r>
          </w:p>
        </w:tc>
        <w:tc>
          <w:tcPr>
            <w:tcW w:w="1336"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26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54"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62" w:right="0"/>
              <w:jc w:val="center"/>
              <w:rPr>
                <w:rFonts w:ascii="宋体" w:hAnsi="宋体" w:cs="宋体" w:eastAsia="宋体" w:hint="default"/>
                <w:sz w:val="18"/>
                <w:szCs w:val="18"/>
              </w:rPr>
            </w:pPr>
            <w:r>
              <w:rPr>
                <w:rFonts w:ascii="宋体" w:hAnsi="宋体" w:cs="宋体" w:eastAsia="宋体" w:hint="default"/>
                <w:sz w:val="18"/>
                <w:szCs w:val="18"/>
              </w:rPr>
              <w:t>时间</w:t>
            </w:r>
          </w:p>
        </w:tc>
        <w:tc>
          <w:tcPr>
            <w:tcW w:w="1332"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250" w:right="0"/>
              <w:jc w:val="left"/>
              <w:rPr>
                <w:rFonts w:ascii="宋体" w:hAnsi="宋体" w:cs="宋体" w:eastAsia="宋体" w:hint="default"/>
                <w:sz w:val="18"/>
                <w:szCs w:val="18"/>
              </w:rPr>
            </w:pPr>
            <w:r>
              <w:rPr>
                <w:rFonts w:ascii="宋体" w:hAnsi="宋体" w:cs="宋体" w:eastAsia="宋体" w:hint="default"/>
                <w:sz w:val="18"/>
                <w:szCs w:val="18"/>
              </w:rPr>
              <w:t>未结算原因</w:t>
            </w:r>
          </w:p>
        </w:tc>
      </w:tr>
      <w:tr>
        <w:trPr>
          <w:trHeight w:val="389" w:hRule="exact"/>
        </w:trPr>
        <w:tc>
          <w:tcPr>
            <w:tcW w:w="3139"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8" w:right="0"/>
              <w:jc w:val="left"/>
              <w:rPr>
                <w:rFonts w:ascii="宋体" w:hAnsi="宋体" w:cs="宋体" w:eastAsia="宋体" w:hint="default"/>
                <w:sz w:val="18"/>
                <w:szCs w:val="18"/>
              </w:rPr>
            </w:pPr>
            <w:r>
              <w:rPr>
                <w:rFonts w:ascii="宋体" w:hAnsi="宋体" w:cs="宋体" w:eastAsia="宋体" w:hint="default"/>
                <w:sz w:val="18"/>
                <w:szCs w:val="18"/>
              </w:rPr>
              <w:t>中建材集团进出口公司</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235" w:right="0"/>
              <w:jc w:val="left"/>
              <w:rPr>
                <w:rFonts w:ascii="宋体" w:hAnsi="宋体" w:cs="宋体" w:eastAsia="宋体" w:hint="default"/>
                <w:sz w:val="18"/>
                <w:szCs w:val="18"/>
              </w:rPr>
            </w:pPr>
            <w:r>
              <w:rPr>
                <w:rFonts w:ascii="宋体" w:hAnsi="宋体" w:cs="宋体" w:eastAsia="宋体" w:hint="default"/>
                <w:sz w:val="18"/>
                <w:szCs w:val="18"/>
              </w:rPr>
              <w:t>供应商</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spacing w:val="-1"/>
                <w:sz w:val="18"/>
              </w:rPr>
              <w:t>9,842,622.00</w:t>
            </w:r>
          </w:p>
        </w:tc>
        <w:tc>
          <w:tcPr>
            <w:tcW w:w="954"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62"/>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71"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753" w:hRule="exact"/>
        </w:trPr>
        <w:tc>
          <w:tcPr>
            <w:tcW w:w="3139" w:type="dxa"/>
            <w:tcBorders>
              <w:top w:val="nil" w:sz="6" w:space="0" w:color="auto"/>
              <w:left w:val="nil" w:sz="6" w:space="0" w:color="auto"/>
              <w:bottom w:val="nil" w:sz="6" w:space="0" w:color="auto"/>
              <w:right w:val="nil" w:sz="6" w:space="0" w:color="auto"/>
            </w:tcBorders>
          </w:tcPr>
          <w:p>
            <w:pPr>
              <w:pStyle w:val="TableParagraph"/>
              <w:spacing w:line="381" w:lineRule="auto" w:before="41"/>
              <w:ind w:left="108" w:right="143"/>
              <w:jc w:val="left"/>
              <w:rPr>
                <w:rFonts w:ascii="宋体" w:hAnsi="宋体" w:cs="宋体" w:eastAsia="宋体" w:hint="default"/>
                <w:sz w:val="18"/>
                <w:szCs w:val="18"/>
              </w:rPr>
            </w:pPr>
            <w:r>
              <w:rPr>
                <w:rFonts w:ascii="宋体" w:hAnsi="宋体" w:cs="宋体" w:eastAsia="宋体" w:hint="default"/>
                <w:sz w:val="18"/>
                <w:szCs w:val="18"/>
              </w:rPr>
              <w:t>广州市佳杰旭电科技有限公司上海分</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公司</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供应商</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1,076,701.44</w:t>
            </w:r>
          </w:p>
        </w:tc>
        <w:tc>
          <w:tcPr>
            <w:tcW w:w="95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62"/>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171"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390" w:hRule="exact"/>
        </w:trPr>
        <w:tc>
          <w:tcPr>
            <w:tcW w:w="3139"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8" w:right="0"/>
              <w:jc w:val="left"/>
              <w:rPr>
                <w:rFonts w:ascii="宋体" w:hAnsi="宋体" w:cs="宋体" w:eastAsia="宋体" w:hint="default"/>
                <w:sz w:val="18"/>
                <w:szCs w:val="18"/>
              </w:rPr>
            </w:pPr>
            <w:r>
              <w:rPr>
                <w:rFonts w:ascii="宋体" w:hAnsi="宋体" w:cs="宋体" w:eastAsia="宋体" w:hint="default"/>
                <w:sz w:val="18"/>
                <w:szCs w:val="18"/>
              </w:rPr>
              <w:t>北京国都时代科技有限公司</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235" w:right="0"/>
              <w:jc w:val="left"/>
              <w:rPr>
                <w:rFonts w:ascii="宋体" w:hAnsi="宋体" w:cs="宋体" w:eastAsia="宋体" w:hint="default"/>
                <w:sz w:val="18"/>
                <w:szCs w:val="18"/>
              </w:rPr>
            </w:pPr>
            <w:r>
              <w:rPr>
                <w:rFonts w:ascii="宋体" w:hAnsi="宋体" w:cs="宋体" w:eastAsia="宋体" w:hint="default"/>
                <w:sz w:val="18"/>
                <w:szCs w:val="18"/>
              </w:rPr>
              <w:t>供应商</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spacing w:val="-1"/>
                <w:sz w:val="18"/>
              </w:rPr>
              <w:t>1,051,866.68</w:t>
            </w:r>
          </w:p>
        </w:tc>
        <w:tc>
          <w:tcPr>
            <w:tcW w:w="954"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62"/>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71"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385" w:hRule="exact"/>
        </w:trPr>
        <w:tc>
          <w:tcPr>
            <w:tcW w:w="313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博思软件</w:t>
            </w:r>
            <w:r>
              <w:rPr>
                <w:rFonts w:ascii="Times New Roman" w:hAnsi="Times New Roman" w:cs="Times New Roman" w:eastAsia="Times New Roman" w:hint="default"/>
                <w:sz w:val="18"/>
                <w:szCs w:val="18"/>
              </w:rPr>
              <w:t>(</w:t>
            </w:r>
            <w:r>
              <w:rPr>
                <w:rFonts w:ascii="宋体" w:hAnsi="宋体" w:cs="宋体" w:eastAsia="宋体" w:hint="default"/>
                <w:sz w:val="18"/>
                <w:szCs w:val="18"/>
              </w:rPr>
              <w:t>中国</w:t>
            </w:r>
            <w:r>
              <w:rPr>
                <w:rFonts w:ascii="Times New Roman" w:hAnsi="Times New Roman" w:cs="Times New Roman" w:eastAsia="Times New Roman" w:hint="default"/>
                <w:sz w:val="18"/>
                <w:szCs w:val="18"/>
              </w:rPr>
              <w:t>)</w:t>
            </w:r>
            <w:r>
              <w:rPr>
                <w:rFonts w:ascii="宋体" w:hAnsi="宋体" w:cs="宋体" w:eastAsia="宋体" w:hint="default"/>
                <w:sz w:val="18"/>
                <w:szCs w:val="18"/>
              </w:rPr>
              <w:t>有限公司</w:t>
            </w:r>
            <w:r>
              <w:rPr>
                <w:rFonts w:ascii="Times New Roman" w:hAnsi="Times New Roman" w:cs="Times New Roman" w:eastAsia="Times New Roman" w:hint="default"/>
                <w:sz w:val="18"/>
                <w:szCs w:val="18"/>
              </w:rPr>
              <w:t>(BMC)</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35" w:right="0"/>
              <w:jc w:val="left"/>
              <w:rPr>
                <w:rFonts w:ascii="宋体" w:hAnsi="宋体" w:cs="宋体" w:eastAsia="宋体" w:hint="default"/>
                <w:sz w:val="18"/>
                <w:szCs w:val="18"/>
              </w:rPr>
            </w:pPr>
            <w:r>
              <w:rPr>
                <w:rFonts w:ascii="宋体" w:hAnsi="宋体" w:cs="宋体" w:eastAsia="宋体" w:hint="default"/>
                <w:sz w:val="18"/>
                <w:szCs w:val="18"/>
              </w:rPr>
              <w:t>供应商</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8"/>
                <w:szCs w:val="18"/>
              </w:rPr>
            </w:pPr>
            <w:r>
              <w:rPr>
                <w:rFonts w:ascii="Times New Roman"/>
                <w:sz w:val="18"/>
              </w:rPr>
              <w:t>697,805.00</w:t>
            </w:r>
          </w:p>
        </w:tc>
        <w:tc>
          <w:tcPr>
            <w:tcW w:w="954"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62"/>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71"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384" w:hRule="exact"/>
        </w:trPr>
        <w:tc>
          <w:tcPr>
            <w:tcW w:w="3139"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神州数码（中国）有限公司</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41"/>
              <w:ind w:left="235" w:right="0"/>
              <w:jc w:val="left"/>
              <w:rPr>
                <w:rFonts w:ascii="宋体" w:hAnsi="宋体" w:cs="宋体" w:eastAsia="宋体" w:hint="default"/>
                <w:sz w:val="18"/>
                <w:szCs w:val="18"/>
              </w:rPr>
            </w:pPr>
            <w:r>
              <w:rPr>
                <w:rFonts w:ascii="宋体" w:hAnsi="宋体" w:cs="宋体" w:eastAsia="宋体" w:hint="default"/>
                <w:sz w:val="18"/>
                <w:szCs w:val="18"/>
              </w:rPr>
              <w:t>供应商</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z w:val="18"/>
              </w:rPr>
              <w:t>466,000.00</w:t>
            </w:r>
          </w:p>
        </w:tc>
        <w:tc>
          <w:tcPr>
            <w:tcW w:w="954"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62"/>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71"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390" w:hRule="exact"/>
        </w:trPr>
        <w:tc>
          <w:tcPr>
            <w:tcW w:w="3139"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right="35"/>
              <w:jc w:val="center"/>
              <w:rPr>
                <w:rFonts w:ascii="宋体" w:hAnsi="宋体" w:cs="宋体" w:eastAsia="宋体" w:hint="default"/>
                <w:sz w:val="18"/>
                <w:szCs w:val="18"/>
              </w:rPr>
            </w:pPr>
            <w:r>
              <w:rPr>
                <w:rFonts w:ascii="宋体" w:hAnsi="宋体" w:cs="宋体" w:eastAsia="宋体" w:hint="default"/>
                <w:sz w:val="18"/>
                <w:szCs w:val="18"/>
              </w:rPr>
              <w:t>合计</w:t>
            </w:r>
          </w:p>
        </w:tc>
        <w:tc>
          <w:tcPr>
            <w:tcW w:w="1133" w:type="dxa"/>
            <w:tcBorders>
              <w:top w:val="nil" w:sz="6" w:space="0" w:color="auto"/>
              <w:left w:val="nil" w:sz="6" w:space="0" w:color="auto"/>
              <w:bottom w:val="single" w:sz="12" w:space="0" w:color="000000"/>
              <w:right w:val="nil" w:sz="6" w:space="0" w:color="auto"/>
            </w:tcBorders>
          </w:tcPr>
          <w:p>
            <w:pPr/>
          </w:p>
        </w:tc>
        <w:tc>
          <w:tcPr>
            <w:tcW w:w="1336"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pacing w:val="-1"/>
                <w:sz w:val="18"/>
              </w:rPr>
              <w:t>13,134,995.12</w:t>
            </w:r>
          </w:p>
        </w:tc>
        <w:tc>
          <w:tcPr>
            <w:tcW w:w="954" w:type="dxa"/>
            <w:tcBorders>
              <w:top w:val="nil" w:sz="6" w:space="0" w:color="auto"/>
              <w:left w:val="nil" w:sz="6" w:space="0" w:color="auto"/>
              <w:bottom w:val="single" w:sz="12" w:space="0" w:color="000000"/>
              <w:right w:val="nil" w:sz="6" w:space="0" w:color="auto"/>
            </w:tcBorders>
          </w:tcPr>
          <w:p>
            <w:pPr/>
          </w:p>
        </w:tc>
        <w:tc>
          <w:tcPr>
            <w:tcW w:w="1332"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3"/>
          <w:szCs w:val="23"/>
        </w:rPr>
      </w:pPr>
    </w:p>
    <w:p>
      <w:pPr>
        <w:tabs>
          <w:tab w:pos="853" w:val="left" w:leader="none"/>
        </w:tabs>
        <w:spacing w:before="35"/>
        <w:ind w:left="12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六</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存货</w:t>
      </w:r>
      <w:r>
        <w:rPr>
          <w:rFonts w:ascii="宋体" w:hAnsi="宋体" w:cs="宋体" w:eastAsia="宋体" w:hint="default"/>
          <w:sz w:val="21"/>
          <w:szCs w:val="21"/>
        </w:rPr>
      </w:r>
    </w:p>
    <w:p>
      <w:pPr>
        <w:spacing w:before="110"/>
        <w:ind w:left="1396" w:right="0" w:firstLine="0"/>
        <w:jc w:val="left"/>
        <w:rPr>
          <w:rFonts w:ascii="宋体" w:hAnsi="宋体" w:cs="宋体" w:eastAsia="宋体" w:hint="default"/>
          <w:sz w:val="21"/>
          <w:szCs w:val="21"/>
        </w:rPr>
      </w:pPr>
      <w:r>
        <w:rPr>
          <w:rFonts w:ascii="宋体" w:hAnsi="宋体" w:cs="宋体" w:eastAsia="宋体" w:hint="default"/>
          <w:b/>
          <w:bCs/>
          <w:sz w:val="21"/>
          <w:szCs w:val="21"/>
        </w:rPr>
        <w:t>存货分类</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0"/>
          <w:szCs w:val="20"/>
        </w:rPr>
      </w:pPr>
    </w:p>
    <w:p>
      <w:pPr>
        <w:spacing w:line="2346" w:lineRule="exact"/>
        <w:ind w:left="1262" w:right="0" w:firstLine="0"/>
        <w:rPr>
          <w:rFonts w:ascii="宋体" w:hAnsi="宋体" w:cs="宋体" w:eastAsia="宋体" w:hint="default"/>
          <w:sz w:val="20"/>
          <w:szCs w:val="20"/>
        </w:rPr>
      </w:pPr>
      <w:r>
        <w:rPr>
          <w:rFonts w:ascii="宋体" w:hAnsi="宋体" w:cs="宋体" w:eastAsia="宋体" w:hint="default"/>
          <w:position w:val="-46"/>
          <w:sz w:val="20"/>
          <w:szCs w:val="20"/>
        </w:rPr>
        <w:pict>
          <v:group style="width:410.85pt;height:117.3pt;mso-position-horizontal-relative:char;mso-position-vertical-relative:line" coordorigin="0,0" coordsize="8217,2346">
            <v:group style="position:absolute;left:37;top:15;width:4666;height:2" coordorigin="37,15" coordsize="4666,2">
              <v:shape style="position:absolute;left:37;top:15;width:4666;height:2" coordorigin="37,15" coordsize="4666,0" path="m37,15l4702,15e" filled="false" stroked="true" strokeweight="1.5pt" strokecolor="#000000">
                <v:path arrowok="t"/>
              </v:shape>
            </v:group>
            <v:group style="position:absolute;left:4702;top:15;width:3488;height:2" coordorigin="4702,15" coordsize="3488,2">
              <v:shape style="position:absolute;left:4702;top:15;width:3488;height:2" coordorigin="4702,15" coordsize="3488,0" path="m4702,15l8189,15e" filled="false" stroked="true" strokeweight="1.5pt" strokecolor="#000000">
                <v:path arrowok="t"/>
              </v:shape>
              <v:shape style="position:absolute;left:1121;top:11;width:3580;height:413" type="#_x0000_t75" stroked="false">
                <v:imagedata r:id="rId134" o:title=""/>
              </v:shape>
              <v:shape style="position:absolute;left:1121;top:385;width:7096;height:422" type="#_x0000_t75" stroked="false">
                <v:imagedata r:id="rId135" o:title=""/>
              </v:shape>
            </v:group>
            <v:group style="position:absolute;left:15;top:2331;width:1126;height:2" coordorigin="15,2331" coordsize="1126,2">
              <v:shape style="position:absolute;left:15;top:2331;width:1126;height:2" coordorigin="15,2331" coordsize="1126,0" path="m15,2331l1141,2331e" filled="false" stroked="true" strokeweight="1.5pt" strokecolor="#000000">
                <v:path arrowok="t"/>
              </v:shape>
            </v:group>
            <v:group style="position:absolute;left:1141;top:2331;width:1276;height:2" coordorigin="1141,2331" coordsize="1276,2">
              <v:shape style="position:absolute;left:1141;top:2331;width:1276;height:2" coordorigin="1141,2331" coordsize="1276,0" path="m1141,2331l2416,2331e" filled="false" stroked="true" strokeweight="1.5pt" strokecolor="#000000">
                <v:path arrowok="t"/>
              </v:shape>
            </v:group>
            <v:group style="position:absolute;left:2416;top:2331;width:1006;height:2" coordorigin="2416,2331" coordsize="1006,2">
              <v:shape style="position:absolute;left:2416;top:2331;width:1006;height:2" coordorigin="2416,2331" coordsize="1006,0" path="m2416,2331l3422,2331e" filled="false" stroked="true" strokeweight="1.5pt" strokecolor="#000000">
                <v:path arrowok="t"/>
              </v:shape>
            </v:group>
            <v:group style="position:absolute;left:3422;top:2331;width:1251;height:2" coordorigin="3422,2331" coordsize="1251,2">
              <v:shape style="position:absolute;left:3422;top:2331;width:1251;height:2" coordorigin="3422,2331" coordsize="1251,0" path="m3422,2331l4672,2331e" filled="false" stroked="true" strokeweight="1.5pt" strokecolor="#000000">
                <v:path arrowok="t"/>
              </v:shape>
            </v:group>
            <v:group style="position:absolute;left:4672;top:2331;width:1277;height:2" coordorigin="4672,2331" coordsize="1277,2">
              <v:shape style="position:absolute;left:4672;top:2331;width:1277;height:2" coordorigin="4672,2331" coordsize="1277,0" path="m4672,2331l5949,2331e" filled="false" stroked="true" strokeweight="1.5pt" strokecolor="#000000">
                <v:path arrowok="t"/>
              </v:shape>
            </v:group>
            <v:group style="position:absolute;left:5949;top:2331;width:992;height:2" coordorigin="5949,2331" coordsize="992,2">
              <v:shape style="position:absolute;left:5949;top:2331;width:992;height:2" coordorigin="5949,2331" coordsize="992,0" path="m5949,2331l6940,2331e" filled="false" stroked="true" strokeweight="1.5pt" strokecolor="#000000">
                <v:path arrowok="t"/>
              </v:shape>
              <v:shape style="position:absolute;left:10;top:769;width:8207;height:1547" type="#_x0000_t75" stroked="false">
                <v:imagedata r:id="rId136" o:title=""/>
              </v:shape>
            </v:group>
            <v:group style="position:absolute;left:6940;top:2331;width:1257;height:2" coordorigin="6940,2331" coordsize="1257,2">
              <v:shape style="position:absolute;left:6940;top:2331;width:1257;height:2" coordorigin="6940,2331" coordsize="1257,0" path="m6940,2331l8197,2331e" filled="false" stroked="true" strokeweight="1.5pt" strokecolor="#000000">
                <v:path arrowok="t"/>
              </v:shape>
              <v:shape style="position:absolute;left:2551;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6076;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407;top:30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1423;top:51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2563;top:51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跌价准备</w:t>
                      </w:r>
                    </w:p>
                  </w:txbxContent>
                </v:textbox>
                <w10:wrap type="none"/>
              </v:shape>
              <v:shape style="position:absolute;left:3692;top:51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4954;top:51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6089;top:51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跌价准备</w:t>
                      </w:r>
                    </w:p>
                  </w:txbxContent>
                </v:textbox>
                <w10:wrap type="none"/>
              </v:shape>
              <v:shape style="position:absolute;left:7210;top:51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137;top:895;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外购软硬件</w:t>
                      </w:r>
                    </w:p>
                  </w:txbxContent>
                </v:textbox>
                <w10:wrap type="none"/>
              </v:shape>
              <v:shape style="position:absolute;left:1277;top:1090;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70,518,904.56</w:t>
                      </w:r>
                    </w:p>
                  </w:txbxContent>
                </v:textbox>
                <w10:wrap type="none"/>
              </v:shape>
              <v:shape style="position:absolute;left:3535;top:1090;width:2310;height:180" type="#_x0000_t202" filled="false" stroked="false">
                <v:textbox inset="0,0,0,0">
                  <w:txbxContent>
                    <w:p>
                      <w:pPr>
                        <w:tabs>
                          <w:tab w:pos="1274"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70,518,904.56</w:t>
                        <w:tab/>
                        <w:t>42,555,452.82</w:t>
                      </w:r>
                    </w:p>
                  </w:txbxContent>
                </v:textbox>
                <w10:wrap type="none"/>
              </v:shape>
              <v:shape style="position:absolute;left:7053;top:1090;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42,555,452.82</w:t>
                      </w:r>
                    </w:p>
                  </w:txbxContent>
                </v:textbox>
                <w10:wrap type="none"/>
              </v:shape>
              <v:shape style="position:absolute;left:137;top:1270;width:900;height:56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及服务</w:t>
                      </w:r>
                    </w:p>
                    <w:p>
                      <w:pPr>
                        <w:spacing w:before="148"/>
                        <w:ind w:left="0" w:right="0" w:firstLine="0"/>
                        <w:jc w:val="left"/>
                        <w:rPr>
                          <w:rFonts w:ascii="宋体" w:hAnsi="宋体" w:cs="宋体" w:eastAsia="宋体" w:hint="default"/>
                          <w:sz w:val="18"/>
                          <w:szCs w:val="18"/>
                        </w:rPr>
                      </w:pPr>
                      <w:r>
                        <w:rPr>
                          <w:rFonts w:ascii="宋体" w:hAnsi="宋体" w:cs="宋体" w:eastAsia="宋体" w:hint="default"/>
                          <w:sz w:val="18"/>
                          <w:szCs w:val="18"/>
                        </w:rPr>
                        <w:t>低值易耗品</w:t>
                      </w:r>
                    </w:p>
                  </w:txbxContent>
                </v:textbox>
                <w10:wrap type="none"/>
              </v:shape>
              <v:shape style="position:absolute;left:1682;top:1661;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5,898.50</w:t>
                      </w:r>
                    </w:p>
                  </w:txbxContent>
                </v:textbox>
                <w10:wrap type="none"/>
              </v:shape>
              <v:shape style="position:absolute;left:3939;top:1661;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5,898.50</w:t>
                      </w:r>
                    </w:p>
                  </w:txbxContent>
                </v:textbox>
                <w10:wrap type="none"/>
              </v:shape>
              <v:shape style="position:absolute;left:407;top:203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1277;top:2046;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70,524,803.06</w:t>
                      </w:r>
                    </w:p>
                  </w:txbxContent>
                </v:textbox>
                <w10:wrap type="none"/>
              </v:shape>
              <v:shape style="position:absolute;left:3535;top:2046;width:2310;height:180" type="#_x0000_t202" filled="false" stroked="false">
                <v:textbox inset="0,0,0,0">
                  <w:txbxContent>
                    <w:p>
                      <w:pPr>
                        <w:tabs>
                          <w:tab w:pos="1274"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70,524,803.06</w:t>
                        <w:tab/>
                        <w:t>42,555,452.82</w:t>
                      </w:r>
                    </w:p>
                  </w:txbxContent>
                </v:textbox>
                <w10:wrap type="none"/>
              </v:shape>
              <v:shape style="position:absolute;left:7053;top:2046;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42,555,452.82</w:t>
                      </w:r>
                    </w:p>
                  </w:txbxContent>
                </v:textbox>
                <w10:wrap type="none"/>
              </v:shape>
            </v:group>
          </v:group>
        </w:pict>
      </w:r>
      <w:r>
        <w:rPr>
          <w:rFonts w:ascii="宋体" w:hAnsi="宋体" w:cs="宋体" w:eastAsia="宋体" w:hint="default"/>
          <w:position w:val="-46"/>
          <w:sz w:val="20"/>
          <w:szCs w:val="20"/>
        </w:rPr>
      </w:r>
    </w:p>
    <w:p>
      <w:pPr>
        <w:spacing w:after="0" w:line="2346" w:lineRule="exact"/>
        <w:rPr>
          <w:rFonts w:ascii="宋体" w:hAnsi="宋体" w:cs="宋体" w:eastAsia="宋体" w:hint="default"/>
          <w:sz w:val="20"/>
          <w:szCs w:val="20"/>
        </w:rPr>
        <w:sectPr>
          <w:pgSz w:w="11910" w:h="16840"/>
          <w:pgMar w:header="851" w:footer="982" w:top="1300" w:bottom="1180" w:left="1660" w:right="660"/>
        </w:sectPr>
      </w:pPr>
    </w:p>
    <w:p>
      <w:pPr>
        <w:spacing w:line="240" w:lineRule="auto" w:before="7"/>
        <w:rPr>
          <w:rFonts w:ascii="宋体" w:hAnsi="宋体" w:cs="宋体" w:eastAsia="宋体" w:hint="default"/>
          <w:b/>
          <w:bCs/>
          <w:sz w:val="19"/>
          <w:szCs w:val="19"/>
        </w:rPr>
      </w:pPr>
    </w:p>
    <w:p>
      <w:pPr>
        <w:spacing w:before="44"/>
        <w:ind w:left="7555" w:right="0" w:firstLine="0"/>
        <w:jc w:val="left"/>
        <w:rPr>
          <w:rFonts w:ascii="宋体" w:hAnsi="宋体" w:cs="宋体" w:eastAsia="宋体" w:hint="default"/>
          <w:sz w:val="18"/>
          <w:szCs w:val="18"/>
        </w:rPr>
      </w:pPr>
      <w:r>
        <w:rPr/>
        <w:pict>
          <v:shape style="position:absolute;margin-left:214.610992pt;margin-top:-8.468244pt;width:98.130005pt;height:21.119995pt;mso-position-horizontal-relative:page;mso-position-vertical-relative:paragraph;z-index:4648" type="#_x0000_t75" stroked="false">
            <v:imagedata r:id="rId139" o:title=""/>
          </v:shape>
        </w:pict>
      </w:r>
      <w:r>
        <w:rPr>
          <w:rFonts w:ascii="宋体" w:hAnsi="宋体" w:cs="宋体" w:eastAsia="宋体" w:hint="default"/>
          <w:sz w:val="18"/>
          <w:szCs w:val="18"/>
        </w:rPr>
        <w:t>北京神州泰岳软件股份有限公司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年度报告</w:t>
      </w:r>
    </w:p>
    <w:p>
      <w:pPr>
        <w:spacing w:line="240" w:lineRule="auto" w:before="7"/>
        <w:rPr>
          <w:rFonts w:ascii="宋体" w:hAnsi="宋体" w:cs="宋体" w:eastAsia="宋体" w:hint="default"/>
          <w:sz w:val="2"/>
          <w:szCs w:val="2"/>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701.65pt;height:.75pt;mso-position-horizontal-relative:char;mso-position-vertical-relative:line" coordorigin="0,0" coordsize="14033,15">
            <v:group style="position:absolute;left:7;top:7;width:14019;height:2" coordorigin="7,7" coordsize="14019,2">
              <v:shape style="position:absolute;left:7;top:7;width:14019;height:2" coordorigin="7,7" coordsize="14019,0" path="m7,7l14026,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p>
      <w:pPr>
        <w:pStyle w:val="Heading2"/>
        <w:tabs>
          <w:tab w:pos="853" w:val="left" w:leader="none"/>
        </w:tabs>
        <w:spacing w:line="240" w:lineRule="auto" w:before="35"/>
        <w:ind w:right="0"/>
        <w:jc w:val="left"/>
        <w:rPr>
          <w:b w:val="0"/>
          <w:bCs w:val="0"/>
        </w:rPr>
      </w:pPr>
      <w:r>
        <w:rPr>
          <w:rFonts w:ascii="Times New Roman" w:hAnsi="Times New Roman" w:cs="Times New Roman" w:eastAsia="Times New Roman" w:hint="default"/>
          <w:w w:val="95"/>
        </w:rPr>
        <w:t>(</w:t>
      </w:r>
      <w:r>
        <w:rPr>
          <w:w w:val="95"/>
        </w:rPr>
        <w:t>七</w:t>
      </w:r>
      <w:r>
        <w:rPr>
          <w:rFonts w:ascii="Times New Roman" w:hAnsi="Times New Roman" w:cs="Times New Roman" w:eastAsia="Times New Roman" w:hint="default"/>
          <w:w w:val="95"/>
        </w:rPr>
        <w:t>)</w:t>
        <w:tab/>
      </w:r>
      <w:r>
        <w:rPr/>
        <w:t>对合营企业投资和联营企业投资</w:t>
      </w:r>
      <w:r>
        <w:rPr>
          <w:b w:val="0"/>
          <w:bCs w:val="0"/>
        </w:rPr>
      </w:r>
    </w:p>
    <w:p>
      <w:pPr>
        <w:spacing w:before="109"/>
        <w:ind w:left="0" w:right="619" w:firstLine="0"/>
        <w:jc w:val="right"/>
        <w:rPr>
          <w:rFonts w:ascii="宋体" w:hAnsi="宋体" w:cs="宋体" w:eastAsia="宋体" w:hint="default"/>
          <w:sz w:val="21"/>
          <w:szCs w:val="21"/>
        </w:rPr>
      </w:pPr>
      <w:r>
        <w:rPr/>
        <w:pict>
          <v:group style="position:absolute;margin-left:101.511002pt;margin-top:46.332172pt;width:680.05pt;height:99.3pt;mso-position-horizontal-relative:page;mso-position-vertical-relative:paragraph;z-index:-709072" coordorigin="2030,927" coordsize="13601,1986">
            <v:shape style="position:absolute;left:5013;top:927;width:9101;height:1162" type="#_x0000_t75" stroked="false">
              <v:imagedata r:id="rId140" o:title=""/>
            </v:shape>
            <v:shape style="position:absolute;left:2030;top:2050;width:13601;height:863" type="#_x0000_t75" stroked="false">
              <v:imagedata r:id="rId141" o:title=""/>
            </v:shape>
            <w10:wrap type="none"/>
          </v:group>
        </w:pict>
      </w:r>
      <w:r>
        <w:rPr>
          <w:rFonts w:ascii="宋体" w:hAnsi="宋体" w:cs="宋体" w:eastAsia="宋体" w:hint="default"/>
          <w:b/>
          <w:bCs/>
          <w:w w:val="95"/>
          <w:sz w:val="21"/>
          <w:szCs w:val="21"/>
        </w:rPr>
        <w:t>（金额单位：万元）</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0"/>
          <w:szCs w:val="20"/>
        </w:rPr>
      </w:pPr>
    </w:p>
    <w:tbl>
      <w:tblPr>
        <w:tblW w:w="0" w:type="auto"/>
        <w:jc w:val="left"/>
        <w:tblInd w:w="749" w:type="dxa"/>
        <w:tblLayout w:type="fixed"/>
        <w:tblCellMar>
          <w:top w:w="0" w:type="dxa"/>
          <w:left w:w="0" w:type="dxa"/>
          <w:bottom w:w="0" w:type="dxa"/>
          <w:right w:w="0" w:type="dxa"/>
        </w:tblCellMar>
        <w:tblLook w:val="01E0"/>
      </w:tblPr>
      <w:tblGrid>
        <w:gridCol w:w="2965"/>
        <w:gridCol w:w="1120"/>
        <w:gridCol w:w="1353"/>
        <w:gridCol w:w="1675"/>
        <w:gridCol w:w="1629"/>
        <w:gridCol w:w="1629"/>
        <w:gridCol w:w="1772"/>
        <w:gridCol w:w="1416"/>
      </w:tblGrid>
      <w:tr>
        <w:trPr>
          <w:trHeight w:val="1148" w:hRule="exact"/>
        </w:trPr>
        <w:tc>
          <w:tcPr>
            <w:tcW w:w="2965"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863" w:right="0"/>
              <w:jc w:val="left"/>
              <w:rPr>
                <w:rFonts w:ascii="宋体" w:hAnsi="宋体" w:cs="宋体" w:eastAsia="宋体" w:hint="default"/>
                <w:sz w:val="18"/>
                <w:szCs w:val="18"/>
              </w:rPr>
            </w:pPr>
            <w:r>
              <w:rPr>
                <w:rFonts w:ascii="宋体" w:hAnsi="宋体" w:cs="宋体" w:eastAsia="宋体" w:hint="default"/>
                <w:sz w:val="18"/>
                <w:szCs w:val="18"/>
              </w:rPr>
              <w:t>被投资单位名称</w:t>
            </w:r>
          </w:p>
        </w:tc>
        <w:tc>
          <w:tcPr>
            <w:tcW w:w="1120"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381" w:lineRule="auto"/>
              <w:ind w:left="157" w:right="150" w:firstLine="45"/>
              <w:jc w:val="left"/>
              <w:rPr>
                <w:rFonts w:ascii="Times New Roman" w:hAnsi="Times New Roman" w:cs="Times New Roman" w:eastAsia="Times New Roman" w:hint="default"/>
                <w:sz w:val="18"/>
                <w:szCs w:val="18"/>
              </w:rPr>
            </w:pPr>
            <w:r>
              <w:rPr>
                <w:rFonts w:ascii="宋体" w:hAnsi="宋体" w:cs="宋体" w:eastAsia="宋体" w:hint="default"/>
                <w:sz w:val="18"/>
                <w:szCs w:val="18"/>
              </w:rPr>
              <w:t>本企业持 股比例</w:t>
            </w:r>
            <w:r>
              <w:rPr>
                <w:rFonts w:ascii="Times New Roman" w:hAnsi="Times New Roman" w:cs="Times New Roman" w:eastAsia="Times New Roman" w:hint="default"/>
                <w:sz w:val="18"/>
                <w:szCs w:val="18"/>
              </w:rPr>
              <w:t>(%)</w:t>
            </w:r>
          </w:p>
        </w:tc>
        <w:tc>
          <w:tcPr>
            <w:tcW w:w="1353" w:type="dxa"/>
            <w:tcBorders>
              <w:top w:val="single" w:sz="12" w:space="0" w:color="000000"/>
              <w:left w:val="nil" w:sz="6" w:space="0" w:color="auto"/>
              <w:bottom w:val="nil" w:sz="6" w:space="0" w:color="auto"/>
              <w:right w:val="nil" w:sz="6" w:space="0" w:color="auto"/>
            </w:tcBorders>
          </w:tcPr>
          <w:p>
            <w:pPr>
              <w:pStyle w:val="TableParagraph"/>
              <w:spacing w:line="381" w:lineRule="auto" w:before="41"/>
              <w:ind w:left="125" w:right="235" w:firstLine="44"/>
              <w:jc w:val="both"/>
              <w:rPr>
                <w:rFonts w:ascii="Times New Roman" w:hAnsi="Times New Roman" w:cs="Times New Roman" w:eastAsia="Times New Roman" w:hint="default"/>
                <w:sz w:val="18"/>
                <w:szCs w:val="18"/>
              </w:rPr>
            </w:pPr>
            <w:r>
              <w:rPr>
                <w:rFonts w:ascii="宋体" w:hAnsi="宋体" w:cs="宋体" w:eastAsia="宋体" w:hint="default"/>
                <w:sz w:val="18"/>
                <w:szCs w:val="18"/>
              </w:rPr>
              <w:t>本企业在被 投资单位表 决权比例</w:t>
            </w:r>
            <w:r>
              <w:rPr>
                <w:rFonts w:ascii="Times New Roman" w:hAnsi="Times New Roman" w:cs="Times New Roman" w:eastAsia="Times New Roman" w:hint="default"/>
                <w:sz w:val="18"/>
                <w:szCs w:val="18"/>
              </w:rPr>
              <w:t>(%)</w:t>
            </w:r>
          </w:p>
        </w:tc>
        <w:tc>
          <w:tcPr>
            <w:tcW w:w="1675"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期末资产总额</w:t>
            </w:r>
          </w:p>
        </w:tc>
        <w:tc>
          <w:tcPr>
            <w:tcW w:w="1629"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期末负债总额</w:t>
            </w:r>
          </w:p>
        </w:tc>
        <w:tc>
          <w:tcPr>
            <w:tcW w:w="1629"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157" w:right="0"/>
              <w:jc w:val="left"/>
              <w:rPr>
                <w:rFonts w:ascii="宋体" w:hAnsi="宋体" w:cs="宋体" w:eastAsia="宋体" w:hint="default"/>
                <w:sz w:val="18"/>
                <w:szCs w:val="18"/>
              </w:rPr>
            </w:pPr>
            <w:r>
              <w:rPr>
                <w:rFonts w:ascii="宋体" w:hAnsi="宋体" w:cs="宋体" w:eastAsia="宋体" w:hint="default"/>
                <w:sz w:val="18"/>
                <w:szCs w:val="18"/>
              </w:rPr>
              <w:t>期末净资产总额</w:t>
            </w:r>
          </w:p>
        </w:tc>
        <w:tc>
          <w:tcPr>
            <w:tcW w:w="1772"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217"/>
              <w:jc w:val="right"/>
              <w:rPr>
                <w:rFonts w:ascii="宋体" w:hAnsi="宋体" w:cs="宋体" w:eastAsia="宋体" w:hint="default"/>
                <w:sz w:val="18"/>
                <w:szCs w:val="18"/>
              </w:rPr>
            </w:pPr>
            <w:r>
              <w:rPr>
                <w:rFonts w:ascii="宋体" w:hAnsi="宋体" w:cs="宋体" w:eastAsia="宋体" w:hint="default"/>
                <w:sz w:val="18"/>
                <w:szCs w:val="18"/>
              </w:rPr>
              <w:t>本期营业收入总额</w:t>
            </w:r>
          </w:p>
        </w:tc>
        <w:tc>
          <w:tcPr>
            <w:tcW w:w="1416"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210" w:right="0"/>
              <w:jc w:val="left"/>
              <w:rPr>
                <w:rFonts w:ascii="宋体" w:hAnsi="宋体" w:cs="宋体" w:eastAsia="宋体" w:hint="default"/>
                <w:sz w:val="18"/>
                <w:szCs w:val="18"/>
              </w:rPr>
            </w:pPr>
            <w:r>
              <w:rPr>
                <w:rFonts w:ascii="宋体" w:hAnsi="宋体" w:cs="宋体" w:eastAsia="宋体" w:hint="default"/>
                <w:sz w:val="18"/>
                <w:szCs w:val="18"/>
              </w:rPr>
              <w:t>本期净利润</w:t>
            </w:r>
          </w:p>
        </w:tc>
      </w:tr>
      <w:tr>
        <w:trPr>
          <w:trHeight w:val="398"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7"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1120" w:type="dxa"/>
            <w:tcBorders>
              <w:top w:val="nil" w:sz="6" w:space="0" w:color="auto"/>
              <w:left w:val="nil" w:sz="6" w:space="0" w:color="auto"/>
              <w:bottom w:val="nil" w:sz="6" w:space="0" w:color="auto"/>
              <w:right w:val="nil" w:sz="6" w:space="0" w:color="auto"/>
            </w:tcBorders>
          </w:tcPr>
          <w:p>
            <w:pPr/>
          </w:p>
        </w:tc>
        <w:tc>
          <w:tcPr>
            <w:tcW w:w="1353"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nil" w:sz="6" w:space="0" w:color="auto"/>
            </w:tcBorders>
          </w:tcPr>
          <w:p>
            <w:pPr/>
          </w:p>
        </w:tc>
        <w:tc>
          <w:tcPr>
            <w:tcW w:w="1629" w:type="dxa"/>
            <w:tcBorders>
              <w:top w:val="nil" w:sz="6" w:space="0" w:color="auto"/>
              <w:left w:val="nil" w:sz="6" w:space="0" w:color="auto"/>
              <w:bottom w:val="nil" w:sz="6" w:space="0" w:color="auto"/>
              <w:right w:val="nil" w:sz="6" w:space="0" w:color="auto"/>
            </w:tcBorders>
          </w:tcPr>
          <w:p>
            <w:pPr/>
          </w:p>
        </w:tc>
        <w:tc>
          <w:tcPr>
            <w:tcW w:w="1629" w:type="dxa"/>
            <w:tcBorders>
              <w:top w:val="nil" w:sz="6" w:space="0" w:color="auto"/>
              <w:left w:val="nil" w:sz="6" w:space="0" w:color="auto"/>
              <w:bottom w:val="nil" w:sz="6" w:space="0" w:color="auto"/>
              <w:right w:val="nil" w:sz="6" w:space="0" w:color="auto"/>
            </w:tcBorders>
          </w:tcPr>
          <w:p>
            <w:pPr/>
          </w:p>
        </w:tc>
        <w:tc>
          <w:tcPr>
            <w:tcW w:w="1772"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r>
      <w:tr>
        <w:trPr>
          <w:trHeight w:val="451" w:hRule="exact"/>
        </w:trPr>
        <w:tc>
          <w:tcPr>
            <w:tcW w:w="2965"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107" w:right="0"/>
              <w:jc w:val="left"/>
              <w:rPr>
                <w:rFonts w:ascii="宋体" w:hAnsi="宋体" w:cs="宋体" w:eastAsia="宋体" w:hint="default"/>
                <w:sz w:val="18"/>
                <w:szCs w:val="18"/>
              </w:rPr>
            </w:pPr>
            <w:r>
              <w:rPr>
                <w:rFonts w:ascii="宋体" w:hAnsi="宋体" w:cs="宋体" w:eastAsia="宋体" w:hint="default"/>
                <w:sz w:val="18"/>
                <w:szCs w:val="18"/>
              </w:rPr>
              <w:t>大连华信计算机技术股份有限公司</w:t>
            </w:r>
          </w:p>
        </w:tc>
        <w:tc>
          <w:tcPr>
            <w:tcW w:w="1120"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left="679" w:right="0"/>
              <w:jc w:val="left"/>
              <w:rPr>
                <w:rFonts w:ascii="Times New Roman" w:hAnsi="Times New Roman" w:cs="Times New Roman" w:eastAsia="Times New Roman" w:hint="default"/>
                <w:sz w:val="18"/>
                <w:szCs w:val="18"/>
              </w:rPr>
            </w:pPr>
            <w:r>
              <w:rPr>
                <w:rFonts w:ascii="Times New Roman"/>
                <w:sz w:val="18"/>
              </w:rPr>
              <w:t>8.00</w:t>
            </w:r>
          </w:p>
        </w:tc>
        <w:tc>
          <w:tcPr>
            <w:tcW w:w="1353"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left="834" w:right="0"/>
              <w:jc w:val="left"/>
              <w:rPr>
                <w:rFonts w:ascii="Times New Roman" w:hAnsi="Times New Roman" w:cs="Times New Roman" w:eastAsia="Times New Roman" w:hint="default"/>
                <w:sz w:val="18"/>
                <w:szCs w:val="18"/>
              </w:rPr>
            </w:pPr>
            <w:r>
              <w:rPr>
                <w:rFonts w:ascii="Times New Roman"/>
                <w:sz w:val="18"/>
              </w:rPr>
              <w:t>8.00</w:t>
            </w:r>
          </w:p>
        </w:tc>
        <w:tc>
          <w:tcPr>
            <w:tcW w:w="1675"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left="660" w:right="0"/>
              <w:jc w:val="left"/>
              <w:rPr>
                <w:rFonts w:ascii="Times New Roman" w:hAnsi="Times New Roman" w:cs="Times New Roman" w:eastAsia="Times New Roman" w:hint="default"/>
                <w:sz w:val="18"/>
                <w:szCs w:val="18"/>
              </w:rPr>
            </w:pPr>
            <w:r>
              <w:rPr>
                <w:rFonts w:ascii="Times New Roman"/>
                <w:sz w:val="18"/>
              </w:rPr>
              <w:t>124,495.41</w:t>
            </w:r>
          </w:p>
        </w:tc>
        <w:tc>
          <w:tcPr>
            <w:tcW w:w="1629"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left="750" w:right="0"/>
              <w:jc w:val="left"/>
              <w:rPr>
                <w:rFonts w:ascii="Times New Roman" w:hAnsi="Times New Roman" w:cs="Times New Roman" w:eastAsia="Times New Roman" w:hint="default"/>
                <w:sz w:val="18"/>
                <w:szCs w:val="18"/>
              </w:rPr>
            </w:pPr>
            <w:r>
              <w:rPr>
                <w:rFonts w:ascii="Times New Roman"/>
                <w:sz w:val="18"/>
              </w:rPr>
              <w:t>44,901.43</w:t>
            </w:r>
          </w:p>
        </w:tc>
        <w:tc>
          <w:tcPr>
            <w:tcW w:w="1629"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left="795" w:right="0"/>
              <w:jc w:val="left"/>
              <w:rPr>
                <w:rFonts w:ascii="Times New Roman" w:hAnsi="Times New Roman" w:cs="Times New Roman" w:eastAsia="Times New Roman" w:hint="default"/>
                <w:sz w:val="18"/>
                <w:szCs w:val="18"/>
              </w:rPr>
            </w:pPr>
            <w:r>
              <w:rPr>
                <w:rFonts w:ascii="Times New Roman"/>
                <w:sz w:val="18"/>
              </w:rPr>
              <w:t>79,593.98</w:t>
            </w:r>
          </w:p>
        </w:tc>
        <w:tc>
          <w:tcPr>
            <w:tcW w:w="1772"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right="208"/>
              <w:jc w:val="right"/>
              <w:rPr>
                <w:rFonts w:ascii="Times New Roman" w:hAnsi="Times New Roman" w:cs="Times New Roman" w:eastAsia="Times New Roman" w:hint="default"/>
                <w:sz w:val="18"/>
                <w:szCs w:val="18"/>
              </w:rPr>
            </w:pPr>
            <w:r>
              <w:rPr>
                <w:rFonts w:ascii="Times New Roman"/>
                <w:sz w:val="18"/>
              </w:rPr>
              <w:t>75,871.57</w:t>
            </w:r>
          </w:p>
        </w:tc>
        <w:tc>
          <w:tcPr>
            <w:tcW w:w="1416"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left="593" w:right="0"/>
              <w:jc w:val="left"/>
              <w:rPr>
                <w:rFonts w:ascii="Times New Roman" w:hAnsi="Times New Roman" w:cs="Times New Roman" w:eastAsia="Times New Roman" w:hint="default"/>
                <w:sz w:val="18"/>
                <w:szCs w:val="18"/>
              </w:rPr>
            </w:pPr>
            <w:r>
              <w:rPr>
                <w:rFonts w:ascii="Times New Roman"/>
                <w:sz w:val="18"/>
              </w:rPr>
              <w:t>26,097.68</w:t>
            </w:r>
          </w:p>
        </w:tc>
      </w:tr>
    </w:tbl>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tabs>
          <w:tab w:pos="853" w:val="left" w:leader="none"/>
        </w:tabs>
        <w:spacing w:before="35"/>
        <w:ind w:left="12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八</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before="109"/>
        <w:ind w:left="1279" w:right="0" w:firstLine="0"/>
        <w:jc w:val="left"/>
        <w:rPr>
          <w:rFonts w:ascii="宋体" w:hAnsi="宋体" w:cs="宋体" w:eastAsia="宋体" w:hint="default"/>
          <w:sz w:val="21"/>
          <w:szCs w:val="21"/>
        </w:rPr>
      </w:pPr>
      <w:r>
        <w:rPr/>
        <w:pict>
          <v:group style="position:absolute;margin-left:128.951004pt;margin-top:21.376667pt;width:666.3pt;height:170.4pt;mso-position-horizontal-relative:page;mso-position-vertical-relative:paragraph;z-index:-709048" coordorigin="2579,428" coordsize="13326,3408">
            <v:shape style="position:absolute;left:3968;top:428;width:11116;height:1910" type="#_x0000_t75" stroked="false">
              <v:imagedata r:id="rId142" o:title=""/>
            </v:shape>
            <v:shape style="position:absolute;left:2579;top:2306;width:13325;height:1530" type="#_x0000_t75" stroked="false">
              <v:imagedata r:id="rId143" o:title=""/>
            </v:shape>
            <w10:wrap type="none"/>
          </v:group>
        </w:pict>
      </w:r>
      <w:r>
        <w:rPr>
          <w:rFonts w:ascii="宋体" w:hAnsi="宋体" w:cs="宋体" w:eastAsia="宋体" w:hint="default"/>
          <w:b/>
          <w:bCs/>
          <w:sz w:val="21"/>
          <w:szCs w:val="21"/>
        </w:rPr>
        <w:t>长期股权投资明细情况</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1291" w:type="dxa"/>
        <w:tblLayout w:type="fixed"/>
        <w:tblCellMar>
          <w:top w:w="0" w:type="dxa"/>
          <w:left w:w="0" w:type="dxa"/>
          <w:bottom w:w="0" w:type="dxa"/>
          <w:right w:w="0" w:type="dxa"/>
        </w:tblCellMar>
        <w:tblLook w:val="01E0"/>
      </w:tblPr>
      <w:tblGrid>
        <w:gridCol w:w="1410"/>
        <w:gridCol w:w="980"/>
        <w:gridCol w:w="1320"/>
        <w:gridCol w:w="1102"/>
        <w:gridCol w:w="1323"/>
        <w:gridCol w:w="1362"/>
        <w:gridCol w:w="973"/>
        <w:gridCol w:w="877"/>
        <w:gridCol w:w="1169"/>
        <w:gridCol w:w="1043"/>
        <w:gridCol w:w="889"/>
        <w:gridCol w:w="852"/>
      </w:tblGrid>
      <w:tr>
        <w:trPr>
          <w:trHeight w:val="1892" w:hRule="exact"/>
        </w:trPr>
        <w:tc>
          <w:tcPr>
            <w:tcW w:w="1410"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right="8"/>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980"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left="126" w:right="0"/>
              <w:jc w:val="left"/>
              <w:rPr>
                <w:rFonts w:ascii="宋体" w:hAnsi="宋体" w:cs="宋体" w:eastAsia="宋体" w:hint="default"/>
                <w:sz w:val="18"/>
                <w:szCs w:val="18"/>
              </w:rPr>
            </w:pPr>
            <w:r>
              <w:rPr>
                <w:rFonts w:ascii="宋体" w:hAnsi="宋体" w:cs="宋体" w:eastAsia="宋体" w:hint="default"/>
                <w:sz w:val="18"/>
                <w:szCs w:val="18"/>
              </w:rPr>
              <w:t>核算方法</w:t>
            </w:r>
          </w:p>
        </w:tc>
        <w:tc>
          <w:tcPr>
            <w:tcW w:w="1320"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right="40"/>
              <w:jc w:val="center"/>
              <w:rPr>
                <w:rFonts w:ascii="宋体" w:hAnsi="宋体" w:cs="宋体" w:eastAsia="宋体" w:hint="default"/>
                <w:sz w:val="18"/>
                <w:szCs w:val="18"/>
              </w:rPr>
            </w:pPr>
            <w:r>
              <w:rPr>
                <w:rFonts w:ascii="宋体" w:hAnsi="宋体" w:cs="宋体" w:eastAsia="宋体" w:hint="default"/>
                <w:sz w:val="18"/>
                <w:szCs w:val="18"/>
              </w:rPr>
              <w:t>投资成本</w:t>
            </w:r>
          </w:p>
        </w:tc>
        <w:tc>
          <w:tcPr>
            <w:tcW w:w="1102"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left="150"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323"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right="139"/>
              <w:jc w:val="center"/>
              <w:rPr>
                <w:rFonts w:ascii="宋体" w:hAnsi="宋体" w:cs="宋体" w:eastAsia="宋体" w:hint="default"/>
                <w:sz w:val="18"/>
                <w:szCs w:val="18"/>
              </w:rPr>
            </w:pPr>
            <w:r>
              <w:rPr>
                <w:rFonts w:ascii="宋体" w:hAnsi="宋体" w:cs="宋体" w:eastAsia="宋体" w:hint="default"/>
                <w:sz w:val="18"/>
                <w:szCs w:val="18"/>
              </w:rPr>
              <w:t>增减变动</w:t>
            </w:r>
          </w:p>
        </w:tc>
        <w:tc>
          <w:tcPr>
            <w:tcW w:w="1362"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left="266"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973"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381" w:lineRule="auto"/>
              <w:ind w:left="115" w:right="134"/>
              <w:jc w:val="both"/>
              <w:rPr>
                <w:rFonts w:ascii="Times New Roman" w:hAnsi="Times New Roman" w:cs="Times New Roman" w:eastAsia="Times New Roman" w:hint="default"/>
                <w:sz w:val="18"/>
                <w:szCs w:val="18"/>
              </w:rPr>
            </w:pPr>
            <w:r>
              <w:rPr>
                <w:rFonts w:ascii="宋体" w:hAnsi="宋体" w:cs="宋体" w:eastAsia="宋体" w:hint="default"/>
                <w:sz w:val="18"/>
                <w:szCs w:val="18"/>
              </w:rPr>
              <w:t>在被投资 单位持股 比例</w:t>
            </w:r>
            <w:r>
              <w:rPr>
                <w:rFonts w:ascii="Times New Roman" w:hAnsi="Times New Roman" w:cs="Times New Roman" w:eastAsia="Times New Roman" w:hint="default"/>
                <w:sz w:val="18"/>
                <w:szCs w:val="18"/>
              </w:rPr>
              <w:t>(%)</w:t>
            </w:r>
          </w:p>
        </w:tc>
        <w:tc>
          <w:tcPr>
            <w:tcW w:w="877"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381" w:lineRule="auto"/>
              <w:ind w:left="121" w:right="124" w:firstLine="45"/>
              <w:jc w:val="both"/>
              <w:rPr>
                <w:rFonts w:ascii="Times New Roman" w:hAnsi="Times New Roman" w:cs="Times New Roman" w:eastAsia="Times New Roman" w:hint="default"/>
                <w:sz w:val="18"/>
                <w:szCs w:val="18"/>
              </w:rPr>
            </w:pPr>
            <w:r>
              <w:rPr>
                <w:rFonts w:ascii="宋体" w:hAnsi="宋体" w:cs="宋体" w:eastAsia="宋体" w:hint="default"/>
                <w:sz w:val="18"/>
                <w:szCs w:val="18"/>
              </w:rPr>
              <w:t>在被投 资单位 表决权 比例</w:t>
            </w:r>
            <w:r>
              <w:rPr>
                <w:rFonts w:ascii="Times New Roman" w:hAnsi="Times New Roman" w:cs="Times New Roman" w:eastAsia="Times New Roman" w:hint="default"/>
                <w:sz w:val="18"/>
                <w:szCs w:val="18"/>
              </w:rPr>
              <w:t>(%)</w:t>
            </w:r>
          </w:p>
        </w:tc>
        <w:tc>
          <w:tcPr>
            <w:tcW w:w="1169" w:type="dxa"/>
            <w:tcBorders>
              <w:top w:val="single" w:sz="12" w:space="0" w:color="000000"/>
              <w:left w:val="nil" w:sz="6" w:space="0" w:color="auto"/>
              <w:bottom w:val="nil" w:sz="6" w:space="0" w:color="auto"/>
              <w:right w:val="nil" w:sz="6" w:space="0" w:color="auto"/>
            </w:tcBorders>
          </w:tcPr>
          <w:p>
            <w:pPr>
              <w:pStyle w:val="TableParagraph"/>
              <w:spacing w:line="381" w:lineRule="auto" w:before="41"/>
              <w:ind w:left="126" w:right="140"/>
              <w:jc w:val="center"/>
              <w:rPr>
                <w:rFonts w:ascii="宋体" w:hAnsi="宋体" w:cs="宋体" w:eastAsia="宋体" w:hint="default"/>
                <w:sz w:val="18"/>
                <w:szCs w:val="18"/>
              </w:rPr>
            </w:pPr>
            <w:r>
              <w:rPr>
                <w:rFonts w:ascii="宋体" w:hAnsi="宋体" w:cs="宋体" w:eastAsia="宋体" w:hint="default"/>
                <w:sz w:val="18"/>
                <w:szCs w:val="18"/>
              </w:rPr>
              <w:t>在被投资单 位持股比例 与表决权比 例不一致的 说明</w:t>
            </w:r>
          </w:p>
        </w:tc>
        <w:tc>
          <w:tcPr>
            <w:tcW w:w="1043"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left="14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889"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381" w:lineRule="auto"/>
              <w:ind w:left="179" w:right="167"/>
              <w:jc w:val="both"/>
              <w:rPr>
                <w:rFonts w:ascii="宋体" w:hAnsi="宋体" w:cs="宋体" w:eastAsia="宋体" w:hint="default"/>
                <w:sz w:val="18"/>
                <w:szCs w:val="18"/>
              </w:rPr>
            </w:pPr>
            <w:r>
              <w:rPr>
                <w:rFonts w:ascii="宋体" w:hAnsi="宋体" w:cs="宋体" w:eastAsia="宋体" w:hint="default"/>
                <w:sz w:val="18"/>
                <w:szCs w:val="18"/>
              </w:rPr>
              <w:t>本期计 提减值 准备</w:t>
            </w:r>
          </w:p>
        </w:tc>
        <w:tc>
          <w:tcPr>
            <w:tcW w:w="852"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381" w:lineRule="auto" w:before="132"/>
              <w:ind w:left="169" w:right="140"/>
              <w:jc w:val="left"/>
              <w:rPr>
                <w:rFonts w:ascii="宋体" w:hAnsi="宋体" w:cs="宋体" w:eastAsia="宋体" w:hint="default"/>
                <w:sz w:val="18"/>
                <w:szCs w:val="18"/>
              </w:rPr>
            </w:pPr>
            <w:r>
              <w:rPr>
                <w:rFonts w:ascii="宋体" w:hAnsi="宋体" w:cs="宋体" w:eastAsia="宋体" w:hint="default"/>
                <w:sz w:val="18"/>
                <w:szCs w:val="18"/>
              </w:rPr>
              <w:t>本期现 金红利</w:t>
            </w:r>
          </w:p>
        </w:tc>
      </w:tr>
      <w:tr>
        <w:trPr>
          <w:trHeight w:val="1133" w:hRule="exact"/>
        </w:trPr>
        <w:tc>
          <w:tcPr>
            <w:tcW w:w="1410" w:type="dxa"/>
            <w:tcBorders>
              <w:top w:val="nil" w:sz="6" w:space="0" w:color="auto"/>
              <w:left w:val="nil" w:sz="6" w:space="0" w:color="auto"/>
              <w:bottom w:val="nil" w:sz="6" w:space="0" w:color="auto"/>
              <w:right w:val="nil" w:sz="6" w:space="0" w:color="auto"/>
            </w:tcBorders>
          </w:tcPr>
          <w:p>
            <w:pPr>
              <w:pStyle w:val="TableParagraph"/>
              <w:spacing w:line="381" w:lineRule="auto" w:before="46"/>
              <w:ind w:left="107" w:right="96"/>
              <w:jc w:val="both"/>
              <w:rPr>
                <w:rFonts w:ascii="宋体" w:hAnsi="宋体" w:cs="宋体" w:eastAsia="宋体" w:hint="default"/>
                <w:sz w:val="18"/>
                <w:szCs w:val="18"/>
              </w:rPr>
            </w:pPr>
            <w:r>
              <w:rPr>
                <w:rFonts w:ascii="宋体" w:hAnsi="宋体" w:cs="宋体" w:eastAsia="宋体" w:hint="default"/>
                <w:spacing w:val="16"/>
                <w:sz w:val="18"/>
                <w:szCs w:val="18"/>
              </w:rPr>
              <w:t>大连华信计算</w:t>
            </w:r>
            <w:r>
              <w:rPr>
                <w:rFonts w:ascii="宋体" w:hAnsi="宋体" w:cs="宋体" w:eastAsia="宋体" w:hint="default"/>
                <w:spacing w:val="-85"/>
                <w:sz w:val="18"/>
                <w:szCs w:val="18"/>
              </w:rPr>
              <w:t> </w:t>
            </w:r>
            <w:r>
              <w:rPr>
                <w:rFonts w:ascii="宋体" w:hAnsi="宋体" w:cs="宋体" w:eastAsia="宋体" w:hint="default"/>
                <w:spacing w:val="16"/>
                <w:sz w:val="18"/>
                <w:szCs w:val="18"/>
              </w:rPr>
              <w:t>机技术股份有</w:t>
            </w:r>
            <w:r>
              <w:rPr>
                <w:rFonts w:ascii="宋体" w:hAnsi="宋体" w:cs="宋体" w:eastAsia="宋体" w:hint="default"/>
                <w:spacing w:val="-85"/>
                <w:sz w:val="18"/>
                <w:szCs w:val="18"/>
              </w:rPr>
              <w:t> </w:t>
            </w:r>
            <w:r>
              <w:rPr>
                <w:rFonts w:ascii="宋体" w:hAnsi="宋体" w:cs="宋体" w:eastAsia="宋体" w:hint="default"/>
                <w:sz w:val="18"/>
                <w:szCs w:val="18"/>
              </w:rPr>
              <w:t>限公司</w:t>
            </w:r>
          </w:p>
        </w:tc>
        <w:tc>
          <w:tcPr>
            <w:tcW w:w="98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权益法</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right="14"/>
              <w:jc w:val="center"/>
              <w:rPr>
                <w:rFonts w:ascii="Times New Roman" w:hAnsi="Times New Roman" w:cs="Times New Roman" w:eastAsia="Times New Roman" w:hint="default"/>
                <w:sz w:val="18"/>
                <w:szCs w:val="18"/>
              </w:rPr>
            </w:pPr>
            <w:r>
              <w:rPr>
                <w:rFonts w:ascii="Times New Roman"/>
                <w:sz w:val="18"/>
              </w:rPr>
              <w:t>72,303,840.00</w:t>
            </w:r>
          </w:p>
        </w:tc>
        <w:tc>
          <w:tcPr>
            <w:tcW w:w="1102" w:type="dxa"/>
            <w:tcBorders>
              <w:top w:val="nil" w:sz="6" w:space="0" w:color="auto"/>
              <w:left w:val="nil" w:sz="6" w:space="0" w:color="auto"/>
              <w:bottom w:val="nil" w:sz="6" w:space="0" w:color="auto"/>
              <w:right w:val="nil" w:sz="6" w:space="0" w:color="auto"/>
            </w:tcBorders>
          </w:tcPr>
          <w:p>
            <w:pP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right="131"/>
              <w:jc w:val="center"/>
              <w:rPr>
                <w:rFonts w:ascii="Times New Roman" w:hAnsi="Times New Roman" w:cs="Times New Roman" w:eastAsia="Times New Roman" w:hint="default"/>
                <w:sz w:val="18"/>
                <w:szCs w:val="18"/>
              </w:rPr>
            </w:pPr>
            <w:r>
              <w:rPr>
                <w:rFonts w:ascii="Times New Roman"/>
                <w:sz w:val="18"/>
              </w:rPr>
              <w:t>75,874,851.28</w:t>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left="210" w:right="0"/>
              <w:jc w:val="left"/>
              <w:rPr>
                <w:rFonts w:ascii="Times New Roman" w:hAnsi="Times New Roman" w:cs="Times New Roman" w:eastAsia="Times New Roman" w:hint="default"/>
                <w:sz w:val="18"/>
                <w:szCs w:val="18"/>
              </w:rPr>
            </w:pPr>
            <w:r>
              <w:rPr>
                <w:rFonts w:ascii="Times New Roman"/>
                <w:sz w:val="18"/>
              </w:rPr>
              <w:t>75,874,851.28</w:t>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left="535" w:right="0"/>
              <w:jc w:val="left"/>
              <w:rPr>
                <w:rFonts w:ascii="Times New Roman" w:hAnsi="Times New Roman" w:cs="Times New Roman" w:eastAsia="Times New Roman" w:hint="default"/>
                <w:sz w:val="18"/>
                <w:szCs w:val="18"/>
              </w:rPr>
            </w:pPr>
            <w:r>
              <w:rPr>
                <w:rFonts w:ascii="Times New Roman"/>
                <w:sz w:val="18"/>
              </w:rPr>
              <w:t>8.00</w:t>
            </w:r>
          </w:p>
        </w:tc>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left="462" w:right="0"/>
              <w:jc w:val="left"/>
              <w:rPr>
                <w:rFonts w:ascii="Times New Roman" w:hAnsi="Times New Roman" w:cs="Times New Roman" w:eastAsia="Times New Roman" w:hint="default"/>
                <w:sz w:val="18"/>
                <w:szCs w:val="18"/>
              </w:rPr>
            </w:pPr>
            <w:r>
              <w:rPr>
                <w:rFonts w:ascii="Times New Roman"/>
                <w:sz w:val="18"/>
              </w:rPr>
              <w:t>8.00</w:t>
            </w:r>
          </w:p>
        </w:tc>
        <w:tc>
          <w:tcPr>
            <w:tcW w:w="1169" w:type="dxa"/>
            <w:tcBorders>
              <w:top w:val="nil" w:sz="6" w:space="0" w:color="auto"/>
              <w:left w:val="nil" w:sz="6" w:space="0" w:color="auto"/>
              <w:bottom w:val="nil" w:sz="6" w:space="0" w:color="auto"/>
              <w:right w:val="nil" w:sz="6" w:space="0" w:color="auto"/>
            </w:tcBorders>
          </w:tcPr>
          <w:p>
            <w:pPr/>
          </w:p>
        </w:tc>
        <w:tc>
          <w:tcPr>
            <w:tcW w:w="1043" w:type="dxa"/>
            <w:tcBorders>
              <w:top w:val="nil" w:sz="6" w:space="0" w:color="auto"/>
              <w:left w:val="nil" w:sz="6" w:space="0" w:color="auto"/>
              <w:bottom w:val="nil" w:sz="6" w:space="0" w:color="auto"/>
              <w:right w:val="nil" w:sz="6" w:space="0" w:color="auto"/>
            </w:tcBorders>
          </w:tcPr>
          <w:p>
            <w:pPr/>
          </w:p>
        </w:tc>
        <w:tc>
          <w:tcPr>
            <w:tcW w:w="889"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nil" w:sz="6" w:space="0" w:color="auto"/>
            </w:tcBorders>
          </w:tcPr>
          <w:p>
            <w:pPr/>
          </w:p>
        </w:tc>
      </w:tr>
      <w:tr>
        <w:trPr>
          <w:trHeight w:val="394" w:hRule="exact"/>
        </w:trPr>
        <w:tc>
          <w:tcPr>
            <w:tcW w:w="1410" w:type="dxa"/>
            <w:tcBorders>
              <w:top w:val="nil" w:sz="6" w:space="0" w:color="auto"/>
              <w:left w:val="nil" w:sz="6" w:space="0" w:color="auto"/>
              <w:bottom w:val="single" w:sz="12" w:space="0" w:color="000000"/>
              <w:right w:val="nil" w:sz="6" w:space="0" w:color="auto"/>
            </w:tcBorders>
          </w:tcPr>
          <w:p>
            <w:pPr>
              <w:pStyle w:val="TableParagraph"/>
              <w:spacing w:line="240" w:lineRule="auto" w:before="46"/>
              <w:ind w:right="8"/>
              <w:jc w:val="center"/>
              <w:rPr>
                <w:rFonts w:ascii="宋体" w:hAnsi="宋体" w:cs="宋体" w:eastAsia="宋体" w:hint="default"/>
                <w:sz w:val="18"/>
                <w:szCs w:val="18"/>
              </w:rPr>
            </w:pPr>
            <w:r>
              <w:rPr>
                <w:rFonts w:ascii="宋体" w:hAnsi="宋体" w:cs="宋体" w:eastAsia="宋体" w:hint="default"/>
                <w:sz w:val="18"/>
                <w:szCs w:val="18"/>
              </w:rPr>
              <w:t>合计</w:t>
            </w:r>
          </w:p>
        </w:tc>
        <w:tc>
          <w:tcPr>
            <w:tcW w:w="980" w:type="dxa"/>
            <w:tcBorders>
              <w:top w:val="nil" w:sz="6" w:space="0" w:color="auto"/>
              <w:left w:val="nil" w:sz="6" w:space="0" w:color="auto"/>
              <w:bottom w:val="single" w:sz="12" w:space="0" w:color="000000"/>
              <w:right w:val="nil" w:sz="6" w:space="0" w:color="auto"/>
            </w:tcBorders>
          </w:tcPr>
          <w:p>
            <w:pPr/>
          </w:p>
        </w:tc>
        <w:tc>
          <w:tcPr>
            <w:tcW w:w="1320" w:type="dxa"/>
            <w:tcBorders>
              <w:top w:val="nil" w:sz="6" w:space="0" w:color="auto"/>
              <w:left w:val="nil" w:sz="6" w:space="0" w:color="auto"/>
              <w:bottom w:val="single" w:sz="12" w:space="0" w:color="000000"/>
              <w:right w:val="nil" w:sz="6" w:space="0" w:color="auto"/>
            </w:tcBorders>
          </w:tcPr>
          <w:p>
            <w:pPr/>
          </w:p>
        </w:tc>
        <w:tc>
          <w:tcPr>
            <w:tcW w:w="1102" w:type="dxa"/>
            <w:tcBorders>
              <w:top w:val="nil" w:sz="6" w:space="0" w:color="auto"/>
              <w:left w:val="nil" w:sz="6" w:space="0" w:color="auto"/>
              <w:bottom w:val="single" w:sz="12" w:space="0" w:color="000000"/>
              <w:right w:val="nil" w:sz="6" w:space="0" w:color="auto"/>
            </w:tcBorders>
          </w:tcPr>
          <w:p>
            <w:pPr/>
          </w:p>
        </w:tc>
        <w:tc>
          <w:tcPr>
            <w:tcW w:w="1323"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131"/>
              <w:jc w:val="center"/>
              <w:rPr>
                <w:rFonts w:ascii="Times New Roman" w:hAnsi="Times New Roman" w:cs="Times New Roman" w:eastAsia="Times New Roman" w:hint="default"/>
                <w:sz w:val="18"/>
                <w:szCs w:val="18"/>
              </w:rPr>
            </w:pPr>
            <w:r>
              <w:rPr>
                <w:rFonts w:ascii="Times New Roman"/>
                <w:sz w:val="18"/>
              </w:rPr>
              <w:t>75,874,851.28</w:t>
            </w:r>
          </w:p>
        </w:tc>
        <w:tc>
          <w:tcPr>
            <w:tcW w:w="1362"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left="210" w:right="0"/>
              <w:jc w:val="left"/>
              <w:rPr>
                <w:rFonts w:ascii="Times New Roman" w:hAnsi="Times New Roman" w:cs="Times New Roman" w:eastAsia="Times New Roman" w:hint="default"/>
                <w:sz w:val="18"/>
                <w:szCs w:val="18"/>
              </w:rPr>
            </w:pPr>
            <w:r>
              <w:rPr>
                <w:rFonts w:ascii="Times New Roman"/>
                <w:sz w:val="18"/>
              </w:rPr>
              <w:t>75,874,851.28</w:t>
            </w:r>
          </w:p>
        </w:tc>
        <w:tc>
          <w:tcPr>
            <w:tcW w:w="973" w:type="dxa"/>
            <w:tcBorders>
              <w:top w:val="nil" w:sz="6" w:space="0" w:color="auto"/>
              <w:left w:val="nil" w:sz="6" w:space="0" w:color="auto"/>
              <w:bottom w:val="single" w:sz="12" w:space="0" w:color="000000"/>
              <w:right w:val="nil" w:sz="6" w:space="0" w:color="auto"/>
            </w:tcBorders>
          </w:tcPr>
          <w:p>
            <w:pPr/>
          </w:p>
        </w:tc>
        <w:tc>
          <w:tcPr>
            <w:tcW w:w="877" w:type="dxa"/>
            <w:tcBorders>
              <w:top w:val="nil" w:sz="6" w:space="0" w:color="auto"/>
              <w:left w:val="nil" w:sz="6" w:space="0" w:color="auto"/>
              <w:bottom w:val="single" w:sz="12" w:space="0" w:color="000000"/>
              <w:right w:val="nil" w:sz="6" w:space="0" w:color="auto"/>
            </w:tcBorders>
          </w:tcPr>
          <w:p>
            <w:pPr/>
          </w:p>
        </w:tc>
        <w:tc>
          <w:tcPr>
            <w:tcW w:w="1169" w:type="dxa"/>
            <w:tcBorders>
              <w:top w:val="nil" w:sz="6" w:space="0" w:color="auto"/>
              <w:left w:val="nil" w:sz="6" w:space="0" w:color="auto"/>
              <w:bottom w:val="single" w:sz="12" w:space="0" w:color="000000"/>
              <w:right w:val="nil" w:sz="6" w:space="0" w:color="auto"/>
            </w:tcBorders>
          </w:tcPr>
          <w:p>
            <w:pPr/>
          </w:p>
        </w:tc>
        <w:tc>
          <w:tcPr>
            <w:tcW w:w="1043" w:type="dxa"/>
            <w:tcBorders>
              <w:top w:val="nil" w:sz="6" w:space="0" w:color="auto"/>
              <w:left w:val="nil" w:sz="6" w:space="0" w:color="auto"/>
              <w:bottom w:val="single" w:sz="12" w:space="0" w:color="000000"/>
              <w:right w:val="nil" w:sz="6" w:space="0" w:color="auto"/>
            </w:tcBorders>
          </w:tcPr>
          <w:p>
            <w:pPr/>
          </w:p>
        </w:tc>
        <w:tc>
          <w:tcPr>
            <w:tcW w:w="889" w:type="dxa"/>
            <w:tcBorders>
              <w:top w:val="nil" w:sz="6" w:space="0" w:color="auto"/>
              <w:left w:val="nil" w:sz="6" w:space="0" w:color="auto"/>
              <w:bottom w:val="single" w:sz="12" w:space="0" w:color="000000"/>
              <w:right w:val="nil" w:sz="6" w:space="0" w:color="auto"/>
            </w:tcBorders>
          </w:tcPr>
          <w:p>
            <w:pPr/>
          </w:p>
        </w:tc>
        <w:tc>
          <w:tcPr>
            <w:tcW w:w="852"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7"/>
          <w:szCs w:val="17"/>
        </w:rPr>
      </w:pPr>
    </w:p>
    <w:p>
      <w:pPr>
        <w:spacing w:before="76"/>
        <w:ind w:left="6964" w:right="7445" w:firstLine="0"/>
        <w:jc w:val="center"/>
        <w:rPr>
          <w:rFonts w:ascii="Times New Roman" w:hAnsi="Times New Roman" w:cs="Times New Roman" w:eastAsia="Times New Roman" w:hint="default"/>
          <w:sz w:val="18"/>
          <w:szCs w:val="18"/>
        </w:rPr>
      </w:pPr>
      <w:r>
        <w:rPr>
          <w:rFonts w:ascii="Times New Roman"/>
          <w:sz w:val="18"/>
        </w:rPr>
        <w:t>121</w:t>
      </w:r>
    </w:p>
    <w:p>
      <w:pPr>
        <w:spacing w:after="0"/>
        <w:jc w:val="center"/>
        <w:rPr>
          <w:rFonts w:ascii="Times New Roman" w:hAnsi="Times New Roman" w:cs="Times New Roman" w:eastAsia="Times New Roman" w:hint="default"/>
          <w:sz w:val="18"/>
          <w:szCs w:val="18"/>
        </w:rPr>
        <w:sectPr>
          <w:headerReference w:type="default" r:id="rId137"/>
          <w:footerReference w:type="default" r:id="rId138"/>
          <w:pgSz w:w="16840" w:h="11910" w:orient="landscape"/>
          <w:pgMar w:header="0" w:footer="0" w:top="760" w:bottom="280" w:left="1300" w:right="820"/>
        </w:sectPr>
      </w:pPr>
    </w:p>
    <w:p>
      <w:pPr>
        <w:spacing w:line="240" w:lineRule="auto" w:before="2"/>
        <w:rPr>
          <w:rFonts w:ascii="Times New Roman" w:hAnsi="Times New Roman" w:cs="Times New Roman" w:eastAsia="Times New Roman" w:hint="default"/>
          <w:sz w:val="3"/>
          <w:szCs w:val="3"/>
        </w:rPr>
      </w:pPr>
    </w:p>
    <w:p>
      <w:pPr>
        <w:spacing w:line="20" w:lineRule="exact"/>
        <w:ind w:left="20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44.3pt;height:.75pt;mso-position-horizontal-relative:char;mso-position-vertical-relative:line" coordorigin="0,0" coordsize="8886,15">
            <v:group style="position:absolute;left:7;top:7;width:8872;height:2" coordorigin="7,7" coordsize="8872,2">
              <v:shape style="position:absolute;left:7;top:7;width:8872;height:2" coordorigin="7,7" coordsize="8872,0" path="m7,7l8879,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6"/>
          <w:szCs w:val="26"/>
        </w:rPr>
      </w:pPr>
    </w:p>
    <w:p>
      <w:pPr>
        <w:pStyle w:val="Heading2"/>
        <w:tabs>
          <w:tab w:pos="953" w:val="left" w:leader="none"/>
        </w:tabs>
        <w:spacing w:line="240" w:lineRule="auto" w:before="35"/>
        <w:ind w:left="225" w:right="0"/>
        <w:jc w:val="left"/>
        <w:rPr>
          <w:b w:val="0"/>
          <w:bCs w:val="0"/>
        </w:rPr>
      </w:pPr>
      <w:r>
        <w:rPr>
          <w:rFonts w:ascii="Times New Roman" w:hAnsi="Times New Roman" w:cs="Times New Roman" w:eastAsia="Times New Roman" w:hint="default"/>
          <w:w w:val="95"/>
        </w:rPr>
        <w:t>(</w:t>
      </w:r>
      <w:r>
        <w:rPr>
          <w:w w:val="95"/>
        </w:rPr>
        <w:t>九</w:t>
      </w:r>
      <w:r>
        <w:rPr>
          <w:rFonts w:ascii="Times New Roman" w:hAnsi="Times New Roman" w:cs="Times New Roman" w:eastAsia="Times New Roman" w:hint="default"/>
          <w:w w:val="95"/>
        </w:rPr>
        <w:t>)</w:t>
        <w:tab/>
      </w:r>
      <w:r>
        <w:rPr>
          <w:spacing w:val="1"/>
        </w:rPr>
        <w:t>固定资产</w:t>
      </w:r>
      <w:r>
        <w:rPr>
          <w:b w:val="0"/>
          <w:bCs w:val="0"/>
        </w:rPr>
      </w:r>
    </w:p>
    <w:p>
      <w:pPr>
        <w:tabs>
          <w:tab w:pos="1496" w:val="left" w:leader="none"/>
        </w:tabs>
        <w:spacing w:before="110"/>
        <w:ind w:left="957"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固定资产情况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131" w:type="dxa"/>
        <w:tblLayout w:type="fixed"/>
        <w:tblCellMar>
          <w:top w:w="0" w:type="dxa"/>
          <w:left w:w="0" w:type="dxa"/>
          <w:bottom w:w="0" w:type="dxa"/>
          <w:right w:w="0" w:type="dxa"/>
        </w:tblCellMar>
        <w:tblLook w:val="01E0"/>
      </w:tblPr>
      <w:tblGrid>
        <w:gridCol w:w="2387"/>
        <w:gridCol w:w="1459"/>
        <w:gridCol w:w="1281"/>
        <w:gridCol w:w="1234"/>
        <w:gridCol w:w="1298"/>
        <w:gridCol w:w="1372"/>
      </w:tblGrid>
      <w:tr>
        <w:trPr>
          <w:trHeight w:val="394" w:hRule="exact"/>
        </w:trPr>
        <w:tc>
          <w:tcPr>
            <w:tcW w:w="238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9"/>
              <w:jc w:val="center"/>
              <w:rPr>
                <w:rFonts w:ascii="宋体" w:hAnsi="宋体" w:cs="宋体" w:eastAsia="宋体" w:hint="default"/>
                <w:sz w:val="18"/>
                <w:szCs w:val="18"/>
              </w:rPr>
            </w:pPr>
            <w:r>
              <w:rPr>
                <w:rFonts w:ascii="宋体" w:hAnsi="宋体" w:cs="宋体" w:eastAsia="宋体" w:hint="default"/>
                <w:sz w:val="18"/>
                <w:szCs w:val="18"/>
              </w:rPr>
              <w:t>项目</w:t>
            </w:r>
          </w:p>
        </w:tc>
        <w:tc>
          <w:tcPr>
            <w:tcW w:w="145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65"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2514"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41"/>
              <w:ind w:left="7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29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6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7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10"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88"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8" w:right="0"/>
              <w:jc w:val="left"/>
              <w:rPr>
                <w:rFonts w:ascii="宋体" w:hAnsi="宋体" w:cs="宋体" w:eastAsia="宋体" w:hint="default"/>
                <w:sz w:val="18"/>
                <w:szCs w:val="18"/>
              </w:rPr>
            </w:pPr>
            <w:r>
              <w:rPr>
                <w:rFonts w:ascii="宋体" w:hAnsi="宋体" w:cs="宋体" w:eastAsia="宋体" w:hint="default"/>
                <w:sz w:val="18"/>
                <w:szCs w:val="18"/>
              </w:rPr>
              <w:t>一、账面原值合计：</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02"/>
              <w:jc w:val="right"/>
              <w:rPr>
                <w:rFonts w:ascii="Times New Roman" w:hAnsi="Times New Roman" w:cs="Times New Roman" w:eastAsia="Times New Roman" w:hint="default"/>
                <w:sz w:val="18"/>
                <w:szCs w:val="18"/>
              </w:rPr>
            </w:pPr>
            <w:r>
              <w:rPr>
                <w:rFonts w:ascii="Times New Roman"/>
                <w:spacing w:val="-1"/>
                <w:sz w:val="18"/>
              </w:rPr>
              <w:t>34,157,018.24</w:t>
            </w:r>
          </w:p>
        </w:tc>
        <w:tc>
          <w:tcPr>
            <w:tcW w:w="1281"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3" w:right="119"/>
              <w:jc w:val="right"/>
              <w:rPr>
                <w:rFonts w:ascii="Times New Roman" w:hAnsi="Times New Roman" w:cs="Times New Roman" w:eastAsia="Times New Roman" w:hint="default"/>
                <w:sz w:val="18"/>
                <w:szCs w:val="18"/>
              </w:rPr>
            </w:pPr>
            <w:r>
              <w:rPr>
                <w:rFonts w:ascii="Times New Roman"/>
                <w:spacing w:val="-1"/>
                <w:sz w:val="18"/>
              </w:rPr>
              <w:t>371,246,938.14</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45"/>
              <w:jc w:val="right"/>
              <w:rPr>
                <w:rFonts w:ascii="Times New Roman" w:hAnsi="Times New Roman" w:cs="Times New Roman" w:eastAsia="Times New Roman" w:hint="default"/>
                <w:sz w:val="18"/>
                <w:szCs w:val="18"/>
              </w:rPr>
            </w:pPr>
            <w:r>
              <w:rPr>
                <w:rFonts w:ascii="Times New Roman"/>
                <w:spacing w:val="-1"/>
                <w:sz w:val="18"/>
              </w:rPr>
              <w:t>3,224,868.94</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98"/>
              <w:jc w:val="right"/>
              <w:rPr>
                <w:rFonts w:ascii="Times New Roman" w:hAnsi="Times New Roman" w:cs="Times New Roman" w:eastAsia="Times New Roman" w:hint="default"/>
                <w:sz w:val="18"/>
                <w:szCs w:val="18"/>
              </w:rPr>
            </w:pPr>
            <w:r>
              <w:rPr>
                <w:rFonts w:ascii="Times New Roman"/>
                <w:spacing w:val="-1"/>
                <w:sz w:val="18"/>
              </w:rPr>
              <w:t>402,179,087.44</w:t>
            </w:r>
          </w:p>
        </w:tc>
      </w:tr>
      <w:tr>
        <w:trPr>
          <w:trHeight w:val="385"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8"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459"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3" w:right="119"/>
              <w:jc w:val="right"/>
              <w:rPr>
                <w:rFonts w:ascii="Times New Roman" w:hAnsi="Times New Roman" w:cs="Times New Roman" w:eastAsia="Times New Roman" w:hint="default"/>
                <w:sz w:val="18"/>
                <w:szCs w:val="18"/>
              </w:rPr>
            </w:pPr>
            <w:r>
              <w:rPr>
                <w:rFonts w:ascii="Times New Roman"/>
                <w:spacing w:val="-1"/>
                <w:sz w:val="18"/>
              </w:rPr>
              <w:t>335,685,801.38</w:t>
            </w:r>
          </w:p>
        </w:tc>
        <w:tc>
          <w:tcPr>
            <w:tcW w:w="1298" w:type="dxa"/>
            <w:tcBorders>
              <w:top w:val="nil" w:sz="6" w:space="0" w:color="auto"/>
              <w:left w:val="nil" w:sz="6" w:space="0" w:color="auto"/>
              <w:bottom w:val="nil" w:sz="6" w:space="0" w:color="auto"/>
              <w:right w:val="nil" w:sz="6" w:space="0" w:color="auto"/>
            </w:tcBorders>
          </w:tcPr>
          <w:p>
            <w:pP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97"/>
              <w:jc w:val="right"/>
              <w:rPr>
                <w:rFonts w:ascii="Times New Roman" w:hAnsi="Times New Roman" w:cs="Times New Roman" w:eastAsia="Times New Roman" w:hint="default"/>
                <w:sz w:val="18"/>
                <w:szCs w:val="18"/>
              </w:rPr>
            </w:pPr>
            <w:r>
              <w:rPr>
                <w:rFonts w:ascii="Times New Roman"/>
                <w:spacing w:val="-1"/>
                <w:sz w:val="18"/>
              </w:rPr>
              <w:t>335,685,801.38</w:t>
            </w:r>
          </w:p>
        </w:tc>
      </w:tr>
      <w:tr>
        <w:trPr>
          <w:trHeight w:val="384"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8"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02"/>
              <w:jc w:val="right"/>
              <w:rPr>
                <w:rFonts w:ascii="Times New Roman" w:hAnsi="Times New Roman" w:cs="Times New Roman" w:eastAsia="Times New Roman" w:hint="default"/>
                <w:sz w:val="18"/>
                <w:szCs w:val="18"/>
              </w:rPr>
            </w:pPr>
            <w:r>
              <w:rPr>
                <w:rFonts w:ascii="Times New Roman"/>
                <w:spacing w:val="-1"/>
                <w:sz w:val="18"/>
              </w:rPr>
              <w:t>5,292,483.10</w:t>
            </w:r>
          </w:p>
        </w:tc>
        <w:tc>
          <w:tcPr>
            <w:tcW w:w="1281"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20"/>
              <w:jc w:val="right"/>
              <w:rPr>
                <w:rFonts w:ascii="Times New Roman" w:hAnsi="Times New Roman" w:cs="Times New Roman" w:eastAsia="Times New Roman" w:hint="default"/>
                <w:sz w:val="18"/>
                <w:szCs w:val="18"/>
              </w:rPr>
            </w:pPr>
            <w:r>
              <w:rPr>
                <w:rFonts w:ascii="Times New Roman"/>
                <w:spacing w:val="-1"/>
                <w:sz w:val="18"/>
              </w:rPr>
              <w:t>2,570,978.00</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45"/>
              <w:jc w:val="right"/>
              <w:rPr>
                <w:rFonts w:ascii="Times New Roman" w:hAnsi="Times New Roman" w:cs="Times New Roman" w:eastAsia="Times New Roman" w:hint="default"/>
                <w:sz w:val="18"/>
                <w:szCs w:val="18"/>
              </w:rPr>
            </w:pPr>
            <w:r>
              <w:rPr>
                <w:rFonts w:ascii="Times New Roman"/>
                <w:sz w:val="18"/>
              </w:rPr>
              <w:t>716,410.00</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pacing w:val="-1"/>
                <w:sz w:val="18"/>
              </w:rPr>
              <w:t>7,147,051.10</w:t>
            </w:r>
          </w:p>
        </w:tc>
      </w:tr>
      <w:tr>
        <w:trPr>
          <w:trHeight w:val="385"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8" w:right="0"/>
              <w:jc w:val="left"/>
              <w:rPr>
                <w:rFonts w:ascii="宋体" w:hAnsi="宋体" w:cs="宋体" w:eastAsia="宋体" w:hint="default"/>
                <w:sz w:val="18"/>
                <w:szCs w:val="18"/>
              </w:rPr>
            </w:pPr>
            <w:r>
              <w:rPr>
                <w:rFonts w:ascii="宋体" w:hAnsi="宋体" w:cs="宋体" w:eastAsia="宋体" w:hint="default"/>
                <w:sz w:val="18"/>
                <w:szCs w:val="18"/>
              </w:rPr>
              <w:t>办公及电子设备</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02"/>
              <w:jc w:val="right"/>
              <w:rPr>
                <w:rFonts w:ascii="Times New Roman" w:hAnsi="Times New Roman" w:cs="Times New Roman" w:eastAsia="Times New Roman" w:hint="default"/>
                <w:sz w:val="18"/>
                <w:szCs w:val="18"/>
              </w:rPr>
            </w:pPr>
            <w:r>
              <w:rPr>
                <w:rFonts w:ascii="Times New Roman"/>
                <w:spacing w:val="-1"/>
                <w:sz w:val="18"/>
              </w:rPr>
              <w:t>28,864,535.14</w:t>
            </w:r>
          </w:p>
        </w:tc>
        <w:tc>
          <w:tcPr>
            <w:tcW w:w="1281"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20"/>
              <w:jc w:val="right"/>
              <w:rPr>
                <w:rFonts w:ascii="Times New Roman" w:hAnsi="Times New Roman" w:cs="Times New Roman" w:eastAsia="Times New Roman" w:hint="default"/>
                <w:sz w:val="18"/>
                <w:szCs w:val="18"/>
              </w:rPr>
            </w:pPr>
            <w:r>
              <w:rPr>
                <w:rFonts w:ascii="Times New Roman"/>
                <w:spacing w:val="-1"/>
                <w:sz w:val="18"/>
              </w:rPr>
              <w:t>25,029,843.97</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45"/>
              <w:jc w:val="right"/>
              <w:rPr>
                <w:rFonts w:ascii="Times New Roman" w:hAnsi="Times New Roman" w:cs="Times New Roman" w:eastAsia="Times New Roman" w:hint="default"/>
                <w:sz w:val="18"/>
                <w:szCs w:val="18"/>
              </w:rPr>
            </w:pPr>
            <w:r>
              <w:rPr>
                <w:rFonts w:ascii="Times New Roman"/>
                <w:spacing w:val="-1"/>
                <w:sz w:val="18"/>
              </w:rPr>
              <w:t>2,508,458.94</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pacing w:val="-1"/>
                <w:sz w:val="18"/>
              </w:rPr>
              <w:t>51,385,920.17</w:t>
            </w:r>
          </w:p>
        </w:tc>
      </w:tr>
      <w:tr>
        <w:trPr>
          <w:trHeight w:val="385"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43"/>
              <w:ind w:left="288" w:right="0"/>
              <w:jc w:val="left"/>
              <w:rPr>
                <w:rFonts w:ascii="宋体" w:hAnsi="宋体" w:cs="宋体" w:eastAsia="宋体" w:hint="default"/>
                <w:sz w:val="18"/>
                <w:szCs w:val="18"/>
              </w:rPr>
            </w:pPr>
            <w:r>
              <w:rPr>
                <w:rFonts w:ascii="宋体" w:hAnsi="宋体" w:cs="宋体" w:eastAsia="宋体" w:hint="default"/>
                <w:sz w:val="18"/>
                <w:szCs w:val="18"/>
              </w:rPr>
              <w:t>固定资产装修</w:t>
            </w:r>
          </w:p>
        </w:tc>
        <w:tc>
          <w:tcPr>
            <w:tcW w:w="1459"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20"/>
              <w:jc w:val="right"/>
              <w:rPr>
                <w:rFonts w:ascii="Times New Roman" w:hAnsi="Times New Roman" w:cs="Times New Roman" w:eastAsia="Times New Roman" w:hint="default"/>
                <w:sz w:val="18"/>
                <w:szCs w:val="18"/>
              </w:rPr>
            </w:pPr>
            <w:r>
              <w:rPr>
                <w:rFonts w:ascii="Times New Roman"/>
                <w:spacing w:val="-1"/>
                <w:sz w:val="18"/>
              </w:rPr>
              <w:t>7,960,314.79</w:t>
            </w:r>
          </w:p>
        </w:tc>
        <w:tc>
          <w:tcPr>
            <w:tcW w:w="1298" w:type="dxa"/>
            <w:tcBorders>
              <w:top w:val="nil" w:sz="6" w:space="0" w:color="auto"/>
              <w:left w:val="nil" w:sz="6" w:space="0" w:color="auto"/>
              <w:bottom w:val="nil" w:sz="6" w:space="0" w:color="auto"/>
              <w:right w:val="nil" w:sz="6" w:space="0" w:color="auto"/>
            </w:tcBorders>
          </w:tcPr>
          <w:p>
            <w:pP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98"/>
              <w:jc w:val="right"/>
              <w:rPr>
                <w:rFonts w:ascii="Times New Roman" w:hAnsi="Times New Roman" w:cs="Times New Roman" w:eastAsia="Times New Roman" w:hint="default"/>
                <w:sz w:val="18"/>
                <w:szCs w:val="18"/>
              </w:rPr>
            </w:pPr>
            <w:r>
              <w:rPr>
                <w:rFonts w:ascii="Times New Roman"/>
                <w:spacing w:val="-1"/>
                <w:sz w:val="18"/>
              </w:rPr>
              <w:t>7,960,314.79</w:t>
            </w:r>
          </w:p>
        </w:tc>
      </w:tr>
      <w:tr>
        <w:trPr>
          <w:trHeight w:val="385" w:hRule="exact"/>
        </w:trPr>
        <w:tc>
          <w:tcPr>
            <w:tcW w:w="2387" w:type="dxa"/>
            <w:tcBorders>
              <w:top w:val="nil" w:sz="6" w:space="0" w:color="auto"/>
              <w:left w:val="nil" w:sz="6" w:space="0" w:color="auto"/>
              <w:bottom w:val="nil" w:sz="6" w:space="0" w:color="auto"/>
              <w:right w:val="nil" w:sz="6" w:space="0" w:color="auto"/>
            </w:tcBorders>
          </w:tcPr>
          <w:p>
            <w:pPr/>
          </w:p>
        </w:tc>
        <w:tc>
          <w:tcPr>
            <w:tcW w:w="1459"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42"/>
              <w:ind w:left="6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本期增加 </w:t>
            </w:r>
            <w:r>
              <w:rPr>
                <w:rFonts w:ascii="Times New Roman" w:hAnsi="Times New Roman" w:cs="Times New Roman" w:eastAsia="Times New Roman" w:hint="default"/>
                <w:sz w:val="18"/>
                <w:szCs w:val="18"/>
              </w:rPr>
              <w:t>*</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20" w:right="0"/>
              <w:jc w:val="left"/>
              <w:rPr>
                <w:rFonts w:ascii="宋体" w:hAnsi="宋体" w:cs="宋体" w:eastAsia="宋体" w:hint="default"/>
                <w:sz w:val="18"/>
                <w:szCs w:val="18"/>
              </w:rPr>
            </w:pPr>
            <w:r>
              <w:rPr>
                <w:rFonts w:ascii="宋体" w:hAnsi="宋体" w:cs="宋体" w:eastAsia="宋体" w:hint="default"/>
                <w:sz w:val="18"/>
                <w:szCs w:val="18"/>
              </w:rPr>
              <w:t>本期计提</w:t>
            </w:r>
          </w:p>
        </w:tc>
        <w:tc>
          <w:tcPr>
            <w:tcW w:w="1298" w:type="dxa"/>
            <w:tcBorders>
              <w:top w:val="nil" w:sz="6" w:space="0" w:color="auto"/>
              <w:left w:val="nil" w:sz="6" w:space="0" w:color="auto"/>
              <w:bottom w:val="nil" w:sz="6" w:space="0" w:color="auto"/>
              <w:right w:val="nil" w:sz="6" w:space="0" w:color="auto"/>
            </w:tcBorders>
          </w:tcPr>
          <w:p>
            <w:pPr/>
          </w:p>
        </w:tc>
        <w:tc>
          <w:tcPr>
            <w:tcW w:w="1372" w:type="dxa"/>
            <w:tcBorders>
              <w:top w:val="nil" w:sz="6" w:space="0" w:color="auto"/>
              <w:left w:val="nil" w:sz="6" w:space="0" w:color="auto"/>
              <w:bottom w:val="nil" w:sz="6" w:space="0" w:color="auto"/>
              <w:right w:val="nil" w:sz="6" w:space="0" w:color="auto"/>
            </w:tcBorders>
          </w:tcPr>
          <w:p>
            <w:pPr/>
          </w:p>
        </w:tc>
      </w:tr>
      <w:tr>
        <w:trPr>
          <w:trHeight w:val="383"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二、累计折旧合计：</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01"/>
              <w:jc w:val="right"/>
              <w:rPr>
                <w:rFonts w:ascii="Times New Roman" w:hAnsi="Times New Roman" w:cs="Times New Roman" w:eastAsia="Times New Roman" w:hint="default"/>
                <w:sz w:val="18"/>
                <w:szCs w:val="18"/>
              </w:rPr>
            </w:pPr>
            <w:r>
              <w:rPr>
                <w:rFonts w:ascii="Times New Roman"/>
                <w:spacing w:val="-1"/>
                <w:sz w:val="18"/>
              </w:rPr>
              <w:t>12,733,564.34</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62"/>
              <w:jc w:val="right"/>
              <w:rPr>
                <w:rFonts w:ascii="Times New Roman" w:hAnsi="Times New Roman" w:cs="Times New Roman" w:eastAsia="Times New Roman" w:hint="default"/>
                <w:sz w:val="18"/>
                <w:szCs w:val="18"/>
              </w:rPr>
            </w:pPr>
            <w:r>
              <w:rPr>
                <w:rFonts w:ascii="Times New Roman"/>
                <w:sz w:val="18"/>
              </w:rPr>
              <w:t>401,992.21</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21"/>
              <w:jc w:val="right"/>
              <w:rPr>
                <w:rFonts w:ascii="Times New Roman" w:hAnsi="Times New Roman" w:cs="Times New Roman" w:eastAsia="Times New Roman" w:hint="default"/>
                <w:sz w:val="18"/>
                <w:szCs w:val="18"/>
              </w:rPr>
            </w:pPr>
            <w:r>
              <w:rPr>
                <w:rFonts w:ascii="Times New Roman"/>
                <w:spacing w:val="-1"/>
                <w:sz w:val="18"/>
              </w:rPr>
              <w:t>9,840,148.81</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45"/>
              <w:jc w:val="right"/>
              <w:rPr>
                <w:rFonts w:ascii="Times New Roman" w:hAnsi="Times New Roman" w:cs="Times New Roman" w:eastAsia="Times New Roman" w:hint="default"/>
                <w:sz w:val="18"/>
                <w:szCs w:val="18"/>
              </w:rPr>
            </w:pPr>
            <w:r>
              <w:rPr>
                <w:rFonts w:ascii="Times New Roman"/>
                <w:spacing w:val="-1"/>
                <w:sz w:val="18"/>
              </w:rPr>
              <w:t>1,560,342.61</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99"/>
              <w:jc w:val="right"/>
              <w:rPr>
                <w:rFonts w:ascii="Times New Roman" w:hAnsi="Times New Roman" w:cs="Times New Roman" w:eastAsia="Times New Roman" w:hint="default"/>
                <w:sz w:val="18"/>
                <w:szCs w:val="18"/>
              </w:rPr>
            </w:pPr>
            <w:r>
              <w:rPr>
                <w:rFonts w:ascii="Times New Roman"/>
                <w:spacing w:val="-1"/>
                <w:sz w:val="18"/>
              </w:rPr>
              <w:t>21,415,362.75</w:t>
            </w:r>
          </w:p>
        </w:tc>
      </w:tr>
      <w:tr>
        <w:trPr>
          <w:trHeight w:val="385"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8"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459"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21"/>
              <w:jc w:val="right"/>
              <w:rPr>
                <w:rFonts w:ascii="Times New Roman" w:hAnsi="Times New Roman" w:cs="Times New Roman" w:eastAsia="Times New Roman" w:hint="default"/>
                <w:sz w:val="18"/>
                <w:szCs w:val="18"/>
              </w:rPr>
            </w:pPr>
            <w:r>
              <w:rPr>
                <w:rFonts w:ascii="Times New Roman"/>
                <w:spacing w:val="-1"/>
                <w:sz w:val="18"/>
              </w:rPr>
              <w:t>1,816,569.61</w:t>
            </w:r>
          </w:p>
        </w:tc>
        <w:tc>
          <w:tcPr>
            <w:tcW w:w="1298" w:type="dxa"/>
            <w:tcBorders>
              <w:top w:val="nil" w:sz="6" w:space="0" w:color="auto"/>
              <w:left w:val="nil" w:sz="6" w:space="0" w:color="auto"/>
              <w:bottom w:val="nil" w:sz="6" w:space="0" w:color="auto"/>
              <w:right w:val="nil" w:sz="6" w:space="0" w:color="auto"/>
            </w:tcBorders>
          </w:tcPr>
          <w:p>
            <w:pP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98"/>
              <w:jc w:val="right"/>
              <w:rPr>
                <w:rFonts w:ascii="Times New Roman" w:hAnsi="Times New Roman" w:cs="Times New Roman" w:eastAsia="Times New Roman" w:hint="default"/>
                <w:sz w:val="18"/>
                <w:szCs w:val="18"/>
              </w:rPr>
            </w:pPr>
            <w:r>
              <w:rPr>
                <w:rFonts w:ascii="Times New Roman"/>
                <w:spacing w:val="-1"/>
                <w:sz w:val="18"/>
              </w:rPr>
              <w:t>1,816,569.61</w:t>
            </w:r>
          </w:p>
        </w:tc>
      </w:tr>
      <w:tr>
        <w:trPr>
          <w:trHeight w:val="384"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8"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02"/>
              <w:jc w:val="right"/>
              <w:rPr>
                <w:rFonts w:ascii="Times New Roman" w:hAnsi="Times New Roman" w:cs="Times New Roman" w:eastAsia="Times New Roman" w:hint="default"/>
                <w:sz w:val="18"/>
                <w:szCs w:val="18"/>
              </w:rPr>
            </w:pPr>
            <w:r>
              <w:rPr>
                <w:rFonts w:ascii="Times New Roman"/>
                <w:spacing w:val="-1"/>
                <w:sz w:val="18"/>
              </w:rPr>
              <w:t>2,118,554.18</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63"/>
              <w:jc w:val="right"/>
              <w:rPr>
                <w:rFonts w:ascii="Times New Roman" w:hAnsi="Times New Roman" w:cs="Times New Roman" w:eastAsia="Times New Roman" w:hint="default"/>
                <w:sz w:val="18"/>
                <w:szCs w:val="18"/>
              </w:rPr>
            </w:pPr>
            <w:r>
              <w:rPr>
                <w:rFonts w:ascii="Times New Roman"/>
                <w:sz w:val="18"/>
              </w:rPr>
              <w:t>175,241.88</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21"/>
              <w:jc w:val="right"/>
              <w:rPr>
                <w:rFonts w:ascii="Times New Roman" w:hAnsi="Times New Roman" w:cs="Times New Roman" w:eastAsia="Times New Roman" w:hint="default"/>
                <w:sz w:val="18"/>
                <w:szCs w:val="18"/>
              </w:rPr>
            </w:pPr>
            <w:r>
              <w:rPr>
                <w:rFonts w:ascii="Times New Roman"/>
                <w:spacing w:val="-1"/>
                <w:sz w:val="18"/>
              </w:rPr>
              <w:t>1,065,803.48</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44"/>
              <w:jc w:val="right"/>
              <w:rPr>
                <w:rFonts w:ascii="Times New Roman" w:hAnsi="Times New Roman" w:cs="Times New Roman" w:eastAsia="Times New Roman" w:hint="default"/>
                <w:sz w:val="18"/>
                <w:szCs w:val="18"/>
              </w:rPr>
            </w:pPr>
            <w:r>
              <w:rPr>
                <w:rFonts w:ascii="Times New Roman"/>
                <w:sz w:val="18"/>
              </w:rPr>
              <w:t>90,745.27</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8"/>
              <w:jc w:val="right"/>
              <w:rPr>
                <w:rFonts w:ascii="Times New Roman" w:hAnsi="Times New Roman" w:cs="Times New Roman" w:eastAsia="Times New Roman" w:hint="default"/>
                <w:sz w:val="18"/>
                <w:szCs w:val="18"/>
              </w:rPr>
            </w:pPr>
            <w:r>
              <w:rPr>
                <w:rFonts w:ascii="Times New Roman"/>
                <w:spacing w:val="-1"/>
                <w:sz w:val="18"/>
              </w:rPr>
              <w:t>3,268,854.27</w:t>
            </w:r>
          </w:p>
        </w:tc>
      </w:tr>
      <w:tr>
        <w:trPr>
          <w:trHeight w:val="385"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8" w:right="0"/>
              <w:jc w:val="left"/>
              <w:rPr>
                <w:rFonts w:ascii="宋体" w:hAnsi="宋体" w:cs="宋体" w:eastAsia="宋体" w:hint="default"/>
                <w:sz w:val="18"/>
                <w:szCs w:val="18"/>
              </w:rPr>
            </w:pPr>
            <w:r>
              <w:rPr>
                <w:rFonts w:ascii="宋体" w:hAnsi="宋体" w:cs="宋体" w:eastAsia="宋体" w:hint="default"/>
                <w:sz w:val="18"/>
                <w:szCs w:val="18"/>
              </w:rPr>
              <w:t>办公及电子设备</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01"/>
              <w:jc w:val="right"/>
              <w:rPr>
                <w:rFonts w:ascii="Times New Roman" w:hAnsi="Times New Roman" w:cs="Times New Roman" w:eastAsia="Times New Roman" w:hint="default"/>
                <w:sz w:val="18"/>
                <w:szCs w:val="18"/>
              </w:rPr>
            </w:pPr>
            <w:r>
              <w:rPr>
                <w:rFonts w:ascii="Times New Roman"/>
                <w:spacing w:val="-1"/>
                <w:sz w:val="18"/>
              </w:rPr>
              <w:t>10,615,010.16</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62"/>
              <w:jc w:val="right"/>
              <w:rPr>
                <w:rFonts w:ascii="Times New Roman" w:hAnsi="Times New Roman" w:cs="Times New Roman" w:eastAsia="Times New Roman" w:hint="default"/>
                <w:sz w:val="18"/>
                <w:szCs w:val="18"/>
              </w:rPr>
            </w:pPr>
            <w:r>
              <w:rPr>
                <w:rFonts w:ascii="Times New Roman"/>
                <w:sz w:val="18"/>
              </w:rPr>
              <w:t>226,750.33</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21"/>
              <w:jc w:val="right"/>
              <w:rPr>
                <w:rFonts w:ascii="Times New Roman" w:hAnsi="Times New Roman" w:cs="Times New Roman" w:eastAsia="Times New Roman" w:hint="default"/>
                <w:sz w:val="18"/>
                <w:szCs w:val="18"/>
              </w:rPr>
            </w:pPr>
            <w:r>
              <w:rPr>
                <w:rFonts w:ascii="Times New Roman"/>
                <w:spacing w:val="-1"/>
                <w:sz w:val="18"/>
              </w:rPr>
              <w:t>6,559,759.98</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45"/>
              <w:jc w:val="right"/>
              <w:rPr>
                <w:rFonts w:ascii="Times New Roman" w:hAnsi="Times New Roman" w:cs="Times New Roman" w:eastAsia="Times New Roman" w:hint="default"/>
                <w:sz w:val="18"/>
                <w:szCs w:val="18"/>
              </w:rPr>
            </w:pPr>
            <w:r>
              <w:rPr>
                <w:rFonts w:ascii="Times New Roman"/>
                <w:spacing w:val="-1"/>
                <w:sz w:val="18"/>
              </w:rPr>
              <w:t>1,469,597.34</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pacing w:val="-1"/>
                <w:sz w:val="18"/>
              </w:rPr>
              <w:t>15,931,923.13</w:t>
            </w:r>
          </w:p>
        </w:tc>
      </w:tr>
      <w:tr>
        <w:trPr>
          <w:trHeight w:val="385"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43"/>
              <w:ind w:left="288" w:right="0"/>
              <w:jc w:val="left"/>
              <w:rPr>
                <w:rFonts w:ascii="宋体" w:hAnsi="宋体" w:cs="宋体" w:eastAsia="宋体" w:hint="default"/>
                <w:sz w:val="18"/>
                <w:szCs w:val="18"/>
              </w:rPr>
            </w:pPr>
            <w:r>
              <w:rPr>
                <w:rFonts w:ascii="宋体" w:hAnsi="宋体" w:cs="宋体" w:eastAsia="宋体" w:hint="default"/>
                <w:sz w:val="18"/>
                <w:szCs w:val="18"/>
              </w:rPr>
              <w:t>固定资产装修</w:t>
            </w:r>
          </w:p>
        </w:tc>
        <w:tc>
          <w:tcPr>
            <w:tcW w:w="1459"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21"/>
              <w:jc w:val="right"/>
              <w:rPr>
                <w:rFonts w:ascii="Times New Roman" w:hAnsi="Times New Roman" w:cs="Times New Roman" w:eastAsia="Times New Roman" w:hint="default"/>
                <w:sz w:val="18"/>
                <w:szCs w:val="18"/>
              </w:rPr>
            </w:pPr>
            <w:r>
              <w:rPr>
                <w:rFonts w:ascii="Times New Roman"/>
                <w:sz w:val="18"/>
              </w:rPr>
              <w:t>398,015.74</w:t>
            </w:r>
          </w:p>
        </w:tc>
        <w:tc>
          <w:tcPr>
            <w:tcW w:w="1298" w:type="dxa"/>
            <w:tcBorders>
              <w:top w:val="nil" w:sz="6" w:space="0" w:color="auto"/>
              <w:left w:val="nil" w:sz="6" w:space="0" w:color="auto"/>
              <w:bottom w:val="nil" w:sz="6" w:space="0" w:color="auto"/>
              <w:right w:val="nil" w:sz="6" w:space="0" w:color="auto"/>
            </w:tcBorders>
          </w:tcPr>
          <w:p>
            <w:pP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98"/>
              <w:jc w:val="right"/>
              <w:rPr>
                <w:rFonts w:ascii="Times New Roman" w:hAnsi="Times New Roman" w:cs="Times New Roman" w:eastAsia="Times New Roman" w:hint="default"/>
                <w:sz w:val="18"/>
                <w:szCs w:val="18"/>
              </w:rPr>
            </w:pPr>
            <w:r>
              <w:rPr>
                <w:rFonts w:ascii="Times New Roman"/>
                <w:sz w:val="18"/>
              </w:rPr>
              <w:t>398,015.74</w:t>
            </w:r>
          </w:p>
        </w:tc>
      </w:tr>
      <w:tr>
        <w:trPr>
          <w:trHeight w:val="384"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8" w:right="0"/>
              <w:jc w:val="left"/>
              <w:rPr>
                <w:rFonts w:ascii="宋体" w:hAnsi="宋体" w:cs="宋体" w:eastAsia="宋体" w:hint="default"/>
                <w:sz w:val="18"/>
                <w:szCs w:val="18"/>
              </w:rPr>
            </w:pPr>
            <w:r>
              <w:rPr>
                <w:rFonts w:ascii="宋体" w:hAnsi="宋体" w:cs="宋体" w:eastAsia="宋体" w:hint="default"/>
                <w:sz w:val="18"/>
                <w:szCs w:val="18"/>
              </w:rPr>
              <w:t>三、固定资产账面净值合计</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02"/>
              <w:jc w:val="right"/>
              <w:rPr>
                <w:rFonts w:ascii="Times New Roman" w:hAnsi="Times New Roman" w:cs="Times New Roman" w:eastAsia="Times New Roman" w:hint="default"/>
                <w:sz w:val="18"/>
                <w:szCs w:val="18"/>
              </w:rPr>
            </w:pPr>
            <w:r>
              <w:rPr>
                <w:rFonts w:ascii="Times New Roman"/>
                <w:spacing w:val="-1"/>
                <w:sz w:val="18"/>
              </w:rPr>
              <w:t>21,423,453.90</w:t>
            </w:r>
          </w:p>
        </w:tc>
        <w:tc>
          <w:tcPr>
            <w:tcW w:w="1281"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3" w:right="119"/>
              <w:jc w:val="right"/>
              <w:rPr>
                <w:rFonts w:ascii="Times New Roman" w:hAnsi="Times New Roman" w:cs="Times New Roman" w:eastAsia="Times New Roman" w:hint="default"/>
                <w:sz w:val="18"/>
                <w:szCs w:val="18"/>
              </w:rPr>
            </w:pPr>
            <w:r>
              <w:rPr>
                <w:rFonts w:ascii="Times New Roman"/>
                <w:spacing w:val="-1"/>
                <w:sz w:val="18"/>
              </w:rPr>
              <w:t>370,844,945.93</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44"/>
              <w:jc w:val="right"/>
              <w:rPr>
                <w:rFonts w:ascii="Times New Roman" w:hAnsi="Times New Roman" w:cs="Times New Roman" w:eastAsia="Times New Roman" w:hint="default"/>
                <w:sz w:val="18"/>
                <w:szCs w:val="18"/>
              </w:rPr>
            </w:pPr>
            <w:r>
              <w:rPr>
                <w:rFonts w:ascii="Times New Roman"/>
                <w:spacing w:val="-1"/>
                <w:sz w:val="18"/>
              </w:rPr>
              <w:t>11,504,675.14</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7"/>
              <w:jc w:val="right"/>
              <w:rPr>
                <w:rFonts w:ascii="Times New Roman" w:hAnsi="Times New Roman" w:cs="Times New Roman" w:eastAsia="Times New Roman" w:hint="default"/>
                <w:sz w:val="18"/>
                <w:szCs w:val="18"/>
              </w:rPr>
            </w:pPr>
            <w:r>
              <w:rPr>
                <w:rFonts w:ascii="Times New Roman"/>
                <w:spacing w:val="-1"/>
                <w:sz w:val="18"/>
              </w:rPr>
              <w:t>380,763,724.69</w:t>
            </w:r>
          </w:p>
        </w:tc>
      </w:tr>
      <w:tr>
        <w:trPr>
          <w:trHeight w:val="385"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8"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459"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3" w:right="119"/>
              <w:jc w:val="right"/>
              <w:rPr>
                <w:rFonts w:ascii="Times New Roman" w:hAnsi="Times New Roman" w:cs="Times New Roman" w:eastAsia="Times New Roman" w:hint="default"/>
                <w:sz w:val="18"/>
                <w:szCs w:val="18"/>
              </w:rPr>
            </w:pPr>
            <w:r>
              <w:rPr>
                <w:rFonts w:ascii="Times New Roman"/>
                <w:spacing w:val="-1"/>
                <w:sz w:val="18"/>
              </w:rPr>
              <w:t>335,685,801.38</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45"/>
              <w:jc w:val="right"/>
              <w:rPr>
                <w:rFonts w:ascii="Times New Roman" w:hAnsi="Times New Roman" w:cs="Times New Roman" w:eastAsia="Times New Roman" w:hint="default"/>
                <w:sz w:val="18"/>
                <w:szCs w:val="18"/>
              </w:rPr>
            </w:pPr>
            <w:r>
              <w:rPr>
                <w:rFonts w:ascii="Times New Roman"/>
                <w:spacing w:val="-1"/>
                <w:sz w:val="18"/>
              </w:rPr>
              <w:t>1,816,569.61</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8"/>
              <w:jc w:val="right"/>
              <w:rPr>
                <w:rFonts w:ascii="Times New Roman" w:hAnsi="Times New Roman" w:cs="Times New Roman" w:eastAsia="Times New Roman" w:hint="default"/>
                <w:sz w:val="18"/>
                <w:szCs w:val="18"/>
              </w:rPr>
            </w:pPr>
            <w:r>
              <w:rPr>
                <w:rFonts w:ascii="Times New Roman"/>
                <w:spacing w:val="-1"/>
                <w:sz w:val="18"/>
              </w:rPr>
              <w:t>333,869,231.77</w:t>
            </w:r>
          </w:p>
        </w:tc>
      </w:tr>
      <w:tr>
        <w:trPr>
          <w:trHeight w:val="385"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43"/>
              <w:ind w:left="288"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02"/>
              <w:jc w:val="right"/>
              <w:rPr>
                <w:rFonts w:ascii="Times New Roman" w:hAnsi="Times New Roman" w:cs="Times New Roman" w:eastAsia="Times New Roman" w:hint="default"/>
                <w:sz w:val="18"/>
                <w:szCs w:val="18"/>
              </w:rPr>
            </w:pPr>
            <w:r>
              <w:rPr>
                <w:rFonts w:ascii="Times New Roman"/>
                <w:spacing w:val="-1"/>
                <w:sz w:val="18"/>
              </w:rPr>
              <w:t>3,173,928.92</w:t>
            </w:r>
          </w:p>
        </w:tc>
        <w:tc>
          <w:tcPr>
            <w:tcW w:w="1281"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20"/>
              <w:jc w:val="right"/>
              <w:rPr>
                <w:rFonts w:ascii="Times New Roman" w:hAnsi="Times New Roman" w:cs="Times New Roman" w:eastAsia="Times New Roman" w:hint="default"/>
                <w:sz w:val="18"/>
                <w:szCs w:val="18"/>
              </w:rPr>
            </w:pPr>
            <w:r>
              <w:rPr>
                <w:rFonts w:ascii="Times New Roman"/>
                <w:spacing w:val="-1"/>
                <w:sz w:val="18"/>
              </w:rPr>
              <w:t>2,395,736.12</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46"/>
              <w:jc w:val="right"/>
              <w:rPr>
                <w:rFonts w:ascii="Times New Roman" w:hAnsi="Times New Roman" w:cs="Times New Roman" w:eastAsia="Times New Roman" w:hint="default"/>
                <w:sz w:val="18"/>
                <w:szCs w:val="18"/>
              </w:rPr>
            </w:pPr>
            <w:r>
              <w:rPr>
                <w:rFonts w:ascii="Times New Roman"/>
                <w:spacing w:val="-1"/>
                <w:sz w:val="18"/>
              </w:rPr>
              <w:t>1,691,468.21</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99"/>
              <w:jc w:val="right"/>
              <w:rPr>
                <w:rFonts w:ascii="Times New Roman" w:hAnsi="Times New Roman" w:cs="Times New Roman" w:eastAsia="Times New Roman" w:hint="default"/>
                <w:sz w:val="18"/>
                <w:szCs w:val="18"/>
              </w:rPr>
            </w:pPr>
            <w:r>
              <w:rPr>
                <w:rFonts w:ascii="Times New Roman"/>
                <w:spacing w:val="-1"/>
                <w:sz w:val="18"/>
              </w:rPr>
              <w:t>3,878,196.83</w:t>
            </w:r>
          </w:p>
        </w:tc>
      </w:tr>
      <w:tr>
        <w:trPr>
          <w:trHeight w:val="384"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8" w:right="0"/>
              <w:jc w:val="left"/>
              <w:rPr>
                <w:rFonts w:ascii="宋体" w:hAnsi="宋体" w:cs="宋体" w:eastAsia="宋体" w:hint="default"/>
                <w:sz w:val="18"/>
                <w:szCs w:val="18"/>
              </w:rPr>
            </w:pPr>
            <w:r>
              <w:rPr>
                <w:rFonts w:ascii="宋体" w:hAnsi="宋体" w:cs="宋体" w:eastAsia="宋体" w:hint="default"/>
                <w:sz w:val="18"/>
                <w:szCs w:val="18"/>
              </w:rPr>
              <w:t>办公及电子设备</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02"/>
              <w:jc w:val="right"/>
              <w:rPr>
                <w:rFonts w:ascii="Times New Roman" w:hAnsi="Times New Roman" w:cs="Times New Roman" w:eastAsia="Times New Roman" w:hint="default"/>
                <w:sz w:val="18"/>
                <w:szCs w:val="18"/>
              </w:rPr>
            </w:pPr>
            <w:r>
              <w:rPr>
                <w:rFonts w:ascii="Times New Roman"/>
                <w:spacing w:val="-1"/>
                <w:sz w:val="18"/>
              </w:rPr>
              <w:t>18,249,524.98</w:t>
            </w:r>
          </w:p>
        </w:tc>
        <w:tc>
          <w:tcPr>
            <w:tcW w:w="1281"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20"/>
              <w:jc w:val="right"/>
              <w:rPr>
                <w:rFonts w:ascii="Times New Roman" w:hAnsi="Times New Roman" w:cs="Times New Roman" w:eastAsia="Times New Roman" w:hint="default"/>
                <w:sz w:val="18"/>
                <w:szCs w:val="18"/>
              </w:rPr>
            </w:pPr>
            <w:r>
              <w:rPr>
                <w:rFonts w:ascii="Times New Roman"/>
                <w:spacing w:val="-1"/>
                <w:sz w:val="18"/>
              </w:rPr>
              <w:t>24,803,093.64</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45"/>
              <w:jc w:val="right"/>
              <w:rPr>
                <w:rFonts w:ascii="Times New Roman" w:hAnsi="Times New Roman" w:cs="Times New Roman" w:eastAsia="Times New Roman" w:hint="default"/>
                <w:sz w:val="18"/>
                <w:szCs w:val="18"/>
              </w:rPr>
            </w:pPr>
            <w:r>
              <w:rPr>
                <w:rFonts w:ascii="Times New Roman"/>
                <w:spacing w:val="-1"/>
                <w:sz w:val="18"/>
              </w:rPr>
              <w:t>7,598,621.58</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pacing w:val="-1"/>
                <w:sz w:val="18"/>
              </w:rPr>
              <w:t>35,453,997.04</w:t>
            </w:r>
          </w:p>
        </w:tc>
      </w:tr>
      <w:tr>
        <w:trPr>
          <w:trHeight w:val="385"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8" w:right="0"/>
              <w:jc w:val="left"/>
              <w:rPr>
                <w:rFonts w:ascii="宋体" w:hAnsi="宋体" w:cs="宋体" w:eastAsia="宋体" w:hint="default"/>
                <w:sz w:val="18"/>
                <w:szCs w:val="18"/>
              </w:rPr>
            </w:pPr>
            <w:r>
              <w:rPr>
                <w:rFonts w:ascii="宋体" w:hAnsi="宋体" w:cs="宋体" w:eastAsia="宋体" w:hint="default"/>
                <w:sz w:val="18"/>
                <w:szCs w:val="18"/>
              </w:rPr>
              <w:t>固定资产装修</w:t>
            </w:r>
          </w:p>
        </w:tc>
        <w:tc>
          <w:tcPr>
            <w:tcW w:w="1459"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20"/>
              <w:jc w:val="right"/>
              <w:rPr>
                <w:rFonts w:ascii="Times New Roman" w:hAnsi="Times New Roman" w:cs="Times New Roman" w:eastAsia="Times New Roman" w:hint="default"/>
                <w:sz w:val="18"/>
                <w:szCs w:val="18"/>
              </w:rPr>
            </w:pPr>
            <w:r>
              <w:rPr>
                <w:rFonts w:ascii="Times New Roman"/>
                <w:spacing w:val="-1"/>
                <w:sz w:val="18"/>
              </w:rPr>
              <w:t>7,960,314.79</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44"/>
              <w:jc w:val="right"/>
              <w:rPr>
                <w:rFonts w:ascii="Times New Roman" w:hAnsi="Times New Roman" w:cs="Times New Roman" w:eastAsia="Times New Roman" w:hint="default"/>
                <w:sz w:val="18"/>
                <w:szCs w:val="18"/>
              </w:rPr>
            </w:pPr>
            <w:r>
              <w:rPr>
                <w:rFonts w:ascii="Times New Roman"/>
                <w:sz w:val="18"/>
              </w:rPr>
              <w:t>398,015.74</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pacing w:val="-1"/>
                <w:sz w:val="18"/>
              </w:rPr>
              <w:t>7,562,299.05</w:t>
            </w:r>
          </w:p>
        </w:tc>
      </w:tr>
      <w:tr>
        <w:trPr>
          <w:trHeight w:val="381"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8" w:right="0"/>
              <w:jc w:val="left"/>
              <w:rPr>
                <w:rFonts w:ascii="宋体" w:hAnsi="宋体" w:cs="宋体" w:eastAsia="宋体" w:hint="default"/>
                <w:sz w:val="18"/>
                <w:szCs w:val="18"/>
              </w:rPr>
            </w:pPr>
            <w:r>
              <w:rPr>
                <w:rFonts w:ascii="宋体" w:hAnsi="宋体" w:cs="宋体" w:eastAsia="宋体" w:hint="default"/>
                <w:sz w:val="18"/>
                <w:szCs w:val="18"/>
              </w:rPr>
              <w:t>四、减值准备合计</w:t>
            </w:r>
          </w:p>
        </w:tc>
        <w:tc>
          <w:tcPr>
            <w:tcW w:w="1459"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
        </w:tc>
        <w:tc>
          <w:tcPr>
            <w:tcW w:w="1298" w:type="dxa"/>
            <w:tcBorders>
              <w:top w:val="nil" w:sz="6" w:space="0" w:color="auto"/>
              <w:left w:val="nil" w:sz="6" w:space="0" w:color="auto"/>
              <w:bottom w:val="nil" w:sz="6" w:space="0" w:color="auto"/>
              <w:right w:val="nil" w:sz="6" w:space="0" w:color="auto"/>
            </w:tcBorders>
          </w:tcPr>
          <w:p>
            <w:pPr/>
          </w:p>
        </w:tc>
        <w:tc>
          <w:tcPr>
            <w:tcW w:w="1372" w:type="dxa"/>
            <w:tcBorders>
              <w:top w:val="nil" w:sz="6" w:space="0" w:color="auto"/>
              <w:left w:val="nil" w:sz="6" w:space="0" w:color="auto"/>
              <w:bottom w:val="nil" w:sz="6" w:space="0" w:color="auto"/>
              <w:right w:val="nil" w:sz="6" w:space="0" w:color="auto"/>
            </w:tcBorders>
          </w:tcPr>
          <w:p>
            <w:pPr/>
          </w:p>
        </w:tc>
      </w:tr>
      <w:tr>
        <w:trPr>
          <w:trHeight w:val="384"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8"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459"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
        </w:tc>
        <w:tc>
          <w:tcPr>
            <w:tcW w:w="1298" w:type="dxa"/>
            <w:tcBorders>
              <w:top w:val="nil" w:sz="6" w:space="0" w:color="auto"/>
              <w:left w:val="nil" w:sz="6" w:space="0" w:color="auto"/>
              <w:bottom w:val="nil" w:sz="6" w:space="0" w:color="auto"/>
              <w:right w:val="nil" w:sz="6" w:space="0" w:color="auto"/>
            </w:tcBorders>
          </w:tcPr>
          <w:p>
            <w:pPr/>
          </w:p>
        </w:tc>
        <w:tc>
          <w:tcPr>
            <w:tcW w:w="1372" w:type="dxa"/>
            <w:tcBorders>
              <w:top w:val="nil" w:sz="6" w:space="0" w:color="auto"/>
              <w:left w:val="nil" w:sz="6" w:space="0" w:color="auto"/>
              <w:bottom w:val="nil" w:sz="6" w:space="0" w:color="auto"/>
              <w:right w:val="nil" w:sz="6" w:space="0" w:color="auto"/>
            </w:tcBorders>
          </w:tcPr>
          <w:p>
            <w:pPr/>
          </w:p>
        </w:tc>
      </w:tr>
      <w:tr>
        <w:trPr>
          <w:trHeight w:val="385"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46"/>
              <w:ind w:left="288"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459"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
        </w:tc>
        <w:tc>
          <w:tcPr>
            <w:tcW w:w="1298" w:type="dxa"/>
            <w:tcBorders>
              <w:top w:val="nil" w:sz="6" w:space="0" w:color="auto"/>
              <w:left w:val="nil" w:sz="6" w:space="0" w:color="auto"/>
              <w:bottom w:val="nil" w:sz="6" w:space="0" w:color="auto"/>
              <w:right w:val="nil" w:sz="6" w:space="0" w:color="auto"/>
            </w:tcBorders>
          </w:tcPr>
          <w:p>
            <w:pPr/>
          </w:p>
        </w:tc>
        <w:tc>
          <w:tcPr>
            <w:tcW w:w="1372" w:type="dxa"/>
            <w:tcBorders>
              <w:top w:val="nil" w:sz="6" w:space="0" w:color="auto"/>
              <w:left w:val="nil" w:sz="6" w:space="0" w:color="auto"/>
              <w:bottom w:val="nil" w:sz="6" w:space="0" w:color="auto"/>
              <w:right w:val="nil" w:sz="6" w:space="0" w:color="auto"/>
            </w:tcBorders>
          </w:tcPr>
          <w:p>
            <w:pPr/>
          </w:p>
        </w:tc>
      </w:tr>
      <w:tr>
        <w:trPr>
          <w:trHeight w:val="385"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288" w:right="0"/>
              <w:jc w:val="left"/>
              <w:rPr>
                <w:rFonts w:ascii="宋体" w:hAnsi="宋体" w:cs="宋体" w:eastAsia="宋体" w:hint="default"/>
                <w:sz w:val="18"/>
                <w:szCs w:val="18"/>
              </w:rPr>
            </w:pPr>
            <w:r>
              <w:rPr>
                <w:rFonts w:ascii="宋体" w:hAnsi="宋体" w:cs="宋体" w:eastAsia="宋体" w:hint="default"/>
                <w:sz w:val="18"/>
                <w:szCs w:val="18"/>
              </w:rPr>
              <w:t>办公及电子设备</w:t>
            </w:r>
          </w:p>
        </w:tc>
        <w:tc>
          <w:tcPr>
            <w:tcW w:w="1459"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
        </w:tc>
        <w:tc>
          <w:tcPr>
            <w:tcW w:w="1298" w:type="dxa"/>
            <w:tcBorders>
              <w:top w:val="nil" w:sz="6" w:space="0" w:color="auto"/>
              <w:left w:val="nil" w:sz="6" w:space="0" w:color="auto"/>
              <w:bottom w:val="nil" w:sz="6" w:space="0" w:color="auto"/>
              <w:right w:val="nil" w:sz="6" w:space="0" w:color="auto"/>
            </w:tcBorders>
          </w:tcPr>
          <w:p>
            <w:pPr/>
          </w:p>
        </w:tc>
        <w:tc>
          <w:tcPr>
            <w:tcW w:w="1372" w:type="dxa"/>
            <w:tcBorders>
              <w:top w:val="nil" w:sz="6" w:space="0" w:color="auto"/>
              <w:left w:val="nil" w:sz="6" w:space="0" w:color="auto"/>
              <w:bottom w:val="nil" w:sz="6" w:space="0" w:color="auto"/>
              <w:right w:val="nil" w:sz="6" w:space="0" w:color="auto"/>
            </w:tcBorders>
          </w:tcPr>
          <w:p>
            <w:pPr/>
          </w:p>
        </w:tc>
      </w:tr>
      <w:tr>
        <w:trPr>
          <w:trHeight w:val="384"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46"/>
              <w:ind w:left="288" w:right="0"/>
              <w:jc w:val="left"/>
              <w:rPr>
                <w:rFonts w:ascii="宋体" w:hAnsi="宋体" w:cs="宋体" w:eastAsia="宋体" w:hint="default"/>
                <w:sz w:val="18"/>
                <w:szCs w:val="18"/>
              </w:rPr>
            </w:pPr>
            <w:r>
              <w:rPr>
                <w:rFonts w:ascii="宋体" w:hAnsi="宋体" w:cs="宋体" w:eastAsia="宋体" w:hint="default"/>
                <w:sz w:val="18"/>
                <w:szCs w:val="18"/>
              </w:rPr>
              <w:t>固定资产装修</w:t>
            </w:r>
          </w:p>
        </w:tc>
        <w:tc>
          <w:tcPr>
            <w:tcW w:w="1459"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
        </w:tc>
        <w:tc>
          <w:tcPr>
            <w:tcW w:w="1298" w:type="dxa"/>
            <w:tcBorders>
              <w:top w:val="nil" w:sz="6" w:space="0" w:color="auto"/>
              <w:left w:val="nil" w:sz="6" w:space="0" w:color="auto"/>
              <w:bottom w:val="nil" w:sz="6" w:space="0" w:color="auto"/>
              <w:right w:val="nil" w:sz="6" w:space="0" w:color="auto"/>
            </w:tcBorders>
          </w:tcPr>
          <w:p>
            <w:pPr/>
          </w:p>
        </w:tc>
        <w:tc>
          <w:tcPr>
            <w:tcW w:w="1372" w:type="dxa"/>
            <w:tcBorders>
              <w:top w:val="nil" w:sz="6" w:space="0" w:color="auto"/>
              <w:left w:val="nil" w:sz="6" w:space="0" w:color="auto"/>
              <w:bottom w:val="nil" w:sz="6" w:space="0" w:color="auto"/>
              <w:right w:val="nil" w:sz="6" w:space="0" w:color="auto"/>
            </w:tcBorders>
          </w:tcPr>
          <w:p>
            <w:pPr/>
          </w:p>
        </w:tc>
      </w:tr>
      <w:tr>
        <w:trPr>
          <w:trHeight w:val="388"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8" w:right="0"/>
              <w:jc w:val="left"/>
              <w:rPr>
                <w:rFonts w:ascii="宋体" w:hAnsi="宋体" w:cs="宋体" w:eastAsia="宋体" w:hint="default"/>
                <w:sz w:val="18"/>
                <w:szCs w:val="18"/>
              </w:rPr>
            </w:pPr>
            <w:r>
              <w:rPr>
                <w:rFonts w:ascii="宋体" w:hAnsi="宋体" w:cs="宋体" w:eastAsia="宋体" w:hint="default"/>
                <w:sz w:val="18"/>
                <w:szCs w:val="18"/>
              </w:rPr>
              <w:t>五、固定资产账面价值合计</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02"/>
              <w:jc w:val="right"/>
              <w:rPr>
                <w:rFonts w:ascii="Times New Roman" w:hAnsi="Times New Roman" w:cs="Times New Roman" w:eastAsia="Times New Roman" w:hint="default"/>
                <w:sz w:val="18"/>
                <w:szCs w:val="18"/>
              </w:rPr>
            </w:pPr>
            <w:r>
              <w:rPr>
                <w:rFonts w:ascii="Times New Roman"/>
                <w:spacing w:val="-1"/>
                <w:sz w:val="18"/>
              </w:rPr>
              <w:t>21,423,453.90</w:t>
            </w:r>
          </w:p>
        </w:tc>
        <w:tc>
          <w:tcPr>
            <w:tcW w:w="1281"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3" w:right="119"/>
              <w:jc w:val="right"/>
              <w:rPr>
                <w:rFonts w:ascii="Times New Roman" w:hAnsi="Times New Roman" w:cs="Times New Roman" w:eastAsia="Times New Roman" w:hint="default"/>
                <w:sz w:val="18"/>
                <w:szCs w:val="18"/>
              </w:rPr>
            </w:pPr>
            <w:r>
              <w:rPr>
                <w:rFonts w:ascii="Times New Roman"/>
                <w:spacing w:val="-1"/>
                <w:sz w:val="18"/>
              </w:rPr>
              <w:t>370,844,945.93</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44"/>
              <w:jc w:val="right"/>
              <w:rPr>
                <w:rFonts w:ascii="Times New Roman" w:hAnsi="Times New Roman" w:cs="Times New Roman" w:eastAsia="Times New Roman" w:hint="default"/>
                <w:sz w:val="18"/>
                <w:szCs w:val="18"/>
              </w:rPr>
            </w:pPr>
            <w:r>
              <w:rPr>
                <w:rFonts w:ascii="Times New Roman"/>
                <w:spacing w:val="-1"/>
                <w:sz w:val="18"/>
              </w:rPr>
              <w:t>11,504,675.14</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97"/>
              <w:jc w:val="right"/>
              <w:rPr>
                <w:rFonts w:ascii="Times New Roman" w:hAnsi="Times New Roman" w:cs="Times New Roman" w:eastAsia="Times New Roman" w:hint="default"/>
                <w:sz w:val="18"/>
                <w:szCs w:val="18"/>
              </w:rPr>
            </w:pPr>
            <w:r>
              <w:rPr>
                <w:rFonts w:ascii="Times New Roman"/>
                <w:spacing w:val="-1"/>
                <w:sz w:val="18"/>
              </w:rPr>
              <w:t>380,763,724.69</w:t>
            </w:r>
          </w:p>
        </w:tc>
      </w:tr>
      <w:tr>
        <w:trPr>
          <w:trHeight w:val="385"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8"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459"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3" w:right="119"/>
              <w:jc w:val="right"/>
              <w:rPr>
                <w:rFonts w:ascii="Times New Roman" w:hAnsi="Times New Roman" w:cs="Times New Roman" w:eastAsia="Times New Roman" w:hint="default"/>
                <w:sz w:val="18"/>
                <w:szCs w:val="18"/>
              </w:rPr>
            </w:pPr>
            <w:r>
              <w:rPr>
                <w:rFonts w:ascii="Times New Roman"/>
                <w:spacing w:val="-1"/>
                <w:sz w:val="18"/>
              </w:rPr>
              <w:t>335,685,801.38</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45"/>
              <w:jc w:val="right"/>
              <w:rPr>
                <w:rFonts w:ascii="Times New Roman" w:hAnsi="Times New Roman" w:cs="Times New Roman" w:eastAsia="Times New Roman" w:hint="default"/>
                <w:sz w:val="18"/>
                <w:szCs w:val="18"/>
              </w:rPr>
            </w:pPr>
            <w:r>
              <w:rPr>
                <w:rFonts w:ascii="Times New Roman"/>
                <w:spacing w:val="-1"/>
                <w:sz w:val="18"/>
              </w:rPr>
              <w:t>1,816,569.61</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98"/>
              <w:jc w:val="right"/>
              <w:rPr>
                <w:rFonts w:ascii="Times New Roman" w:hAnsi="Times New Roman" w:cs="Times New Roman" w:eastAsia="Times New Roman" w:hint="default"/>
                <w:sz w:val="18"/>
                <w:szCs w:val="18"/>
              </w:rPr>
            </w:pPr>
            <w:r>
              <w:rPr>
                <w:rFonts w:ascii="Times New Roman"/>
                <w:spacing w:val="-1"/>
                <w:sz w:val="18"/>
              </w:rPr>
              <w:t>333,869,231.77</w:t>
            </w:r>
          </w:p>
        </w:tc>
      </w:tr>
      <w:tr>
        <w:trPr>
          <w:trHeight w:val="384"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8"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02"/>
              <w:jc w:val="right"/>
              <w:rPr>
                <w:rFonts w:ascii="Times New Roman" w:hAnsi="Times New Roman" w:cs="Times New Roman" w:eastAsia="Times New Roman" w:hint="default"/>
                <w:sz w:val="18"/>
                <w:szCs w:val="18"/>
              </w:rPr>
            </w:pPr>
            <w:r>
              <w:rPr>
                <w:rFonts w:ascii="Times New Roman"/>
                <w:spacing w:val="-1"/>
                <w:sz w:val="18"/>
              </w:rPr>
              <w:t>3,173,928.92</w:t>
            </w:r>
          </w:p>
        </w:tc>
        <w:tc>
          <w:tcPr>
            <w:tcW w:w="1281"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20"/>
              <w:jc w:val="right"/>
              <w:rPr>
                <w:rFonts w:ascii="Times New Roman" w:hAnsi="Times New Roman" w:cs="Times New Roman" w:eastAsia="Times New Roman" w:hint="default"/>
                <w:sz w:val="18"/>
                <w:szCs w:val="18"/>
              </w:rPr>
            </w:pPr>
            <w:r>
              <w:rPr>
                <w:rFonts w:ascii="Times New Roman"/>
                <w:spacing w:val="-1"/>
                <w:sz w:val="18"/>
              </w:rPr>
              <w:t>2,395,736.12</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46"/>
              <w:jc w:val="right"/>
              <w:rPr>
                <w:rFonts w:ascii="Times New Roman" w:hAnsi="Times New Roman" w:cs="Times New Roman" w:eastAsia="Times New Roman" w:hint="default"/>
                <w:sz w:val="18"/>
                <w:szCs w:val="18"/>
              </w:rPr>
            </w:pPr>
            <w:r>
              <w:rPr>
                <w:rFonts w:ascii="Times New Roman"/>
                <w:spacing w:val="-1"/>
                <w:sz w:val="18"/>
              </w:rPr>
              <w:t>1,691,468.21</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pacing w:val="-1"/>
                <w:sz w:val="18"/>
              </w:rPr>
              <w:t>3,878,196.83</w:t>
            </w:r>
          </w:p>
        </w:tc>
      </w:tr>
      <w:tr>
        <w:trPr>
          <w:trHeight w:val="385"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8" w:right="0"/>
              <w:jc w:val="left"/>
              <w:rPr>
                <w:rFonts w:ascii="宋体" w:hAnsi="宋体" w:cs="宋体" w:eastAsia="宋体" w:hint="default"/>
                <w:sz w:val="18"/>
                <w:szCs w:val="18"/>
              </w:rPr>
            </w:pPr>
            <w:r>
              <w:rPr>
                <w:rFonts w:ascii="宋体" w:hAnsi="宋体" w:cs="宋体" w:eastAsia="宋体" w:hint="default"/>
                <w:sz w:val="18"/>
                <w:szCs w:val="18"/>
              </w:rPr>
              <w:t>办公及电子设备</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02"/>
              <w:jc w:val="right"/>
              <w:rPr>
                <w:rFonts w:ascii="Times New Roman" w:hAnsi="Times New Roman" w:cs="Times New Roman" w:eastAsia="Times New Roman" w:hint="default"/>
                <w:sz w:val="18"/>
                <w:szCs w:val="18"/>
              </w:rPr>
            </w:pPr>
            <w:r>
              <w:rPr>
                <w:rFonts w:ascii="Times New Roman"/>
                <w:spacing w:val="-1"/>
                <w:sz w:val="18"/>
              </w:rPr>
              <w:t>18,249,524.98</w:t>
            </w:r>
          </w:p>
        </w:tc>
        <w:tc>
          <w:tcPr>
            <w:tcW w:w="1281"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20"/>
              <w:jc w:val="right"/>
              <w:rPr>
                <w:rFonts w:ascii="Times New Roman" w:hAnsi="Times New Roman" w:cs="Times New Roman" w:eastAsia="Times New Roman" w:hint="default"/>
                <w:sz w:val="18"/>
                <w:szCs w:val="18"/>
              </w:rPr>
            </w:pPr>
            <w:r>
              <w:rPr>
                <w:rFonts w:ascii="Times New Roman"/>
                <w:spacing w:val="-1"/>
                <w:sz w:val="18"/>
              </w:rPr>
              <w:t>24,803,093.64</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45"/>
              <w:jc w:val="right"/>
              <w:rPr>
                <w:rFonts w:ascii="Times New Roman" w:hAnsi="Times New Roman" w:cs="Times New Roman" w:eastAsia="Times New Roman" w:hint="default"/>
                <w:sz w:val="18"/>
                <w:szCs w:val="18"/>
              </w:rPr>
            </w:pPr>
            <w:r>
              <w:rPr>
                <w:rFonts w:ascii="Times New Roman"/>
                <w:spacing w:val="-1"/>
                <w:sz w:val="18"/>
              </w:rPr>
              <w:t>7,598,621.58</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pacing w:val="-1"/>
                <w:sz w:val="18"/>
              </w:rPr>
              <w:t>35,453,997.04</w:t>
            </w:r>
          </w:p>
        </w:tc>
      </w:tr>
      <w:tr>
        <w:trPr>
          <w:trHeight w:val="391" w:hRule="exact"/>
        </w:trPr>
        <w:tc>
          <w:tcPr>
            <w:tcW w:w="2387" w:type="dxa"/>
            <w:tcBorders>
              <w:top w:val="nil" w:sz="6" w:space="0" w:color="auto"/>
              <w:left w:val="nil" w:sz="6" w:space="0" w:color="auto"/>
              <w:bottom w:val="single" w:sz="12" w:space="0" w:color="000000"/>
              <w:right w:val="nil" w:sz="6" w:space="0" w:color="auto"/>
            </w:tcBorders>
          </w:tcPr>
          <w:p>
            <w:pPr>
              <w:pStyle w:val="TableParagraph"/>
              <w:spacing w:line="240" w:lineRule="auto" w:before="43"/>
              <w:ind w:left="288" w:right="0"/>
              <w:jc w:val="left"/>
              <w:rPr>
                <w:rFonts w:ascii="宋体" w:hAnsi="宋体" w:cs="宋体" w:eastAsia="宋体" w:hint="default"/>
                <w:sz w:val="18"/>
                <w:szCs w:val="18"/>
              </w:rPr>
            </w:pPr>
            <w:r>
              <w:rPr>
                <w:rFonts w:ascii="宋体" w:hAnsi="宋体" w:cs="宋体" w:eastAsia="宋体" w:hint="default"/>
                <w:sz w:val="18"/>
                <w:szCs w:val="18"/>
              </w:rPr>
              <w:t>固定资产装修</w:t>
            </w:r>
          </w:p>
        </w:tc>
        <w:tc>
          <w:tcPr>
            <w:tcW w:w="1459" w:type="dxa"/>
            <w:tcBorders>
              <w:top w:val="nil" w:sz="6" w:space="0" w:color="auto"/>
              <w:left w:val="nil" w:sz="6" w:space="0" w:color="auto"/>
              <w:bottom w:val="single" w:sz="12" w:space="0" w:color="000000"/>
              <w:right w:val="nil" w:sz="6" w:space="0" w:color="auto"/>
            </w:tcBorders>
          </w:tcPr>
          <w:p>
            <w:pPr/>
          </w:p>
        </w:tc>
        <w:tc>
          <w:tcPr>
            <w:tcW w:w="1281" w:type="dxa"/>
            <w:tcBorders>
              <w:top w:val="nil" w:sz="6" w:space="0" w:color="auto"/>
              <w:left w:val="nil" w:sz="6" w:space="0" w:color="auto"/>
              <w:bottom w:val="single" w:sz="12" w:space="0" w:color="000000"/>
              <w:right w:val="nil" w:sz="6" w:space="0" w:color="auto"/>
            </w:tcBorders>
          </w:tcPr>
          <w:p>
            <w:pPr/>
          </w:p>
        </w:tc>
        <w:tc>
          <w:tcPr>
            <w:tcW w:w="1234"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120"/>
              <w:jc w:val="right"/>
              <w:rPr>
                <w:rFonts w:ascii="Times New Roman" w:hAnsi="Times New Roman" w:cs="Times New Roman" w:eastAsia="Times New Roman" w:hint="default"/>
                <w:sz w:val="18"/>
                <w:szCs w:val="18"/>
              </w:rPr>
            </w:pPr>
            <w:r>
              <w:rPr>
                <w:rFonts w:ascii="Times New Roman"/>
                <w:spacing w:val="-1"/>
                <w:sz w:val="18"/>
              </w:rPr>
              <w:t>7,960,314.79</w:t>
            </w:r>
          </w:p>
        </w:tc>
        <w:tc>
          <w:tcPr>
            <w:tcW w:w="1298"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144"/>
              <w:jc w:val="right"/>
              <w:rPr>
                <w:rFonts w:ascii="Times New Roman" w:hAnsi="Times New Roman" w:cs="Times New Roman" w:eastAsia="Times New Roman" w:hint="default"/>
                <w:sz w:val="18"/>
                <w:szCs w:val="18"/>
              </w:rPr>
            </w:pPr>
            <w:r>
              <w:rPr>
                <w:rFonts w:ascii="Times New Roman"/>
                <w:sz w:val="18"/>
              </w:rPr>
              <w:t>398,015.74</w:t>
            </w:r>
          </w:p>
        </w:tc>
        <w:tc>
          <w:tcPr>
            <w:tcW w:w="1372"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99"/>
              <w:jc w:val="right"/>
              <w:rPr>
                <w:rFonts w:ascii="Times New Roman" w:hAnsi="Times New Roman" w:cs="Times New Roman" w:eastAsia="Times New Roman" w:hint="default"/>
                <w:sz w:val="18"/>
                <w:szCs w:val="18"/>
              </w:rPr>
            </w:pPr>
            <w:r>
              <w:rPr>
                <w:rFonts w:ascii="Times New Roman"/>
                <w:spacing w:val="-1"/>
                <w:sz w:val="18"/>
              </w:rPr>
              <w:t>7,562,299.05</w:t>
            </w:r>
          </w:p>
        </w:tc>
      </w:tr>
    </w:tbl>
    <w:p>
      <w:pPr>
        <w:pStyle w:val="BodyText"/>
        <w:spacing w:line="240" w:lineRule="auto" w:before="93"/>
        <w:ind w:left="957" w:right="0"/>
        <w:jc w:val="left"/>
      </w:pPr>
      <w:r>
        <w:rPr/>
        <w:pict>
          <v:group style="position:absolute;margin-left:83.639999pt;margin-top:-520.925903pt;width:453.8pt;height:519.4500pt;mso-position-horizontal-relative:page;mso-position-vertical-relative:paragraph;z-index:-709000" coordorigin="1673,-10419" coordsize="9076,10389">
            <v:shape style="position:absolute;left:4044;top:-10419;width:5293;height:413" type="#_x0000_t75" stroked="false">
              <v:imagedata r:id="rId145" o:title=""/>
            </v:shape>
            <v:shape style="position:absolute;left:1673;top:-10038;width:9076;height:10008" type="#_x0000_t75" stroked="false">
              <v:imagedata r:id="rId146" o:title=""/>
            </v:shape>
            <w10:wrap type="none"/>
          </v:group>
        </w:pict>
      </w:r>
      <w:r>
        <w:rPr/>
        <w:t>本期折旧额</w:t>
      </w:r>
      <w:r>
        <w:rPr>
          <w:spacing w:val="-56"/>
        </w:rPr>
        <w:t> </w:t>
      </w:r>
      <w:r>
        <w:rPr>
          <w:rFonts w:ascii="Times New Roman" w:hAnsi="Times New Roman" w:cs="Times New Roman" w:eastAsia="Times New Roman" w:hint="default"/>
        </w:rPr>
        <w:t>9,840,148.81</w:t>
      </w:r>
      <w:r>
        <w:rPr>
          <w:rFonts w:ascii="Times New Roman" w:hAnsi="Times New Roman" w:cs="Times New Roman" w:eastAsia="Times New Roman" w:hint="default"/>
          <w:spacing w:val="-4"/>
        </w:rPr>
        <w:t> </w:t>
      </w:r>
      <w:r>
        <w:rPr/>
        <w:t>元。</w:t>
      </w:r>
    </w:p>
    <w:p>
      <w:pPr>
        <w:pStyle w:val="BodyText"/>
        <w:spacing w:line="240" w:lineRule="auto" w:before="109"/>
        <w:ind w:left="957" w:right="0"/>
        <w:jc w:val="left"/>
      </w:pPr>
      <w:r>
        <w:rPr/>
        <w:t>本期由在建工程转入固定资产原价为</w:t>
      </w:r>
      <w:r>
        <w:rPr>
          <w:spacing w:val="-60"/>
        </w:rPr>
        <w:t> </w:t>
      </w:r>
      <w:r>
        <w:rPr>
          <w:rFonts w:ascii="Times New Roman" w:hAnsi="Times New Roman" w:cs="Times New Roman" w:eastAsia="Times New Roman" w:hint="default"/>
        </w:rPr>
        <w:t>343,646,116.17</w:t>
      </w:r>
      <w:r>
        <w:rPr>
          <w:rFonts w:ascii="Times New Roman" w:hAnsi="Times New Roman" w:cs="Times New Roman" w:eastAsia="Times New Roman" w:hint="default"/>
          <w:spacing w:val="-7"/>
        </w:rPr>
        <w:t> </w:t>
      </w:r>
      <w:r>
        <w:rPr/>
        <w:t>元。</w:t>
      </w:r>
    </w:p>
    <w:p>
      <w:pPr>
        <w:pStyle w:val="BodyText"/>
        <w:spacing w:line="328" w:lineRule="auto" w:before="110"/>
        <w:ind w:left="945" w:right="0"/>
        <w:jc w:val="left"/>
      </w:pPr>
      <w:r>
        <w:rPr>
          <w:rFonts w:ascii="Times New Roman" w:hAnsi="Times New Roman" w:cs="Times New Roman" w:eastAsia="Times New Roman" w:hint="default"/>
        </w:rPr>
        <w:t>*</w:t>
      </w:r>
      <w:r>
        <w:rPr/>
        <w:t>：累计折旧本期增加数系收购北京友联创新系统集成有限公司而增加的固定资产在合并</w:t>
      </w:r>
      <w:r>
        <w:rPr>
          <w:spacing w:val="-91"/>
        </w:rPr>
        <w:t> </w:t>
      </w:r>
      <w:r>
        <w:rPr>
          <w:spacing w:val="-91"/>
        </w:rPr>
      </w:r>
      <w:r>
        <w:rPr/>
        <w:t>日之前已计提的折旧数。</w:t>
      </w:r>
    </w:p>
    <w:p>
      <w:pPr>
        <w:spacing w:after="0" w:line="328" w:lineRule="auto"/>
        <w:jc w:val="left"/>
        <w:sectPr>
          <w:footerReference w:type="default" r:id="rId144"/>
          <w:pgSz w:w="11910" w:h="16840"/>
          <w:pgMar w:footer="982" w:header="0" w:top="1300" w:bottom="1180" w:left="1560" w:right="1040"/>
          <w:pgNumType w:start="122"/>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4"/>
          <w:szCs w:val="24"/>
        </w:rPr>
      </w:pPr>
    </w:p>
    <w:p>
      <w:pPr>
        <w:pStyle w:val="Heading2"/>
        <w:tabs>
          <w:tab w:pos="1396" w:val="left" w:leader="none"/>
        </w:tabs>
        <w:spacing w:line="240" w:lineRule="auto" w:before="35"/>
        <w:ind w:left="857" w:right="1277"/>
        <w:jc w:val="left"/>
        <w:rPr>
          <w:b w:val="0"/>
          <w:bCs w:val="0"/>
        </w:rPr>
      </w:pPr>
      <w:r>
        <w:rPr>
          <w:rFonts w:ascii="Times New Roman" w:hAnsi="Times New Roman" w:cs="Times New Roman" w:eastAsia="Times New Roman" w:hint="default"/>
          <w:w w:val="95"/>
        </w:rPr>
        <w:t>2</w:t>
      </w:r>
      <w:r>
        <w:rPr>
          <w:w w:val="95"/>
        </w:rPr>
        <w:t>、</w:t>
        <w:tab/>
      </w:r>
      <w:r>
        <w:rPr/>
        <w:t>期末本公司无暂时闲置的固定资产。</w:t>
      </w:r>
      <w:r>
        <w:rPr>
          <w:b w:val="0"/>
          <w:bCs w:val="0"/>
        </w:rPr>
      </w:r>
    </w:p>
    <w:p>
      <w:pPr>
        <w:spacing w:line="240" w:lineRule="auto" w:before="0"/>
        <w:rPr>
          <w:rFonts w:ascii="宋体" w:hAnsi="宋体" w:cs="宋体" w:eastAsia="宋体" w:hint="default"/>
          <w:b/>
          <w:bCs/>
          <w:sz w:val="22"/>
          <w:szCs w:val="22"/>
        </w:rPr>
      </w:pPr>
    </w:p>
    <w:p>
      <w:pPr>
        <w:spacing w:line="240" w:lineRule="auto" w:before="13"/>
        <w:rPr>
          <w:rFonts w:ascii="宋体" w:hAnsi="宋体" w:cs="宋体" w:eastAsia="宋体" w:hint="default"/>
          <w:b/>
          <w:bCs/>
          <w:sz w:val="16"/>
          <w:szCs w:val="16"/>
        </w:rPr>
      </w:pPr>
    </w:p>
    <w:p>
      <w:pPr>
        <w:tabs>
          <w:tab w:pos="1396" w:val="left" w:leader="none"/>
        </w:tabs>
        <w:spacing w:before="0"/>
        <w:ind w:left="857" w:right="1277"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期末未办妥产权证书的固定资产</w:t>
      </w:r>
      <w:r>
        <w:rPr>
          <w:rFonts w:ascii="宋体" w:hAnsi="宋体" w:cs="宋体" w:eastAsia="宋体" w:hint="default"/>
          <w:sz w:val="21"/>
          <w:szCs w:val="21"/>
        </w:rPr>
      </w:r>
    </w:p>
    <w:p>
      <w:pPr>
        <w:pStyle w:val="BodyText"/>
        <w:spacing w:line="240" w:lineRule="auto" w:before="79"/>
        <w:ind w:left="1446" w:right="0"/>
        <w:jc w:val="left"/>
      </w:pPr>
      <w:r>
        <w:rPr>
          <w:rFonts w:ascii="Times New Roman" w:hAnsi="Times New Roman" w:cs="Times New Roman" w:eastAsia="Times New Roman" w:hint="default"/>
        </w:rPr>
        <w:t>2009</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rPr>
        <w:t>7</w:t>
      </w:r>
      <w:r>
        <w:rPr>
          <w:rFonts w:ascii="Times New Roman" w:hAnsi="Times New Roman" w:cs="Times New Roman" w:eastAsia="Times New Roman" w:hint="default"/>
          <w:spacing w:val="-3"/>
        </w:rPr>
        <w:t> </w:t>
      </w:r>
      <w:r>
        <w:rPr/>
        <w:t>月</w:t>
      </w:r>
      <w:r>
        <w:rPr>
          <w:spacing w:val="-55"/>
        </w:rPr>
        <w:t> </w:t>
      </w:r>
      <w:r>
        <w:rPr>
          <w:rFonts w:ascii="Times New Roman" w:hAnsi="Times New Roman" w:cs="Times New Roman" w:eastAsia="Times New Roman" w:hint="default"/>
        </w:rPr>
        <w:t>16</w:t>
      </w:r>
      <w:r>
        <w:rPr>
          <w:rFonts w:ascii="Times New Roman" w:hAnsi="Times New Roman" w:cs="Times New Roman" w:eastAsia="Times New Roman" w:hint="default"/>
          <w:spacing w:val="-2"/>
        </w:rPr>
        <w:t> </w:t>
      </w:r>
      <w:r>
        <w:rPr/>
        <w:t>日，公司与北京北辰实业股份有限公司签定了房产买卖协议，购买</w:t>
      </w:r>
    </w:p>
    <w:p>
      <w:pPr>
        <w:pStyle w:val="BodyText"/>
        <w:spacing w:line="240" w:lineRule="auto" w:before="80"/>
        <w:ind w:left="1131" w:right="0"/>
        <w:jc w:val="left"/>
      </w:pPr>
      <w:r>
        <w:rPr/>
        <w:t>北辰泰岳大厦的部分房产，建筑面积共</w:t>
      </w:r>
      <w:r>
        <w:rPr>
          <w:spacing w:val="-43"/>
        </w:rPr>
        <w:t> </w:t>
      </w:r>
      <w:r>
        <w:rPr>
          <w:rFonts w:ascii="Times New Roman" w:hAnsi="Times New Roman" w:cs="Times New Roman" w:eastAsia="Times New Roman" w:hint="default"/>
        </w:rPr>
        <w:t>35,427.01</w:t>
      </w:r>
      <w:r>
        <w:rPr>
          <w:rFonts w:ascii="Times New Roman" w:hAnsi="Times New Roman" w:cs="Times New Roman" w:eastAsia="Times New Roman" w:hint="default"/>
          <w:spacing w:val="10"/>
        </w:rPr>
        <w:t> </w:t>
      </w:r>
      <w:r>
        <w:rPr/>
        <w:t>平方米。其中</w:t>
      </w:r>
      <w:r>
        <w:rPr>
          <w:spacing w:val="-43"/>
        </w:rPr>
        <w:t> </w:t>
      </w:r>
      <w:r>
        <w:rPr>
          <w:rFonts w:ascii="Times New Roman" w:hAnsi="Times New Roman" w:cs="Times New Roman" w:eastAsia="Times New Roman" w:hint="default"/>
        </w:rPr>
        <w:t>26,514.72</w:t>
      </w:r>
      <w:r>
        <w:rPr>
          <w:rFonts w:ascii="Times New Roman" w:hAnsi="Times New Roman" w:cs="Times New Roman" w:eastAsia="Times New Roman" w:hint="default"/>
          <w:spacing w:val="9"/>
        </w:rPr>
        <w:t> </w:t>
      </w:r>
      <w:r>
        <w:rPr/>
        <w:t>平方米本年</w:t>
      </w:r>
    </w:p>
    <w:p>
      <w:pPr>
        <w:pStyle w:val="BodyText"/>
        <w:spacing w:line="240" w:lineRule="auto" w:before="79"/>
        <w:ind w:left="1131" w:right="0"/>
        <w:jc w:val="left"/>
      </w:pPr>
      <w:r>
        <w:rPr/>
        <w:t>已完成装修转入固定资产，金额为</w:t>
      </w:r>
      <w:r>
        <w:rPr>
          <w:spacing w:val="-57"/>
        </w:rPr>
        <w:t> </w:t>
      </w:r>
      <w:r>
        <w:rPr>
          <w:rFonts w:ascii="Times New Roman" w:hAnsi="Times New Roman" w:cs="Times New Roman" w:eastAsia="Times New Roman" w:hint="default"/>
        </w:rPr>
        <w:t>335,685,801.38</w:t>
      </w:r>
      <w:r>
        <w:rPr>
          <w:rFonts w:ascii="Times New Roman" w:hAnsi="Times New Roman" w:cs="Times New Roman" w:eastAsia="Times New Roman" w:hint="default"/>
          <w:spacing w:val="-4"/>
        </w:rPr>
        <w:t> </w:t>
      </w:r>
      <w:r>
        <w:rPr/>
        <w:t>元，产权证书尚在办理过程中。</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Heading2"/>
        <w:tabs>
          <w:tab w:pos="853" w:val="left" w:leader="none"/>
        </w:tabs>
        <w:spacing w:line="240" w:lineRule="auto"/>
        <w:ind w:right="1277"/>
        <w:jc w:val="left"/>
        <w:rPr>
          <w:b w:val="0"/>
          <w:bCs w:val="0"/>
        </w:rPr>
      </w:pPr>
      <w:r>
        <w:rPr>
          <w:rFonts w:ascii="Times New Roman" w:hAnsi="Times New Roman" w:cs="Times New Roman" w:eastAsia="Times New Roman" w:hint="default"/>
          <w:w w:val="95"/>
        </w:rPr>
        <w:t>(</w:t>
      </w:r>
      <w:r>
        <w:rPr>
          <w:w w:val="95"/>
        </w:rPr>
        <w:t>十</w:t>
      </w:r>
      <w:r>
        <w:rPr>
          <w:rFonts w:ascii="Times New Roman" w:hAnsi="Times New Roman" w:cs="Times New Roman" w:eastAsia="Times New Roman" w:hint="default"/>
          <w:w w:val="95"/>
        </w:rPr>
        <w:t>)</w:t>
        <w:tab/>
      </w:r>
      <w:r>
        <w:rPr>
          <w:spacing w:val="1"/>
        </w:rPr>
        <w:t>在建工程</w:t>
      </w:r>
      <w:r>
        <w:rPr>
          <w:b w:val="0"/>
          <w:bCs w:val="0"/>
        </w:rPr>
      </w:r>
    </w:p>
    <w:p>
      <w:pPr>
        <w:spacing w:before="109"/>
        <w:ind w:left="857" w:right="1277"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p>
      <w:pPr>
        <w:spacing w:line="2336" w:lineRule="exact"/>
        <w:ind w:left="1262" w:right="0" w:firstLine="0"/>
        <w:rPr>
          <w:rFonts w:ascii="宋体" w:hAnsi="宋体" w:cs="宋体" w:eastAsia="宋体" w:hint="default"/>
          <w:sz w:val="20"/>
          <w:szCs w:val="20"/>
        </w:rPr>
      </w:pPr>
      <w:r>
        <w:rPr>
          <w:rFonts w:ascii="宋体" w:hAnsi="宋体" w:cs="宋体" w:eastAsia="宋体" w:hint="default"/>
          <w:position w:val="-46"/>
          <w:sz w:val="20"/>
          <w:szCs w:val="20"/>
        </w:rPr>
        <w:pict>
          <v:group style="width:394.7pt;height:116.85pt;mso-position-horizontal-relative:char;mso-position-vertical-relative:line" coordorigin="0,0" coordsize="7894,2337">
            <v:group style="position:absolute;left:37;top:15;width:7835;height:2" coordorigin="37,15" coordsize="7835,2">
              <v:shape style="position:absolute;left:37;top:15;width:7835;height:2" coordorigin="37,15" coordsize="7835,0" path="m37,15l7871,15e" filled="false" stroked="true" strokeweight="1.5pt" strokecolor="#000000">
                <v:path arrowok="t"/>
              </v:shape>
              <v:shape style="position:absolute;left:981;top:11;width:3606;height:413" type="#_x0000_t75" stroked="false">
                <v:imagedata r:id="rId147" o:title=""/>
              </v:shape>
              <v:shape style="position:absolute;left:981;top:385;width:6910;height:797" type="#_x0000_t75" stroked="false">
                <v:imagedata r:id="rId148" o:title=""/>
              </v:shape>
            </v:group>
            <v:group style="position:absolute;left:15;top:2321;width:986;height:2" coordorigin="15,2321" coordsize="986,2">
              <v:shape style="position:absolute;left:15;top:2321;width:986;height:2" coordorigin="15,2321" coordsize="986,0" path="m15,2321l1000,2321e" filled="false" stroked="true" strokeweight="1.5pt" strokecolor="#000000">
                <v:path arrowok="t"/>
              </v:shape>
            </v:group>
            <v:group style="position:absolute;left:1000;top:2321;width:1422;height:2" coordorigin="1000,2321" coordsize="1422,2">
              <v:shape style="position:absolute;left:1000;top:2321;width:1422;height:2" coordorigin="1000,2321" coordsize="1422,0" path="m1000,2321l2422,2321e" filled="false" stroked="true" strokeweight="1.5pt" strokecolor="#000000">
                <v:path arrowok="t"/>
              </v:shape>
            </v:group>
            <v:group style="position:absolute;left:2422;top:2321;width:704;height:2" coordorigin="2422,2321" coordsize="704,2">
              <v:shape style="position:absolute;left:2422;top:2321;width:704;height:2" coordorigin="2422,2321" coordsize="704,0" path="m2422,2321l3125,2321e" filled="false" stroked="true" strokeweight="1.5pt" strokecolor="#000000">
                <v:path arrowok="t"/>
              </v:shape>
            </v:group>
            <v:group style="position:absolute;left:3125;top:2321;width:1433;height:2" coordorigin="3125,2321" coordsize="1433,2">
              <v:shape style="position:absolute;left:3125;top:2321;width:1433;height:2" coordorigin="3125,2321" coordsize="1433,0" path="m3125,2321l4558,2321e" filled="false" stroked="true" strokeweight="1.5pt" strokecolor="#000000">
                <v:path arrowok="t"/>
              </v:shape>
            </v:group>
            <v:group style="position:absolute;left:4558;top:2321;width:1277;height:2" coordorigin="4558,2321" coordsize="1277,2">
              <v:shape style="position:absolute;left:4558;top:2321;width:1277;height:2" coordorigin="4558,2321" coordsize="1277,0" path="m4558,2321l5835,2321e" filled="false" stroked="true" strokeweight="1.5pt" strokecolor="#000000">
                <v:path arrowok="t"/>
              </v:shape>
            </v:group>
            <v:group style="position:absolute;left:5835;top:2321;width:693;height:2" coordorigin="5835,2321" coordsize="693,2">
              <v:shape style="position:absolute;left:5835;top:2321;width:693;height:2" coordorigin="5835,2321" coordsize="693,0" path="m5835,2321l6527,2321e" filled="false" stroked="true" strokeweight="1.5pt" strokecolor="#000000">
                <v:path arrowok="t"/>
              </v:shape>
              <v:shape style="position:absolute;left:10;top:1144;width:7880;height:1163" type="#_x0000_t75" stroked="false">
                <v:imagedata r:id="rId149" o:title=""/>
              </v:shape>
            </v:group>
            <v:group style="position:absolute;left:6527;top:2321;width:1352;height:2" coordorigin="6527,2321" coordsize="1352,2">
              <v:shape style="position:absolute;left:6527;top:2321;width:1352;height:2" coordorigin="6527,2321" coordsize="1352,0" path="m6527,2321l7879,2321e" filled="false" stroked="true" strokeweight="1.5pt" strokecolor="#000000">
                <v:path arrowok="t"/>
              </v:shape>
              <v:shape style="position:absolute;left:2425;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5860;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247;top:49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2599;top:51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减值</w:t>
                      </w:r>
                    </w:p>
                  </w:txbxContent>
                </v:textbox>
                <w10:wrap type="none"/>
              </v:shape>
              <v:shape style="position:absolute;left:6007;top:51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减值</w:t>
                      </w:r>
                    </w:p>
                  </w:txbxContent>
                </v:textbox>
                <w10:wrap type="none"/>
              </v:shape>
              <v:shape style="position:absolute;left:1355;top:698;width:6210;height:368" type="#_x0000_t202" filled="false" stroked="false">
                <v:textbox inset="0,0,0,0">
                  <w:txbxContent>
                    <w:p>
                      <w:pPr>
                        <w:tabs>
                          <w:tab w:pos="2131" w:val="left" w:leader="none"/>
                          <w:tab w:pos="3484" w:val="left" w:leader="none"/>
                          <w:tab w:pos="5489" w:val="left" w:leader="none"/>
                        </w:tabs>
                        <w:spacing w:line="156" w:lineRule="exact" w:before="0"/>
                        <w:ind w:left="-1" w:right="0" w:firstLine="0"/>
                        <w:jc w:val="center"/>
                        <w:rPr>
                          <w:rFonts w:ascii="宋体" w:hAnsi="宋体" w:cs="宋体" w:eastAsia="宋体" w:hint="default"/>
                          <w:sz w:val="18"/>
                          <w:szCs w:val="18"/>
                        </w:rPr>
                      </w:pPr>
                      <w:r>
                        <w:rPr>
                          <w:rFonts w:ascii="宋体" w:hAnsi="宋体" w:cs="宋体" w:eastAsia="宋体" w:hint="default"/>
                          <w:sz w:val="18"/>
                          <w:szCs w:val="18"/>
                        </w:rPr>
                        <w:t>账面余额</w:t>
                        <w:tab/>
                        <w:t>账面价值</w:t>
                        <w:tab/>
                        <w:t>账面余额</w:t>
                        <w:tab/>
                        <w:t>账面价值</w:t>
                      </w:r>
                    </w:p>
                    <w:p>
                      <w:pPr>
                        <w:tabs>
                          <w:tab w:pos="3452" w:val="left" w:leader="none"/>
                        </w:tabs>
                        <w:spacing w:line="211" w:lineRule="exact" w:before="0"/>
                        <w:ind w:left="44" w:right="0" w:firstLine="0"/>
                        <w:jc w:val="center"/>
                        <w:rPr>
                          <w:rFonts w:ascii="宋体" w:hAnsi="宋体" w:cs="宋体" w:eastAsia="宋体" w:hint="default"/>
                          <w:sz w:val="18"/>
                          <w:szCs w:val="18"/>
                        </w:rPr>
                      </w:pPr>
                      <w:r>
                        <w:rPr>
                          <w:rFonts w:ascii="宋体" w:hAnsi="宋体" w:cs="宋体" w:eastAsia="宋体" w:hint="default"/>
                          <w:sz w:val="18"/>
                          <w:szCs w:val="18"/>
                        </w:rPr>
                        <w:t>准备</w:t>
                        <w:tab/>
                        <w:t>准备</w:t>
                      </w:r>
                    </w:p>
                  </w:txbxContent>
                </v:textbox>
                <w10:wrap type="none"/>
              </v:shape>
              <v:shape style="position:absolute;left:137;top:1270;width:77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3"/>
                          <w:sz w:val="18"/>
                          <w:szCs w:val="18"/>
                        </w:rPr>
                        <w:t>办公及研</w:t>
                      </w:r>
                      <w:r>
                        <w:rPr>
                          <w:rFonts w:ascii="宋体" w:hAnsi="宋体" w:cs="宋体" w:eastAsia="宋体" w:hint="default"/>
                          <w:sz w:val="18"/>
                          <w:szCs w:val="18"/>
                        </w:rPr>
                      </w:r>
                    </w:p>
                  </w:txbxContent>
                </v:textbox>
                <w10:wrap type="none"/>
              </v:shape>
              <v:shape style="position:absolute;left:1195;top:1464;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106,947,480.00</w:t>
                      </w:r>
                    </w:p>
                  </w:txbxContent>
                </v:textbox>
                <w10:wrap type="none"/>
              </v:shape>
              <v:shape style="position:absolute;left:3331;top:1464;width:2400;height:180" type="#_x0000_t202" filled="false" stroked="false">
                <v:textbox inset="0,0,0,0">
                  <w:txbxContent>
                    <w:p>
                      <w:pPr>
                        <w:tabs>
                          <w:tab w:pos="1363"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106,947,480.00</w:t>
                        <w:tab/>
                        <w:t>65,491,080.00</w:t>
                      </w:r>
                    </w:p>
                  </w:txbxContent>
                </v:textbox>
                <w10:wrap type="none"/>
              </v:shape>
              <v:shape style="position:absolute;left:6735;top:1464;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65,491,080.00</w:t>
                      </w:r>
                    </w:p>
                  </w:txbxContent>
                </v:textbox>
                <w10:wrap type="none"/>
              </v:shape>
              <v:shape style="position:absolute;left:137;top:1644;width:7634;height:573"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发用房</w:t>
                      </w:r>
                    </w:p>
                    <w:p>
                      <w:pPr>
                        <w:tabs>
                          <w:tab w:pos="1057" w:val="left" w:leader="none"/>
                          <w:tab w:pos="3193" w:val="left" w:leader="none"/>
                          <w:tab w:pos="4557" w:val="left" w:leader="none"/>
                          <w:tab w:pos="6597" w:val="left" w:leader="none"/>
                        </w:tabs>
                        <w:spacing w:line="243" w:lineRule="exact" w:before="149"/>
                        <w:ind w:left="109"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合  计</w:t>
                        <w:tab/>
                      </w:r>
                      <w:r>
                        <w:rPr>
                          <w:rFonts w:ascii="Times New Roman" w:hAnsi="Times New Roman" w:cs="Times New Roman" w:eastAsia="Times New Roman" w:hint="default"/>
                          <w:spacing w:val="-1"/>
                          <w:sz w:val="18"/>
                          <w:szCs w:val="18"/>
                        </w:rPr>
                        <w:t>106,947,480.00</w:t>
                        <w:tab/>
                        <w:t>106,947,480.00</w:t>
                        <w:tab/>
                        <w:t>65,491,080.00</w:t>
                        <w:tab/>
                        <w:t>65,491,080.00</w:t>
                      </w:r>
                    </w:p>
                  </w:txbxContent>
                </v:textbox>
                <w10:wrap type="none"/>
              </v:shape>
            </v:group>
          </v:group>
        </w:pict>
      </w:r>
      <w:r>
        <w:rPr>
          <w:rFonts w:ascii="宋体" w:hAnsi="宋体" w:cs="宋体" w:eastAsia="宋体" w:hint="default"/>
          <w:position w:val="-46"/>
          <w:sz w:val="20"/>
          <w:szCs w:val="20"/>
        </w:rPr>
      </w:r>
    </w:p>
    <w:p>
      <w:pPr>
        <w:spacing w:after="0" w:line="2336" w:lineRule="exact"/>
        <w:rPr>
          <w:rFonts w:ascii="宋体" w:hAnsi="宋体" w:cs="宋体" w:eastAsia="宋体" w:hint="default"/>
          <w:sz w:val="20"/>
          <w:szCs w:val="20"/>
        </w:rPr>
        <w:sectPr>
          <w:pgSz w:w="11910" w:h="16840"/>
          <w:pgMar w:header="0" w:footer="982" w:top="1300" w:bottom="1180" w:left="1660" w:right="980"/>
        </w:sectPr>
      </w:pPr>
    </w:p>
    <w:p>
      <w:pPr>
        <w:spacing w:line="240" w:lineRule="auto" w:before="7"/>
        <w:rPr>
          <w:rFonts w:ascii="宋体" w:hAnsi="宋体" w:cs="宋体" w:eastAsia="宋体" w:hint="default"/>
          <w:b/>
          <w:bCs/>
          <w:sz w:val="19"/>
          <w:szCs w:val="19"/>
        </w:rPr>
      </w:pPr>
    </w:p>
    <w:p>
      <w:pPr>
        <w:spacing w:before="44"/>
        <w:ind w:left="7555" w:right="0" w:firstLine="0"/>
        <w:jc w:val="left"/>
        <w:rPr>
          <w:rFonts w:ascii="宋体" w:hAnsi="宋体" w:cs="宋体" w:eastAsia="宋体" w:hint="default"/>
          <w:sz w:val="18"/>
          <w:szCs w:val="18"/>
        </w:rPr>
      </w:pPr>
      <w:r>
        <w:rPr/>
        <w:pict>
          <v:shape style="position:absolute;margin-left:214.610992pt;margin-top:-8.468244pt;width:98.130005pt;height:21.119995pt;mso-position-horizontal-relative:page;mso-position-vertical-relative:paragraph;z-index:5080" type="#_x0000_t75" stroked="false">
            <v:imagedata r:id="rId139" o:title=""/>
          </v:shape>
        </w:pict>
      </w:r>
      <w:r>
        <w:rPr>
          <w:rFonts w:ascii="宋体" w:hAnsi="宋体" w:cs="宋体" w:eastAsia="宋体" w:hint="default"/>
          <w:sz w:val="18"/>
          <w:szCs w:val="18"/>
        </w:rPr>
        <w:t>北京神州泰岳软件股份有限公司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年度报告</w:t>
      </w:r>
    </w:p>
    <w:p>
      <w:pPr>
        <w:spacing w:line="240" w:lineRule="auto" w:before="7"/>
        <w:rPr>
          <w:rFonts w:ascii="宋体" w:hAnsi="宋体" w:cs="宋体" w:eastAsia="宋体" w:hint="default"/>
          <w:sz w:val="2"/>
          <w:szCs w:val="2"/>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701.65pt;height:.75pt;mso-position-horizontal-relative:char;mso-position-vertical-relative:line" coordorigin="0,0" coordsize="14033,15">
            <v:group style="position:absolute;left:7;top:7;width:14019;height:2" coordorigin="7,7" coordsize="14019,2">
              <v:shape style="position:absolute;left:7;top:7;width:14019;height:2" coordorigin="7,7" coordsize="14019,0" path="m7,7l14026,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p>
      <w:pPr>
        <w:pStyle w:val="Heading2"/>
        <w:tabs>
          <w:tab w:pos="1396" w:val="left" w:leader="none"/>
        </w:tabs>
        <w:spacing w:line="240" w:lineRule="auto" w:before="35"/>
        <w:ind w:left="857" w:right="0"/>
        <w:jc w:val="left"/>
        <w:rPr>
          <w:b w:val="0"/>
          <w:bCs w:val="0"/>
        </w:rPr>
      </w:pPr>
      <w:r>
        <w:rPr/>
        <w:pict>
          <v:group style="position:absolute;margin-left:101.830994pt;margin-top:42.630676pt;width:676pt;height:189.7pt;mso-position-horizontal-relative:page;mso-position-vertical-relative:paragraph;z-index:-708640" coordorigin="2037,853" coordsize="13520,3794">
            <v:shape style="position:absolute;left:3147;top:853;width:11148;height:1162" type="#_x0000_t75" stroked="false">
              <v:imagedata r:id="rId152" o:title=""/>
            </v:shape>
            <v:shape style="position:absolute;left:2037;top:1982;width:13520;height:2664" type="#_x0000_t75" stroked="false">
              <v:imagedata r:id="rId153" o:title=""/>
            </v:shape>
            <w10:wrap type="none"/>
          </v:group>
        </w:pict>
      </w:r>
      <w:r>
        <w:rPr>
          <w:rFonts w:ascii="Times New Roman" w:hAnsi="Times New Roman" w:cs="Times New Roman" w:eastAsia="Times New Roman" w:hint="default"/>
          <w:w w:val="95"/>
        </w:rPr>
        <w:t>2</w:t>
      </w:r>
      <w:r>
        <w:rPr>
          <w:w w:val="95"/>
        </w:rPr>
        <w:t>、</w:t>
        <w:tab/>
      </w:r>
      <w:r>
        <w:rPr/>
        <w:t>重大在建工程项目变动情况</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749" w:type="dxa"/>
        <w:tblLayout w:type="fixed"/>
        <w:tblCellMar>
          <w:top w:w="0" w:type="dxa"/>
          <w:left w:w="0" w:type="dxa"/>
          <w:bottom w:w="0" w:type="dxa"/>
          <w:right w:w="0" w:type="dxa"/>
        </w:tblCellMar>
        <w:tblLook w:val="01E0"/>
      </w:tblPr>
      <w:tblGrid>
        <w:gridCol w:w="1170"/>
        <w:gridCol w:w="1233"/>
        <w:gridCol w:w="1168"/>
        <w:gridCol w:w="1255"/>
        <w:gridCol w:w="1249"/>
        <w:gridCol w:w="577"/>
        <w:gridCol w:w="949"/>
        <w:gridCol w:w="1035"/>
        <w:gridCol w:w="737"/>
        <w:gridCol w:w="865"/>
        <w:gridCol w:w="1024"/>
        <w:gridCol w:w="1027"/>
        <w:gridCol w:w="1202"/>
      </w:tblGrid>
      <w:tr>
        <w:trPr>
          <w:trHeight w:val="1146" w:hRule="exact"/>
        </w:trPr>
        <w:tc>
          <w:tcPr>
            <w:tcW w:w="1170"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right="47"/>
              <w:jc w:val="center"/>
              <w:rPr>
                <w:rFonts w:ascii="宋体" w:hAnsi="宋体" w:cs="宋体" w:eastAsia="宋体" w:hint="default"/>
                <w:sz w:val="15"/>
                <w:szCs w:val="15"/>
              </w:rPr>
            </w:pPr>
            <w:r>
              <w:rPr>
                <w:rFonts w:ascii="宋体" w:hAnsi="宋体" w:cs="宋体" w:eastAsia="宋体" w:hint="default"/>
                <w:sz w:val="15"/>
                <w:szCs w:val="15"/>
              </w:rPr>
              <w:t>工程项目名称</w:t>
            </w:r>
          </w:p>
        </w:tc>
        <w:tc>
          <w:tcPr>
            <w:tcW w:w="1233"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353" w:right="0"/>
              <w:jc w:val="left"/>
              <w:rPr>
                <w:rFonts w:ascii="宋体" w:hAnsi="宋体" w:cs="宋体" w:eastAsia="宋体" w:hint="default"/>
                <w:sz w:val="15"/>
                <w:szCs w:val="15"/>
              </w:rPr>
            </w:pPr>
            <w:r>
              <w:rPr>
                <w:rFonts w:ascii="宋体" w:hAnsi="宋体" w:cs="宋体" w:eastAsia="宋体" w:hint="default"/>
                <w:sz w:val="15"/>
                <w:szCs w:val="15"/>
              </w:rPr>
              <w:t>预算数</w:t>
            </w:r>
          </w:p>
        </w:tc>
        <w:tc>
          <w:tcPr>
            <w:tcW w:w="1168"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right="86"/>
              <w:jc w:val="center"/>
              <w:rPr>
                <w:rFonts w:ascii="宋体" w:hAnsi="宋体" w:cs="宋体" w:eastAsia="宋体" w:hint="default"/>
                <w:sz w:val="15"/>
                <w:szCs w:val="15"/>
              </w:rPr>
            </w:pPr>
            <w:r>
              <w:rPr>
                <w:rFonts w:ascii="宋体" w:hAnsi="宋体" w:cs="宋体" w:eastAsia="宋体" w:hint="default"/>
                <w:sz w:val="15"/>
                <w:szCs w:val="15"/>
              </w:rPr>
              <w:t>年初余额</w:t>
            </w:r>
          </w:p>
        </w:tc>
        <w:tc>
          <w:tcPr>
            <w:tcW w:w="1255"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276" w:right="0"/>
              <w:jc w:val="left"/>
              <w:rPr>
                <w:rFonts w:ascii="宋体" w:hAnsi="宋体" w:cs="宋体" w:eastAsia="宋体" w:hint="default"/>
                <w:sz w:val="15"/>
                <w:szCs w:val="15"/>
              </w:rPr>
            </w:pPr>
            <w:r>
              <w:rPr>
                <w:rFonts w:ascii="宋体" w:hAnsi="宋体" w:cs="宋体" w:eastAsia="宋体" w:hint="default"/>
                <w:sz w:val="15"/>
                <w:szCs w:val="15"/>
              </w:rPr>
              <w:t>本期增加</w:t>
            </w:r>
          </w:p>
        </w:tc>
        <w:tc>
          <w:tcPr>
            <w:tcW w:w="1249"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148" w:right="0"/>
              <w:jc w:val="left"/>
              <w:rPr>
                <w:rFonts w:ascii="宋体" w:hAnsi="宋体" w:cs="宋体" w:eastAsia="宋体" w:hint="default"/>
                <w:sz w:val="15"/>
                <w:szCs w:val="15"/>
              </w:rPr>
            </w:pPr>
            <w:r>
              <w:rPr>
                <w:rFonts w:ascii="宋体" w:hAnsi="宋体" w:cs="宋体" w:eastAsia="宋体" w:hint="default"/>
                <w:sz w:val="15"/>
                <w:szCs w:val="15"/>
              </w:rPr>
              <w:t>转入固定资产</w:t>
            </w:r>
          </w:p>
        </w:tc>
        <w:tc>
          <w:tcPr>
            <w:tcW w:w="577" w:type="dxa"/>
            <w:tcBorders>
              <w:top w:val="single" w:sz="12"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458" w:lineRule="auto"/>
              <w:ind w:left="120" w:right="155"/>
              <w:jc w:val="left"/>
              <w:rPr>
                <w:rFonts w:ascii="宋体" w:hAnsi="宋体" w:cs="宋体" w:eastAsia="宋体" w:hint="default"/>
                <w:sz w:val="15"/>
                <w:szCs w:val="15"/>
              </w:rPr>
            </w:pPr>
            <w:r>
              <w:rPr>
                <w:rFonts w:ascii="宋体" w:hAnsi="宋体" w:cs="宋体" w:eastAsia="宋体" w:hint="default"/>
                <w:sz w:val="15"/>
                <w:szCs w:val="15"/>
              </w:rPr>
              <w:t>其他 减少</w:t>
            </w:r>
          </w:p>
        </w:tc>
        <w:tc>
          <w:tcPr>
            <w:tcW w:w="949" w:type="dxa"/>
            <w:tcBorders>
              <w:top w:val="single" w:sz="12" w:space="0" w:color="000000"/>
              <w:left w:val="nil" w:sz="6" w:space="0" w:color="auto"/>
              <w:bottom w:val="nil" w:sz="6" w:space="0" w:color="auto"/>
              <w:right w:val="nil" w:sz="6" w:space="0" w:color="auto"/>
            </w:tcBorders>
          </w:tcPr>
          <w:p>
            <w:pPr>
              <w:pStyle w:val="TableParagraph"/>
              <w:spacing w:line="458" w:lineRule="auto" w:before="65"/>
              <w:ind w:left="155" w:right="191"/>
              <w:jc w:val="center"/>
              <w:rPr>
                <w:rFonts w:ascii="宋体" w:hAnsi="宋体" w:cs="宋体" w:eastAsia="宋体" w:hint="default"/>
                <w:sz w:val="15"/>
                <w:szCs w:val="15"/>
              </w:rPr>
            </w:pPr>
            <w:r>
              <w:rPr>
                <w:rFonts w:ascii="宋体" w:hAnsi="宋体" w:cs="宋体" w:eastAsia="宋体" w:hint="default"/>
                <w:sz w:val="15"/>
                <w:szCs w:val="15"/>
              </w:rPr>
              <w:t>工程投入 占预算比</w:t>
            </w:r>
          </w:p>
          <w:p>
            <w:pPr>
              <w:pStyle w:val="TableParagraph"/>
              <w:spacing w:line="240" w:lineRule="auto" w:before="41"/>
              <w:ind w:right="36"/>
              <w:jc w:val="center"/>
              <w:rPr>
                <w:rFonts w:ascii="Times New Roman" w:hAnsi="Times New Roman" w:cs="Times New Roman" w:eastAsia="Times New Roman" w:hint="default"/>
                <w:sz w:val="15"/>
                <w:szCs w:val="15"/>
              </w:rPr>
            </w:pPr>
            <w:r>
              <w:rPr>
                <w:rFonts w:ascii="宋体" w:hAnsi="宋体" w:cs="宋体" w:eastAsia="宋体" w:hint="default"/>
                <w:sz w:val="15"/>
                <w:szCs w:val="15"/>
              </w:rPr>
              <w:t>例</w:t>
            </w:r>
            <w:r>
              <w:rPr>
                <w:rFonts w:ascii="Times New Roman" w:hAnsi="Times New Roman" w:cs="Times New Roman" w:eastAsia="Times New Roman" w:hint="default"/>
                <w:sz w:val="15"/>
                <w:szCs w:val="15"/>
              </w:rPr>
              <w:t>(%)</w:t>
            </w:r>
          </w:p>
        </w:tc>
        <w:tc>
          <w:tcPr>
            <w:tcW w:w="1035"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193" w:right="0"/>
              <w:jc w:val="left"/>
              <w:rPr>
                <w:rFonts w:ascii="宋体" w:hAnsi="宋体" w:cs="宋体" w:eastAsia="宋体" w:hint="default"/>
                <w:sz w:val="15"/>
                <w:szCs w:val="15"/>
              </w:rPr>
            </w:pPr>
            <w:r>
              <w:rPr>
                <w:rFonts w:ascii="宋体" w:hAnsi="宋体" w:cs="宋体" w:eastAsia="宋体" w:hint="default"/>
                <w:sz w:val="15"/>
                <w:szCs w:val="15"/>
              </w:rPr>
              <w:t>工程进度</w:t>
            </w:r>
          </w:p>
        </w:tc>
        <w:tc>
          <w:tcPr>
            <w:tcW w:w="737" w:type="dxa"/>
            <w:tcBorders>
              <w:top w:val="single" w:sz="12" w:space="0" w:color="000000"/>
              <w:left w:val="nil" w:sz="6" w:space="0" w:color="auto"/>
              <w:bottom w:val="nil" w:sz="6" w:space="0" w:color="auto"/>
              <w:right w:val="nil" w:sz="6" w:space="0" w:color="auto"/>
            </w:tcBorders>
          </w:tcPr>
          <w:p>
            <w:pPr>
              <w:pStyle w:val="TableParagraph"/>
              <w:spacing w:line="458" w:lineRule="auto" w:before="65"/>
              <w:ind w:left="138" w:right="146"/>
              <w:jc w:val="both"/>
              <w:rPr>
                <w:rFonts w:ascii="宋体" w:hAnsi="宋体" w:cs="宋体" w:eastAsia="宋体" w:hint="default"/>
                <w:sz w:val="15"/>
                <w:szCs w:val="15"/>
              </w:rPr>
            </w:pPr>
            <w:r>
              <w:rPr>
                <w:rFonts w:ascii="宋体" w:hAnsi="宋体" w:cs="宋体" w:eastAsia="宋体" w:hint="default"/>
                <w:sz w:val="15"/>
                <w:szCs w:val="15"/>
              </w:rPr>
              <w:t>利息资 本化累 计金额</w:t>
            </w:r>
          </w:p>
        </w:tc>
        <w:tc>
          <w:tcPr>
            <w:tcW w:w="865" w:type="dxa"/>
            <w:tcBorders>
              <w:top w:val="single" w:sz="12" w:space="0" w:color="000000"/>
              <w:left w:val="nil" w:sz="6" w:space="0" w:color="auto"/>
              <w:bottom w:val="nil" w:sz="6" w:space="0" w:color="auto"/>
              <w:right w:val="nil" w:sz="6" w:space="0" w:color="auto"/>
            </w:tcBorders>
          </w:tcPr>
          <w:p>
            <w:pPr>
              <w:pStyle w:val="TableParagraph"/>
              <w:spacing w:line="458" w:lineRule="auto" w:before="65"/>
              <w:ind w:left="148" w:right="116"/>
              <w:jc w:val="both"/>
              <w:rPr>
                <w:rFonts w:ascii="宋体" w:hAnsi="宋体" w:cs="宋体" w:eastAsia="宋体" w:hint="default"/>
                <w:sz w:val="15"/>
                <w:szCs w:val="15"/>
              </w:rPr>
            </w:pPr>
            <w:r>
              <w:rPr>
                <w:rFonts w:ascii="宋体" w:hAnsi="宋体" w:cs="宋体" w:eastAsia="宋体" w:hint="default"/>
                <w:sz w:val="15"/>
                <w:szCs w:val="15"/>
              </w:rPr>
              <w:t>其中：本 期利息资 本化金额</w:t>
            </w:r>
          </w:p>
        </w:tc>
        <w:tc>
          <w:tcPr>
            <w:tcW w:w="1024" w:type="dxa"/>
            <w:tcBorders>
              <w:top w:val="single" w:sz="12"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458" w:lineRule="auto"/>
              <w:ind w:left="154" w:right="154" w:hanging="38"/>
              <w:jc w:val="left"/>
              <w:rPr>
                <w:rFonts w:ascii="Times New Roman" w:hAnsi="Times New Roman" w:cs="Times New Roman" w:eastAsia="Times New Roman" w:hint="default"/>
                <w:sz w:val="15"/>
                <w:szCs w:val="15"/>
              </w:rPr>
            </w:pPr>
            <w:r>
              <w:rPr>
                <w:rFonts w:ascii="宋体" w:hAnsi="宋体" w:cs="宋体" w:eastAsia="宋体" w:hint="default"/>
                <w:sz w:val="15"/>
                <w:szCs w:val="15"/>
              </w:rPr>
              <w:t>本期利息资 本化率</w:t>
            </w:r>
            <w:r>
              <w:rPr>
                <w:rFonts w:ascii="Times New Roman" w:hAnsi="Times New Roman" w:cs="Times New Roman" w:eastAsia="Times New Roman" w:hint="default"/>
                <w:sz w:val="15"/>
                <w:szCs w:val="15"/>
              </w:rPr>
              <w:t>(%)</w:t>
            </w:r>
          </w:p>
        </w:tc>
        <w:tc>
          <w:tcPr>
            <w:tcW w:w="1027"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156" w:right="0"/>
              <w:jc w:val="left"/>
              <w:rPr>
                <w:rFonts w:ascii="宋体" w:hAnsi="宋体" w:cs="宋体" w:eastAsia="宋体" w:hint="default"/>
                <w:sz w:val="15"/>
                <w:szCs w:val="15"/>
              </w:rPr>
            </w:pPr>
            <w:r>
              <w:rPr>
                <w:rFonts w:ascii="宋体" w:hAnsi="宋体" w:cs="宋体" w:eastAsia="宋体" w:hint="default"/>
                <w:sz w:val="15"/>
                <w:szCs w:val="15"/>
              </w:rPr>
              <w:t>资金来源</w:t>
            </w:r>
          </w:p>
        </w:tc>
        <w:tc>
          <w:tcPr>
            <w:tcW w:w="1202"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270" w:right="0"/>
              <w:jc w:val="left"/>
              <w:rPr>
                <w:rFonts w:ascii="宋体" w:hAnsi="宋体" w:cs="宋体" w:eastAsia="宋体" w:hint="default"/>
                <w:sz w:val="15"/>
                <w:szCs w:val="15"/>
              </w:rPr>
            </w:pPr>
            <w:r>
              <w:rPr>
                <w:rFonts w:ascii="宋体" w:hAnsi="宋体" w:cs="宋体" w:eastAsia="宋体" w:hint="default"/>
                <w:sz w:val="15"/>
                <w:szCs w:val="15"/>
              </w:rPr>
              <w:t>期末余额</w:t>
            </w:r>
          </w:p>
        </w:tc>
      </w:tr>
      <w:tr>
        <w:trPr>
          <w:trHeight w:val="1133" w:hRule="exact"/>
        </w:trPr>
        <w:tc>
          <w:tcPr>
            <w:tcW w:w="1170" w:type="dxa"/>
            <w:tcBorders>
              <w:top w:val="nil" w:sz="6" w:space="0" w:color="auto"/>
              <w:left w:val="nil" w:sz="6" w:space="0" w:color="auto"/>
              <w:bottom w:val="nil" w:sz="6" w:space="0" w:color="auto"/>
              <w:right w:val="nil" w:sz="6" w:space="0" w:color="auto"/>
            </w:tcBorders>
          </w:tcPr>
          <w:p>
            <w:pPr>
              <w:pStyle w:val="TableParagraph"/>
              <w:spacing w:line="446" w:lineRule="auto" w:before="66"/>
              <w:ind w:left="107" w:right="161"/>
              <w:jc w:val="left"/>
              <w:rPr>
                <w:rFonts w:ascii="Times New Roman" w:hAnsi="Times New Roman" w:cs="Times New Roman" w:eastAsia="Times New Roman" w:hint="default"/>
                <w:sz w:val="15"/>
                <w:szCs w:val="15"/>
              </w:rPr>
            </w:pPr>
            <w:r>
              <w:rPr>
                <w:rFonts w:ascii="宋体" w:hAnsi="宋体" w:cs="宋体" w:eastAsia="宋体" w:hint="default"/>
                <w:sz w:val="15"/>
                <w:szCs w:val="15"/>
              </w:rPr>
              <w:t>研发及办公用 房房款</w:t>
            </w:r>
            <w:r>
              <w:rPr>
                <w:rFonts w:ascii="Times New Roman" w:hAnsi="Times New Roman" w:cs="Times New Roman" w:eastAsia="Times New Roman" w:hint="default"/>
                <w:sz w:val="15"/>
                <w:szCs w:val="15"/>
              </w:rPr>
              <w:t>(</w:t>
            </w:r>
            <w:r>
              <w:rPr>
                <w:rFonts w:ascii="宋体" w:hAnsi="宋体" w:cs="宋体" w:eastAsia="宋体" w:hint="default"/>
                <w:sz w:val="15"/>
                <w:szCs w:val="15"/>
              </w:rPr>
              <w:t>北辰 首作大厦</w:t>
            </w:r>
            <w:r>
              <w:rPr>
                <w:rFonts w:ascii="Times New Roman" w:hAnsi="Times New Roman" w:cs="Times New Roman" w:eastAsia="Times New Roman" w:hint="default"/>
                <w:sz w:val="15"/>
                <w:szCs w:val="15"/>
              </w:rPr>
              <w:t>)</w:t>
            </w:r>
          </w:p>
        </w:tc>
        <w:tc>
          <w:tcPr>
            <w:tcW w:w="12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left="159" w:right="0"/>
              <w:jc w:val="left"/>
              <w:rPr>
                <w:rFonts w:ascii="Times New Roman" w:hAnsi="Times New Roman" w:cs="Times New Roman" w:eastAsia="Times New Roman" w:hint="default"/>
                <w:sz w:val="15"/>
                <w:szCs w:val="15"/>
              </w:rPr>
            </w:pPr>
            <w:r>
              <w:rPr>
                <w:rFonts w:ascii="Times New Roman"/>
                <w:sz w:val="15"/>
              </w:rPr>
              <w:t>420,606,840.00</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right="31"/>
              <w:jc w:val="center"/>
              <w:rPr>
                <w:rFonts w:ascii="Times New Roman" w:hAnsi="Times New Roman" w:cs="Times New Roman" w:eastAsia="Times New Roman" w:hint="default"/>
                <w:sz w:val="15"/>
                <w:szCs w:val="15"/>
              </w:rPr>
            </w:pPr>
            <w:r>
              <w:rPr>
                <w:rFonts w:ascii="Times New Roman"/>
                <w:sz w:val="15"/>
              </w:rPr>
              <w:t>65,491,080.00</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right="146"/>
              <w:jc w:val="right"/>
              <w:rPr>
                <w:rFonts w:ascii="Times New Roman" w:hAnsi="Times New Roman" w:cs="Times New Roman" w:eastAsia="Times New Roman" w:hint="default"/>
                <w:sz w:val="15"/>
                <w:szCs w:val="15"/>
              </w:rPr>
            </w:pPr>
            <w:r>
              <w:rPr>
                <w:rFonts w:ascii="Times New Roman"/>
                <w:spacing w:val="-1"/>
                <w:sz w:val="15"/>
              </w:rPr>
              <w:t>359,633,040.00</w:t>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left="190" w:right="0"/>
              <w:jc w:val="left"/>
              <w:rPr>
                <w:rFonts w:ascii="Times New Roman" w:hAnsi="Times New Roman" w:cs="Times New Roman" w:eastAsia="Times New Roman" w:hint="default"/>
                <w:sz w:val="15"/>
                <w:szCs w:val="15"/>
              </w:rPr>
            </w:pPr>
            <w:r>
              <w:rPr>
                <w:rFonts w:ascii="Times New Roman"/>
                <w:sz w:val="15"/>
              </w:rPr>
              <w:t>318,176,640.00</w:t>
            </w:r>
          </w:p>
        </w:tc>
        <w:tc>
          <w:tcPr>
            <w:tcW w:w="577" w:type="dxa"/>
            <w:tcBorders>
              <w:top w:val="nil" w:sz="6" w:space="0" w:color="auto"/>
              <w:left w:val="nil" w:sz="6" w:space="0" w:color="auto"/>
              <w:bottom w:val="nil" w:sz="6" w:space="0" w:color="auto"/>
              <w:right w:val="nil" w:sz="6" w:space="0" w:color="auto"/>
            </w:tcBorders>
          </w:tcPr>
          <w:p>
            <w:pP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left="248" w:right="0"/>
              <w:jc w:val="left"/>
              <w:rPr>
                <w:rFonts w:ascii="Times New Roman" w:hAnsi="Times New Roman" w:cs="Times New Roman" w:eastAsia="Times New Roman" w:hint="default"/>
                <w:sz w:val="15"/>
                <w:szCs w:val="15"/>
              </w:rPr>
            </w:pPr>
            <w:r>
              <w:rPr>
                <w:rFonts w:ascii="Times New Roman"/>
                <w:sz w:val="15"/>
              </w:rPr>
              <w:t>101.07</w:t>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left="431" w:right="0"/>
              <w:jc w:val="left"/>
              <w:rPr>
                <w:rFonts w:ascii="Times New Roman" w:hAnsi="Times New Roman" w:cs="Times New Roman" w:eastAsia="Times New Roman" w:hint="default"/>
                <w:sz w:val="15"/>
                <w:szCs w:val="15"/>
              </w:rPr>
            </w:pPr>
            <w:r>
              <w:rPr>
                <w:rFonts w:ascii="Times New Roman"/>
                <w:sz w:val="15"/>
              </w:rPr>
              <w:t>74.57%</w:t>
            </w:r>
          </w:p>
        </w:tc>
        <w:tc>
          <w:tcPr>
            <w:tcW w:w="737" w:type="dxa"/>
            <w:tcBorders>
              <w:top w:val="nil" w:sz="6" w:space="0" w:color="auto"/>
              <w:left w:val="nil" w:sz="6" w:space="0" w:color="auto"/>
              <w:bottom w:val="nil" w:sz="6" w:space="0" w:color="auto"/>
              <w:right w:val="nil" w:sz="6" w:space="0" w:color="auto"/>
            </w:tcBorders>
          </w:tcPr>
          <w:p>
            <w:pPr/>
          </w:p>
        </w:tc>
        <w:tc>
          <w:tcPr>
            <w:tcW w:w="865" w:type="dxa"/>
            <w:tcBorders>
              <w:top w:val="nil" w:sz="6" w:space="0" w:color="auto"/>
              <w:left w:val="nil" w:sz="6" w:space="0" w:color="auto"/>
              <w:bottom w:val="nil" w:sz="6" w:space="0" w:color="auto"/>
              <w:right w:val="nil" w:sz="6" w:space="0" w:color="auto"/>
            </w:tcBorders>
          </w:tcPr>
          <w:p>
            <w:pPr/>
          </w:p>
        </w:tc>
        <w:tc>
          <w:tcPr>
            <w:tcW w:w="1024" w:type="dxa"/>
            <w:tcBorders>
              <w:top w:val="nil" w:sz="6" w:space="0" w:color="auto"/>
              <w:left w:val="nil" w:sz="6" w:space="0" w:color="auto"/>
              <w:bottom w:val="nil" w:sz="6" w:space="0" w:color="auto"/>
              <w:right w:val="nil" w:sz="6" w:space="0" w:color="auto"/>
            </w:tcBorders>
          </w:tcPr>
          <w:p>
            <w:pPr/>
          </w:p>
        </w:tc>
        <w:tc>
          <w:tcPr>
            <w:tcW w:w="102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458" w:lineRule="auto"/>
              <w:ind w:left="60" w:right="160"/>
              <w:jc w:val="left"/>
              <w:rPr>
                <w:rFonts w:ascii="宋体" w:hAnsi="宋体" w:cs="宋体" w:eastAsia="宋体" w:hint="default"/>
                <w:sz w:val="15"/>
                <w:szCs w:val="15"/>
              </w:rPr>
            </w:pPr>
            <w:r>
              <w:rPr>
                <w:rFonts w:ascii="宋体" w:hAnsi="宋体" w:cs="宋体" w:eastAsia="宋体" w:hint="default"/>
                <w:spacing w:val="10"/>
                <w:sz w:val="15"/>
                <w:szCs w:val="15"/>
              </w:rPr>
              <w:t>募股资金及 </w:t>
            </w:r>
            <w:r>
              <w:rPr>
                <w:rFonts w:ascii="宋体" w:hAnsi="宋体" w:cs="宋体" w:eastAsia="宋体" w:hint="default"/>
                <w:sz w:val="15"/>
                <w:szCs w:val="15"/>
              </w:rPr>
              <w:t>自筹资金</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right="99"/>
              <w:jc w:val="right"/>
              <w:rPr>
                <w:rFonts w:ascii="Times New Roman" w:hAnsi="Times New Roman" w:cs="Times New Roman" w:eastAsia="Times New Roman" w:hint="default"/>
                <w:sz w:val="15"/>
                <w:szCs w:val="15"/>
              </w:rPr>
            </w:pPr>
            <w:r>
              <w:rPr>
                <w:rFonts w:ascii="Times New Roman"/>
                <w:spacing w:val="-1"/>
                <w:sz w:val="15"/>
              </w:rPr>
              <w:t>106,947,480.00</w:t>
            </w:r>
          </w:p>
        </w:tc>
      </w:tr>
      <w:tr>
        <w:trPr>
          <w:trHeight w:val="1133" w:hRule="exact"/>
        </w:trPr>
        <w:tc>
          <w:tcPr>
            <w:tcW w:w="1170" w:type="dxa"/>
            <w:tcBorders>
              <w:top w:val="nil" w:sz="6" w:space="0" w:color="auto"/>
              <w:left w:val="nil" w:sz="6" w:space="0" w:color="auto"/>
              <w:bottom w:val="nil" w:sz="6" w:space="0" w:color="auto"/>
              <w:right w:val="nil" w:sz="6" w:space="0" w:color="auto"/>
            </w:tcBorders>
          </w:tcPr>
          <w:p>
            <w:pPr>
              <w:pStyle w:val="TableParagraph"/>
              <w:spacing w:line="446" w:lineRule="auto" w:before="66"/>
              <w:ind w:left="107" w:right="161"/>
              <w:jc w:val="left"/>
              <w:rPr>
                <w:rFonts w:ascii="Times New Roman" w:hAnsi="Times New Roman" w:cs="Times New Roman" w:eastAsia="Times New Roman" w:hint="default"/>
                <w:sz w:val="15"/>
                <w:szCs w:val="15"/>
              </w:rPr>
            </w:pPr>
            <w:r>
              <w:rPr>
                <w:rFonts w:ascii="宋体" w:hAnsi="宋体" w:cs="宋体" w:eastAsia="宋体" w:hint="default"/>
                <w:sz w:val="15"/>
                <w:szCs w:val="15"/>
              </w:rPr>
              <w:t>研发及办公用 房装修</w:t>
            </w:r>
            <w:r>
              <w:rPr>
                <w:rFonts w:ascii="Times New Roman" w:hAnsi="Times New Roman" w:cs="Times New Roman" w:eastAsia="Times New Roman" w:hint="default"/>
                <w:sz w:val="15"/>
                <w:szCs w:val="15"/>
              </w:rPr>
              <w:t>(</w:t>
            </w:r>
            <w:r>
              <w:rPr>
                <w:rFonts w:ascii="宋体" w:hAnsi="宋体" w:cs="宋体" w:eastAsia="宋体" w:hint="default"/>
                <w:sz w:val="15"/>
                <w:szCs w:val="15"/>
              </w:rPr>
              <w:t>北辰 首作大厦</w:t>
            </w:r>
            <w:r>
              <w:rPr>
                <w:rFonts w:ascii="Times New Roman" w:hAnsi="Times New Roman" w:cs="Times New Roman" w:eastAsia="Times New Roman" w:hint="default"/>
                <w:sz w:val="15"/>
                <w:szCs w:val="15"/>
              </w:rPr>
              <w:t>)</w:t>
            </w:r>
          </w:p>
        </w:tc>
        <w:tc>
          <w:tcPr>
            <w:tcW w:w="1233" w:type="dxa"/>
            <w:tcBorders>
              <w:top w:val="nil" w:sz="6" w:space="0" w:color="auto"/>
              <w:left w:val="nil" w:sz="6" w:space="0" w:color="auto"/>
              <w:bottom w:val="nil" w:sz="6" w:space="0" w:color="auto"/>
              <w:right w:val="nil" w:sz="6" w:space="0" w:color="auto"/>
            </w:tcBorders>
          </w:tcPr>
          <w:p>
            <w:pPr/>
          </w:p>
        </w:tc>
        <w:tc>
          <w:tcPr>
            <w:tcW w:w="1168"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right="146"/>
              <w:jc w:val="right"/>
              <w:rPr>
                <w:rFonts w:ascii="Times New Roman" w:hAnsi="Times New Roman" w:cs="Times New Roman" w:eastAsia="Times New Roman" w:hint="default"/>
                <w:sz w:val="15"/>
                <w:szCs w:val="15"/>
              </w:rPr>
            </w:pPr>
            <w:r>
              <w:rPr>
                <w:rFonts w:ascii="Times New Roman"/>
                <w:spacing w:val="-1"/>
                <w:sz w:val="15"/>
              </w:rPr>
              <w:t>25,469,476.17</w:t>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left="264" w:right="0"/>
              <w:jc w:val="left"/>
              <w:rPr>
                <w:rFonts w:ascii="Times New Roman" w:hAnsi="Times New Roman" w:cs="Times New Roman" w:eastAsia="Times New Roman" w:hint="default"/>
                <w:sz w:val="15"/>
                <w:szCs w:val="15"/>
              </w:rPr>
            </w:pPr>
            <w:r>
              <w:rPr>
                <w:rFonts w:ascii="Times New Roman"/>
                <w:sz w:val="15"/>
              </w:rPr>
              <w:t>25,469,476.17</w:t>
            </w:r>
          </w:p>
        </w:tc>
        <w:tc>
          <w:tcPr>
            <w:tcW w:w="577" w:type="dxa"/>
            <w:tcBorders>
              <w:top w:val="nil" w:sz="6" w:space="0" w:color="auto"/>
              <w:left w:val="nil" w:sz="6" w:space="0" w:color="auto"/>
              <w:bottom w:val="nil" w:sz="6" w:space="0" w:color="auto"/>
              <w:right w:val="nil" w:sz="6" w:space="0" w:color="auto"/>
            </w:tcBorders>
          </w:tcPr>
          <w:p>
            <w:pPr/>
          </w:p>
        </w:tc>
        <w:tc>
          <w:tcPr>
            <w:tcW w:w="949" w:type="dxa"/>
            <w:tcBorders>
              <w:top w:val="nil" w:sz="6" w:space="0" w:color="auto"/>
              <w:left w:val="nil" w:sz="6" w:space="0" w:color="auto"/>
              <w:bottom w:val="nil" w:sz="6" w:space="0" w:color="auto"/>
              <w:right w:val="nil" w:sz="6" w:space="0" w:color="auto"/>
            </w:tcBorders>
          </w:tcPr>
          <w:p>
            <w:pPr/>
          </w:p>
        </w:tc>
        <w:tc>
          <w:tcPr>
            <w:tcW w:w="1035"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
        </w:tc>
        <w:tc>
          <w:tcPr>
            <w:tcW w:w="865" w:type="dxa"/>
            <w:tcBorders>
              <w:top w:val="nil" w:sz="6" w:space="0" w:color="auto"/>
              <w:left w:val="nil" w:sz="6" w:space="0" w:color="auto"/>
              <w:bottom w:val="nil" w:sz="6" w:space="0" w:color="auto"/>
              <w:right w:val="nil" w:sz="6" w:space="0" w:color="auto"/>
            </w:tcBorders>
          </w:tcPr>
          <w:p>
            <w:pPr/>
          </w:p>
        </w:tc>
        <w:tc>
          <w:tcPr>
            <w:tcW w:w="1024" w:type="dxa"/>
            <w:tcBorders>
              <w:top w:val="nil" w:sz="6" w:space="0" w:color="auto"/>
              <w:left w:val="nil" w:sz="6" w:space="0" w:color="auto"/>
              <w:bottom w:val="nil" w:sz="6" w:space="0" w:color="auto"/>
              <w:right w:val="nil" w:sz="6" w:space="0" w:color="auto"/>
            </w:tcBorders>
          </w:tcPr>
          <w:p>
            <w:pPr/>
          </w:p>
        </w:tc>
        <w:tc>
          <w:tcPr>
            <w:tcW w:w="102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458" w:lineRule="auto"/>
              <w:ind w:left="60" w:right="160"/>
              <w:jc w:val="left"/>
              <w:rPr>
                <w:rFonts w:ascii="宋体" w:hAnsi="宋体" w:cs="宋体" w:eastAsia="宋体" w:hint="default"/>
                <w:sz w:val="15"/>
                <w:szCs w:val="15"/>
              </w:rPr>
            </w:pPr>
            <w:r>
              <w:rPr>
                <w:rFonts w:ascii="宋体" w:hAnsi="宋体" w:cs="宋体" w:eastAsia="宋体" w:hint="default"/>
                <w:spacing w:val="10"/>
                <w:sz w:val="15"/>
                <w:szCs w:val="15"/>
              </w:rPr>
              <w:t>募股资金及 </w:t>
            </w:r>
            <w:r>
              <w:rPr>
                <w:rFonts w:ascii="宋体" w:hAnsi="宋体" w:cs="宋体" w:eastAsia="宋体" w:hint="default"/>
                <w:sz w:val="15"/>
                <w:szCs w:val="15"/>
              </w:rPr>
              <w:t>自筹资金</w:t>
            </w:r>
          </w:p>
        </w:tc>
        <w:tc>
          <w:tcPr>
            <w:tcW w:w="1202" w:type="dxa"/>
            <w:tcBorders>
              <w:top w:val="nil" w:sz="6" w:space="0" w:color="auto"/>
              <w:left w:val="nil" w:sz="6" w:space="0" w:color="auto"/>
              <w:bottom w:val="nil" w:sz="6" w:space="0" w:color="auto"/>
              <w:right w:val="nil" w:sz="6" w:space="0" w:color="auto"/>
            </w:tcBorders>
          </w:tcPr>
          <w:p>
            <w:pPr/>
          </w:p>
        </w:tc>
      </w:tr>
      <w:tr>
        <w:trPr>
          <w:trHeight w:val="392" w:hRule="exact"/>
        </w:trPr>
        <w:tc>
          <w:tcPr>
            <w:tcW w:w="1170" w:type="dxa"/>
            <w:tcBorders>
              <w:top w:val="nil" w:sz="6" w:space="0" w:color="auto"/>
              <w:left w:val="nil" w:sz="6" w:space="0" w:color="auto"/>
              <w:bottom w:val="single" w:sz="12" w:space="0" w:color="000000"/>
              <w:right w:val="nil" w:sz="6" w:space="0" w:color="auto"/>
            </w:tcBorders>
          </w:tcPr>
          <w:p>
            <w:pPr>
              <w:pStyle w:val="TableParagraph"/>
              <w:spacing w:line="240" w:lineRule="auto" w:before="67"/>
              <w:ind w:right="47"/>
              <w:jc w:val="center"/>
              <w:rPr>
                <w:rFonts w:ascii="宋体" w:hAnsi="宋体" w:cs="宋体" w:eastAsia="宋体" w:hint="default"/>
                <w:sz w:val="15"/>
                <w:szCs w:val="15"/>
              </w:rPr>
            </w:pPr>
            <w:r>
              <w:rPr>
                <w:rFonts w:ascii="宋体" w:hAnsi="宋体" w:cs="宋体" w:eastAsia="宋体" w:hint="default"/>
                <w:sz w:val="15"/>
                <w:szCs w:val="15"/>
              </w:rPr>
              <w:t>合</w:t>
            </w:r>
            <w:r>
              <w:rPr>
                <w:rFonts w:ascii="宋体" w:hAnsi="宋体" w:cs="宋体" w:eastAsia="宋体" w:hint="default"/>
                <w:spacing w:val="73"/>
                <w:sz w:val="15"/>
                <w:szCs w:val="15"/>
              </w:rPr>
              <w:t> </w:t>
            </w:r>
            <w:r>
              <w:rPr>
                <w:rFonts w:ascii="宋体" w:hAnsi="宋体" w:cs="宋体" w:eastAsia="宋体" w:hint="default"/>
                <w:sz w:val="15"/>
                <w:szCs w:val="15"/>
              </w:rPr>
              <w:t>计</w:t>
            </w:r>
          </w:p>
        </w:tc>
        <w:tc>
          <w:tcPr>
            <w:tcW w:w="1233" w:type="dxa"/>
            <w:tcBorders>
              <w:top w:val="nil" w:sz="6" w:space="0" w:color="auto"/>
              <w:left w:val="nil" w:sz="6" w:space="0" w:color="auto"/>
              <w:bottom w:val="single" w:sz="12" w:space="0" w:color="000000"/>
              <w:right w:val="nil" w:sz="6" w:space="0" w:color="auto"/>
            </w:tcBorders>
          </w:tcPr>
          <w:p>
            <w:pPr/>
          </w:p>
        </w:tc>
        <w:tc>
          <w:tcPr>
            <w:tcW w:w="1168"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31"/>
              <w:jc w:val="center"/>
              <w:rPr>
                <w:rFonts w:ascii="Times New Roman" w:hAnsi="Times New Roman" w:cs="Times New Roman" w:eastAsia="Times New Roman" w:hint="default"/>
                <w:sz w:val="15"/>
                <w:szCs w:val="15"/>
              </w:rPr>
            </w:pPr>
            <w:r>
              <w:rPr>
                <w:rFonts w:ascii="Times New Roman"/>
                <w:sz w:val="15"/>
              </w:rPr>
              <w:t>65,491,080.00</w:t>
            </w:r>
          </w:p>
        </w:tc>
        <w:tc>
          <w:tcPr>
            <w:tcW w:w="1255"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46"/>
              <w:jc w:val="right"/>
              <w:rPr>
                <w:rFonts w:ascii="Times New Roman" w:hAnsi="Times New Roman" w:cs="Times New Roman" w:eastAsia="Times New Roman" w:hint="default"/>
                <w:sz w:val="15"/>
                <w:szCs w:val="15"/>
              </w:rPr>
            </w:pPr>
            <w:r>
              <w:rPr>
                <w:rFonts w:ascii="Times New Roman"/>
                <w:spacing w:val="-1"/>
                <w:sz w:val="15"/>
              </w:rPr>
              <w:t>385,102,516.17</w:t>
            </w:r>
          </w:p>
        </w:tc>
        <w:tc>
          <w:tcPr>
            <w:tcW w:w="1249"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left="194" w:right="0"/>
              <w:jc w:val="left"/>
              <w:rPr>
                <w:rFonts w:ascii="Times New Roman" w:hAnsi="Times New Roman" w:cs="Times New Roman" w:eastAsia="Times New Roman" w:hint="default"/>
                <w:sz w:val="15"/>
                <w:szCs w:val="15"/>
              </w:rPr>
            </w:pPr>
            <w:r>
              <w:rPr>
                <w:rFonts w:ascii="Times New Roman"/>
                <w:sz w:val="15"/>
              </w:rPr>
              <w:t>343,646,116.17</w:t>
            </w:r>
          </w:p>
        </w:tc>
        <w:tc>
          <w:tcPr>
            <w:tcW w:w="577" w:type="dxa"/>
            <w:tcBorders>
              <w:top w:val="nil" w:sz="6" w:space="0" w:color="auto"/>
              <w:left w:val="nil" w:sz="6" w:space="0" w:color="auto"/>
              <w:bottom w:val="single" w:sz="12" w:space="0" w:color="000000"/>
              <w:right w:val="nil" w:sz="6" w:space="0" w:color="auto"/>
            </w:tcBorders>
          </w:tcPr>
          <w:p>
            <w:pPr/>
          </w:p>
        </w:tc>
        <w:tc>
          <w:tcPr>
            <w:tcW w:w="949" w:type="dxa"/>
            <w:tcBorders>
              <w:top w:val="nil" w:sz="6" w:space="0" w:color="auto"/>
              <w:left w:val="nil" w:sz="6" w:space="0" w:color="auto"/>
              <w:bottom w:val="single" w:sz="12" w:space="0" w:color="000000"/>
              <w:right w:val="nil" w:sz="6" w:space="0" w:color="auto"/>
            </w:tcBorders>
          </w:tcPr>
          <w:p>
            <w:pPr/>
          </w:p>
        </w:tc>
        <w:tc>
          <w:tcPr>
            <w:tcW w:w="1035" w:type="dxa"/>
            <w:tcBorders>
              <w:top w:val="nil" w:sz="6" w:space="0" w:color="auto"/>
              <w:left w:val="nil" w:sz="6" w:space="0" w:color="auto"/>
              <w:bottom w:val="single" w:sz="12" w:space="0" w:color="000000"/>
              <w:right w:val="nil" w:sz="6" w:space="0" w:color="auto"/>
            </w:tcBorders>
          </w:tcPr>
          <w:p>
            <w:pPr/>
          </w:p>
        </w:tc>
        <w:tc>
          <w:tcPr>
            <w:tcW w:w="737" w:type="dxa"/>
            <w:tcBorders>
              <w:top w:val="nil" w:sz="6" w:space="0" w:color="auto"/>
              <w:left w:val="nil" w:sz="6" w:space="0" w:color="auto"/>
              <w:bottom w:val="single" w:sz="12" w:space="0" w:color="000000"/>
              <w:right w:val="nil" w:sz="6" w:space="0" w:color="auto"/>
            </w:tcBorders>
          </w:tcPr>
          <w:p>
            <w:pPr/>
          </w:p>
        </w:tc>
        <w:tc>
          <w:tcPr>
            <w:tcW w:w="865" w:type="dxa"/>
            <w:tcBorders>
              <w:top w:val="nil" w:sz="6" w:space="0" w:color="auto"/>
              <w:left w:val="nil" w:sz="6" w:space="0" w:color="auto"/>
              <w:bottom w:val="single" w:sz="12" w:space="0" w:color="000000"/>
              <w:right w:val="nil" w:sz="6" w:space="0" w:color="auto"/>
            </w:tcBorders>
          </w:tcPr>
          <w:p>
            <w:pPr/>
          </w:p>
        </w:tc>
        <w:tc>
          <w:tcPr>
            <w:tcW w:w="1024" w:type="dxa"/>
            <w:tcBorders>
              <w:top w:val="nil" w:sz="6" w:space="0" w:color="auto"/>
              <w:left w:val="nil" w:sz="6" w:space="0" w:color="auto"/>
              <w:bottom w:val="single" w:sz="12" w:space="0" w:color="000000"/>
              <w:right w:val="nil" w:sz="6" w:space="0" w:color="auto"/>
            </w:tcBorders>
          </w:tcPr>
          <w:p>
            <w:pPr/>
          </w:p>
        </w:tc>
        <w:tc>
          <w:tcPr>
            <w:tcW w:w="1027" w:type="dxa"/>
            <w:tcBorders>
              <w:top w:val="nil" w:sz="6" w:space="0" w:color="auto"/>
              <w:left w:val="nil" w:sz="6" w:space="0" w:color="auto"/>
              <w:bottom w:val="single" w:sz="12" w:space="0" w:color="000000"/>
              <w:right w:val="nil" w:sz="6" w:space="0" w:color="auto"/>
            </w:tcBorders>
          </w:tcPr>
          <w:p>
            <w:pPr/>
          </w:p>
        </w:tc>
        <w:tc>
          <w:tcPr>
            <w:tcW w:w="1202"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99"/>
              <w:jc w:val="right"/>
              <w:rPr>
                <w:rFonts w:ascii="Times New Roman" w:hAnsi="Times New Roman" w:cs="Times New Roman" w:eastAsia="Times New Roman" w:hint="default"/>
                <w:sz w:val="15"/>
                <w:szCs w:val="15"/>
              </w:rPr>
            </w:pPr>
            <w:r>
              <w:rPr>
                <w:rFonts w:ascii="Times New Roman"/>
                <w:spacing w:val="-1"/>
                <w:sz w:val="15"/>
              </w:rPr>
              <w:t>106,947,480.00</w:t>
            </w:r>
          </w:p>
        </w:tc>
      </w:tr>
    </w:tbl>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pStyle w:val="BodyText"/>
        <w:spacing w:line="240" w:lineRule="auto" w:before="35"/>
        <w:ind w:left="857" w:right="0"/>
        <w:jc w:val="left"/>
      </w:pPr>
      <w:r>
        <w:rPr/>
        <w:t>2009</w:t>
      </w:r>
      <w:r>
        <w:rPr>
          <w:spacing w:val="-45"/>
        </w:rPr>
        <w:t> </w:t>
      </w:r>
      <w:r>
        <w:rPr/>
        <w:t>年</w:t>
      </w:r>
      <w:r>
        <w:rPr>
          <w:spacing w:val="-45"/>
        </w:rPr>
        <w:t> </w:t>
      </w:r>
      <w:r>
        <w:rPr/>
        <w:t>7</w:t>
      </w:r>
      <w:r>
        <w:rPr>
          <w:spacing w:val="-45"/>
        </w:rPr>
        <w:t> </w:t>
      </w:r>
      <w:r>
        <w:rPr/>
        <w:t>月</w:t>
      </w:r>
      <w:r>
        <w:rPr>
          <w:spacing w:val="-47"/>
        </w:rPr>
        <w:t> </w:t>
      </w:r>
      <w:r>
        <w:rPr/>
        <w:t>16</w:t>
      </w:r>
      <w:r>
        <w:rPr>
          <w:spacing w:val="-45"/>
        </w:rPr>
        <w:t> </w:t>
      </w:r>
      <w:r>
        <w:rPr/>
        <w:t>日，公司与北京北辰实业股份有限公司签定了房产买卖协议，购买北辰泰岳大厦的部分房产，建筑面积共</w:t>
      </w:r>
      <w:r>
        <w:rPr>
          <w:spacing w:val="-45"/>
        </w:rPr>
        <w:t> </w:t>
      </w:r>
      <w:r>
        <w:rPr/>
        <w:t>35,427.01</w:t>
      </w:r>
      <w:r>
        <w:rPr>
          <w:spacing w:val="-45"/>
        </w:rPr>
        <w:t> </w:t>
      </w:r>
      <w:r>
        <w:rPr/>
        <w:t>平方米。其</w:t>
      </w:r>
    </w:p>
    <w:p>
      <w:pPr>
        <w:pStyle w:val="BodyText"/>
        <w:spacing w:line="240" w:lineRule="auto" w:before="125"/>
        <w:ind w:left="857" w:right="0"/>
        <w:jc w:val="left"/>
      </w:pPr>
      <w:r>
        <w:rPr/>
        <w:t>中</w:t>
      </w:r>
      <w:r>
        <w:rPr>
          <w:spacing w:val="-67"/>
        </w:rPr>
        <w:t> </w:t>
      </w:r>
      <w:r>
        <w:rPr/>
        <w:t>8,912.29</w:t>
      </w:r>
      <w:r>
        <w:rPr>
          <w:spacing w:val="-67"/>
        </w:rPr>
        <w:t> </w:t>
      </w:r>
      <w:r>
        <w:rPr/>
        <w:t>平方米本年尚未完成装修，金额为</w:t>
      </w:r>
      <w:r>
        <w:rPr>
          <w:spacing w:val="-67"/>
        </w:rPr>
        <w:t> </w:t>
      </w:r>
      <w:r>
        <w:rPr/>
        <w:t>106,947,480.00</w:t>
      </w:r>
      <w:r>
        <w:rPr>
          <w:spacing w:val="-67"/>
        </w:rPr>
        <w:t> </w:t>
      </w:r>
      <w:r>
        <w:rPr/>
        <w:t>元，作为在建工程核算，其产权证书尚在办理过程中。</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3"/>
          <w:szCs w:val="23"/>
        </w:rPr>
      </w:pPr>
    </w:p>
    <w:p>
      <w:pPr>
        <w:spacing w:before="0"/>
        <w:ind w:left="6964" w:right="7085" w:firstLine="0"/>
        <w:jc w:val="center"/>
        <w:rPr>
          <w:rFonts w:ascii="Times New Roman" w:hAnsi="Times New Roman" w:cs="Times New Roman" w:eastAsia="Times New Roman" w:hint="default"/>
          <w:sz w:val="18"/>
          <w:szCs w:val="18"/>
        </w:rPr>
      </w:pPr>
      <w:r>
        <w:rPr>
          <w:rFonts w:ascii="Times New Roman"/>
          <w:sz w:val="18"/>
        </w:rPr>
        <w:t>124</w:t>
      </w:r>
    </w:p>
    <w:p>
      <w:pPr>
        <w:spacing w:after="0"/>
        <w:jc w:val="center"/>
        <w:rPr>
          <w:rFonts w:ascii="Times New Roman" w:hAnsi="Times New Roman" w:cs="Times New Roman" w:eastAsia="Times New Roman" w:hint="default"/>
          <w:sz w:val="18"/>
          <w:szCs w:val="18"/>
        </w:rPr>
        <w:sectPr>
          <w:headerReference w:type="default" r:id="rId150"/>
          <w:footerReference w:type="default" r:id="rId151"/>
          <w:pgSz w:w="16840" w:h="11910" w:orient="landscape"/>
          <w:pgMar w:header="0" w:footer="0" w:top="760" w:bottom="280" w:left="1300" w:right="11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9"/>
          <w:szCs w:val="19"/>
        </w:rPr>
      </w:pPr>
    </w:p>
    <w:p>
      <w:pPr>
        <w:pStyle w:val="Heading2"/>
        <w:spacing w:line="240" w:lineRule="auto" w:before="35"/>
        <w:ind w:left="123" w:right="1277"/>
        <w:jc w:val="left"/>
        <w:rPr>
          <w:b w:val="0"/>
          <w:bCs w:val="0"/>
        </w:rPr>
      </w:pPr>
      <w:r>
        <w:rPr>
          <w:rFonts w:ascii="Times New Roman" w:hAnsi="Times New Roman" w:cs="Times New Roman" w:eastAsia="Times New Roman" w:hint="default"/>
        </w:rPr>
        <w:t>(</w:t>
      </w:r>
      <w:r>
        <w:rPr/>
        <w:t>十一</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t>无形资产</w:t>
      </w:r>
      <w:r>
        <w:rPr>
          <w:b w:val="0"/>
          <w:bCs w:val="0"/>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393" w:val="left" w:leader="none"/>
        </w:tabs>
        <w:spacing w:before="0"/>
        <w:ind w:left="854" w:right="1277"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无形资产情况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1"/>
          <w:szCs w:val="11"/>
        </w:rPr>
      </w:pPr>
    </w:p>
    <w:tbl>
      <w:tblPr>
        <w:tblW w:w="0" w:type="auto"/>
        <w:jc w:val="left"/>
        <w:tblInd w:w="1289" w:type="dxa"/>
        <w:tblLayout w:type="fixed"/>
        <w:tblCellMar>
          <w:top w:w="0" w:type="dxa"/>
          <w:left w:w="0" w:type="dxa"/>
          <w:bottom w:w="0" w:type="dxa"/>
          <w:right w:w="0" w:type="dxa"/>
        </w:tblCellMar>
        <w:tblLook w:val="01E0"/>
      </w:tblPr>
      <w:tblGrid>
        <w:gridCol w:w="2407"/>
        <w:gridCol w:w="1347"/>
        <w:gridCol w:w="1532"/>
        <w:gridCol w:w="1166"/>
        <w:gridCol w:w="1386"/>
      </w:tblGrid>
      <w:tr>
        <w:trPr>
          <w:trHeight w:val="394" w:hRule="exact"/>
        </w:trPr>
        <w:tc>
          <w:tcPr>
            <w:tcW w:w="240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134"/>
              <w:jc w:val="center"/>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90"/>
                <w:sz w:val="18"/>
                <w:szCs w:val="18"/>
              </w:rPr>
              <w:t> </w:t>
            </w:r>
            <w:r>
              <w:rPr>
                <w:rFonts w:ascii="宋体" w:hAnsi="宋体" w:cs="宋体" w:eastAsia="宋体" w:hint="default"/>
                <w:sz w:val="18"/>
                <w:szCs w:val="18"/>
              </w:rPr>
              <w:t>目</w:t>
            </w:r>
          </w:p>
        </w:tc>
        <w:tc>
          <w:tcPr>
            <w:tcW w:w="134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44"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53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8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166"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5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86"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90"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89" w:hRule="exact"/>
        </w:trPr>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、账面原值合计</w:t>
            </w:r>
          </w:p>
        </w:tc>
        <w:tc>
          <w:tcPr>
            <w:tcW w:w="1347"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54"/>
              <w:jc w:val="right"/>
              <w:rPr>
                <w:rFonts w:ascii="Times New Roman" w:hAnsi="Times New Roman" w:cs="Times New Roman" w:eastAsia="Times New Roman" w:hint="default"/>
                <w:sz w:val="18"/>
                <w:szCs w:val="18"/>
              </w:rPr>
            </w:pPr>
            <w:r>
              <w:rPr>
                <w:rFonts w:ascii="Times New Roman"/>
                <w:spacing w:val="-1"/>
                <w:sz w:val="18"/>
              </w:rPr>
              <w:t>1,530,000.00</w:t>
            </w:r>
          </w:p>
        </w:tc>
        <w:tc>
          <w:tcPr>
            <w:tcW w:w="1166" w:type="dxa"/>
            <w:tcBorders>
              <w:top w:val="nil" w:sz="6" w:space="0" w:color="auto"/>
              <w:left w:val="nil" w:sz="6" w:space="0" w:color="auto"/>
              <w:bottom w:val="nil" w:sz="6" w:space="0" w:color="auto"/>
              <w:right w:val="nil" w:sz="6" w:space="0" w:color="auto"/>
            </w:tcBorders>
          </w:tcPr>
          <w:p>
            <w:pP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98"/>
              <w:jc w:val="right"/>
              <w:rPr>
                <w:rFonts w:ascii="Times New Roman" w:hAnsi="Times New Roman" w:cs="Times New Roman" w:eastAsia="Times New Roman" w:hint="default"/>
                <w:sz w:val="18"/>
                <w:szCs w:val="18"/>
              </w:rPr>
            </w:pPr>
            <w:r>
              <w:rPr>
                <w:rFonts w:ascii="Times New Roman"/>
                <w:spacing w:val="-1"/>
                <w:sz w:val="18"/>
              </w:rPr>
              <w:t>1,530,000.00</w:t>
            </w:r>
          </w:p>
        </w:tc>
      </w:tr>
      <w:tr>
        <w:trPr>
          <w:trHeight w:val="385" w:hRule="exact"/>
        </w:trPr>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软件</w:t>
            </w:r>
          </w:p>
        </w:tc>
        <w:tc>
          <w:tcPr>
            <w:tcW w:w="1347"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52"/>
              <w:jc w:val="right"/>
              <w:rPr>
                <w:rFonts w:ascii="Times New Roman" w:hAnsi="Times New Roman" w:cs="Times New Roman" w:eastAsia="Times New Roman" w:hint="default"/>
                <w:sz w:val="18"/>
                <w:szCs w:val="18"/>
              </w:rPr>
            </w:pPr>
            <w:r>
              <w:rPr>
                <w:rFonts w:ascii="Times New Roman"/>
                <w:sz w:val="18"/>
              </w:rPr>
              <w:t>70,000.00</w:t>
            </w:r>
          </w:p>
        </w:tc>
        <w:tc>
          <w:tcPr>
            <w:tcW w:w="1166" w:type="dxa"/>
            <w:tcBorders>
              <w:top w:val="nil" w:sz="6" w:space="0" w:color="auto"/>
              <w:left w:val="nil" w:sz="6" w:space="0" w:color="auto"/>
              <w:bottom w:val="nil" w:sz="6" w:space="0" w:color="auto"/>
              <w:right w:val="nil" w:sz="6" w:space="0" w:color="auto"/>
            </w:tcBorders>
          </w:tcPr>
          <w:p>
            <w:pP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98"/>
              <w:jc w:val="right"/>
              <w:rPr>
                <w:rFonts w:ascii="Times New Roman" w:hAnsi="Times New Roman" w:cs="Times New Roman" w:eastAsia="Times New Roman" w:hint="default"/>
                <w:sz w:val="18"/>
                <w:szCs w:val="18"/>
              </w:rPr>
            </w:pPr>
            <w:r>
              <w:rPr>
                <w:rFonts w:ascii="Times New Roman"/>
                <w:sz w:val="18"/>
              </w:rPr>
              <w:t>70,000.00</w:t>
            </w:r>
          </w:p>
        </w:tc>
      </w:tr>
      <w:tr>
        <w:trPr>
          <w:trHeight w:val="385" w:hRule="exact"/>
        </w:trPr>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非专利技术</w:t>
            </w:r>
          </w:p>
        </w:tc>
        <w:tc>
          <w:tcPr>
            <w:tcW w:w="1347"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4"/>
              <w:jc w:val="right"/>
              <w:rPr>
                <w:rFonts w:ascii="Times New Roman" w:hAnsi="Times New Roman" w:cs="Times New Roman" w:eastAsia="Times New Roman" w:hint="default"/>
                <w:sz w:val="18"/>
                <w:szCs w:val="18"/>
              </w:rPr>
            </w:pPr>
            <w:r>
              <w:rPr>
                <w:rFonts w:ascii="Times New Roman"/>
                <w:spacing w:val="-1"/>
                <w:sz w:val="18"/>
              </w:rPr>
              <w:t>1,460,000.00</w:t>
            </w:r>
          </w:p>
        </w:tc>
        <w:tc>
          <w:tcPr>
            <w:tcW w:w="1166" w:type="dxa"/>
            <w:tcBorders>
              <w:top w:val="nil" w:sz="6" w:space="0" w:color="auto"/>
              <w:left w:val="nil" w:sz="6" w:space="0" w:color="auto"/>
              <w:bottom w:val="nil" w:sz="6" w:space="0" w:color="auto"/>
              <w:right w:val="nil" w:sz="6" w:space="0" w:color="auto"/>
            </w:tcBorders>
          </w:tcPr>
          <w:p>
            <w:pP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8"/>
              <w:jc w:val="right"/>
              <w:rPr>
                <w:rFonts w:ascii="Times New Roman" w:hAnsi="Times New Roman" w:cs="Times New Roman" w:eastAsia="Times New Roman" w:hint="default"/>
                <w:sz w:val="18"/>
                <w:szCs w:val="18"/>
              </w:rPr>
            </w:pPr>
            <w:r>
              <w:rPr>
                <w:rFonts w:ascii="Times New Roman"/>
                <w:spacing w:val="-1"/>
                <w:sz w:val="18"/>
              </w:rPr>
              <w:t>1,460,000.00</w:t>
            </w:r>
          </w:p>
        </w:tc>
      </w:tr>
      <w:tr>
        <w:trPr>
          <w:trHeight w:val="384" w:hRule="exact"/>
        </w:trPr>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、累计摊销合计</w:t>
            </w:r>
          </w:p>
        </w:tc>
        <w:tc>
          <w:tcPr>
            <w:tcW w:w="1347"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54"/>
              <w:jc w:val="right"/>
              <w:rPr>
                <w:rFonts w:ascii="Times New Roman" w:hAnsi="Times New Roman" w:cs="Times New Roman" w:eastAsia="Times New Roman" w:hint="default"/>
                <w:sz w:val="18"/>
                <w:szCs w:val="18"/>
              </w:rPr>
            </w:pPr>
            <w:r>
              <w:rPr>
                <w:rFonts w:ascii="Times New Roman"/>
                <w:spacing w:val="-1"/>
                <w:sz w:val="18"/>
              </w:rPr>
              <w:t>1,463,500.01</w:t>
            </w:r>
          </w:p>
        </w:tc>
        <w:tc>
          <w:tcPr>
            <w:tcW w:w="1166" w:type="dxa"/>
            <w:tcBorders>
              <w:top w:val="nil" w:sz="6" w:space="0" w:color="auto"/>
              <w:left w:val="nil" w:sz="6" w:space="0" w:color="auto"/>
              <w:bottom w:val="nil" w:sz="6" w:space="0" w:color="auto"/>
              <w:right w:val="nil" w:sz="6" w:space="0" w:color="auto"/>
            </w:tcBorders>
          </w:tcPr>
          <w:p>
            <w:pP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98"/>
              <w:jc w:val="right"/>
              <w:rPr>
                <w:rFonts w:ascii="Times New Roman" w:hAnsi="Times New Roman" w:cs="Times New Roman" w:eastAsia="Times New Roman" w:hint="default"/>
                <w:sz w:val="18"/>
                <w:szCs w:val="18"/>
              </w:rPr>
            </w:pPr>
            <w:r>
              <w:rPr>
                <w:rFonts w:ascii="Times New Roman"/>
                <w:spacing w:val="-1"/>
                <w:sz w:val="18"/>
              </w:rPr>
              <w:t>1,463,500.01</w:t>
            </w:r>
          </w:p>
        </w:tc>
      </w:tr>
      <w:tr>
        <w:trPr>
          <w:trHeight w:val="385" w:hRule="exact"/>
        </w:trPr>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软件</w:t>
            </w:r>
          </w:p>
        </w:tc>
        <w:tc>
          <w:tcPr>
            <w:tcW w:w="1347"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52"/>
              <w:jc w:val="right"/>
              <w:rPr>
                <w:rFonts w:ascii="Times New Roman" w:hAnsi="Times New Roman" w:cs="Times New Roman" w:eastAsia="Times New Roman" w:hint="default"/>
                <w:sz w:val="18"/>
                <w:szCs w:val="18"/>
              </w:rPr>
            </w:pPr>
            <w:r>
              <w:rPr>
                <w:rFonts w:ascii="Times New Roman"/>
                <w:sz w:val="18"/>
              </w:rPr>
              <w:t>3,500.01</w:t>
            </w:r>
          </w:p>
        </w:tc>
        <w:tc>
          <w:tcPr>
            <w:tcW w:w="1166" w:type="dxa"/>
            <w:tcBorders>
              <w:top w:val="nil" w:sz="6" w:space="0" w:color="auto"/>
              <w:left w:val="nil" w:sz="6" w:space="0" w:color="auto"/>
              <w:bottom w:val="nil" w:sz="6" w:space="0" w:color="auto"/>
              <w:right w:val="nil" w:sz="6" w:space="0" w:color="auto"/>
            </w:tcBorders>
          </w:tcPr>
          <w:p>
            <w:pP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98"/>
              <w:jc w:val="right"/>
              <w:rPr>
                <w:rFonts w:ascii="Times New Roman" w:hAnsi="Times New Roman" w:cs="Times New Roman" w:eastAsia="Times New Roman" w:hint="default"/>
                <w:sz w:val="18"/>
                <w:szCs w:val="18"/>
              </w:rPr>
            </w:pPr>
            <w:r>
              <w:rPr>
                <w:rFonts w:ascii="Times New Roman"/>
                <w:sz w:val="18"/>
              </w:rPr>
              <w:t>3,500.01</w:t>
            </w:r>
          </w:p>
        </w:tc>
      </w:tr>
      <w:tr>
        <w:trPr>
          <w:trHeight w:val="385" w:hRule="exact"/>
        </w:trPr>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非专利技术</w:t>
            </w:r>
          </w:p>
        </w:tc>
        <w:tc>
          <w:tcPr>
            <w:tcW w:w="1347"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4"/>
              <w:jc w:val="right"/>
              <w:rPr>
                <w:rFonts w:ascii="Times New Roman" w:hAnsi="Times New Roman" w:cs="Times New Roman" w:eastAsia="Times New Roman" w:hint="default"/>
                <w:sz w:val="18"/>
                <w:szCs w:val="18"/>
              </w:rPr>
            </w:pPr>
            <w:r>
              <w:rPr>
                <w:rFonts w:ascii="Times New Roman"/>
                <w:spacing w:val="-1"/>
                <w:sz w:val="18"/>
              </w:rPr>
              <w:t>1,460,000.00</w:t>
            </w:r>
          </w:p>
        </w:tc>
        <w:tc>
          <w:tcPr>
            <w:tcW w:w="1166" w:type="dxa"/>
            <w:tcBorders>
              <w:top w:val="nil" w:sz="6" w:space="0" w:color="auto"/>
              <w:left w:val="nil" w:sz="6" w:space="0" w:color="auto"/>
              <w:bottom w:val="nil" w:sz="6" w:space="0" w:color="auto"/>
              <w:right w:val="nil" w:sz="6" w:space="0" w:color="auto"/>
            </w:tcBorders>
          </w:tcPr>
          <w:p>
            <w:pP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8"/>
              <w:jc w:val="right"/>
              <w:rPr>
                <w:rFonts w:ascii="Times New Roman" w:hAnsi="Times New Roman" w:cs="Times New Roman" w:eastAsia="Times New Roman" w:hint="default"/>
                <w:sz w:val="18"/>
                <w:szCs w:val="18"/>
              </w:rPr>
            </w:pPr>
            <w:r>
              <w:rPr>
                <w:rFonts w:ascii="Times New Roman"/>
                <w:spacing w:val="-1"/>
                <w:sz w:val="18"/>
              </w:rPr>
              <w:t>1,460,000.00</w:t>
            </w:r>
          </w:p>
        </w:tc>
      </w:tr>
      <w:tr>
        <w:trPr>
          <w:trHeight w:val="384" w:hRule="exact"/>
        </w:trPr>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、无形资产账面净值合计</w:t>
            </w:r>
          </w:p>
        </w:tc>
        <w:tc>
          <w:tcPr>
            <w:tcW w:w="1347"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52"/>
              <w:jc w:val="right"/>
              <w:rPr>
                <w:rFonts w:ascii="Times New Roman" w:hAnsi="Times New Roman" w:cs="Times New Roman" w:eastAsia="Times New Roman" w:hint="default"/>
                <w:sz w:val="18"/>
                <w:szCs w:val="18"/>
              </w:rPr>
            </w:pPr>
            <w:r>
              <w:rPr>
                <w:rFonts w:ascii="Times New Roman"/>
                <w:sz w:val="18"/>
              </w:rPr>
              <w:t>66,499.99</w:t>
            </w:r>
          </w:p>
        </w:tc>
        <w:tc>
          <w:tcPr>
            <w:tcW w:w="1166" w:type="dxa"/>
            <w:tcBorders>
              <w:top w:val="nil" w:sz="6" w:space="0" w:color="auto"/>
              <w:left w:val="nil" w:sz="6" w:space="0" w:color="auto"/>
              <w:bottom w:val="nil" w:sz="6" w:space="0" w:color="auto"/>
              <w:right w:val="nil" w:sz="6" w:space="0" w:color="auto"/>
            </w:tcBorders>
          </w:tcPr>
          <w:p>
            <w:pP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98"/>
              <w:jc w:val="right"/>
              <w:rPr>
                <w:rFonts w:ascii="Times New Roman" w:hAnsi="Times New Roman" w:cs="Times New Roman" w:eastAsia="Times New Roman" w:hint="default"/>
                <w:sz w:val="18"/>
                <w:szCs w:val="18"/>
              </w:rPr>
            </w:pPr>
            <w:r>
              <w:rPr>
                <w:rFonts w:ascii="Times New Roman"/>
                <w:sz w:val="18"/>
              </w:rPr>
              <w:t>66,499.99</w:t>
            </w:r>
          </w:p>
        </w:tc>
      </w:tr>
      <w:tr>
        <w:trPr>
          <w:trHeight w:val="385" w:hRule="exact"/>
        </w:trPr>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软件</w:t>
            </w:r>
          </w:p>
        </w:tc>
        <w:tc>
          <w:tcPr>
            <w:tcW w:w="1347"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52"/>
              <w:jc w:val="right"/>
              <w:rPr>
                <w:rFonts w:ascii="Times New Roman" w:hAnsi="Times New Roman" w:cs="Times New Roman" w:eastAsia="Times New Roman" w:hint="default"/>
                <w:sz w:val="18"/>
                <w:szCs w:val="18"/>
              </w:rPr>
            </w:pPr>
            <w:r>
              <w:rPr>
                <w:rFonts w:ascii="Times New Roman"/>
                <w:sz w:val="18"/>
              </w:rPr>
              <w:t>66,499.99</w:t>
            </w:r>
          </w:p>
        </w:tc>
        <w:tc>
          <w:tcPr>
            <w:tcW w:w="1166" w:type="dxa"/>
            <w:tcBorders>
              <w:top w:val="nil" w:sz="6" w:space="0" w:color="auto"/>
              <w:left w:val="nil" w:sz="6" w:space="0" w:color="auto"/>
              <w:bottom w:val="nil" w:sz="6" w:space="0" w:color="auto"/>
              <w:right w:val="nil" w:sz="6" w:space="0" w:color="auto"/>
            </w:tcBorders>
          </w:tcPr>
          <w:p>
            <w:pP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98"/>
              <w:jc w:val="right"/>
              <w:rPr>
                <w:rFonts w:ascii="Times New Roman" w:hAnsi="Times New Roman" w:cs="Times New Roman" w:eastAsia="Times New Roman" w:hint="default"/>
                <w:sz w:val="18"/>
                <w:szCs w:val="18"/>
              </w:rPr>
            </w:pPr>
            <w:r>
              <w:rPr>
                <w:rFonts w:ascii="Times New Roman"/>
                <w:sz w:val="18"/>
              </w:rPr>
              <w:t>66,499.99</w:t>
            </w:r>
          </w:p>
        </w:tc>
      </w:tr>
      <w:tr>
        <w:trPr>
          <w:trHeight w:val="385" w:hRule="exact"/>
        </w:trPr>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非专利技术</w:t>
            </w:r>
          </w:p>
        </w:tc>
        <w:tc>
          <w:tcPr>
            <w:tcW w:w="1347"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
        </w:tc>
        <w:tc>
          <w:tcPr>
            <w:tcW w:w="1166" w:type="dxa"/>
            <w:tcBorders>
              <w:top w:val="nil" w:sz="6" w:space="0" w:color="auto"/>
              <w:left w:val="nil" w:sz="6" w:space="0" w:color="auto"/>
              <w:bottom w:val="nil" w:sz="6" w:space="0" w:color="auto"/>
              <w:right w:val="nil" w:sz="6" w:space="0" w:color="auto"/>
            </w:tcBorders>
          </w:tcPr>
          <w:p>
            <w:pPr/>
          </w:p>
        </w:tc>
        <w:tc>
          <w:tcPr>
            <w:tcW w:w="1386" w:type="dxa"/>
            <w:tcBorders>
              <w:top w:val="nil" w:sz="6" w:space="0" w:color="auto"/>
              <w:left w:val="nil" w:sz="6" w:space="0" w:color="auto"/>
              <w:bottom w:val="nil" w:sz="6" w:space="0" w:color="auto"/>
              <w:right w:val="nil" w:sz="6" w:space="0" w:color="auto"/>
            </w:tcBorders>
          </w:tcPr>
          <w:p>
            <w:pPr/>
          </w:p>
        </w:tc>
      </w:tr>
      <w:tr>
        <w:trPr>
          <w:trHeight w:val="384" w:hRule="exact"/>
        </w:trPr>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、减值准备合计</w:t>
            </w:r>
          </w:p>
        </w:tc>
        <w:tc>
          <w:tcPr>
            <w:tcW w:w="1347"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
        </w:tc>
        <w:tc>
          <w:tcPr>
            <w:tcW w:w="1166" w:type="dxa"/>
            <w:tcBorders>
              <w:top w:val="nil" w:sz="6" w:space="0" w:color="auto"/>
              <w:left w:val="nil" w:sz="6" w:space="0" w:color="auto"/>
              <w:bottom w:val="nil" w:sz="6" w:space="0" w:color="auto"/>
              <w:right w:val="nil" w:sz="6" w:space="0" w:color="auto"/>
            </w:tcBorders>
          </w:tcPr>
          <w:p>
            <w:pPr/>
          </w:p>
        </w:tc>
        <w:tc>
          <w:tcPr>
            <w:tcW w:w="1386" w:type="dxa"/>
            <w:tcBorders>
              <w:top w:val="nil" w:sz="6" w:space="0" w:color="auto"/>
              <w:left w:val="nil" w:sz="6" w:space="0" w:color="auto"/>
              <w:bottom w:val="nil" w:sz="6" w:space="0" w:color="auto"/>
              <w:right w:val="nil" w:sz="6" w:space="0" w:color="auto"/>
            </w:tcBorders>
          </w:tcPr>
          <w:p>
            <w:pPr/>
          </w:p>
        </w:tc>
      </w:tr>
      <w:tr>
        <w:trPr>
          <w:trHeight w:val="385" w:hRule="exact"/>
        </w:trPr>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软件</w:t>
            </w:r>
          </w:p>
        </w:tc>
        <w:tc>
          <w:tcPr>
            <w:tcW w:w="1347"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
        </w:tc>
        <w:tc>
          <w:tcPr>
            <w:tcW w:w="1166" w:type="dxa"/>
            <w:tcBorders>
              <w:top w:val="nil" w:sz="6" w:space="0" w:color="auto"/>
              <w:left w:val="nil" w:sz="6" w:space="0" w:color="auto"/>
              <w:bottom w:val="nil" w:sz="6" w:space="0" w:color="auto"/>
              <w:right w:val="nil" w:sz="6" w:space="0" w:color="auto"/>
            </w:tcBorders>
          </w:tcPr>
          <w:p>
            <w:pPr/>
          </w:p>
        </w:tc>
        <w:tc>
          <w:tcPr>
            <w:tcW w:w="1386" w:type="dxa"/>
            <w:tcBorders>
              <w:top w:val="nil" w:sz="6" w:space="0" w:color="auto"/>
              <w:left w:val="nil" w:sz="6" w:space="0" w:color="auto"/>
              <w:bottom w:val="nil" w:sz="6" w:space="0" w:color="auto"/>
              <w:right w:val="nil" w:sz="6" w:space="0" w:color="auto"/>
            </w:tcBorders>
          </w:tcPr>
          <w:p>
            <w:pPr/>
          </w:p>
        </w:tc>
      </w:tr>
      <w:tr>
        <w:trPr>
          <w:trHeight w:val="385" w:hRule="exact"/>
        </w:trPr>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非专利技术</w:t>
            </w:r>
          </w:p>
        </w:tc>
        <w:tc>
          <w:tcPr>
            <w:tcW w:w="1347"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
        </w:tc>
        <w:tc>
          <w:tcPr>
            <w:tcW w:w="1166" w:type="dxa"/>
            <w:tcBorders>
              <w:top w:val="nil" w:sz="6" w:space="0" w:color="auto"/>
              <w:left w:val="nil" w:sz="6" w:space="0" w:color="auto"/>
              <w:bottom w:val="nil" w:sz="6" w:space="0" w:color="auto"/>
              <w:right w:val="nil" w:sz="6" w:space="0" w:color="auto"/>
            </w:tcBorders>
          </w:tcPr>
          <w:p>
            <w:pPr/>
          </w:p>
        </w:tc>
        <w:tc>
          <w:tcPr>
            <w:tcW w:w="1386" w:type="dxa"/>
            <w:tcBorders>
              <w:top w:val="nil" w:sz="6" w:space="0" w:color="auto"/>
              <w:left w:val="nil" w:sz="6" w:space="0" w:color="auto"/>
              <w:bottom w:val="nil" w:sz="6" w:space="0" w:color="auto"/>
              <w:right w:val="nil" w:sz="6" w:space="0" w:color="auto"/>
            </w:tcBorders>
          </w:tcPr>
          <w:p>
            <w:pPr/>
          </w:p>
        </w:tc>
      </w:tr>
      <w:tr>
        <w:trPr>
          <w:trHeight w:val="384" w:hRule="exact"/>
        </w:trPr>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、无形资产账面价值合计</w:t>
            </w:r>
          </w:p>
        </w:tc>
        <w:tc>
          <w:tcPr>
            <w:tcW w:w="1347"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52"/>
              <w:jc w:val="right"/>
              <w:rPr>
                <w:rFonts w:ascii="Times New Roman" w:hAnsi="Times New Roman" w:cs="Times New Roman" w:eastAsia="Times New Roman" w:hint="default"/>
                <w:sz w:val="18"/>
                <w:szCs w:val="18"/>
              </w:rPr>
            </w:pPr>
            <w:r>
              <w:rPr>
                <w:rFonts w:ascii="Times New Roman"/>
                <w:sz w:val="18"/>
              </w:rPr>
              <w:t>66,499.99</w:t>
            </w:r>
          </w:p>
        </w:tc>
        <w:tc>
          <w:tcPr>
            <w:tcW w:w="1166" w:type="dxa"/>
            <w:tcBorders>
              <w:top w:val="nil" w:sz="6" w:space="0" w:color="auto"/>
              <w:left w:val="nil" w:sz="6" w:space="0" w:color="auto"/>
              <w:bottom w:val="nil" w:sz="6" w:space="0" w:color="auto"/>
              <w:right w:val="nil" w:sz="6" w:space="0" w:color="auto"/>
            </w:tcBorders>
          </w:tcPr>
          <w:p>
            <w:pP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98"/>
              <w:jc w:val="right"/>
              <w:rPr>
                <w:rFonts w:ascii="Times New Roman" w:hAnsi="Times New Roman" w:cs="Times New Roman" w:eastAsia="Times New Roman" w:hint="default"/>
                <w:sz w:val="18"/>
                <w:szCs w:val="18"/>
              </w:rPr>
            </w:pPr>
            <w:r>
              <w:rPr>
                <w:rFonts w:ascii="Times New Roman"/>
                <w:sz w:val="18"/>
              </w:rPr>
              <w:t>66,499.99</w:t>
            </w:r>
          </w:p>
        </w:tc>
      </w:tr>
      <w:tr>
        <w:trPr>
          <w:trHeight w:val="385" w:hRule="exact"/>
        </w:trPr>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软件</w:t>
            </w:r>
          </w:p>
        </w:tc>
        <w:tc>
          <w:tcPr>
            <w:tcW w:w="1347"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52"/>
              <w:jc w:val="right"/>
              <w:rPr>
                <w:rFonts w:ascii="Times New Roman" w:hAnsi="Times New Roman" w:cs="Times New Roman" w:eastAsia="Times New Roman" w:hint="default"/>
                <w:sz w:val="18"/>
                <w:szCs w:val="18"/>
              </w:rPr>
            </w:pPr>
            <w:r>
              <w:rPr>
                <w:rFonts w:ascii="Times New Roman"/>
                <w:sz w:val="18"/>
              </w:rPr>
              <w:t>66,499.99</w:t>
            </w:r>
          </w:p>
        </w:tc>
        <w:tc>
          <w:tcPr>
            <w:tcW w:w="1166" w:type="dxa"/>
            <w:tcBorders>
              <w:top w:val="nil" w:sz="6" w:space="0" w:color="auto"/>
              <w:left w:val="nil" w:sz="6" w:space="0" w:color="auto"/>
              <w:bottom w:val="nil" w:sz="6" w:space="0" w:color="auto"/>
              <w:right w:val="nil" w:sz="6" w:space="0" w:color="auto"/>
            </w:tcBorders>
          </w:tcPr>
          <w:p>
            <w:pP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98"/>
              <w:jc w:val="right"/>
              <w:rPr>
                <w:rFonts w:ascii="Times New Roman" w:hAnsi="Times New Roman" w:cs="Times New Roman" w:eastAsia="Times New Roman" w:hint="default"/>
                <w:sz w:val="18"/>
                <w:szCs w:val="18"/>
              </w:rPr>
            </w:pPr>
            <w:r>
              <w:rPr>
                <w:rFonts w:ascii="Times New Roman"/>
                <w:sz w:val="18"/>
              </w:rPr>
              <w:t>66,499.99</w:t>
            </w:r>
          </w:p>
        </w:tc>
      </w:tr>
      <w:tr>
        <w:trPr>
          <w:trHeight w:val="390" w:hRule="exact"/>
        </w:trPr>
        <w:tc>
          <w:tcPr>
            <w:tcW w:w="2407"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非专利技术</w:t>
            </w:r>
          </w:p>
        </w:tc>
        <w:tc>
          <w:tcPr>
            <w:tcW w:w="1347" w:type="dxa"/>
            <w:tcBorders>
              <w:top w:val="nil" w:sz="6" w:space="0" w:color="auto"/>
              <w:left w:val="nil" w:sz="6" w:space="0" w:color="auto"/>
              <w:bottom w:val="single" w:sz="12" w:space="0" w:color="000000"/>
              <w:right w:val="nil" w:sz="6" w:space="0" w:color="auto"/>
            </w:tcBorders>
          </w:tcPr>
          <w:p>
            <w:pPr/>
          </w:p>
        </w:tc>
        <w:tc>
          <w:tcPr>
            <w:tcW w:w="1532" w:type="dxa"/>
            <w:tcBorders>
              <w:top w:val="nil" w:sz="6" w:space="0" w:color="auto"/>
              <w:left w:val="nil" w:sz="6" w:space="0" w:color="auto"/>
              <w:bottom w:val="single" w:sz="12" w:space="0" w:color="000000"/>
              <w:right w:val="nil" w:sz="6" w:space="0" w:color="auto"/>
            </w:tcBorders>
          </w:tcPr>
          <w:p>
            <w:pPr/>
          </w:p>
        </w:tc>
        <w:tc>
          <w:tcPr>
            <w:tcW w:w="1166" w:type="dxa"/>
            <w:tcBorders>
              <w:top w:val="nil" w:sz="6" w:space="0" w:color="auto"/>
              <w:left w:val="nil" w:sz="6" w:space="0" w:color="auto"/>
              <w:bottom w:val="single" w:sz="12" w:space="0" w:color="000000"/>
              <w:right w:val="nil" w:sz="6" w:space="0" w:color="auto"/>
            </w:tcBorders>
          </w:tcPr>
          <w:p>
            <w:pPr/>
          </w:p>
        </w:tc>
        <w:tc>
          <w:tcPr>
            <w:tcW w:w="1386" w:type="dxa"/>
            <w:tcBorders>
              <w:top w:val="nil" w:sz="6" w:space="0" w:color="auto"/>
              <w:left w:val="nil" w:sz="6" w:space="0" w:color="auto"/>
              <w:bottom w:val="single" w:sz="12" w:space="0" w:color="000000"/>
              <w:right w:val="nil" w:sz="6" w:space="0" w:color="auto"/>
            </w:tcBorders>
          </w:tcPr>
          <w:p>
            <w:pPr/>
          </w:p>
        </w:tc>
      </w:tr>
    </w:tbl>
    <w:p>
      <w:pPr>
        <w:spacing w:line="240" w:lineRule="auto" w:before="1"/>
        <w:rPr>
          <w:rFonts w:ascii="宋体" w:hAnsi="宋体" w:cs="宋体" w:eastAsia="宋体" w:hint="default"/>
          <w:b/>
          <w:bCs/>
          <w:sz w:val="9"/>
          <w:szCs w:val="9"/>
        </w:rPr>
      </w:pPr>
    </w:p>
    <w:p>
      <w:pPr>
        <w:pStyle w:val="BodyText"/>
        <w:spacing w:line="352" w:lineRule="auto" w:before="35"/>
        <w:ind w:left="1397" w:right="287"/>
        <w:jc w:val="left"/>
      </w:pPr>
      <w:r>
        <w:rPr/>
        <w:pict>
          <v:group style="position:absolute;margin-left:146.520004pt;margin-top:-315.445923pt;width:394.15pt;height:308pt;mso-position-horizontal-relative:page;mso-position-vertical-relative:paragraph;z-index:-708616" coordorigin="2930,-6309" coordsize="7883,6160">
            <v:shape style="position:absolute;left:5196;top:-6309;width:4139;height:413" type="#_x0000_t75" stroked="false">
              <v:imagedata r:id="rId155" o:title=""/>
            </v:shape>
            <v:shape style="position:absolute;left:2930;top:-5935;width:7883;height:5785" type="#_x0000_t75" stroked="false">
              <v:imagedata r:id="rId156" o:title=""/>
            </v:shape>
            <w10:wrap type="none"/>
          </v:group>
        </w:pict>
      </w:r>
      <w:r>
        <w:rPr/>
        <w:t>本期摊销额</w:t>
      </w:r>
      <w:r>
        <w:rPr>
          <w:spacing w:val="-53"/>
        </w:rPr>
        <w:t> </w:t>
      </w:r>
      <w:r>
        <w:rPr>
          <w:rFonts w:ascii="Times New Roman" w:hAnsi="Times New Roman" w:cs="Times New Roman" w:eastAsia="Times New Roman" w:hint="default"/>
        </w:rPr>
        <w:t>3,500.01 </w:t>
      </w:r>
      <w:r>
        <w:rPr/>
        <w:t>元。 本期公司全资收购北京友联创新系统集成有限公司，该公司的非专利技术“智能网 络监控系统技术”账面原值为</w:t>
      </w:r>
      <w:r>
        <w:rPr>
          <w:spacing w:val="-38"/>
        </w:rPr>
        <w:t> </w:t>
      </w:r>
      <w:r>
        <w:rPr/>
        <w:t>1,460,000.00</w:t>
      </w:r>
      <w:r>
        <w:rPr>
          <w:spacing w:val="-38"/>
        </w:rPr>
        <w:t> </w:t>
      </w:r>
      <w:r>
        <w:rPr/>
        <w:t>元，累计已摊销金额为</w:t>
      </w:r>
      <w:r>
        <w:rPr>
          <w:spacing w:val="-38"/>
        </w:rPr>
        <w:t> </w:t>
      </w:r>
      <w:r>
        <w:rPr/>
        <w:t>1,460,000.00</w:t>
      </w:r>
      <w:r>
        <w:rPr/>
        <w:t> 元。</w:t>
      </w:r>
    </w:p>
    <w:p>
      <w:pPr>
        <w:spacing w:line="240" w:lineRule="auto" w:before="0"/>
        <w:rPr>
          <w:rFonts w:ascii="宋体" w:hAnsi="宋体" w:cs="宋体" w:eastAsia="宋体" w:hint="default"/>
          <w:sz w:val="20"/>
          <w:szCs w:val="20"/>
        </w:rPr>
      </w:pPr>
    </w:p>
    <w:p>
      <w:pPr>
        <w:pStyle w:val="Heading2"/>
        <w:tabs>
          <w:tab w:pos="1393" w:val="left" w:leader="none"/>
        </w:tabs>
        <w:spacing w:line="240" w:lineRule="auto" w:before="165"/>
        <w:ind w:left="854" w:right="1277"/>
        <w:jc w:val="left"/>
        <w:rPr>
          <w:b w:val="0"/>
          <w:bCs w:val="0"/>
        </w:rPr>
      </w:pPr>
      <w:r>
        <w:rPr/>
        <w:pict>
          <v:group style="position:absolute;margin-left:146.520004pt;margin-top:49.140076pt;width:389.7pt;height:115.75pt;mso-position-horizontal-relative:page;mso-position-vertical-relative:paragraph;z-index:-708592" coordorigin="2930,983" coordsize="7794,2315">
            <v:shape style="position:absolute;left:4326;top:983;width:5150;height:797" type="#_x0000_t75" stroked="false">
              <v:imagedata r:id="rId157" o:title=""/>
            </v:shape>
            <v:shape style="position:absolute;left:2930;top:1741;width:7794;height:1556" type="#_x0000_t75" stroked="false">
              <v:imagedata r:id="rId158" o:title=""/>
            </v:shape>
            <v:shape style="position:absolute;left:5317;top:2510;width:48;height:787" type="#_x0000_t75" stroked="false">
              <v:imagedata r:id="rId159" o:title=""/>
            </v:shape>
            <v:shape style="position:absolute;left:6594;top:2510;width:48;height:787" type="#_x0000_t75" stroked="false">
              <v:imagedata r:id="rId159" o:title=""/>
            </v:shape>
            <v:shape style="position:absolute;left:7906;top:2510;width:48;height:787" type="#_x0000_t75" stroked="false">
              <v:imagedata r:id="rId159" o:title=""/>
            </v:shape>
            <v:shape style="position:absolute;left:9428;top:2510;width:48;height:787" type="#_x0000_t75" stroked="false">
              <v:imagedata r:id="rId159" o:title=""/>
            </v:shape>
            <w10:wrap type="none"/>
          </v:group>
        </w:pict>
      </w:r>
      <w:r>
        <w:rPr>
          <w:rFonts w:ascii="Times New Roman" w:hAnsi="Times New Roman" w:cs="Times New Roman" w:eastAsia="Times New Roman" w:hint="default"/>
          <w:w w:val="95"/>
        </w:rPr>
        <w:t>2</w:t>
      </w:r>
      <w:r>
        <w:rPr>
          <w:w w:val="95"/>
        </w:rPr>
        <w:t>、</w:t>
        <w:tab/>
      </w:r>
      <w:r>
        <w:rPr/>
        <w:t>公司开发项目支出</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1296" w:type="dxa"/>
        <w:tblLayout w:type="fixed"/>
        <w:tblCellMar>
          <w:top w:w="0" w:type="dxa"/>
          <w:left w:w="0" w:type="dxa"/>
          <w:bottom w:w="0" w:type="dxa"/>
          <w:right w:w="0" w:type="dxa"/>
        </w:tblCellMar>
        <w:tblLook w:val="01E0"/>
      </w:tblPr>
      <w:tblGrid>
        <w:gridCol w:w="1449"/>
        <w:gridCol w:w="1006"/>
        <w:gridCol w:w="1415"/>
        <w:gridCol w:w="1167"/>
        <w:gridCol w:w="2711"/>
      </w:tblGrid>
      <w:tr>
        <w:trPr>
          <w:trHeight w:val="289" w:hRule="exact"/>
        </w:trPr>
        <w:tc>
          <w:tcPr>
            <w:tcW w:w="1449" w:type="dxa"/>
            <w:tcBorders>
              <w:top w:val="single" w:sz="12" w:space="0" w:color="000000"/>
              <w:left w:val="nil" w:sz="6" w:space="0" w:color="auto"/>
              <w:bottom w:val="nil" w:sz="6" w:space="0" w:color="auto"/>
              <w:right w:val="nil" w:sz="6" w:space="0" w:color="auto"/>
            </w:tcBorders>
          </w:tcPr>
          <w:p>
            <w:pPr/>
          </w:p>
        </w:tc>
        <w:tc>
          <w:tcPr>
            <w:tcW w:w="1006" w:type="dxa"/>
            <w:tcBorders>
              <w:top w:val="single" w:sz="12" w:space="0" w:color="000000"/>
              <w:left w:val="nil" w:sz="6" w:space="0" w:color="auto"/>
              <w:bottom w:val="nil" w:sz="6" w:space="0" w:color="auto"/>
              <w:right w:val="nil" w:sz="6" w:space="0" w:color="auto"/>
            </w:tcBorders>
          </w:tcPr>
          <w:p>
            <w:pPr/>
          </w:p>
        </w:tc>
        <w:tc>
          <w:tcPr>
            <w:tcW w:w="1415" w:type="dxa"/>
            <w:tcBorders>
              <w:top w:val="single" w:sz="12" w:space="0" w:color="000000"/>
              <w:left w:val="nil" w:sz="6" w:space="0" w:color="auto"/>
              <w:bottom w:val="nil" w:sz="6" w:space="0" w:color="auto"/>
              <w:right w:val="nil" w:sz="6" w:space="0" w:color="auto"/>
            </w:tcBorders>
          </w:tcPr>
          <w:p>
            <w:pPr/>
          </w:p>
        </w:tc>
        <w:tc>
          <w:tcPr>
            <w:tcW w:w="3878"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64"/>
              <w:ind w:left="832" w:right="0"/>
              <w:jc w:val="left"/>
              <w:rPr>
                <w:rFonts w:ascii="宋体" w:hAnsi="宋体" w:cs="宋体" w:eastAsia="宋体" w:hint="default"/>
                <w:sz w:val="15"/>
                <w:szCs w:val="15"/>
              </w:rPr>
            </w:pPr>
            <w:r>
              <w:rPr>
                <w:rFonts w:ascii="宋体" w:hAnsi="宋体" w:cs="宋体" w:eastAsia="宋体" w:hint="default"/>
                <w:sz w:val="15"/>
                <w:szCs w:val="15"/>
              </w:rPr>
              <w:t>本期转出数</w:t>
            </w:r>
          </w:p>
        </w:tc>
      </w:tr>
      <w:tr>
        <w:trPr>
          <w:trHeight w:val="192" w:hRule="exact"/>
        </w:trPr>
        <w:tc>
          <w:tcPr>
            <w:tcW w:w="1449" w:type="dxa"/>
            <w:tcBorders>
              <w:top w:val="nil" w:sz="6" w:space="0" w:color="auto"/>
              <w:left w:val="nil" w:sz="6" w:space="0" w:color="auto"/>
              <w:bottom w:val="nil" w:sz="6" w:space="0" w:color="auto"/>
              <w:right w:val="nil" w:sz="6" w:space="0" w:color="auto"/>
            </w:tcBorders>
          </w:tcPr>
          <w:p>
            <w:pPr>
              <w:pStyle w:val="TableParagraph"/>
              <w:spacing w:line="163" w:lineRule="exact"/>
              <w:ind w:left="468" w:right="0"/>
              <w:jc w:val="left"/>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73"/>
                <w:sz w:val="15"/>
                <w:szCs w:val="15"/>
              </w:rPr>
              <w:t> </w:t>
            </w:r>
            <w:r>
              <w:rPr>
                <w:rFonts w:ascii="宋体" w:hAnsi="宋体" w:cs="宋体" w:eastAsia="宋体" w:hint="default"/>
                <w:sz w:val="15"/>
                <w:szCs w:val="15"/>
              </w:rPr>
              <w:t>目</w:t>
            </w:r>
          </w:p>
        </w:tc>
        <w:tc>
          <w:tcPr>
            <w:tcW w:w="1006" w:type="dxa"/>
            <w:tcBorders>
              <w:top w:val="nil" w:sz="6" w:space="0" w:color="auto"/>
              <w:left w:val="nil" w:sz="6" w:space="0" w:color="auto"/>
              <w:bottom w:val="nil" w:sz="6" w:space="0" w:color="auto"/>
              <w:right w:val="nil" w:sz="6" w:space="0" w:color="auto"/>
            </w:tcBorders>
          </w:tcPr>
          <w:p>
            <w:pPr>
              <w:pStyle w:val="TableParagraph"/>
              <w:spacing w:line="163" w:lineRule="exact"/>
              <w:ind w:left="139" w:right="0"/>
              <w:jc w:val="left"/>
              <w:rPr>
                <w:rFonts w:ascii="宋体" w:hAnsi="宋体" w:cs="宋体" w:eastAsia="宋体" w:hint="default"/>
                <w:sz w:val="15"/>
                <w:szCs w:val="15"/>
              </w:rPr>
            </w:pPr>
            <w:r>
              <w:rPr>
                <w:rFonts w:ascii="宋体" w:hAnsi="宋体" w:cs="宋体" w:eastAsia="宋体" w:hint="default"/>
                <w:sz w:val="15"/>
                <w:szCs w:val="15"/>
              </w:rPr>
              <w:t>年初余额</w:t>
            </w:r>
          </w:p>
        </w:tc>
        <w:tc>
          <w:tcPr>
            <w:tcW w:w="1415" w:type="dxa"/>
            <w:tcBorders>
              <w:top w:val="nil" w:sz="6" w:space="0" w:color="auto"/>
              <w:left w:val="nil" w:sz="6" w:space="0" w:color="auto"/>
              <w:bottom w:val="nil" w:sz="6" w:space="0" w:color="auto"/>
              <w:right w:val="nil" w:sz="6" w:space="0" w:color="auto"/>
            </w:tcBorders>
          </w:tcPr>
          <w:p>
            <w:pPr>
              <w:pStyle w:val="TableParagraph"/>
              <w:spacing w:line="163" w:lineRule="exact"/>
              <w:ind w:left="266" w:right="0"/>
              <w:jc w:val="left"/>
              <w:rPr>
                <w:rFonts w:ascii="宋体" w:hAnsi="宋体" w:cs="宋体" w:eastAsia="宋体" w:hint="default"/>
                <w:sz w:val="15"/>
                <w:szCs w:val="15"/>
              </w:rPr>
            </w:pPr>
            <w:r>
              <w:rPr>
                <w:rFonts w:ascii="宋体" w:hAnsi="宋体" w:cs="宋体" w:eastAsia="宋体" w:hint="default"/>
                <w:sz w:val="15"/>
                <w:szCs w:val="15"/>
              </w:rPr>
              <w:t>本期增加</w:t>
            </w:r>
          </w:p>
        </w:tc>
        <w:tc>
          <w:tcPr>
            <w:tcW w:w="1167" w:type="dxa"/>
            <w:tcBorders>
              <w:top w:val="nil" w:sz="6" w:space="0" w:color="auto"/>
              <w:left w:val="nil" w:sz="6" w:space="0" w:color="auto"/>
              <w:bottom w:val="nil" w:sz="6" w:space="0" w:color="auto"/>
              <w:right w:val="nil" w:sz="6" w:space="0" w:color="auto"/>
            </w:tcBorders>
          </w:tcPr>
          <w:p>
            <w:pPr/>
          </w:p>
        </w:tc>
        <w:tc>
          <w:tcPr>
            <w:tcW w:w="2711" w:type="dxa"/>
            <w:tcBorders>
              <w:top w:val="nil" w:sz="6" w:space="0" w:color="auto"/>
              <w:left w:val="nil" w:sz="6" w:space="0" w:color="auto"/>
              <w:bottom w:val="nil" w:sz="6" w:space="0" w:color="auto"/>
              <w:right w:val="nil" w:sz="6" w:space="0" w:color="auto"/>
            </w:tcBorders>
          </w:tcPr>
          <w:p>
            <w:pPr>
              <w:pStyle w:val="TableParagraph"/>
              <w:spacing w:line="163" w:lineRule="exact"/>
              <w:ind w:left="1787" w:right="0"/>
              <w:jc w:val="left"/>
              <w:rPr>
                <w:rFonts w:ascii="宋体" w:hAnsi="宋体" w:cs="宋体" w:eastAsia="宋体" w:hint="default"/>
                <w:sz w:val="15"/>
                <w:szCs w:val="15"/>
              </w:rPr>
            </w:pPr>
            <w:r>
              <w:rPr>
                <w:rFonts w:ascii="宋体" w:hAnsi="宋体" w:cs="宋体" w:eastAsia="宋体" w:hint="default"/>
                <w:sz w:val="15"/>
                <w:szCs w:val="15"/>
              </w:rPr>
              <w:t>期末余额</w:t>
            </w:r>
          </w:p>
        </w:tc>
      </w:tr>
      <w:tr>
        <w:trPr>
          <w:trHeight w:val="296" w:hRule="exact"/>
        </w:trPr>
        <w:tc>
          <w:tcPr>
            <w:tcW w:w="1449" w:type="dxa"/>
            <w:tcBorders>
              <w:top w:val="nil" w:sz="6" w:space="0" w:color="auto"/>
              <w:left w:val="nil" w:sz="6" w:space="0" w:color="auto"/>
              <w:bottom w:val="nil" w:sz="6" w:space="0" w:color="auto"/>
              <w:right w:val="nil" w:sz="6" w:space="0" w:color="auto"/>
            </w:tcBorders>
          </w:tcPr>
          <w:p>
            <w:pPr/>
          </w:p>
        </w:tc>
        <w:tc>
          <w:tcPr>
            <w:tcW w:w="1006" w:type="dxa"/>
            <w:tcBorders>
              <w:top w:val="nil" w:sz="6" w:space="0" w:color="auto"/>
              <w:left w:val="nil" w:sz="6" w:space="0" w:color="auto"/>
              <w:bottom w:val="nil" w:sz="6" w:space="0" w:color="auto"/>
              <w:right w:val="nil" w:sz="6" w:space="0" w:color="auto"/>
            </w:tcBorders>
          </w:tcPr>
          <w:p>
            <w:pPr/>
          </w:p>
        </w:tc>
        <w:tc>
          <w:tcPr>
            <w:tcW w:w="1415" w:type="dxa"/>
            <w:tcBorders>
              <w:top w:val="nil" w:sz="6" w:space="0" w:color="auto"/>
              <w:left w:val="nil" w:sz="6" w:space="0" w:color="auto"/>
              <w:bottom w:val="nil" w:sz="6" w:space="0" w:color="auto"/>
              <w:right w:val="nil" w:sz="6" w:space="0" w:color="auto"/>
            </w:tcBorders>
          </w:tcPr>
          <w:p>
            <w:pPr/>
          </w:p>
        </w:tc>
        <w:tc>
          <w:tcPr>
            <w:tcW w:w="1167" w:type="dxa"/>
            <w:tcBorders>
              <w:top w:val="nil" w:sz="6" w:space="0" w:color="auto"/>
              <w:left w:val="nil" w:sz="6" w:space="0" w:color="auto"/>
              <w:bottom w:val="nil" w:sz="6" w:space="0" w:color="auto"/>
              <w:right w:val="nil" w:sz="6" w:space="0" w:color="auto"/>
            </w:tcBorders>
          </w:tcPr>
          <w:p>
            <w:pPr>
              <w:pStyle w:val="TableParagraph"/>
              <w:spacing w:line="179" w:lineRule="exact"/>
              <w:ind w:left="-4" w:right="0"/>
              <w:jc w:val="left"/>
              <w:rPr>
                <w:rFonts w:ascii="宋体" w:hAnsi="宋体" w:cs="宋体" w:eastAsia="宋体" w:hint="default"/>
                <w:sz w:val="15"/>
                <w:szCs w:val="15"/>
              </w:rPr>
            </w:pPr>
            <w:r>
              <w:rPr>
                <w:rFonts w:ascii="宋体" w:hAnsi="宋体" w:cs="宋体" w:eastAsia="宋体" w:hint="default"/>
                <w:sz w:val="15"/>
                <w:szCs w:val="15"/>
              </w:rPr>
              <w:t>计入当期损益</w:t>
            </w:r>
          </w:p>
        </w:tc>
        <w:tc>
          <w:tcPr>
            <w:tcW w:w="2711" w:type="dxa"/>
            <w:tcBorders>
              <w:top w:val="nil" w:sz="6" w:space="0" w:color="auto"/>
              <w:left w:val="nil" w:sz="6" w:space="0" w:color="auto"/>
              <w:bottom w:val="nil" w:sz="6" w:space="0" w:color="auto"/>
              <w:right w:val="nil" w:sz="6" w:space="0" w:color="auto"/>
            </w:tcBorders>
          </w:tcPr>
          <w:p>
            <w:pPr>
              <w:pStyle w:val="TableParagraph"/>
              <w:spacing w:line="179" w:lineRule="exact"/>
              <w:ind w:left="172" w:right="0"/>
              <w:jc w:val="left"/>
              <w:rPr>
                <w:rFonts w:ascii="宋体" w:hAnsi="宋体" w:cs="宋体" w:eastAsia="宋体" w:hint="default"/>
                <w:sz w:val="15"/>
                <w:szCs w:val="15"/>
              </w:rPr>
            </w:pPr>
            <w:r>
              <w:rPr>
                <w:rFonts w:ascii="宋体" w:hAnsi="宋体" w:cs="宋体" w:eastAsia="宋体" w:hint="default"/>
                <w:sz w:val="15"/>
                <w:szCs w:val="15"/>
              </w:rPr>
              <w:t>确认为无形资产</w:t>
            </w:r>
          </w:p>
        </w:tc>
      </w:tr>
      <w:tr>
        <w:trPr>
          <w:trHeight w:val="763" w:hRule="exact"/>
        </w:trPr>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00" w:right="0"/>
              <w:jc w:val="left"/>
              <w:rPr>
                <w:rFonts w:ascii="宋体" w:hAnsi="宋体" w:cs="宋体" w:eastAsia="宋体" w:hint="default"/>
                <w:sz w:val="15"/>
                <w:szCs w:val="15"/>
              </w:rPr>
            </w:pPr>
            <w:r>
              <w:rPr>
                <w:rFonts w:ascii="宋体" w:hAnsi="宋体" w:cs="宋体" w:eastAsia="宋体" w:hint="default"/>
                <w:spacing w:val="14"/>
                <w:sz w:val="15"/>
                <w:szCs w:val="15"/>
              </w:rPr>
              <w:t>电信综</w:t>
            </w:r>
            <w:r>
              <w:rPr>
                <w:rFonts w:ascii="宋体" w:hAnsi="宋体" w:cs="宋体" w:eastAsia="宋体" w:hint="default"/>
                <w:spacing w:val="-51"/>
                <w:sz w:val="15"/>
                <w:szCs w:val="15"/>
              </w:rPr>
              <w:t> </w:t>
            </w:r>
            <w:r>
              <w:rPr>
                <w:rFonts w:ascii="宋体" w:hAnsi="宋体" w:cs="宋体" w:eastAsia="宋体" w:hint="default"/>
                <w:spacing w:val="16"/>
                <w:sz w:val="15"/>
                <w:szCs w:val="15"/>
              </w:rPr>
              <w:t>合网管产</w:t>
            </w:r>
            <w:r>
              <w:rPr>
                <w:rFonts w:ascii="宋体" w:hAnsi="宋体" w:cs="宋体" w:eastAsia="宋体" w:hint="default"/>
                <w:spacing w:val="-53"/>
                <w:sz w:val="15"/>
                <w:szCs w:val="15"/>
              </w:rPr>
              <w:t> </w:t>
            </w:r>
            <w:r>
              <w:rPr>
                <w:rFonts w:ascii="宋体" w:hAnsi="宋体" w:cs="宋体" w:eastAsia="宋体" w:hint="default"/>
                <w:sz w:val="15"/>
                <w:szCs w:val="15"/>
              </w:rPr>
            </w:r>
          </w:p>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100"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品</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Ultra-TIMP</w:t>
            </w:r>
          </w:p>
        </w:tc>
        <w:tc>
          <w:tcPr>
            <w:tcW w:w="1006" w:type="dxa"/>
            <w:tcBorders>
              <w:top w:val="nil" w:sz="6" w:space="0" w:color="auto"/>
              <w:left w:val="nil" w:sz="6" w:space="0" w:color="auto"/>
              <w:bottom w:val="nil" w:sz="6" w:space="0" w:color="auto"/>
              <w:right w:val="nil" w:sz="6" w:space="0" w:color="auto"/>
            </w:tcBorders>
          </w:tcPr>
          <w:p>
            <w:pPr/>
          </w:p>
        </w:tc>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right="316"/>
              <w:jc w:val="right"/>
              <w:rPr>
                <w:rFonts w:ascii="Times New Roman" w:hAnsi="Times New Roman" w:cs="Times New Roman" w:eastAsia="Times New Roman" w:hint="default"/>
                <w:sz w:val="15"/>
                <w:szCs w:val="15"/>
              </w:rPr>
            </w:pPr>
            <w:r>
              <w:rPr>
                <w:rFonts w:ascii="Times New Roman"/>
                <w:spacing w:val="-1"/>
                <w:sz w:val="15"/>
              </w:rPr>
              <w:t>2,578,129.26</w:t>
            </w:r>
          </w:p>
        </w:tc>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right="170"/>
              <w:jc w:val="right"/>
              <w:rPr>
                <w:rFonts w:ascii="Times New Roman" w:hAnsi="Times New Roman" w:cs="Times New Roman" w:eastAsia="Times New Roman" w:hint="default"/>
                <w:sz w:val="15"/>
                <w:szCs w:val="15"/>
              </w:rPr>
            </w:pPr>
            <w:r>
              <w:rPr>
                <w:rFonts w:ascii="Times New Roman"/>
                <w:spacing w:val="-1"/>
                <w:sz w:val="15"/>
              </w:rPr>
              <w:t>64,453.23</w:t>
            </w:r>
          </w:p>
        </w:tc>
        <w:tc>
          <w:tcPr>
            <w:tcW w:w="271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right="100"/>
              <w:jc w:val="right"/>
              <w:rPr>
                <w:rFonts w:ascii="Times New Roman" w:hAnsi="Times New Roman" w:cs="Times New Roman" w:eastAsia="Times New Roman" w:hint="default"/>
                <w:sz w:val="15"/>
                <w:szCs w:val="15"/>
              </w:rPr>
            </w:pPr>
            <w:r>
              <w:rPr>
                <w:rFonts w:ascii="Times New Roman"/>
                <w:spacing w:val="-1"/>
                <w:sz w:val="15"/>
              </w:rPr>
              <w:t>2,513,676.03</w:t>
            </w:r>
          </w:p>
        </w:tc>
      </w:tr>
      <w:tr>
        <w:trPr>
          <w:trHeight w:val="766" w:hRule="exact"/>
        </w:trPr>
        <w:tc>
          <w:tcPr>
            <w:tcW w:w="1449" w:type="dxa"/>
            <w:tcBorders>
              <w:top w:val="nil" w:sz="6" w:space="0" w:color="auto"/>
              <w:left w:val="nil" w:sz="6" w:space="0" w:color="auto"/>
              <w:bottom w:val="single" w:sz="12" w:space="0" w:color="000000"/>
              <w:right w:val="nil" w:sz="6" w:space="0" w:color="auto"/>
            </w:tcBorders>
          </w:tcPr>
          <w:p>
            <w:pPr>
              <w:pStyle w:val="TableParagraph"/>
              <w:spacing w:line="240" w:lineRule="auto" w:before="67"/>
              <w:ind w:left="100" w:right="0"/>
              <w:jc w:val="left"/>
              <w:rPr>
                <w:rFonts w:ascii="宋体" w:hAnsi="宋体" w:cs="宋体" w:eastAsia="宋体" w:hint="default"/>
                <w:sz w:val="15"/>
                <w:szCs w:val="15"/>
              </w:rPr>
            </w:pPr>
            <w:r>
              <w:rPr>
                <w:rFonts w:ascii="宋体" w:hAnsi="宋体" w:cs="宋体" w:eastAsia="宋体" w:hint="default"/>
                <w:spacing w:val="14"/>
                <w:sz w:val="15"/>
                <w:szCs w:val="15"/>
              </w:rPr>
              <w:t>无线网</w:t>
            </w:r>
            <w:r>
              <w:rPr>
                <w:rFonts w:ascii="宋体" w:hAnsi="宋体" w:cs="宋体" w:eastAsia="宋体" w:hint="default"/>
                <w:spacing w:val="-51"/>
                <w:sz w:val="15"/>
                <w:szCs w:val="15"/>
              </w:rPr>
              <w:t> </w:t>
            </w:r>
            <w:r>
              <w:rPr>
                <w:rFonts w:ascii="宋体" w:hAnsi="宋体" w:cs="宋体" w:eastAsia="宋体" w:hint="default"/>
                <w:spacing w:val="16"/>
                <w:sz w:val="15"/>
                <w:szCs w:val="15"/>
              </w:rPr>
              <w:t>络优化平</w:t>
            </w:r>
            <w:r>
              <w:rPr>
                <w:rFonts w:ascii="宋体" w:hAnsi="宋体" w:cs="宋体" w:eastAsia="宋体" w:hint="default"/>
                <w:spacing w:val="-53"/>
                <w:sz w:val="15"/>
                <w:szCs w:val="15"/>
              </w:rPr>
              <w:t> </w:t>
            </w:r>
            <w:r>
              <w:rPr>
                <w:rFonts w:ascii="宋体" w:hAnsi="宋体" w:cs="宋体" w:eastAsia="宋体" w:hint="default"/>
                <w:sz w:val="15"/>
                <w:szCs w:val="15"/>
              </w:rPr>
            </w:r>
          </w:p>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100"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台</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Ultra-WOSS</w:t>
            </w:r>
          </w:p>
        </w:tc>
        <w:tc>
          <w:tcPr>
            <w:tcW w:w="1006" w:type="dxa"/>
            <w:tcBorders>
              <w:top w:val="nil" w:sz="6" w:space="0" w:color="auto"/>
              <w:left w:val="nil" w:sz="6" w:space="0" w:color="auto"/>
              <w:bottom w:val="single" w:sz="12" w:space="0" w:color="000000"/>
              <w:right w:val="nil" w:sz="6" w:space="0" w:color="auto"/>
            </w:tcBorders>
          </w:tcPr>
          <w:p>
            <w:pPr/>
          </w:p>
        </w:tc>
        <w:tc>
          <w:tcPr>
            <w:tcW w:w="1415"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5"/>
              <w:ind w:right="316"/>
              <w:jc w:val="right"/>
              <w:rPr>
                <w:rFonts w:ascii="Times New Roman" w:hAnsi="Times New Roman" w:cs="Times New Roman" w:eastAsia="Times New Roman" w:hint="default"/>
                <w:sz w:val="15"/>
                <w:szCs w:val="15"/>
              </w:rPr>
            </w:pPr>
            <w:r>
              <w:rPr>
                <w:rFonts w:ascii="Times New Roman"/>
                <w:spacing w:val="-1"/>
                <w:sz w:val="15"/>
              </w:rPr>
              <w:t>6,782,204.18</w:t>
            </w:r>
          </w:p>
        </w:tc>
        <w:tc>
          <w:tcPr>
            <w:tcW w:w="1167"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5"/>
              <w:ind w:right="170"/>
              <w:jc w:val="right"/>
              <w:rPr>
                <w:rFonts w:ascii="Times New Roman" w:hAnsi="Times New Roman" w:cs="Times New Roman" w:eastAsia="Times New Roman" w:hint="default"/>
                <w:sz w:val="15"/>
                <w:szCs w:val="15"/>
              </w:rPr>
            </w:pPr>
            <w:r>
              <w:rPr>
                <w:rFonts w:ascii="Times New Roman"/>
                <w:spacing w:val="-1"/>
                <w:sz w:val="15"/>
              </w:rPr>
              <w:t>169,555.10</w:t>
            </w:r>
          </w:p>
        </w:tc>
        <w:tc>
          <w:tcPr>
            <w:tcW w:w="2711"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5"/>
              <w:ind w:right="100"/>
              <w:jc w:val="right"/>
              <w:rPr>
                <w:rFonts w:ascii="Times New Roman" w:hAnsi="Times New Roman" w:cs="Times New Roman" w:eastAsia="Times New Roman" w:hint="default"/>
                <w:sz w:val="15"/>
                <w:szCs w:val="15"/>
              </w:rPr>
            </w:pPr>
            <w:r>
              <w:rPr>
                <w:rFonts w:ascii="Times New Roman"/>
                <w:spacing w:val="-1"/>
                <w:sz w:val="15"/>
              </w:rPr>
              <w:t>6,612,649.08</w:t>
            </w:r>
          </w:p>
        </w:tc>
      </w:tr>
    </w:tbl>
    <w:p>
      <w:pPr>
        <w:spacing w:after="0" w:line="240" w:lineRule="auto"/>
        <w:jc w:val="right"/>
        <w:rPr>
          <w:rFonts w:ascii="Times New Roman" w:hAnsi="Times New Roman" w:cs="Times New Roman" w:eastAsia="Times New Roman" w:hint="default"/>
          <w:sz w:val="15"/>
          <w:szCs w:val="15"/>
        </w:rPr>
        <w:sectPr>
          <w:footerReference w:type="default" r:id="rId154"/>
          <w:pgSz w:w="11910" w:h="16840"/>
          <w:pgMar w:footer="982" w:header="0" w:top="1300" w:bottom="1180" w:left="1660" w:right="980"/>
          <w:pgNumType w:start="125"/>
        </w:sectPr>
      </w:pPr>
    </w:p>
    <w:p>
      <w:pPr>
        <w:spacing w:line="240" w:lineRule="auto" w:before="3"/>
        <w:rPr>
          <w:rFonts w:ascii="宋体" w:hAnsi="宋体" w:cs="宋体" w:eastAsia="宋体" w:hint="default"/>
          <w:b/>
          <w:bCs/>
          <w:sz w:val="2"/>
          <w:szCs w:val="2"/>
        </w:rPr>
      </w:pPr>
      <w:r>
        <w:rPr/>
        <w:pict>
          <v:group style="position:absolute;margin-left:88.379997pt;margin-top:67.680pt;width:443.85pt;height:.1pt;mso-position-horizontal-relative:page;mso-position-vertical-relative:page;z-index:-708568" coordorigin="1768,1354" coordsize="8877,2">
            <v:shape style="position:absolute;left:1768;top:1354;width:8877;height:2" coordorigin="1768,1354" coordsize="8877,0" path="m1768,1354l10644,1354e" filled="false" stroked="true" strokeweight=".72pt" strokecolor="#000000">
              <v:path arrowok="t"/>
            </v:shape>
            <w10:wrap type="none"/>
          </v:group>
        </w:pict>
      </w:r>
    </w:p>
    <w:tbl>
      <w:tblPr>
        <w:tblW w:w="0" w:type="auto"/>
        <w:jc w:val="left"/>
        <w:tblInd w:w="1289" w:type="dxa"/>
        <w:tblLayout w:type="fixed"/>
        <w:tblCellMar>
          <w:top w:w="0" w:type="dxa"/>
          <w:left w:w="0" w:type="dxa"/>
          <w:bottom w:w="0" w:type="dxa"/>
          <w:right w:w="0" w:type="dxa"/>
        </w:tblCellMar>
        <w:tblLook w:val="01E0"/>
      </w:tblPr>
      <w:tblGrid>
        <w:gridCol w:w="2006"/>
        <w:gridCol w:w="1872"/>
        <w:gridCol w:w="1953"/>
        <w:gridCol w:w="1925"/>
      </w:tblGrid>
      <w:tr>
        <w:trPr>
          <w:trHeight w:val="1243" w:hRule="exact"/>
        </w:trPr>
        <w:tc>
          <w:tcPr>
            <w:tcW w:w="2006" w:type="dxa"/>
            <w:tcBorders>
              <w:top w:val="single" w:sz="12" w:space="0" w:color="000000"/>
              <w:left w:val="nil" w:sz="6" w:space="0" w:color="auto"/>
              <w:bottom w:val="nil" w:sz="6" w:space="0" w:color="auto"/>
              <w:right w:val="nil" w:sz="6" w:space="0" w:color="auto"/>
            </w:tcBorders>
          </w:tcPr>
          <w:p>
            <w:pPr>
              <w:pStyle w:val="TableParagraph"/>
              <w:spacing w:line="432" w:lineRule="auto" w:before="64"/>
              <w:ind w:left="108" w:right="691"/>
              <w:jc w:val="both"/>
              <w:rPr>
                <w:rFonts w:ascii="宋体" w:hAnsi="宋体" w:cs="宋体" w:eastAsia="宋体" w:hint="default"/>
                <w:sz w:val="15"/>
                <w:szCs w:val="15"/>
              </w:rPr>
            </w:pPr>
            <w:r>
              <w:rPr>
                <w:rFonts w:ascii="Times New Roman" w:hAnsi="Times New Roman" w:cs="Times New Roman" w:eastAsia="Times New Roman" w:hint="default"/>
                <w:sz w:val="15"/>
                <w:szCs w:val="15"/>
              </w:rPr>
              <w:t>IT</w:t>
            </w:r>
            <w:r>
              <w:rPr>
                <w:rFonts w:ascii="Times New Roman" w:hAnsi="Times New Roman" w:cs="Times New Roman" w:eastAsia="Times New Roman" w:hint="default"/>
                <w:spacing w:val="11"/>
                <w:sz w:val="15"/>
                <w:szCs w:val="15"/>
              </w:rPr>
              <w:t> </w:t>
            </w:r>
            <w:r>
              <w:rPr>
                <w:rFonts w:ascii="宋体" w:hAnsi="宋体" w:cs="宋体" w:eastAsia="宋体" w:hint="default"/>
                <w:spacing w:val="10"/>
                <w:sz w:val="15"/>
                <w:szCs w:val="15"/>
              </w:rPr>
              <w:t>监控管理平台 </w:t>
            </w:r>
            <w:r>
              <w:rPr>
                <w:rFonts w:ascii="Times New Roman" w:hAnsi="Times New Roman" w:cs="Times New Roman" w:eastAsia="Times New Roman" w:hint="default"/>
                <w:sz w:val="15"/>
                <w:szCs w:val="15"/>
              </w:rPr>
              <w:t>Ultra-</w:t>
            </w:r>
            <w:r>
              <w:rPr>
                <w:rFonts w:ascii="Times New Roman" w:hAnsi="Times New Roman" w:cs="Times New Roman" w:eastAsia="Times New Roman" w:hint="default"/>
                <w:sz w:val="15"/>
                <w:szCs w:val="15"/>
              </w:rPr>
              <w:t>∑</w:t>
            </w:r>
            <w:r>
              <w:rPr>
                <w:rFonts w:ascii="Times New Roman" w:hAnsi="Times New Roman" w:cs="Times New Roman" w:eastAsia="Times New Roman" w:hint="default"/>
                <w:sz w:val="15"/>
                <w:szCs w:val="15"/>
              </w:rPr>
              <w:t>M</w:t>
            </w:r>
            <w:r>
              <w:rPr>
                <w:rFonts w:ascii="Times New Roman" w:hAnsi="Times New Roman" w:cs="Times New Roman" w:eastAsia="Times New Roman" w:hint="default"/>
                <w:spacing w:val="18"/>
                <w:sz w:val="15"/>
                <w:szCs w:val="15"/>
              </w:rPr>
              <w:t> </w:t>
            </w:r>
            <w:r>
              <w:rPr>
                <w:rFonts w:ascii="宋体" w:hAnsi="宋体" w:cs="宋体" w:eastAsia="宋体" w:hint="default"/>
                <w:spacing w:val="13"/>
                <w:sz w:val="15"/>
                <w:szCs w:val="15"/>
              </w:rPr>
              <w:t>系列软</w:t>
            </w:r>
            <w:r>
              <w:rPr>
                <w:rFonts w:ascii="宋体" w:hAnsi="宋体" w:cs="宋体" w:eastAsia="宋体" w:hint="default"/>
                <w:spacing w:val="-55"/>
                <w:sz w:val="15"/>
                <w:szCs w:val="15"/>
              </w:rPr>
              <w:t> </w:t>
            </w:r>
            <w:r>
              <w:rPr>
                <w:rFonts w:ascii="宋体" w:hAnsi="宋体" w:cs="宋体" w:eastAsia="宋体" w:hint="default"/>
                <w:sz w:val="15"/>
                <w:szCs w:val="15"/>
              </w:rPr>
              <w:t>件</w:t>
            </w:r>
          </w:p>
        </w:tc>
        <w:tc>
          <w:tcPr>
            <w:tcW w:w="1872"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317"/>
              <w:jc w:val="right"/>
              <w:rPr>
                <w:rFonts w:ascii="Times New Roman" w:hAnsi="Times New Roman" w:cs="Times New Roman" w:eastAsia="Times New Roman" w:hint="default"/>
                <w:sz w:val="15"/>
                <w:szCs w:val="15"/>
              </w:rPr>
            </w:pPr>
            <w:r>
              <w:rPr>
                <w:rFonts w:ascii="Times New Roman"/>
                <w:spacing w:val="-1"/>
                <w:sz w:val="15"/>
              </w:rPr>
              <w:t>3,352,391.08</w:t>
            </w:r>
          </w:p>
        </w:tc>
        <w:tc>
          <w:tcPr>
            <w:tcW w:w="1953"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left="392" w:right="0"/>
              <w:jc w:val="left"/>
              <w:rPr>
                <w:rFonts w:ascii="Times New Roman" w:hAnsi="Times New Roman" w:cs="Times New Roman" w:eastAsia="Times New Roman" w:hint="default"/>
                <w:sz w:val="15"/>
                <w:szCs w:val="15"/>
              </w:rPr>
            </w:pPr>
            <w:r>
              <w:rPr>
                <w:rFonts w:ascii="Times New Roman"/>
                <w:sz w:val="15"/>
              </w:rPr>
              <w:t>83,809.78</w:t>
            </w:r>
          </w:p>
        </w:tc>
        <w:tc>
          <w:tcPr>
            <w:tcW w:w="1925"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100"/>
              <w:jc w:val="right"/>
              <w:rPr>
                <w:rFonts w:ascii="Times New Roman" w:hAnsi="Times New Roman" w:cs="Times New Roman" w:eastAsia="Times New Roman" w:hint="default"/>
                <w:sz w:val="15"/>
                <w:szCs w:val="15"/>
              </w:rPr>
            </w:pPr>
            <w:r>
              <w:rPr>
                <w:rFonts w:ascii="Times New Roman"/>
                <w:spacing w:val="-1"/>
                <w:sz w:val="15"/>
              </w:rPr>
              <w:t>3,268,581.30</w:t>
            </w:r>
          </w:p>
        </w:tc>
      </w:tr>
      <w:tr>
        <w:trPr>
          <w:trHeight w:val="758" w:hRule="exact"/>
        </w:trPr>
        <w:tc>
          <w:tcPr>
            <w:tcW w:w="2006" w:type="dxa"/>
            <w:tcBorders>
              <w:top w:val="nil" w:sz="6" w:space="0" w:color="auto"/>
              <w:left w:val="nil" w:sz="6" w:space="0" w:color="auto"/>
              <w:bottom w:val="nil" w:sz="6" w:space="0" w:color="auto"/>
              <w:right w:val="nil" w:sz="6" w:space="0" w:color="auto"/>
            </w:tcBorders>
          </w:tcPr>
          <w:p>
            <w:pPr>
              <w:pStyle w:val="TableParagraph"/>
              <w:spacing w:line="458" w:lineRule="auto" w:before="70"/>
              <w:ind w:left="108" w:right="687"/>
              <w:jc w:val="left"/>
              <w:rPr>
                <w:rFonts w:ascii="宋体" w:hAnsi="宋体" w:cs="宋体" w:eastAsia="宋体" w:hint="default"/>
                <w:sz w:val="15"/>
                <w:szCs w:val="15"/>
              </w:rPr>
            </w:pPr>
            <w:r>
              <w:rPr>
                <w:rFonts w:ascii="宋体" w:hAnsi="宋体" w:cs="宋体" w:eastAsia="宋体" w:hint="default"/>
                <w:spacing w:val="14"/>
                <w:sz w:val="15"/>
                <w:szCs w:val="15"/>
              </w:rPr>
              <w:t>运维服</w:t>
            </w:r>
            <w:r>
              <w:rPr>
                <w:rFonts w:ascii="宋体" w:hAnsi="宋体" w:cs="宋体" w:eastAsia="宋体" w:hint="default"/>
                <w:spacing w:val="-53"/>
                <w:sz w:val="15"/>
                <w:szCs w:val="15"/>
              </w:rPr>
              <w:t> </w:t>
            </w:r>
            <w:r>
              <w:rPr>
                <w:rFonts w:ascii="宋体" w:hAnsi="宋体" w:cs="宋体" w:eastAsia="宋体" w:hint="default"/>
                <w:spacing w:val="16"/>
                <w:sz w:val="15"/>
                <w:szCs w:val="15"/>
              </w:rPr>
              <w:t>务流程管</w:t>
            </w:r>
            <w:r>
              <w:rPr>
                <w:rFonts w:ascii="宋体" w:hAnsi="宋体" w:cs="宋体" w:eastAsia="宋体" w:hint="default"/>
                <w:spacing w:val="-73"/>
                <w:sz w:val="15"/>
                <w:szCs w:val="15"/>
              </w:rPr>
              <w:t> </w:t>
            </w:r>
            <w:r>
              <w:rPr>
                <w:rFonts w:ascii="宋体" w:hAnsi="宋体" w:cs="宋体" w:eastAsia="宋体" w:hint="default"/>
                <w:sz w:val="15"/>
                <w:szCs w:val="15"/>
              </w:rPr>
              <w:t>理系统</w:t>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right="317"/>
              <w:jc w:val="right"/>
              <w:rPr>
                <w:rFonts w:ascii="Times New Roman" w:hAnsi="Times New Roman" w:cs="Times New Roman" w:eastAsia="Times New Roman" w:hint="default"/>
                <w:sz w:val="15"/>
                <w:szCs w:val="15"/>
              </w:rPr>
            </w:pPr>
            <w:r>
              <w:rPr>
                <w:rFonts w:ascii="Times New Roman"/>
                <w:spacing w:val="-1"/>
                <w:sz w:val="15"/>
              </w:rPr>
              <w:t>2,163,483.53</w:t>
            </w:r>
          </w:p>
        </w:tc>
        <w:tc>
          <w:tcPr>
            <w:tcW w:w="195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left="392" w:right="0"/>
              <w:jc w:val="left"/>
              <w:rPr>
                <w:rFonts w:ascii="Times New Roman" w:hAnsi="Times New Roman" w:cs="Times New Roman" w:eastAsia="Times New Roman" w:hint="default"/>
                <w:sz w:val="15"/>
                <w:szCs w:val="15"/>
              </w:rPr>
            </w:pPr>
            <w:r>
              <w:rPr>
                <w:rFonts w:ascii="Times New Roman"/>
                <w:sz w:val="15"/>
              </w:rPr>
              <w:t>54,087.09</w:t>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right="100"/>
              <w:jc w:val="right"/>
              <w:rPr>
                <w:rFonts w:ascii="Times New Roman" w:hAnsi="Times New Roman" w:cs="Times New Roman" w:eastAsia="Times New Roman" w:hint="default"/>
                <w:sz w:val="15"/>
                <w:szCs w:val="15"/>
              </w:rPr>
            </w:pPr>
            <w:r>
              <w:rPr>
                <w:rFonts w:ascii="Times New Roman"/>
                <w:spacing w:val="-1"/>
                <w:sz w:val="15"/>
              </w:rPr>
              <w:t>2,109,396.44</w:t>
            </w:r>
          </w:p>
        </w:tc>
      </w:tr>
      <w:tr>
        <w:trPr>
          <w:trHeight w:val="1137" w:hRule="exact"/>
        </w:trPr>
        <w:tc>
          <w:tcPr>
            <w:tcW w:w="2006" w:type="dxa"/>
            <w:tcBorders>
              <w:top w:val="nil" w:sz="6" w:space="0" w:color="auto"/>
              <w:left w:val="nil" w:sz="6" w:space="0" w:color="auto"/>
              <w:bottom w:val="nil" w:sz="6" w:space="0" w:color="auto"/>
              <w:right w:val="nil" w:sz="6" w:space="0" w:color="auto"/>
            </w:tcBorders>
          </w:tcPr>
          <w:p>
            <w:pPr>
              <w:pStyle w:val="TableParagraph"/>
              <w:spacing w:line="477" w:lineRule="auto" w:before="70"/>
              <w:ind w:left="108" w:right="687"/>
              <w:jc w:val="both"/>
              <w:rPr>
                <w:rFonts w:ascii="Times New Roman" w:hAnsi="Times New Roman" w:cs="Times New Roman" w:eastAsia="Times New Roman" w:hint="default"/>
                <w:sz w:val="15"/>
                <w:szCs w:val="15"/>
              </w:rPr>
            </w:pPr>
            <w:r>
              <w:rPr>
                <w:rFonts w:ascii="宋体" w:hAnsi="宋体" w:cs="宋体" w:eastAsia="宋体" w:hint="default"/>
                <w:spacing w:val="14"/>
                <w:sz w:val="15"/>
                <w:szCs w:val="15"/>
              </w:rPr>
              <w:t>新一代</w:t>
            </w:r>
            <w:r>
              <w:rPr>
                <w:rFonts w:ascii="宋体" w:hAnsi="宋体" w:cs="宋体" w:eastAsia="宋体" w:hint="default"/>
                <w:spacing w:val="-53"/>
                <w:sz w:val="15"/>
                <w:szCs w:val="15"/>
              </w:rPr>
              <w:t> </w:t>
            </w:r>
            <w:r>
              <w:rPr>
                <w:rFonts w:ascii="宋体" w:hAnsi="宋体" w:cs="宋体" w:eastAsia="宋体" w:hint="default"/>
                <w:spacing w:val="16"/>
                <w:sz w:val="15"/>
                <w:szCs w:val="15"/>
              </w:rPr>
              <w:t>安全运行</w:t>
            </w:r>
            <w:r>
              <w:rPr>
                <w:rFonts w:ascii="宋体" w:hAnsi="宋体" w:cs="宋体" w:eastAsia="宋体" w:hint="default"/>
                <w:spacing w:val="-73"/>
                <w:sz w:val="15"/>
                <w:szCs w:val="15"/>
              </w:rPr>
              <w:t> </w:t>
            </w:r>
            <w:r>
              <w:rPr>
                <w:rFonts w:ascii="宋体" w:hAnsi="宋体" w:cs="宋体" w:eastAsia="宋体" w:hint="default"/>
                <w:sz w:val="15"/>
                <w:szCs w:val="15"/>
              </w:rPr>
              <w:t>管 理 中</w:t>
            </w:r>
            <w:r>
              <w:rPr>
                <w:rFonts w:ascii="宋体" w:hAnsi="宋体" w:cs="宋体" w:eastAsia="宋体" w:hint="default"/>
                <w:spacing w:val="57"/>
                <w:sz w:val="15"/>
                <w:szCs w:val="15"/>
              </w:rPr>
              <w:t> </w:t>
            </w:r>
            <w:r>
              <w:rPr>
                <w:rFonts w:ascii="宋体" w:hAnsi="宋体" w:cs="宋体" w:eastAsia="宋体" w:hint="default"/>
                <w:sz w:val="15"/>
                <w:szCs w:val="15"/>
              </w:rPr>
              <w:t>心</w:t>
            </w:r>
            <w:r>
              <w:rPr>
                <w:rFonts w:ascii="宋体" w:hAnsi="宋体" w:cs="宋体" w:eastAsia="宋体" w:hint="default"/>
                <w:sz w:val="15"/>
                <w:szCs w:val="15"/>
              </w:rPr>
              <w:t> </w:t>
            </w:r>
            <w:r>
              <w:rPr>
                <w:rFonts w:ascii="Times New Roman" w:hAnsi="Times New Roman" w:cs="Times New Roman" w:eastAsia="Times New Roman" w:hint="default"/>
                <w:sz w:val="15"/>
                <w:szCs w:val="15"/>
              </w:rPr>
              <w:t>Ultra-SOMC3.0</w:t>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2"/>
              <w:ind w:right="317"/>
              <w:jc w:val="right"/>
              <w:rPr>
                <w:rFonts w:ascii="Times New Roman" w:hAnsi="Times New Roman" w:cs="Times New Roman" w:eastAsia="Times New Roman" w:hint="default"/>
                <w:sz w:val="15"/>
                <w:szCs w:val="15"/>
              </w:rPr>
            </w:pPr>
            <w:r>
              <w:rPr>
                <w:rFonts w:ascii="Times New Roman"/>
                <w:spacing w:val="-1"/>
                <w:sz w:val="15"/>
              </w:rPr>
              <w:t>5,057,464.90</w:t>
            </w:r>
          </w:p>
        </w:tc>
        <w:tc>
          <w:tcPr>
            <w:tcW w:w="195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2"/>
              <w:ind w:left="318" w:right="0"/>
              <w:jc w:val="left"/>
              <w:rPr>
                <w:rFonts w:ascii="Times New Roman" w:hAnsi="Times New Roman" w:cs="Times New Roman" w:eastAsia="Times New Roman" w:hint="default"/>
                <w:sz w:val="15"/>
                <w:szCs w:val="15"/>
              </w:rPr>
            </w:pPr>
            <w:r>
              <w:rPr>
                <w:rFonts w:ascii="Times New Roman"/>
                <w:sz w:val="15"/>
              </w:rPr>
              <w:t>126,436.62</w:t>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2"/>
              <w:ind w:right="100"/>
              <w:jc w:val="right"/>
              <w:rPr>
                <w:rFonts w:ascii="Times New Roman" w:hAnsi="Times New Roman" w:cs="Times New Roman" w:eastAsia="Times New Roman" w:hint="default"/>
                <w:sz w:val="15"/>
                <w:szCs w:val="15"/>
              </w:rPr>
            </w:pPr>
            <w:r>
              <w:rPr>
                <w:rFonts w:ascii="Times New Roman"/>
                <w:spacing w:val="-1"/>
                <w:sz w:val="15"/>
              </w:rPr>
              <w:t>4,931,028.28</w:t>
            </w:r>
          </w:p>
        </w:tc>
      </w:tr>
      <w:tr>
        <w:trPr>
          <w:trHeight w:val="392" w:hRule="exact"/>
        </w:trPr>
        <w:tc>
          <w:tcPr>
            <w:tcW w:w="2006" w:type="dxa"/>
            <w:tcBorders>
              <w:top w:val="nil" w:sz="6" w:space="0" w:color="auto"/>
              <w:left w:val="nil" w:sz="6" w:space="0" w:color="auto"/>
              <w:bottom w:val="single" w:sz="12" w:space="0" w:color="000000"/>
              <w:right w:val="nil" w:sz="6" w:space="0" w:color="auto"/>
            </w:tcBorders>
          </w:tcPr>
          <w:p>
            <w:pPr>
              <w:pStyle w:val="TableParagraph"/>
              <w:spacing w:line="240" w:lineRule="auto" w:before="68"/>
              <w:ind w:left="475" w:right="0"/>
              <w:jc w:val="left"/>
              <w:rPr>
                <w:rFonts w:ascii="宋体" w:hAnsi="宋体" w:cs="宋体" w:eastAsia="宋体" w:hint="default"/>
                <w:sz w:val="15"/>
                <w:szCs w:val="15"/>
              </w:rPr>
            </w:pPr>
            <w:r>
              <w:rPr>
                <w:rFonts w:ascii="宋体" w:hAnsi="宋体" w:cs="宋体" w:eastAsia="宋体" w:hint="default"/>
                <w:sz w:val="15"/>
                <w:szCs w:val="15"/>
              </w:rPr>
              <w:t>合</w:t>
            </w:r>
            <w:r>
              <w:rPr>
                <w:rFonts w:ascii="宋体" w:hAnsi="宋体" w:cs="宋体" w:eastAsia="宋体" w:hint="default"/>
                <w:spacing w:val="73"/>
                <w:sz w:val="15"/>
                <w:szCs w:val="15"/>
              </w:rPr>
              <w:t> </w:t>
            </w:r>
            <w:r>
              <w:rPr>
                <w:rFonts w:ascii="宋体" w:hAnsi="宋体" w:cs="宋体" w:eastAsia="宋体" w:hint="default"/>
                <w:sz w:val="15"/>
                <w:szCs w:val="15"/>
              </w:rPr>
              <w:t>计</w:t>
            </w:r>
          </w:p>
        </w:tc>
        <w:tc>
          <w:tcPr>
            <w:tcW w:w="1872"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316"/>
              <w:jc w:val="right"/>
              <w:rPr>
                <w:rFonts w:ascii="Times New Roman" w:hAnsi="Times New Roman" w:cs="Times New Roman" w:eastAsia="Times New Roman" w:hint="default"/>
                <w:sz w:val="15"/>
                <w:szCs w:val="15"/>
              </w:rPr>
            </w:pPr>
            <w:r>
              <w:rPr>
                <w:rFonts w:ascii="Times New Roman"/>
                <w:spacing w:val="-1"/>
                <w:sz w:val="15"/>
              </w:rPr>
              <w:t>19,933,672.95</w:t>
            </w:r>
          </w:p>
        </w:tc>
        <w:tc>
          <w:tcPr>
            <w:tcW w:w="1953"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left="318" w:right="0"/>
              <w:jc w:val="left"/>
              <w:rPr>
                <w:rFonts w:ascii="Times New Roman" w:hAnsi="Times New Roman" w:cs="Times New Roman" w:eastAsia="Times New Roman" w:hint="default"/>
                <w:sz w:val="15"/>
                <w:szCs w:val="15"/>
              </w:rPr>
            </w:pPr>
            <w:r>
              <w:rPr>
                <w:rFonts w:ascii="Times New Roman"/>
                <w:sz w:val="15"/>
              </w:rPr>
              <w:t>498,341.82</w:t>
            </w:r>
          </w:p>
        </w:tc>
        <w:tc>
          <w:tcPr>
            <w:tcW w:w="1925"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1"/>
              <w:jc w:val="right"/>
              <w:rPr>
                <w:rFonts w:ascii="Times New Roman" w:hAnsi="Times New Roman" w:cs="Times New Roman" w:eastAsia="Times New Roman" w:hint="default"/>
                <w:sz w:val="15"/>
                <w:szCs w:val="15"/>
              </w:rPr>
            </w:pPr>
            <w:r>
              <w:rPr>
                <w:rFonts w:ascii="Times New Roman"/>
                <w:spacing w:val="-1"/>
                <w:sz w:val="15"/>
              </w:rPr>
              <w:t>19,435,331.13</w:t>
            </w:r>
          </w:p>
        </w:tc>
      </w:tr>
    </w:tbl>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spacing w:before="35"/>
        <w:ind w:left="123" w:right="312" w:firstLine="0"/>
        <w:jc w:val="left"/>
        <w:rPr>
          <w:rFonts w:ascii="宋体" w:hAnsi="宋体" w:cs="宋体" w:eastAsia="宋体" w:hint="default"/>
          <w:sz w:val="21"/>
          <w:szCs w:val="21"/>
        </w:rPr>
      </w:pPr>
      <w:r>
        <w:rPr/>
        <w:pict>
          <v:group style="position:absolute;margin-left:146.520004pt;margin-top:-200.361557pt;width:389.7pt;height:170.95pt;mso-position-horizontal-relative:page;mso-position-vertical-relative:paragraph;z-index:-708544" coordorigin="2930,-4007" coordsize="7794,3419">
            <v:shape style="position:absolute;left:4326;top:-4007;width:5150;height:1162" type="#_x0000_t75" stroked="false">
              <v:imagedata r:id="rId160" o:title=""/>
            </v:shape>
            <v:shape style="position:absolute;left:2930;top:-2884;width:7794;height:2296" type="#_x0000_t75" stroked="false">
              <v:imagedata r:id="rId161" o:title=""/>
            </v:shape>
            <w10:wrap type="none"/>
          </v:group>
        </w:pict>
      </w:r>
      <w:r>
        <w:rPr/>
        <w:pict>
          <v:group style="position:absolute;margin-left:119.399994pt;margin-top:42.638443pt;width:413.4pt;height:77.3pt;mso-position-horizontal-relative:page;mso-position-vertical-relative:paragraph;z-index:-708520" coordorigin="2388,853" coordsize="8268,1546">
            <v:shape style="position:absolute;left:2388;top:853;width:8268;height:1546" type="#_x0000_t75" stroked="false">
              <v:imagedata r:id="rId162" o:title=""/>
            </v:shape>
            <v:shape style="position:absolute;left:5317;top:1611;width:48;height:787" type="#_x0000_t75" stroked="false">
              <v:imagedata r:id="rId163" o:title=""/>
            </v:shape>
            <v:shape style="position:absolute;left:6692;top:1611;width:48;height:787" type="#_x0000_t75" stroked="false">
              <v:imagedata r:id="rId163" o:title=""/>
            </v:shape>
            <v:shape style="position:absolute;left:7870;top:1611;width:48;height:787" type="#_x0000_t75" stroked="false">
              <v:imagedata r:id="rId163" o:title=""/>
            </v:shape>
            <v:shape style="position:absolute;left:9245;top:1611;width:48;height:787" type="#_x0000_t75" stroked="false">
              <v:imagedata r:id="rId164"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十二</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商誉</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747" w:type="dxa"/>
        <w:tblLayout w:type="fixed"/>
        <w:tblCellMar>
          <w:top w:w="0" w:type="dxa"/>
          <w:left w:w="0" w:type="dxa"/>
          <w:bottom w:w="0" w:type="dxa"/>
          <w:right w:w="0" w:type="dxa"/>
        </w:tblCellMar>
        <w:tblLook w:val="01E0"/>
      </w:tblPr>
      <w:tblGrid>
        <w:gridCol w:w="1858"/>
        <w:gridCol w:w="1135"/>
        <w:gridCol w:w="1376"/>
        <w:gridCol w:w="1167"/>
        <w:gridCol w:w="1236"/>
        <w:gridCol w:w="1459"/>
      </w:tblGrid>
      <w:tr>
        <w:trPr>
          <w:trHeight w:val="769" w:hRule="exact"/>
        </w:trPr>
        <w:tc>
          <w:tcPr>
            <w:tcW w:w="1858" w:type="dxa"/>
            <w:tcBorders>
              <w:top w:val="single" w:sz="12" w:space="0" w:color="000000"/>
              <w:left w:val="nil" w:sz="6" w:space="0" w:color="auto"/>
              <w:bottom w:val="nil" w:sz="6" w:space="0" w:color="auto"/>
              <w:right w:val="nil" w:sz="6" w:space="0" w:color="auto"/>
            </w:tcBorders>
          </w:tcPr>
          <w:p>
            <w:pPr>
              <w:pStyle w:val="TableParagraph"/>
              <w:spacing w:line="381" w:lineRule="auto" w:before="41"/>
              <w:ind w:left="268" w:right="237" w:hanging="90"/>
              <w:jc w:val="left"/>
              <w:rPr>
                <w:rFonts w:ascii="宋体" w:hAnsi="宋体" w:cs="宋体" w:eastAsia="宋体" w:hint="default"/>
                <w:sz w:val="18"/>
                <w:szCs w:val="18"/>
              </w:rPr>
            </w:pPr>
            <w:r>
              <w:rPr>
                <w:rFonts w:ascii="宋体" w:hAnsi="宋体" w:cs="宋体" w:eastAsia="宋体" w:hint="default"/>
                <w:sz w:val="18"/>
                <w:szCs w:val="18"/>
              </w:rPr>
              <w:t>被投资单位名称或 形成商誉的事项</w:t>
            </w:r>
          </w:p>
        </w:tc>
        <w:tc>
          <w:tcPr>
            <w:tcW w:w="1135"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147"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376"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268"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167"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168"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236"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278"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459"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237" w:right="0"/>
              <w:jc w:val="left"/>
              <w:rPr>
                <w:rFonts w:ascii="宋体" w:hAnsi="宋体" w:cs="宋体" w:eastAsia="宋体" w:hint="default"/>
                <w:sz w:val="18"/>
                <w:szCs w:val="18"/>
              </w:rPr>
            </w:pPr>
            <w:r>
              <w:rPr>
                <w:rFonts w:ascii="宋体" w:hAnsi="宋体" w:cs="宋体" w:eastAsia="宋体" w:hint="default"/>
                <w:sz w:val="18"/>
                <w:szCs w:val="18"/>
              </w:rPr>
              <w:t>期末减值准备</w:t>
            </w:r>
          </w:p>
        </w:tc>
      </w:tr>
      <w:tr>
        <w:trPr>
          <w:trHeight w:val="768" w:hRule="exact"/>
        </w:trPr>
        <w:tc>
          <w:tcPr>
            <w:tcW w:w="1858" w:type="dxa"/>
            <w:tcBorders>
              <w:top w:val="nil" w:sz="6" w:space="0" w:color="auto"/>
              <w:left w:val="nil" w:sz="6" w:space="0" w:color="auto"/>
              <w:bottom w:val="single" w:sz="12" w:space="0" w:color="000000"/>
              <w:right w:val="nil" w:sz="6" w:space="0" w:color="auto"/>
            </w:tcBorders>
          </w:tcPr>
          <w:p>
            <w:pPr>
              <w:pStyle w:val="TableParagraph"/>
              <w:spacing w:line="381" w:lineRule="auto" w:before="46"/>
              <w:ind w:left="106" w:right="145"/>
              <w:jc w:val="left"/>
              <w:rPr>
                <w:rFonts w:ascii="宋体" w:hAnsi="宋体" w:cs="宋体" w:eastAsia="宋体" w:hint="default"/>
                <w:sz w:val="18"/>
                <w:szCs w:val="18"/>
              </w:rPr>
            </w:pPr>
            <w:r>
              <w:rPr>
                <w:rFonts w:ascii="宋体" w:hAnsi="宋体" w:cs="宋体" w:eastAsia="宋体" w:hint="default"/>
                <w:spacing w:val="17"/>
                <w:sz w:val="18"/>
                <w:szCs w:val="18"/>
              </w:rPr>
              <w:t>北京友联创新系统</w:t>
            </w:r>
            <w:r>
              <w:rPr>
                <w:rFonts w:ascii="宋体" w:hAnsi="宋体" w:cs="宋体" w:eastAsia="宋体" w:hint="default"/>
                <w:spacing w:val="-85"/>
                <w:sz w:val="18"/>
                <w:szCs w:val="18"/>
              </w:rPr>
              <w:t> </w:t>
            </w:r>
            <w:r>
              <w:rPr>
                <w:rFonts w:ascii="宋体" w:hAnsi="宋体" w:cs="宋体" w:eastAsia="宋体" w:hint="default"/>
                <w:sz w:val="18"/>
                <w:szCs w:val="18"/>
              </w:rPr>
              <w:t>集成有限公司</w:t>
            </w:r>
          </w:p>
        </w:tc>
        <w:tc>
          <w:tcPr>
            <w:tcW w:w="1135" w:type="dxa"/>
            <w:tcBorders>
              <w:top w:val="nil" w:sz="6" w:space="0" w:color="auto"/>
              <w:left w:val="nil" w:sz="6" w:space="0" w:color="auto"/>
              <w:bottom w:val="single" w:sz="12" w:space="0" w:color="000000"/>
              <w:right w:val="nil" w:sz="6" w:space="0" w:color="auto"/>
            </w:tcBorders>
          </w:tcPr>
          <w:p>
            <w:pPr/>
          </w:p>
        </w:tc>
        <w:tc>
          <w:tcPr>
            <w:tcW w:w="1376"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33,470,814.63</w:t>
            </w:r>
          </w:p>
        </w:tc>
        <w:tc>
          <w:tcPr>
            <w:tcW w:w="1167" w:type="dxa"/>
            <w:tcBorders>
              <w:top w:val="nil" w:sz="6" w:space="0" w:color="auto"/>
              <w:left w:val="nil" w:sz="6" w:space="0" w:color="auto"/>
              <w:bottom w:val="single" w:sz="12" w:space="0" w:color="000000"/>
              <w:right w:val="nil" w:sz="6" w:space="0" w:color="auto"/>
            </w:tcBorders>
          </w:tcPr>
          <w:p>
            <w:pPr/>
          </w:p>
        </w:tc>
        <w:tc>
          <w:tcPr>
            <w:tcW w:w="1236"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left="182" w:right="0"/>
              <w:jc w:val="left"/>
              <w:rPr>
                <w:rFonts w:ascii="Times New Roman" w:hAnsi="Times New Roman" w:cs="Times New Roman" w:eastAsia="Times New Roman" w:hint="default"/>
                <w:sz w:val="18"/>
                <w:szCs w:val="18"/>
              </w:rPr>
            </w:pPr>
            <w:r>
              <w:rPr>
                <w:rFonts w:ascii="Times New Roman"/>
                <w:sz w:val="18"/>
              </w:rPr>
              <w:t>33,470,814.63</w:t>
            </w:r>
          </w:p>
        </w:tc>
        <w:tc>
          <w:tcPr>
            <w:tcW w:w="1459"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pStyle w:val="BodyText"/>
        <w:spacing w:line="336" w:lineRule="auto" w:before="35"/>
        <w:ind w:left="854" w:right="103"/>
        <w:jc w:val="left"/>
      </w:pP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1"/>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3"/>
        </w:rPr>
        <w:t> </w:t>
      </w:r>
      <w:r>
        <w:rPr/>
        <w:t>月，本公司出资</w:t>
      </w:r>
      <w:r>
        <w:rPr>
          <w:spacing w:val="-50"/>
        </w:rPr>
        <w:t> </w:t>
      </w:r>
      <w:r>
        <w:rPr>
          <w:rFonts w:ascii="Times New Roman" w:hAnsi="Times New Roman" w:cs="Times New Roman" w:eastAsia="Times New Roman" w:hint="default"/>
        </w:rPr>
        <w:t>5,900</w:t>
      </w:r>
      <w:r>
        <w:rPr>
          <w:rFonts w:ascii="Times New Roman" w:hAnsi="Times New Roman" w:cs="Times New Roman" w:eastAsia="Times New Roman" w:hint="default"/>
          <w:spacing w:val="3"/>
        </w:rPr>
        <w:t> </w:t>
      </w:r>
      <w:r>
        <w:rPr/>
        <w:t>万元收购自然人徐伟、徐秀华、聂小平、赵朝华持有的 北京友联创新系统集成有限公司</w:t>
      </w:r>
      <w:r>
        <w:rPr>
          <w:spacing w:val="-56"/>
        </w:rPr>
        <w:t> </w:t>
      </w:r>
      <w:r>
        <w:rPr>
          <w:rFonts w:ascii="Times New Roman" w:hAnsi="Times New Roman" w:cs="Times New Roman" w:eastAsia="Times New Roman" w:hint="default"/>
        </w:rPr>
        <w:t>100%</w:t>
      </w:r>
      <w:r>
        <w:rPr/>
        <w:t>股权，该交易构成非同一控制下的企业合并，合并 日该公司净资产金额为</w:t>
      </w:r>
      <w:r>
        <w:rPr>
          <w:spacing w:val="-57"/>
        </w:rPr>
        <w:t> </w:t>
      </w:r>
      <w:r>
        <w:rPr>
          <w:rFonts w:ascii="Times New Roman" w:hAnsi="Times New Roman" w:cs="Times New Roman" w:eastAsia="Times New Roman" w:hint="default"/>
        </w:rPr>
        <w:t>25,529,185.37</w:t>
      </w:r>
      <w:r>
        <w:rPr>
          <w:rFonts w:ascii="Times New Roman" w:hAnsi="Times New Roman" w:cs="Times New Roman" w:eastAsia="Times New Roman" w:hint="default"/>
          <w:spacing w:val="-5"/>
        </w:rPr>
        <w:t> </w:t>
      </w:r>
      <w:r>
        <w:rPr>
          <w:spacing w:val="-7"/>
        </w:rPr>
        <w:t>元，与收购价款的差额</w:t>
      </w:r>
      <w:r>
        <w:rPr>
          <w:spacing w:val="-57"/>
        </w:rPr>
        <w:t> </w:t>
      </w:r>
      <w:r>
        <w:rPr>
          <w:rFonts w:ascii="Times New Roman" w:hAnsi="Times New Roman" w:cs="Times New Roman" w:eastAsia="Times New Roman" w:hint="default"/>
        </w:rPr>
        <w:t>33,470,814.63</w:t>
      </w:r>
      <w:r>
        <w:rPr>
          <w:rFonts w:ascii="Times New Roman" w:hAnsi="Times New Roman" w:cs="Times New Roman" w:eastAsia="Times New Roman" w:hint="default"/>
          <w:spacing w:val="-4"/>
        </w:rPr>
        <w:t> </w:t>
      </w:r>
      <w:r>
        <w:rPr/>
        <w:t>元记入</w:t>
      </w:r>
      <w:r>
        <w:rPr>
          <w:rFonts w:ascii="Times New Roman" w:hAnsi="Times New Roman" w:cs="Times New Roman" w:eastAsia="Times New Roman" w:hint="default"/>
        </w:rPr>
        <w:t>“</w:t>
      </w:r>
      <w:r>
        <w:rPr/>
        <w:t>商誉</w:t>
      </w:r>
      <w:r>
        <w:rPr>
          <w:rFonts w:ascii="Times New Roman" w:hAnsi="Times New Roman" w:cs="Times New Roman" w:eastAsia="Times New Roman" w:hint="default"/>
        </w:rPr>
        <w:t>”</w:t>
      </w:r>
      <w:r>
        <w:rPr/>
        <w:t>。 </w:t>
      </w:r>
      <w:r>
        <w:rPr>
          <w:spacing w:val="-3"/>
        </w:rPr>
        <w:t>该项商誉公司在综合考虑北京友联创新系统集成有限公司技术团队、销售团队与公司融合</w:t>
      </w:r>
      <w:r>
        <w:rPr>
          <w:spacing w:val="-81"/>
        </w:rPr>
        <w:t> </w:t>
      </w:r>
      <w:r>
        <w:rPr>
          <w:spacing w:val="-81"/>
        </w:rPr>
      </w:r>
      <w:r>
        <w:rPr/>
        <w:t>情况、已签约未验收合同的数量金额等情况后，认为本期不存在减值情况。</w:t>
      </w:r>
    </w:p>
    <w:p>
      <w:pPr>
        <w:spacing w:line="240" w:lineRule="auto" w:before="0"/>
        <w:rPr>
          <w:rFonts w:ascii="宋体" w:hAnsi="宋体" w:cs="宋体" w:eastAsia="宋体" w:hint="default"/>
          <w:sz w:val="20"/>
          <w:szCs w:val="20"/>
        </w:rPr>
      </w:pPr>
    </w:p>
    <w:p>
      <w:pPr>
        <w:pStyle w:val="Heading2"/>
        <w:spacing w:line="240" w:lineRule="auto" w:before="179"/>
        <w:ind w:left="122" w:right="312"/>
        <w:jc w:val="left"/>
        <w:rPr>
          <w:b w:val="0"/>
          <w:bCs w:val="0"/>
        </w:rPr>
      </w:pPr>
      <w:r>
        <w:rPr/>
        <w:pict>
          <v:group style="position:absolute;margin-left:119.399994pt;margin-top:49.833958pt;width:417.75pt;height:58.1pt;mso-position-horizontal-relative:page;mso-position-vertical-relative:paragraph;z-index:-708496" coordorigin="2388,997" coordsize="8355,1162">
            <v:shape style="position:absolute;left:4042;top:997;width:5270;height:413" type="#_x0000_t75" stroked="false">
              <v:imagedata r:id="rId165" o:title=""/>
            </v:shape>
            <v:shape style="position:absolute;left:2388;top:1371;width:8354;height:787" type="#_x0000_t75" stroked="false">
              <v:imagedata r:id="rId166" o:title=""/>
            </v:shape>
            <w10:wrap type="none"/>
          </v:group>
        </w:pict>
      </w:r>
      <w:r>
        <w:rPr>
          <w:rFonts w:ascii="Times New Roman" w:hAnsi="Times New Roman" w:cs="Times New Roman" w:eastAsia="Times New Roman" w:hint="default"/>
        </w:rPr>
        <w:t>(</w:t>
      </w:r>
      <w:r>
        <w:rPr/>
        <w:t>十三</w:t>
      </w:r>
      <w:r>
        <w:rPr>
          <w:rFonts w:ascii="Times New Roman" w:hAnsi="Times New Roman" w:cs="Times New Roman" w:eastAsia="Times New Roman" w:hint="default"/>
        </w:rPr>
        <w:t>)  </w:t>
      </w:r>
      <w:r>
        <w:rPr>
          <w:rFonts w:ascii="Times New Roman" w:hAnsi="Times New Roman" w:cs="Times New Roman" w:eastAsia="Times New Roman" w:hint="default"/>
          <w:spacing w:val="3"/>
        </w:rPr>
        <w:t> </w:t>
      </w:r>
      <w:r>
        <w:rPr/>
        <w:t>长期待摊费用</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747" w:type="dxa"/>
        <w:tblLayout w:type="fixed"/>
        <w:tblCellMar>
          <w:top w:w="0" w:type="dxa"/>
          <w:left w:w="0" w:type="dxa"/>
          <w:bottom w:w="0" w:type="dxa"/>
          <w:right w:w="0" w:type="dxa"/>
        </w:tblCellMar>
        <w:tblLook w:val="01E0"/>
      </w:tblPr>
      <w:tblGrid>
        <w:gridCol w:w="1777"/>
        <w:gridCol w:w="1382"/>
        <w:gridCol w:w="1268"/>
        <w:gridCol w:w="1268"/>
        <w:gridCol w:w="1228"/>
        <w:gridCol w:w="1391"/>
      </w:tblGrid>
      <w:tr>
        <w:trPr>
          <w:trHeight w:val="394" w:hRule="exact"/>
        </w:trPr>
        <w:tc>
          <w:tcPr>
            <w:tcW w:w="177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119"/>
              <w:jc w:val="center"/>
              <w:rPr>
                <w:rFonts w:ascii="宋体" w:hAnsi="宋体" w:cs="宋体" w:eastAsia="宋体" w:hint="default"/>
                <w:sz w:val="18"/>
                <w:szCs w:val="18"/>
              </w:rPr>
            </w:pPr>
            <w:r>
              <w:rPr>
                <w:rFonts w:ascii="宋体" w:hAnsi="宋体" w:cs="宋体" w:eastAsia="宋体" w:hint="default"/>
                <w:sz w:val="18"/>
                <w:szCs w:val="18"/>
              </w:rPr>
              <w:t>项目</w:t>
            </w:r>
          </w:p>
        </w:tc>
        <w:tc>
          <w:tcPr>
            <w:tcW w:w="138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30"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26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90"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26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90" w:right="0"/>
              <w:jc w:val="left"/>
              <w:rPr>
                <w:rFonts w:ascii="宋体" w:hAnsi="宋体" w:cs="宋体" w:eastAsia="宋体" w:hint="default"/>
                <w:sz w:val="18"/>
                <w:szCs w:val="18"/>
              </w:rPr>
            </w:pPr>
            <w:r>
              <w:rPr>
                <w:rFonts w:ascii="宋体" w:hAnsi="宋体" w:cs="宋体" w:eastAsia="宋体" w:hint="default"/>
                <w:sz w:val="18"/>
                <w:szCs w:val="18"/>
              </w:rPr>
              <w:t>本期摊销</w:t>
            </w:r>
          </w:p>
        </w:tc>
        <w:tc>
          <w:tcPr>
            <w:tcW w:w="122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90" w:right="0"/>
              <w:jc w:val="left"/>
              <w:rPr>
                <w:rFonts w:ascii="宋体" w:hAnsi="宋体" w:cs="宋体" w:eastAsia="宋体" w:hint="default"/>
                <w:sz w:val="18"/>
                <w:szCs w:val="18"/>
              </w:rPr>
            </w:pPr>
            <w:r>
              <w:rPr>
                <w:rFonts w:ascii="宋体" w:hAnsi="宋体" w:cs="宋体" w:eastAsia="宋体" w:hint="default"/>
                <w:sz w:val="18"/>
                <w:szCs w:val="18"/>
              </w:rPr>
              <w:t>其他减少</w:t>
            </w:r>
          </w:p>
        </w:tc>
        <w:tc>
          <w:tcPr>
            <w:tcW w:w="1391"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1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88" w:hRule="exact"/>
        </w:trPr>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21"/>
              <w:jc w:val="center"/>
              <w:rPr>
                <w:rFonts w:ascii="宋体" w:hAnsi="宋体" w:cs="宋体" w:eastAsia="宋体" w:hint="default"/>
                <w:sz w:val="18"/>
                <w:szCs w:val="18"/>
              </w:rPr>
            </w:pPr>
            <w:r>
              <w:rPr>
                <w:rFonts w:ascii="宋体" w:hAnsi="宋体" w:cs="宋体" w:eastAsia="宋体" w:hint="default"/>
                <w:sz w:val="18"/>
                <w:szCs w:val="18"/>
              </w:rPr>
              <w:t>租入办公场所装修</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88"/>
              <w:jc w:val="right"/>
              <w:rPr>
                <w:rFonts w:ascii="Times New Roman" w:hAnsi="Times New Roman" w:cs="Times New Roman" w:eastAsia="Times New Roman" w:hint="default"/>
                <w:sz w:val="18"/>
                <w:szCs w:val="18"/>
              </w:rPr>
            </w:pPr>
            <w:r>
              <w:rPr>
                <w:rFonts w:ascii="Times New Roman"/>
                <w:sz w:val="18"/>
              </w:rPr>
              <w:t>936,313.76</w:t>
            </w:r>
          </w:p>
        </w:tc>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88"/>
              <w:jc w:val="right"/>
              <w:rPr>
                <w:rFonts w:ascii="Times New Roman" w:hAnsi="Times New Roman" w:cs="Times New Roman" w:eastAsia="Times New Roman" w:hint="default"/>
                <w:sz w:val="18"/>
                <w:szCs w:val="18"/>
              </w:rPr>
            </w:pPr>
            <w:r>
              <w:rPr>
                <w:rFonts w:ascii="Times New Roman"/>
                <w:sz w:val="18"/>
              </w:rPr>
              <w:t>358,189.46</w:t>
            </w:r>
          </w:p>
        </w:tc>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88"/>
              <w:jc w:val="right"/>
              <w:rPr>
                <w:rFonts w:ascii="Times New Roman" w:hAnsi="Times New Roman" w:cs="Times New Roman" w:eastAsia="Times New Roman" w:hint="default"/>
                <w:sz w:val="18"/>
                <w:szCs w:val="18"/>
              </w:rPr>
            </w:pPr>
            <w:r>
              <w:rPr>
                <w:rFonts w:ascii="Times New Roman"/>
                <w:sz w:val="18"/>
              </w:rPr>
              <w:t>945,994.55</w:t>
            </w:r>
          </w:p>
        </w:tc>
        <w:tc>
          <w:tcPr>
            <w:tcW w:w="1228" w:type="dxa"/>
            <w:tcBorders>
              <w:top w:val="nil" w:sz="6" w:space="0" w:color="auto"/>
              <w:left w:val="nil" w:sz="6" w:space="0" w:color="auto"/>
              <w:bottom w:val="nil" w:sz="6" w:space="0" w:color="auto"/>
              <w:right w:val="nil" w:sz="6" w:space="0" w:color="auto"/>
            </w:tcBorders>
          </w:tcPr>
          <w:p>
            <w:pP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98"/>
              <w:jc w:val="right"/>
              <w:rPr>
                <w:rFonts w:ascii="Times New Roman" w:hAnsi="Times New Roman" w:cs="Times New Roman" w:eastAsia="Times New Roman" w:hint="default"/>
                <w:sz w:val="18"/>
                <w:szCs w:val="18"/>
              </w:rPr>
            </w:pPr>
            <w:r>
              <w:rPr>
                <w:rFonts w:ascii="Times New Roman"/>
                <w:sz w:val="18"/>
              </w:rPr>
              <w:t>348,508.67</w:t>
            </w:r>
          </w:p>
        </w:tc>
      </w:tr>
      <w:tr>
        <w:trPr>
          <w:trHeight w:val="390" w:hRule="exact"/>
        </w:trPr>
        <w:tc>
          <w:tcPr>
            <w:tcW w:w="1777"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119"/>
              <w:jc w:val="center"/>
              <w:rPr>
                <w:rFonts w:ascii="宋体" w:hAnsi="宋体" w:cs="宋体" w:eastAsia="宋体" w:hint="default"/>
                <w:sz w:val="18"/>
                <w:szCs w:val="18"/>
              </w:rPr>
            </w:pPr>
            <w:r>
              <w:rPr>
                <w:rFonts w:ascii="宋体" w:hAnsi="宋体" w:cs="宋体" w:eastAsia="宋体" w:hint="default"/>
                <w:sz w:val="18"/>
                <w:szCs w:val="18"/>
              </w:rPr>
              <w:t>合计</w:t>
            </w:r>
          </w:p>
        </w:tc>
        <w:tc>
          <w:tcPr>
            <w:tcW w:w="1382"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88"/>
              <w:jc w:val="right"/>
              <w:rPr>
                <w:rFonts w:ascii="Times New Roman" w:hAnsi="Times New Roman" w:cs="Times New Roman" w:eastAsia="Times New Roman" w:hint="default"/>
                <w:sz w:val="18"/>
                <w:szCs w:val="18"/>
              </w:rPr>
            </w:pPr>
            <w:r>
              <w:rPr>
                <w:rFonts w:ascii="Times New Roman"/>
                <w:sz w:val="18"/>
              </w:rPr>
              <w:t>936,313.76</w:t>
            </w:r>
          </w:p>
        </w:tc>
        <w:tc>
          <w:tcPr>
            <w:tcW w:w="1268"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88"/>
              <w:jc w:val="right"/>
              <w:rPr>
                <w:rFonts w:ascii="Times New Roman" w:hAnsi="Times New Roman" w:cs="Times New Roman" w:eastAsia="Times New Roman" w:hint="default"/>
                <w:sz w:val="18"/>
                <w:szCs w:val="18"/>
              </w:rPr>
            </w:pPr>
            <w:r>
              <w:rPr>
                <w:rFonts w:ascii="Times New Roman"/>
                <w:sz w:val="18"/>
              </w:rPr>
              <w:t>358,189.46</w:t>
            </w:r>
          </w:p>
        </w:tc>
        <w:tc>
          <w:tcPr>
            <w:tcW w:w="1268"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88"/>
              <w:jc w:val="right"/>
              <w:rPr>
                <w:rFonts w:ascii="Times New Roman" w:hAnsi="Times New Roman" w:cs="Times New Roman" w:eastAsia="Times New Roman" w:hint="default"/>
                <w:sz w:val="18"/>
                <w:szCs w:val="18"/>
              </w:rPr>
            </w:pPr>
            <w:r>
              <w:rPr>
                <w:rFonts w:ascii="Times New Roman"/>
                <w:sz w:val="18"/>
              </w:rPr>
              <w:t>945,994.55</w:t>
            </w:r>
          </w:p>
        </w:tc>
        <w:tc>
          <w:tcPr>
            <w:tcW w:w="1228" w:type="dxa"/>
            <w:tcBorders>
              <w:top w:val="nil" w:sz="6" w:space="0" w:color="auto"/>
              <w:left w:val="nil" w:sz="6" w:space="0" w:color="auto"/>
              <w:bottom w:val="single" w:sz="12" w:space="0" w:color="000000"/>
              <w:right w:val="nil" w:sz="6" w:space="0" w:color="auto"/>
            </w:tcBorders>
          </w:tcPr>
          <w:p>
            <w:pPr/>
          </w:p>
        </w:tc>
        <w:tc>
          <w:tcPr>
            <w:tcW w:w="1391"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98"/>
              <w:jc w:val="right"/>
              <w:rPr>
                <w:rFonts w:ascii="Times New Roman" w:hAnsi="Times New Roman" w:cs="Times New Roman" w:eastAsia="Times New Roman" w:hint="default"/>
                <w:sz w:val="18"/>
                <w:szCs w:val="18"/>
              </w:rPr>
            </w:pPr>
            <w:r>
              <w:rPr>
                <w:rFonts w:ascii="Times New Roman"/>
                <w:sz w:val="18"/>
              </w:rPr>
              <w:t>348,508.67</w:t>
            </w:r>
          </w:p>
        </w:tc>
      </w:tr>
    </w:tbl>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spacing w:before="35"/>
        <w:ind w:left="123" w:right="31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十四</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51"/>
          <w:sz w:val="21"/>
          <w:szCs w:val="21"/>
        </w:rPr>
        <w:t> </w:t>
      </w:r>
      <w:r>
        <w:rPr>
          <w:rFonts w:ascii="宋体" w:hAnsi="宋体" w:cs="宋体" w:eastAsia="宋体" w:hint="default"/>
          <w:b/>
          <w:bCs/>
          <w:sz w:val="21"/>
          <w:szCs w:val="21"/>
        </w:rPr>
        <w:t>递延所得税资产和递延所得税负债</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1393" w:val="left" w:leader="none"/>
        </w:tabs>
        <w:spacing w:before="0"/>
        <w:ind w:left="854" w:right="312"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已确认的递延所得税资产和递延所得税负债</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0" w:footer="982" w:top="1300" w:bottom="1180" w:left="1660" w:right="1060"/>
        </w:sectPr>
      </w:pPr>
    </w:p>
    <w:p>
      <w:pPr>
        <w:spacing w:line="240" w:lineRule="auto" w:before="3"/>
        <w:rPr>
          <w:rFonts w:ascii="宋体" w:hAnsi="宋体" w:cs="宋体" w:eastAsia="宋体" w:hint="default"/>
          <w:b/>
          <w:bCs/>
          <w:sz w:val="2"/>
          <w:szCs w:val="2"/>
        </w:rPr>
      </w:pPr>
      <w:r>
        <w:rPr/>
        <w:pict>
          <v:group style="position:absolute;margin-left:88.379997pt;margin-top:67.680pt;width:443.85pt;height:.1pt;mso-position-horizontal-relative:page;mso-position-vertical-relative:page;z-index:-708472" coordorigin="1768,1354" coordsize="8877,2">
            <v:shape style="position:absolute;left:1768;top:1354;width:8877;height:2" coordorigin="1768,1354" coordsize="8877,0" path="m1768,1354l10644,1354e" filled="false" stroked="true" strokeweight=".72pt" strokecolor="#000000">
              <v:path arrowok="t"/>
            </v:shape>
            <w10:wrap type="none"/>
          </v:group>
        </w:pict>
      </w:r>
    </w:p>
    <w:tbl>
      <w:tblPr>
        <w:tblW w:w="0" w:type="auto"/>
        <w:jc w:val="left"/>
        <w:tblInd w:w="1289" w:type="dxa"/>
        <w:tblLayout w:type="fixed"/>
        <w:tblCellMar>
          <w:top w:w="0" w:type="dxa"/>
          <w:left w:w="0" w:type="dxa"/>
          <w:bottom w:w="0" w:type="dxa"/>
          <w:right w:w="0" w:type="dxa"/>
        </w:tblCellMar>
        <w:tblLook w:val="01E0"/>
      </w:tblPr>
      <w:tblGrid>
        <w:gridCol w:w="4271"/>
        <w:gridCol w:w="1863"/>
        <w:gridCol w:w="1639"/>
      </w:tblGrid>
      <w:tr>
        <w:trPr>
          <w:trHeight w:val="495" w:hRule="exact"/>
        </w:trPr>
        <w:tc>
          <w:tcPr>
            <w:tcW w:w="4271" w:type="dxa"/>
            <w:tcBorders>
              <w:top w:val="single" w:sz="12" w:space="0" w:color="000000"/>
              <w:left w:val="nil" w:sz="6" w:space="0" w:color="auto"/>
              <w:bottom w:val="nil" w:sz="6" w:space="0" w:color="auto"/>
              <w:right w:val="nil" w:sz="6" w:space="0" w:color="auto"/>
            </w:tcBorders>
          </w:tcPr>
          <w:p>
            <w:pPr>
              <w:pStyle w:val="TableParagraph"/>
              <w:tabs>
                <w:tab w:pos="419" w:val="left" w:leader="none"/>
              </w:tabs>
              <w:spacing w:line="240" w:lineRule="auto" w:before="16"/>
              <w:ind w:right="202"/>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863"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310"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1639"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304"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84" w:hRule="exact"/>
        </w:trPr>
        <w:tc>
          <w:tcPr>
            <w:tcW w:w="4271"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宋体" w:hAnsi="宋体" w:cs="宋体" w:eastAsia="宋体" w:hint="default"/>
                <w:b/>
                <w:bCs/>
                <w:sz w:val="21"/>
                <w:szCs w:val="21"/>
              </w:rPr>
              <w:t>递延所得税资产：</w:t>
            </w:r>
            <w:r>
              <w:rPr>
                <w:rFonts w:ascii="宋体" w:hAnsi="宋体" w:cs="宋体" w:eastAsia="宋体" w:hint="default"/>
                <w:sz w:val="21"/>
                <w:szCs w:val="21"/>
              </w:rPr>
            </w:r>
          </w:p>
        </w:tc>
        <w:tc>
          <w:tcPr>
            <w:tcW w:w="1863"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390" w:hRule="exact"/>
        </w:trPr>
        <w:tc>
          <w:tcPr>
            <w:tcW w:w="4271"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、资产减值准备形成的可抵扣暂时性差异</w:t>
            </w:r>
          </w:p>
        </w:tc>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02"/>
              <w:jc w:val="right"/>
              <w:rPr>
                <w:rFonts w:ascii="Times New Roman" w:hAnsi="Times New Roman" w:cs="Times New Roman" w:eastAsia="Times New Roman" w:hint="default"/>
                <w:sz w:val="21"/>
                <w:szCs w:val="21"/>
              </w:rPr>
            </w:pPr>
            <w:r>
              <w:rPr>
                <w:rFonts w:ascii="Times New Roman"/>
                <w:spacing w:val="-1"/>
                <w:sz w:val="21"/>
              </w:rPr>
              <w:t>2,238,081.41</w:t>
            </w: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97"/>
              <w:jc w:val="right"/>
              <w:rPr>
                <w:rFonts w:ascii="Times New Roman" w:hAnsi="Times New Roman" w:cs="Times New Roman" w:eastAsia="Times New Roman" w:hint="default"/>
                <w:sz w:val="21"/>
                <w:szCs w:val="21"/>
              </w:rPr>
            </w:pPr>
            <w:r>
              <w:rPr>
                <w:rFonts w:ascii="Times New Roman"/>
                <w:spacing w:val="-1"/>
                <w:sz w:val="21"/>
              </w:rPr>
              <w:t>1,491,362.73</w:t>
            </w:r>
          </w:p>
        </w:tc>
      </w:tr>
      <w:tr>
        <w:trPr>
          <w:trHeight w:val="385" w:hRule="exact"/>
        </w:trPr>
        <w:tc>
          <w:tcPr>
            <w:tcW w:w="4271"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、计提质保金形成的可抵扣暂时性差异</w:t>
            </w:r>
          </w:p>
        </w:tc>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04"/>
              <w:jc w:val="right"/>
              <w:rPr>
                <w:rFonts w:ascii="Times New Roman" w:hAnsi="Times New Roman" w:cs="Times New Roman" w:eastAsia="Times New Roman" w:hint="default"/>
                <w:sz w:val="21"/>
                <w:szCs w:val="21"/>
              </w:rPr>
            </w:pPr>
            <w:r>
              <w:rPr>
                <w:rFonts w:ascii="Times New Roman"/>
                <w:spacing w:val="-1"/>
                <w:sz w:val="21"/>
              </w:rPr>
              <w:t>410,480.46</w:t>
            </w:r>
            <w:r>
              <w:rPr>
                <w:rFonts w:ascii="Times New Roman"/>
                <w:sz w:val="21"/>
              </w:rPr>
            </w: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0"/>
              <w:jc w:val="right"/>
              <w:rPr>
                <w:rFonts w:ascii="Times New Roman" w:hAnsi="Times New Roman" w:cs="Times New Roman" w:eastAsia="Times New Roman" w:hint="default"/>
                <w:sz w:val="21"/>
                <w:szCs w:val="21"/>
              </w:rPr>
            </w:pPr>
            <w:r>
              <w:rPr>
                <w:rFonts w:ascii="Times New Roman"/>
                <w:spacing w:val="-1"/>
                <w:sz w:val="21"/>
              </w:rPr>
              <w:t>591,554.10</w:t>
            </w:r>
            <w:r>
              <w:rPr>
                <w:rFonts w:ascii="Times New Roman"/>
                <w:sz w:val="21"/>
              </w:rPr>
            </w:r>
          </w:p>
        </w:tc>
      </w:tr>
      <w:tr>
        <w:trPr>
          <w:trHeight w:val="753" w:hRule="exact"/>
        </w:trPr>
        <w:tc>
          <w:tcPr>
            <w:tcW w:w="4271" w:type="dxa"/>
            <w:tcBorders>
              <w:top w:val="nil" w:sz="6" w:space="0" w:color="auto"/>
              <w:left w:val="nil" w:sz="6" w:space="0" w:color="auto"/>
              <w:bottom w:val="nil" w:sz="6" w:space="0" w:color="auto"/>
              <w:right w:val="nil" w:sz="6" w:space="0" w:color="auto"/>
            </w:tcBorders>
          </w:tcPr>
          <w:p>
            <w:pPr>
              <w:pStyle w:val="TableParagraph"/>
              <w:spacing w:line="309" w:lineRule="auto" w:before="16"/>
              <w:ind w:left="108" w:right="308"/>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3</w:t>
            </w:r>
            <w:r>
              <w:rPr>
                <w:rFonts w:ascii="宋体" w:hAnsi="宋体" w:cs="宋体" w:eastAsia="宋体" w:hint="default"/>
                <w:spacing w:val="-2"/>
                <w:sz w:val="21"/>
                <w:szCs w:val="21"/>
              </w:rPr>
              <w:t>、其他非流动负债（递延收益）形成的可</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抵扣暂时性差异</w:t>
            </w:r>
          </w:p>
        </w:tc>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302"/>
              <w:jc w:val="right"/>
              <w:rPr>
                <w:rFonts w:ascii="Times New Roman" w:hAnsi="Times New Roman" w:cs="Times New Roman" w:eastAsia="Times New Roman" w:hint="default"/>
                <w:sz w:val="21"/>
                <w:szCs w:val="21"/>
              </w:rPr>
            </w:pPr>
            <w:r>
              <w:rPr>
                <w:rFonts w:ascii="Times New Roman"/>
                <w:spacing w:val="-1"/>
                <w:sz w:val="21"/>
              </w:rPr>
              <w:t>1,422,452.09</w:t>
            </w: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848,395.72</w:t>
            </w:r>
          </w:p>
        </w:tc>
      </w:tr>
      <w:tr>
        <w:trPr>
          <w:trHeight w:val="759" w:hRule="exact"/>
        </w:trPr>
        <w:tc>
          <w:tcPr>
            <w:tcW w:w="4271" w:type="dxa"/>
            <w:tcBorders>
              <w:top w:val="nil" w:sz="6" w:space="0" w:color="auto"/>
              <w:left w:val="nil" w:sz="6" w:space="0" w:color="auto"/>
              <w:bottom w:val="nil" w:sz="6" w:space="0" w:color="auto"/>
              <w:right w:val="nil" w:sz="6" w:space="0" w:color="auto"/>
            </w:tcBorders>
          </w:tcPr>
          <w:p>
            <w:pPr>
              <w:pStyle w:val="TableParagraph"/>
              <w:spacing w:line="309" w:lineRule="auto" w:before="22"/>
              <w:ind w:left="108" w:right="308"/>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4</w:t>
            </w:r>
            <w:r>
              <w:rPr>
                <w:rFonts w:ascii="宋体" w:hAnsi="宋体" w:cs="宋体" w:eastAsia="宋体" w:hint="default"/>
                <w:spacing w:val="-2"/>
                <w:sz w:val="21"/>
                <w:szCs w:val="21"/>
              </w:rPr>
              <w:t>、已计提未支付的奖金形成的可抵扣暂时</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性差异</w:t>
            </w:r>
          </w:p>
        </w:tc>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right="302"/>
              <w:jc w:val="right"/>
              <w:rPr>
                <w:rFonts w:ascii="Times New Roman" w:hAnsi="Times New Roman" w:cs="Times New Roman" w:eastAsia="Times New Roman" w:hint="default"/>
                <w:sz w:val="21"/>
                <w:szCs w:val="21"/>
              </w:rPr>
            </w:pPr>
            <w:r>
              <w:rPr>
                <w:rFonts w:ascii="Times New Roman"/>
                <w:spacing w:val="-1"/>
                <w:sz w:val="21"/>
              </w:rPr>
              <w:t>3,501,000.00</w:t>
            </w: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2,836,500.00</w:t>
            </w:r>
          </w:p>
        </w:tc>
      </w:tr>
      <w:tr>
        <w:trPr>
          <w:trHeight w:val="396" w:hRule="exact"/>
        </w:trPr>
        <w:tc>
          <w:tcPr>
            <w:tcW w:w="4271" w:type="dxa"/>
            <w:tcBorders>
              <w:top w:val="nil" w:sz="6" w:space="0" w:color="auto"/>
              <w:left w:val="nil" w:sz="6" w:space="0" w:color="auto"/>
              <w:bottom w:val="single" w:sz="12" w:space="0" w:color="000000"/>
              <w:right w:val="nil" w:sz="6" w:space="0" w:color="auto"/>
            </w:tcBorders>
          </w:tcPr>
          <w:p>
            <w:pPr>
              <w:pStyle w:val="TableParagraph"/>
              <w:tabs>
                <w:tab w:pos="419" w:val="left" w:leader="none"/>
              </w:tabs>
              <w:spacing w:line="240" w:lineRule="auto" w:before="22"/>
              <w:ind w:right="202"/>
              <w:jc w:val="center"/>
              <w:rPr>
                <w:rFonts w:ascii="宋体" w:hAnsi="宋体" w:cs="宋体" w:eastAsia="宋体" w:hint="default"/>
                <w:sz w:val="21"/>
                <w:szCs w:val="21"/>
              </w:rPr>
            </w:pPr>
            <w:r>
              <w:rPr>
                <w:rFonts w:ascii="宋体" w:hAnsi="宋体" w:cs="宋体" w:eastAsia="宋体" w:hint="default"/>
                <w:sz w:val="21"/>
                <w:szCs w:val="21"/>
              </w:rPr>
              <w:t>小</w:t>
              <w:tab/>
              <w:t>计</w:t>
            </w:r>
          </w:p>
        </w:tc>
        <w:tc>
          <w:tcPr>
            <w:tcW w:w="1863" w:type="dxa"/>
            <w:tcBorders>
              <w:top w:val="nil" w:sz="6" w:space="0" w:color="auto"/>
              <w:left w:val="nil" w:sz="6" w:space="0" w:color="auto"/>
              <w:bottom w:val="single" w:sz="12" w:space="0" w:color="000000"/>
              <w:right w:val="nil" w:sz="6" w:space="0" w:color="auto"/>
            </w:tcBorders>
          </w:tcPr>
          <w:p>
            <w:pPr>
              <w:pStyle w:val="TableParagraph"/>
              <w:spacing w:line="240" w:lineRule="auto" w:before="72"/>
              <w:ind w:right="302"/>
              <w:jc w:val="right"/>
              <w:rPr>
                <w:rFonts w:ascii="Times New Roman" w:hAnsi="Times New Roman" w:cs="Times New Roman" w:eastAsia="Times New Roman" w:hint="default"/>
                <w:sz w:val="21"/>
                <w:szCs w:val="21"/>
              </w:rPr>
            </w:pPr>
            <w:r>
              <w:rPr>
                <w:rFonts w:ascii="Times New Roman"/>
                <w:spacing w:val="-1"/>
                <w:sz w:val="21"/>
              </w:rPr>
              <w:t>7,572,013.96</w:t>
            </w:r>
          </w:p>
        </w:tc>
        <w:tc>
          <w:tcPr>
            <w:tcW w:w="1639" w:type="dxa"/>
            <w:tcBorders>
              <w:top w:val="nil" w:sz="6" w:space="0" w:color="auto"/>
              <w:left w:val="nil" w:sz="6" w:space="0" w:color="auto"/>
              <w:bottom w:val="single" w:sz="12" w:space="0" w:color="000000"/>
              <w:right w:val="nil" w:sz="6" w:space="0" w:color="auto"/>
            </w:tcBorders>
          </w:tcPr>
          <w:p>
            <w:pPr>
              <w:pStyle w:val="TableParagraph"/>
              <w:spacing w:line="240" w:lineRule="auto" w:before="72"/>
              <w:ind w:right="97"/>
              <w:jc w:val="right"/>
              <w:rPr>
                <w:rFonts w:ascii="Times New Roman" w:hAnsi="Times New Roman" w:cs="Times New Roman" w:eastAsia="Times New Roman" w:hint="default"/>
                <w:sz w:val="21"/>
                <w:szCs w:val="21"/>
              </w:rPr>
            </w:pPr>
            <w:r>
              <w:rPr>
                <w:rFonts w:ascii="Times New Roman"/>
                <w:spacing w:val="-1"/>
                <w:sz w:val="21"/>
              </w:rPr>
              <w:t>5,767,812.55</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393" w:val="left" w:leader="none"/>
        </w:tabs>
        <w:spacing w:before="35"/>
        <w:ind w:left="855" w:right="224" w:firstLine="0"/>
        <w:jc w:val="left"/>
        <w:rPr>
          <w:rFonts w:ascii="宋体" w:hAnsi="宋体" w:cs="宋体" w:eastAsia="宋体" w:hint="default"/>
          <w:sz w:val="21"/>
          <w:szCs w:val="21"/>
        </w:rPr>
      </w:pPr>
      <w:r>
        <w:rPr/>
        <w:pict>
          <v:group style="position:absolute;margin-left:146.520004pt;margin-top:-196.830551pt;width:390.7pt;height:172.45pt;mso-position-horizontal-relative:page;mso-position-vertical-relative:paragraph;z-index:-708448" coordorigin="2930,-3937" coordsize="7814,3449">
            <v:shape style="position:absolute;left:6994;top:-3937;width:1916;height:413" type="#_x0000_t75" stroked="false">
              <v:imagedata r:id="rId167" o:title=""/>
            </v:shape>
            <v:shape style="position:absolute;left:2930;top:-3562;width:7813;height:3074" type="#_x0000_t75" stroked="false">
              <v:imagedata r:id="rId168" o:title=""/>
            </v:shape>
            <w10:wrap type="none"/>
          </v:group>
        </w:pict>
      </w:r>
      <w:r>
        <w:rPr/>
        <w:pict>
          <v:group style="position:absolute;margin-left:146.520004pt;margin-top:43.589447pt;width:390.85pt;height:119.35pt;mso-position-horizontal-relative:page;mso-position-vertical-relative:paragraph;z-index:-708424" coordorigin="2930,872" coordsize="7817,2387">
            <v:shape style="position:absolute;left:8597;top:872;width:10;height:374" type="#_x0000_t75" stroked="false">
              <v:imagedata r:id="rId169" o:title=""/>
            </v:shape>
            <v:shape style="position:absolute;left:2930;top:1227;width:7817;height:2032" type="#_x0000_t75" stroked="false">
              <v:imagedata r:id="rId170" o:title=""/>
            </v:shape>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应纳税差异和可抵扣差异项目明细</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1289" w:type="dxa"/>
        <w:tblLayout w:type="fixed"/>
        <w:tblCellMar>
          <w:top w:w="0" w:type="dxa"/>
          <w:left w:w="0" w:type="dxa"/>
          <w:bottom w:w="0" w:type="dxa"/>
          <w:right w:w="0" w:type="dxa"/>
        </w:tblCellMar>
        <w:tblLook w:val="01E0"/>
      </w:tblPr>
      <w:tblGrid>
        <w:gridCol w:w="5722"/>
        <w:gridCol w:w="2051"/>
      </w:tblGrid>
      <w:tr>
        <w:trPr>
          <w:trHeight w:val="393" w:hRule="exact"/>
        </w:trPr>
        <w:tc>
          <w:tcPr>
            <w:tcW w:w="5722"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right="68"/>
              <w:jc w:val="center"/>
              <w:rPr>
                <w:rFonts w:ascii="宋体" w:hAnsi="宋体" w:cs="宋体" w:eastAsia="宋体" w:hint="default"/>
                <w:sz w:val="21"/>
                <w:szCs w:val="21"/>
              </w:rPr>
            </w:pPr>
            <w:r>
              <w:rPr>
                <w:rFonts w:ascii="宋体" w:hAnsi="宋体" w:cs="宋体" w:eastAsia="宋体" w:hint="default"/>
                <w:sz w:val="21"/>
                <w:szCs w:val="21"/>
              </w:rPr>
              <w:t>可抵扣差异项目</w:t>
            </w:r>
          </w:p>
        </w:tc>
        <w:tc>
          <w:tcPr>
            <w:tcW w:w="2051"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259" w:right="0"/>
              <w:jc w:val="left"/>
              <w:rPr>
                <w:rFonts w:ascii="宋体" w:hAnsi="宋体" w:cs="宋体" w:eastAsia="宋体" w:hint="default"/>
                <w:sz w:val="21"/>
                <w:szCs w:val="21"/>
              </w:rPr>
            </w:pPr>
            <w:r>
              <w:rPr>
                <w:rFonts w:ascii="宋体" w:hAnsi="宋体" w:cs="宋体" w:eastAsia="宋体" w:hint="default"/>
                <w:sz w:val="21"/>
                <w:szCs w:val="21"/>
              </w:rPr>
              <w:t>暂时性差异金额</w:t>
            </w:r>
          </w:p>
        </w:tc>
      </w:tr>
      <w:tr>
        <w:trPr>
          <w:trHeight w:val="390" w:hRule="exact"/>
        </w:trPr>
        <w:tc>
          <w:tcPr>
            <w:tcW w:w="572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、资产减值准备形成的可抵扣暂时性差异</w:t>
            </w:r>
          </w:p>
        </w:tc>
        <w:tc>
          <w:tcPr>
            <w:tcW w:w="2051"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98"/>
              <w:jc w:val="right"/>
              <w:rPr>
                <w:rFonts w:ascii="Times New Roman" w:hAnsi="Times New Roman" w:cs="Times New Roman" w:eastAsia="Times New Roman" w:hint="default"/>
                <w:sz w:val="21"/>
                <w:szCs w:val="21"/>
              </w:rPr>
            </w:pPr>
            <w:r>
              <w:rPr>
                <w:rFonts w:ascii="Times New Roman"/>
                <w:spacing w:val="-1"/>
                <w:sz w:val="21"/>
              </w:rPr>
              <w:t>22,165,727.50</w:t>
            </w:r>
          </w:p>
        </w:tc>
      </w:tr>
      <w:tr>
        <w:trPr>
          <w:trHeight w:val="407" w:hRule="exact"/>
        </w:trPr>
        <w:tc>
          <w:tcPr>
            <w:tcW w:w="5722"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、计提质保金形成的可抵扣暂时性差异</w:t>
            </w:r>
          </w:p>
        </w:tc>
        <w:tc>
          <w:tcPr>
            <w:tcW w:w="2051"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97"/>
              <w:jc w:val="right"/>
              <w:rPr>
                <w:rFonts w:ascii="Times New Roman" w:hAnsi="Times New Roman" w:cs="Times New Roman" w:eastAsia="Times New Roman" w:hint="default"/>
                <w:sz w:val="21"/>
                <w:szCs w:val="21"/>
              </w:rPr>
            </w:pPr>
            <w:r>
              <w:rPr>
                <w:rFonts w:ascii="Times New Roman"/>
                <w:spacing w:val="-1"/>
                <w:sz w:val="21"/>
              </w:rPr>
              <w:t>4,104,804.62</w:t>
            </w:r>
          </w:p>
        </w:tc>
      </w:tr>
      <w:tr>
        <w:trPr>
          <w:trHeight w:val="430" w:hRule="exact"/>
        </w:trPr>
        <w:tc>
          <w:tcPr>
            <w:tcW w:w="572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、其他非流动负债（递延收益）形成的可抵扣暂时性差异</w:t>
            </w:r>
          </w:p>
        </w:tc>
        <w:tc>
          <w:tcPr>
            <w:tcW w:w="2051"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14,224,520.90</w:t>
            </w:r>
          </w:p>
        </w:tc>
      </w:tr>
      <w:tr>
        <w:trPr>
          <w:trHeight w:val="407" w:hRule="exact"/>
        </w:trPr>
        <w:tc>
          <w:tcPr>
            <w:tcW w:w="572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、已计提未支付的奖金形成的可抵扣暂时性差异</w:t>
            </w:r>
          </w:p>
        </w:tc>
        <w:tc>
          <w:tcPr>
            <w:tcW w:w="2051"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34,610,000.00</w:t>
            </w:r>
          </w:p>
        </w:tc>
      </w:tr>
      <w:tr>
        <w:trPr>
          <w:trHeight w:val="390" w:hRule="exact"/>
        </w:trPr>
        <w:tc>
          <w:tcPr>
            <w:tcW w:w="5722" w:type="dxa"/>
            <w:tcBorders>
              <w:top w:val="nil" w:sz="6" w:space="0" w:color="auto"/>
              <w:left w:val="nil" w:sz="6" w:space="0" w:color="auto"/>
              <w:bottom w:val="single" w:sz="12" w:space="0" w:color="000000"/>
              <w:right w:val="nil" w:sz="6" w:space="0" w:color="auto"/>
            </w:tcBorders>
          </w:tcPr>
          <w:p>
            <w:pPr>
              <w:pStyle w:val="TableParagraph"/>
              <w:tabs>
                <w:tab w:pos="421" w:val="left" w:leader="none"/>
              </w:tabs>
              <w:spacing w:line="240" w:lineRule="auto" w:before="16"/>
              <w:ind w:right="67"/>
              <w:jc w:val="center"/>
              <w:rPr>
                <w:rFonts w:ascii="宋体" w:hAnsi="宋体" w:cs="宋体" w:eastAsia="宋体" w:hint="default"/>
                <w:sz w:val="21"/>
                <w:szCs w:val="21"/>
              </w:rPr>
            </w:pPr>
            <w:r>
              <w:rPr>
                <w:rFonts w:ascii="宋体" w:hAnsi="宋体" w:cs="宋体" w:eastAsia="宋体" w:hint="default"/>
                <w:sz w:val="21"/>
                <w:szCs w:val="21"/>
              </w:rPr>
              <w:t>小</w:t>
              <w:tab/>
              <w:t>计</w:t>
            </w:r>
          </w:p>
        </w:tc>
        <w:tc>
          <w:tcPr>
            <w:tcW w:w="2051"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1"/>
                <w:sz w:val="21"/>
              </w:rPr>
              <w:t>75,105,053.02</w:t>
            </w:r>
          </w:p>
        </w:tc>
      </w:tr>
    </w:tbl>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spacing w:before="35"/>
        <w:ind w:left="123" w:right="224" w:firstLine="0"/>
        <w:jc w:val="left"/>
        <w:rPr>
          <w:rFonts w:ascii="宋体" w:hAnsi="宋体" w:cs="宋体" w:eastAsia="宋体" w:hint="default"/>
          <w:sz w:val="21"/>
          <w:szCs w:val="21"/>
        </w:rPr>
      </w:pPr>
      <w:r>
        <w:rPr/>
        <w:pict>
          <v:group style="position:absolute;margin-left:119.399994pt;margin-top:42.638474pt;width:413.4pt;height:77.350pt;mso-position-horizontal-relative:page;mso-position-vertical-relative:paragraph;z-index:-708400" coordorigin="2388,853" coordsize="8268,1547">
            <v:shape style="position:absolute;left:4183;top:853;width:5148;height:797" type="#_x0000_t75" stroked="false">
              <v:imagedata r:id="rId171" o:title=""/>
            </v:shape>
            <v:shape style="position:absolute;left:2388;top:1618;width:8268;height:782" type="#_x0000_t75" stroked="false">
              <v:imagedata r:id="rId172"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十五</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资产减值准备</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754" w:type="dxa"/>
        <w:tblLayout w:type="fixed"/>
        <w:tblCellMar>
          <w:top w:w="0" w:type="dxa"/>
          <w:left w:w="0" w:type="dxa"/>
          <w:bottom w:w="0" w:type="dxa"/>
          <w:right w:w="0" w:type="dxa"/>
        </w:tblCellMar>
        <w:tblLook w:val="01E0"/>
      </w:tblPr>
      <w:tblGrid>
        <w:gridCol w:w="1645"/>
        <w:gridCol w:w="1686"/>
        <w:gridCol w:w="1444"/>
        <w:gridCol w:w="1198"/>
        <w:gridCol w:w="2250"/>
      </w:tblGrid>
      <w:tr>
        <w:trPr>
          <w:trHeight w:val="291" w:hRule="exact"/>
        </w:trPr>
        <w:tc>
          <w:tcPr>
            <w:tcW w:w="1645" w:type="dxa"/>
            <w:tcBorders>
              <w:top w:val="single" w:sz="12" w:space="0" w:color="000000"/>
              <w:left w:val="nil" w:sz="6" w:space="0" w:color="auto"/>
              <w:bottom w:val="nil" w:sz="6" w:space="0" w:color="auto"/>
              <w:right w:val="nil" w:sz="6" w:space="0" w:color="auto"/>
            </w:tcBorders>
          </w:tcPr>
          <w:p>
            <w:pPr/>
          </w:p>
        </w:tc>
        <w:tc>
          <w:tcPr>
            <w:tcW w:w="1686" w:type="dxa"/>
            <w:tcBorders>
              <w:top w:val="single" w:sz="12" w:space="0" w:color="000000"/>
              <w:left w:val="nil" w:sz="6" w:space="0" w:color="auto"/>
              <w:bottom w:val="nil" w:sz="6" w:space="0" w:color="auto"/>
              <w:right w:val="nil" w:sz="6" w:space="0" w:color="auto"/>
            </w:tcBorders>
          </w:tcPr>
          <w:p>
            <w:pPr/>
          </w:p>
        </w:tc>
        <w:tc>
          <w:tcPr>
            <w:tcW w:w="1444" w:type="dxa"/>
            <w:tcBorders>
              <w:top w:val="single" w:sz="12" w:space="0" w:color="000000"/>
              <w:left w:val="nil" w:sz="6" w:space="0" w:color="auto"/>
              <w:bottom w:val="nil" w:sz="6" w:space="0" w:color="auto"/>
              <w:right w:val="nil" w:sz="6" w:space="0" w:color="auto"/>
            </w:tcBorders>
          </w:tcPr>
          <w:p>
            <w:pPr/>
          </w:p>
        </w:tc>
        <w:tc>
          <w:tcPr>
            <w:tcW w:w="3449"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41"/>
              <w:ind w:left="652" w:right="0"/>
              <w:jc w:val="left"/>
              <w:rPr>
                <w:rFonts w:ascii="宋体" w:hAnsi="宋体" w:cs="宋体" w:eastAsia="宋体" w:hint="default"/>
                <w:sz w:val="18"/>
                <w:szCs w:val="18"/>
              </w:rPr>
            </w:pPr>
            <w:r>
              <w:rPr>
                <w:rFonts w:ascii="宋体" w:hAnsi="宋体" w:cs="宋体" w:eastAsia="宋体" w:hint="default"/>
                <w:sz w:val="18"/>
                <w:szCs w:val="18"/>
              </w:rPr>
              <w:t>本期减少</w:t>
            </w:r>
          </w:p>
        </w:tc>
      </w:tr>
      <w:tr>
        <w:trPr>
          <w:trHeight w:val="192" w:hRule="exact"/>
        </w:trPr>
        <w:tc>
          <w:tcPr>
            <w:tcW w:w="1645" w:type="dxa"/>
            <w:tcBorders>
              <w:top w:val="nil" w:sz="6" w:space="0" w:color="auto"/>
              <w:left w:val="nil" w:sz="6" w:space="0" w:color="auto"/>
              <w:bottom w:val="nil" w:sz="6" w:space="0" w:color="auto"/>
              <w:right w:val="nil" w:sz="6" w:space="0" w:color="auto"/>
            </w:tcBorders>
          </w:tcPr>
          <w:p>
            <w:pPr>
              <w:pStyle w:val="TableParagraph"/>
              <w:tabs>
                <w:tab w:pos="1025" w:val="left" w:leader="none"/>
              </w:tabs>
              <w:spacing w:line="178" w:lineRule="exact"/>
              <w:ind w:left="576"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686" w:type="dxa"/>
            <w:tcBorders>
              <w:top w:val="nil" w:sz="6" w:space="0" w:color="auto"/>
              <w:left w:val="nil" w:sz="6" w:space="0" w:color="auto"/>
              <w:bottom w:val="nil" w:sz="6" w:space="0" w:color="auto"/>
              <w:right w:val="nil" w:sz="6" w:space="0" w:color="auto"/>
            </w:tcBorders>
          </w:tcPr>
          <w:p>
            <w:pPr>
              <w:pStyle w:val="TableParagraph"/>
              <w:spacing w:line="178" w:lineRule="exact"/>
              <w:ind w:left="504"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44" w:type="dxa"/>
            <w:tcBorders>
              <w:top w:val="nil" w:sz="6" w:space="0" w:color="auto"/>
              <w:left w:val="nil" w:sz="6" w:space="0" w:color="auto"/>
              <w:bottom w:val="nil" w:sz="6" w:space="0" w:color="auto"/>
              <w:right w:val="nil" w:sz="6" w:space="0" w:color="auto"/>
            </w:tcBorders>
          </w:tcPr>
          <w:p>
            <w:pPr>
              <w:pStyle w:val="TableParagraph"/>
              <w:spacing w:line="178" w:lineRule="exact"/>
              <w:ind w:left="26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198" w:type="dxa"/>
            <w:tcBorders>
              <w:top w:val="nil" w:sz="6" w:space="0" w:color="auto"/>
              <w:left w:val="nil" w:sz="6" w:space="0" w:color="auto"/>
              <w:bottom w:val="nil" w:sz="6" w:space="0" w:color="auto"/>
              <w:right w:val="nil" w:sz="6" w:space="0" w:color="auto"/>
            </w:tcBorders>
          </w:tcPr>
          <w:p>
            <w:pPr/>
          </w:p>
        </w:tc>
        <w:tc>
          <w:tcPr>
            <w:tcW w:w="2250" w:type="dxa"/>
            <w:tcBorders>
              <w:top w:val="nil" w:sz="6" w:space="0" w:color="auto"/>
              <w:left w:val="nil" w:sz="6" w:space="0" w:color="auto"/>
              <w:bottom w:val="nil" w:sz="6" w:space="0" w:color="auto"/>
              <w:right w:val="nil" w:sz="6" w:space="0" w:color="auto"/>
            </w:tcBorders>
          </w:tcPr>
          <w:p>
            <w:pPr>
              <w:pStyle w:val="TableParagraph"/>
              <w:spacing w:line="178" w:lineRule="exact"/>
              <w:ind w:left="122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296" w:hRule="exact"/>
        </w:trPr>
        <w:tc>
          <w:tcPr>
            <w:tcW w:w="1645"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444" w:type="dxa"/>
            <w:tcBorders>
              <w:top w:val="nil" w:sz="6" w:space="0" w:color="auto"/>
              <w:left w:val="nil" w:sz="6" w:space="0" w:color="auto"/>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nil" w:sz="6" w:space="0" w:color="auto"/>
            </w:tcBorders>
          </w:tcPr>
          <w:p>
            <w:pPr>
              <w:pStyle w:val="TableParagraph"/>
              <w:spacing w:line="194" w:lineRule="exact"/>
              <w:ind w:left="286" w:right="0"/>
              <w:jc w:val="left"/>
              <w:rPr>
                <w:rFonts w:ascii="宋体" w:hAnsi="宋体" w:cs="宋体" w:eastAsia="宋体" w:hint="default"/>
                <w:sz w:val="18"/>
                <w:szCs w:val="18"/>
              </w:rPr>
            </w:pPr>
            <w:r>
              <w:rPr>
                <w:rFonts w:ascii="宋体" w:hAnsi="宋体" w:cs="宋体" w:eastAsia="宋体" w:hint="default"/>
                <w:sz w:val="18"/>
                <w:szCs w:val="18"/>
              </w:rPr>
              <w:t>转 回</w:t>
            </w:r>
          </w:p>
        </w:tc>
        <w:tc>
          <w:tcPr>
            <w:tcW w:w="2250" w:type="dxa"/>
            <w:tcBorders>
              <w:top w:val="nil" w:sz="6" w:space="0" w:color="auto"/>
              <w:left w:val="nil" w:sz="6" w:space="0" w:color="auto"/>
              <w:bottom w:val="nil" w:sz="6" w:space="0" w:color="auto"/>
              <w:right w:val="nil" w:sz="6" w:space="0" w:color="auto"/>
            </w:tcBorders>
          </w:tcPr>
          <w:p>
            <w:pPr>
              <w:pStyle w:val="TableParagraph"/>
              <w:spacing w:line="194" w:lineRule="exact"/>
              <w:ind w:left="192" w:right="0"/>
              <w:jc w:val="left"/>
              <w:rPr>
                <w:rFonts w:ascii="宋体" w:hAnsi="宋体" w:cs="宋体" w:eastAsia="宋体" w:hint="default"/>
                <w:sz w:val="18"/>
                <w:szCs w:val="18"/>
              </w:rPr>
            </w:pPr>
            <w:r>
              <w:rPr>
                <w:rFonts w:ascii="宋体" w:hAnsi="宋体" w:cs="宋体" w:eastAsia="宋体" w:hint="default"/>
                <w:sz w:val="18"/>
                <w:szCs w:val="18"/>
              </w:rPr>
              <w:t>转 销</w:t>
            </w:r>
          </w:p>
        </w:tc>
      </w:tr>
      <w:tr>
        <w:trPr>
          <w:trHeight w:val="388" w:hRule="exact"/>
        </w:trPr>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46"/>
              <w:ind w:left="99"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10"/>
              <w:jc w:val="right"/>
              <w:rPr>
                <w:rFonts w:ascii="Times New Roman" w:hAnsi="Times New Roman" w:cs="Times New Roman" w:eastAsia="Times New Roman" w:hint="default"/>
                <w:sz w:val="18"/>
                <w:szCs w:val="18"/>
              </w:rPr>
            </w:pPr>
            <w:r>
              <w:rPr>
                <w:rFonts w:ascii="Times New Roman"/>
                <w:spacing w:val="-1"/>
                <w:sz w:val="18"/>
              </w:rPr>
              <w:t>10,764,227.16</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86"/>
              <w:ind w:left="212" w:right="0"/>
              <w:jc w:val="left"/>
              <w:rPr>
                <w:rFonts w:ascii="Times New Roman" w:hAnsi="Times New Roman" w:cs="Times New Roman" w:eastAsia="Times New Roman" w:hint="default"/>
                <w:sz w:val="18"/>
                <w:szCs w:val="18"/>
              </w:rPr>
            </w:pPr>
            <w:r>
              <w:rPr>
                <w:rFonts w:ascii="Times New Roman"/>
                <w:sz w:val="18"/>
              </w:rPr>
              <w:t>11,876,749.62</w:t>
            </w:r>
          </w:p>
        </w:tc>
        <w:tc>
          <w:tcPr>
            <w:tcW w:w="119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202" w:right="0"/>
              <w:jc w:val="left"/>
              <w:rPr>
                <w:rFonts w:ascii="Times New Roman" w:hAnsi="Times New Roman" w:cs="Times New Roman" w:eastAsia="Times New Roman" w:hint="default"/>
                <w:sz w:val="18"/>
                <w:szCs w:val="18"/>
              </w:rPr>
            </w:pPr>
            <w:r>
              <w:rPr>
                <w:rFonts w:ascii="Times New Roman"/>
                <w:sz w:val="18"/>
              </w:rPr>
              <w:t>411,805.77</w:t>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99"/>
              <w:jc w:val="right"/>
              <w:rPr>
                <w:rFonts w:ascii="Times New Roman" w:hAnsi="Times New Roman" w:cs="Times New Roman" w:eastAsia="Times New Roman" w:hint="default"/>
                <w:sz w:val="18"/>
                <w:szCs w:val="18"/>
              </w:rPr>
            </w:pPr>
            <w:r>
              <w:rPr>
                <w:rFonts w:ascii="Times New Roman"/>
                <w:spacing w:val="-1"/>
                <w:sz w:val="18"/>
              </w:rPr>
              <w:t>22,229,171.01</w:t>
            </w:r>
          </w:p>
        </w:tc>
      </w:tr>
      <w:tr>
        <w:trPr>
          <w:trHeight w:val="391" w:hRule="exact"/>
        </w:trPr>
        <w:tc>
          <w:tcPr>
            <w:tcW w:w="1645" w:type="dxa"/>
            <w:tcBorders>
              <w:top w:val="nil" w:sz="6" w:space="0" w:color="auto"/>
              <w:left w:val="nil" w:sz="6" w:space="0" w:color="auto"/>
              <w:bottom w:val="single" w:sz="12" w:space="0" w:color="000000"/>
              <w:right w:val="nil" w:sz="6" w:space="0" w:color="auto"/>
            </w:tcBorders>
          </w:tcPr>
          <w:p>
            <w:pPr>
              <w:pStyle w:val="TableParagraph"/>
              <w:spacing w:line="240" w:lineRule="auto" w:before="43"/>
              <w:ind w:left="99"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86"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210"/>
              <w:jc w:val="right"/>
              <w:rPr>
                <w:rFonts w:ascii="Times New Roman" w:hAnsi="Times New Roman" w:cs="Times New Roman" w:eastAsia="Times New Roman" w:hint="default"/>
                <w:sz w:val="18"/>
                <w:szCs w:val="18"/>
              </w:rPr>
            </w:pPr>
            <w:r>
              <w:rPr>
                <w:rFonts w:ascii="Times New Roman"/>
                <w:spacing w:val="-1"/>
                <w:sz w:val="18"/>
              </w:rPr>
              <w:t>10,764,227.16</w:t>
            </w:r>
          </w:p>
        </w:tc>
        <w:tc>
          <w:tcPr>
            <w:tcW w:w="1444"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left="212" w:right="0"/>
              <w:jc w:val="left"/>
              <w:rPr>
                <w:rFonts w:ascii="Times New Roman" w:hAnsi="Times New Roman" w:cs="Times New Roman" w:eastAsia="Times New Roman" w:hint="default"/>
                <w:sz w:val="18"/>
                <w:szCs w:val="18"/>
              </w:rPr>
            </w:pPr>
            <w:r>
              <w:rPr>
                <w:rFonts w:ascii="Times New Roman"/>
                <w:sz w:val="18"/>
              </w:rPr>
              <w:t>11,876,749.62</w:t>
            </w:r>
          </w:p>
        </w:tc>
        <w:tc>
          <w:tcPr>
            <w:tcW w:w="1198"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left="202" w:right="0"/>
              <w:jc w:val="left"/>
              <w:rPr>
                <w:rFonts w:ascii="Times New Roman" w:hAnsi="Times New Roman" w:cs="Times New Roman" w:eastAsia="Times New Roman" w:hint="default"/>
                <w:sz w:val="18"/>
                <w:szCs w:val="18"/>
              </w:rPr>
            </w:pPr>
            <w:r>
              <w:rPr>
                <w:rFonts w:ascii="Times New Roman"/>
                <w:sz w:val="18"/>
              </w:rPr>
              <w:t>411,805.77</w:t>
            </w:r>
          </w:p>
        </w:tc>
        <w:tc>
          <w:tcPr>
            <w:tcW w:w="2250"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99"/>
              <w:jc w:val="right"/>
              <w:rPr>
                <w:rFonts w:ascii="Times New Roman" w:hAnsi="Times New Roman" w:cs="Times New Roman" w:eastAsia="Times New Roman" w:hint="default"/>
                <w:sz w:val="18"/>
                <w:szCs w:val="18"/>
              </w:rPr>
            </w:pPr>
            <w:r>
              <w:rPr>
                <w:rFonts w:ascii="Times New Roman"/>
                <w:spacing w:val="-1"/>
                <w:sz w:val="18"/>
              </w:rPr>
              <w:t>22,229,171.01</w:t>
            </w:r>
          </w:p>
        </w:tc>
      </w:tr>
    </w:tbl>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spacing w:before="35"/>
        <w:ind w:left="123" w:right="22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十六</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应付账款</w:t>
      </w:r>
      <w:r>
        <w:rPr>
          <w:rFonts w:ascii="宋体" w:hAnsi="宋体" w:cs="宋体" w:eastAsia="宋体" w:hint="default"/>
          <w:sz w:val="21"/>
          <w:szCs w:val="21"/>
        </w:rPr>
      </w:r>
    </w:p>
    <w:p>
      <w:pPr>
        <w:spacing w:before="109"/>
        <w:ind w:left="854" w:right="224" w:firstLine="0"/>
        <w:jc w:val="left"/>
        <w:rPr>
          <w:rFonts w:ascii="宋体" w:hAnsi="宋体" w:cs="宋体" w:eastAsia="宋体" w:hint="default"/>
          <w:sz w:val="21"/>
          <w:szCs w:val="21"/>
        </w:rPr>
      </w:pPr>
      <w:r>
        <w:rPr/>
        <w:pict>
          <v:group style="position:absolute;margin-left:146.009995pt;margin-top:45.796974pt;width:327.4pt;height:40.950pt;mso-position-horizontal-relative:page;mso-position-vertical-relative:paragraph;z-index:-708376" coordorigin="2920,916" coordsize="6548,819">
            <v:group style="position:absolute;left:2950;top:931;width:6496;height:2" coordorigin="2950,931" coordsize="6496,2">
              <v:shape style="position:absolute;left:2950;top:931;width:6496;height:2" coordorigin="2950,931" coordsize="6496,0" path="m2950,931l9445,931e" filled="false" stroked="true" strokeweight="1.5pt" strokecolor="#000000">
                <v:path arrowok="t"/>
              </v:shape>
            </v:group>
            <v:group style="position:absolute;left:2935;top:1719;width:3394;height:2" coordorigin="2935,1719" coordsize="3394,2">
              <v:shape style="position:absolute;left:2935;top:1719;width:3394;height:2" coordorigin="2935,1719" coordsize="3394,0" path="m2935,1719l6329,1719e" filled="false" stroked="true" strokeweight="1.5pt" strokecolor="#000000">
                <v:path arrowok="t"/>
              </v:shape>
              <v:shape style="position:absolute;left:2930;top:946;width:6518;height:758" type="#_x0000_t75" stroked="false">
                <v:imagedata r:id="rId173" o:title=""/>
              </v:shape>
            </v:group>
            <v:group style="position:absolute;left:6329;top:1719;width:3124;height:2" coordorigin="6329,1719" coordsize="3124,2">
              <v:shape style="position:absolute;left:6329;top:1719;width:3124;height:2" coordorigin="6329,1719" coordsize="3124,0" path="m6329,1719l9452,1719e" filled="false" stroked="true" strokeweight="1.5pt" strokecolor="#000000">
                <v:path arrowok="t"/>
              </v:shape>
            </v:group>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0"/>
          <w:szCs w:val="20"/>
        </w:rPr>
      </w:pPr>
    </w:p>
    <w:tbl>
      <w:tblPr>
        <w:tblW w:w="0" w:type="auto"/>
        <w:jc w:val="left"/>
        <w:tblInd w:w="2361" w:type="dxa"/>
        <w:tblLayout w:type="fixed"/>
        <w:tblCellMar>
          <w:top w:w="0" w:type="dxa"/>
          <w:left w:w="0" w:type="dxa"/>
          <w:bottom w:w="0" w:type="dxa"/>
          <w:right w:w="0" w:type="dxa"/>
        </w:tblCellMar>
        <w:tblLook w:val="01E0"/>
      </w:tblPr>
      <w:tblGrid>
        <w:gridCol w:w="2828"/>
        <w:gridCol w:w="2596"/>
      </w:tblGrid>
      <w:tr>
        <w:trPr>
          <w:trHeight w:val="399" w:hRule="exact"/>
        </w:trPr>
        <w:tc>
          <w:tcPr>
            <w:tcW w:w="2828" w:type="dxa"/>
            <w:tcBorders>
              <w:top w:val="nil" w:sz="6" w:space="0" w:color="auto"/>
              <w:left w:val="nil" w:sz="6" w:space="0" w:color="auto"/>
              <w:bottom w:val="nil" w:sz="6" w:space="0" w:color="auto"/>
              <w:right w:val="nil" w:sz="6" w:space="0" w:color="auto"/>
            </w:tcBorders>
          </w:tcPr>
          <w:p>
            <w:pPr>
              <w:pStyle w:val="TableParagraph"/>
              <w:spacing w:line="240" w:lineRule="auto" w:before="31"/>
              <w:ind w:left="200"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59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623"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90" w:hRule="exact"/>
        </w:trPr>
        <w:tc>
          <w:tcPr>
            <w:tcW w:w="282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96" w:right="0"/>
              <w:jc w:val="left"/>
              <w:rPr>
                <w:rFonts w:ascii="Times New Roman" w:hAnsi="Times New Roman" w:cs="Times New Roman" w:eastAsia="Times New Roman" w:hint="default"/>
                <w:sz w:val="21"/>
                <w:szCs w:val="21"/>
              </w:rPr>
            </w:pPr>
            <w:r>
              <w:rPr>
                <w:rFonts w:ascii="Times New Roman"/>
                <w:sz w:val="21"/>
              </w:rPr>
              <w:t>43,980,212.41</w:t>
            </w:r>
          </w:p>
        </w:tc>
        <w:tc>
          <w:tcPr>
            <w:tcW w:w="259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288" w:right="0"/>
              <w:jc w:val="left"/>
              <w:rPr>
                <w:rFonts w:ascii="Times New Roman" w:hAnsi="Times New Roman" w:cs="Times New Roman" w:eastAsia="Times New Roman" w:hint="default"/>
                <w:sz w:val="21"/>
                <w:szCs w:val="21"/>
              </w:rPr>
            </w:pPr>
            <w:r>
              <w:rPr>
                <w:rFonts w:ascii="Times New Roman"/>
                <w:sz w:val="21"/>
              </w:rPr>
              <w:t>36,358,978.94</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3"/>
          <w:szCs w:val="23"/>
        </w:rPr>
      </w:pPr>
    </w:p>
    <w:p>
      <w:pPr>
        <w:tabs>
          <w:tab w:pos="1393" w:val="left" w:leader="none"/>
        </w:tabs>
        <w:spacing w:before="35"/>
        <w:ind w:left="855" w:right="224"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期末数中无欠持本公司</w:t>
      </w:r>
      <w:r>
        <w:rPr>
          <w:rFonts w:ascii="宋体" w:hAnsi="宋体" w:cs="宋体" w:eastAsia="宋体" w:hint="default"/>
          <w:b/>
          <w:bCs/>
          <w:spacing w:val="-61"/>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61"/>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％）表决权股份的股东单位款项。</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0" w:footer="982" w:top="1300" w:bottom="1180" w:left="1660" w:right="1040"/>
        </w:sectPr>
      </w:pPr>
    </w:p>
    <w:p>
      <w:pPr>
        <w:spacing w:line="240" w:lineRule="auto" w:before="11"/>
        <w:rPr>
          <w:rFonts w:ascii="宋体" w:hAnsi="宋体" w:cs="宋体" w:eastAsia="宋体" w:hint="default"/>
          <w:b/>
          <w:bCs/>
          <w:sz w:val="2"/>
          <w:szCs w:val="2"/>
        </w:rPr>
      </w:pPr>
    </w:p>
    <w:p>
      <w:pPr>
        <w:spacing w:line="20" w:lineRule="exact"/>
        <w:ind w:left="100" w:right="0" w:firstLine="0"/>
        <w:rPr>
          <w:rFonts w:ascii="宋体" w:hAnsi="宋体" w:cs="宋体" w:eastAsia="宋体" w:hint="default"/>
          <w:sz w:val="2"/>
          <w:szCs w:val="2"/>
        </w:rPr>
      </w:pPr>
      <w:r>
        <w:rPr>
          <w:rFonts w:ascii="宋体" w:hAnsi="宋体" w:cs="宋体" w:eastAsia="宋体" w:hint="default"/>
          <w:sz w:val="2"/>
          <w:szCs w:val="2"/>
        </w:rPr>
        <w:pict>
          <v:group style="width:444.55pt;height:.75pt;mso-position-horizontal-relative:char;mso-position-vertical-relative:line" coordorigin="0,0" coordsize="8891,15">
            <v:group style="position:absolute;left:7;top:7;width:8877;height:2" coordorigin="7,7" coordsize="8877,2">
              <v:shape style="position:absolute;left:7;top:7;width:8877;height:2" coordorigin="7,7" coordsize="8877,0" path="m7,7l8884,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8"/>
          <w:szCs w:val="28"/>
        </w:rPr>
      </w:pPr>
    </w:p>
    <w:p>
      <w:pPr>
        <w:tabs>
          <w:tab w:pos="1393" w:val="left" w:leader="none"/>
        </w:tabs>
        <w:spacing w:before="35"/>
        <w:ind w:left="855" w:right="312"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期末数中无欠关联方款项。</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spacing w:before="0"/>
        <w:ind w:left="123" w:right="31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十七</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预收账款</w:t>
      </w:r>
      <w:r>
        <w:rPr>
          <w:rFonts w:ascii="宋体" w:hAnsi="宋体" w:cs="宋体" w:eastAsia="宋体" w:hint="default"/>
          <w:sz w:val="21"/>
          <w:szCs w:val="21"/>
        </w:rPr>
      </w:r>
    </w:p>
    <w:p>
      <w:pPr>
        <w:spacing w:before="110"/>
        <w:ind w:left="854" w:right="312" w:firstLine="0"/>
        <w:jc w:val="left"/>
        <w:rPr>
          <w:rFonts w:ascii="宋体" w:hAnsi="宋体" w:cs="宋体" w:eastAsia="宋体" w:hint="default"/>
          <w:sz w:val="21"/>
          <w:szCs w:val="21"/>
        </w:rPr>
      </w:pPr>
      <w:r>
        <w:rPr/>
        <w:pict>
          <v:group style="position:absolute;margin-left:146.009995pt;margin-top:45.851482pt;width:327.4pt;height:40.950pt;mso-position-horizontal-relative:page;mso-position-vertical-relative:paragraph;z-index:-708328" coordorigin="2920,917" coordsize="6548,819">
            <v:group style="position:absolute;left:2950;top:932;width:6496;height:2" coordorigin="2950,932" coordsize="6496,2">
              <v:shape style="position:absolute;left:2950;top:932;width:6496;height:2" coordorigin="2950,932" coordsize="6496,0" path="m2950,932l9445,932e" filled="false" stroked="true" strokeweight="1.5pt" strokecolor="#000000">
                <v:path arrowok="t"/>
              </v:shape>
            </v:group>
            <v:group style="position:absolute;left:2935;top:1720;width:3394;height:2" coordorigin="2935,1720" coordsize="3394,2">
              <v:shape style="position:absolute;left:2935;top:1720;width:3394;height:2" coordorigin="2935,1720" coordsize="3394,0" path="m2935,1720l6329,1720e" filled="false" stroked="true" strokeweight="1.5pt" strokecolor="#000000">
                <v:path arrowok="t"/>
              </v:shape>
              <v:shape style="position:absolute;left:2930;top:947;width:6518;height:758" type="#_x0000_t75" stroked="false">
                <v:imagedata r:id="rId174" o:title=""/>
              </v:shape>
            </v:group>
            <v:group style="position:absolute;left:6329;top:1720;width:3124;height:2" coordorigin="6329,1720" coordsize="3124,2">
              <v:shape style="position:absolute;left:6329;top:1720;width:3124;height:2" coordorigin="6329,1720" coordsize="3124,0" path="m6329,1720l9452,1720e" filled="false" stroked="true" strokeweight="1.5pt" strokecolor="#000000">
                <v:path arrowok="t"/>
              </v:shape>
            </v:group>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0"/>
          <w:szCs w:val="20"/>
        </w:rPr>
      </w:pPr>
    </w:p>
    <w:tbl>
      <w:tblPr>
        <w:tblW w:w="0" w:type="auto"/>
        <w:jc w:val="left"/>
        <w:tblInd w:w="2361" w:type="dxa"/>
        <w:tblLayout w:type="fixed"/>
        <w:tblCellMar>
          <w:top w:w="0" w:type="dxa"/>
          <w:left w:w="0" w:type="dxa"/>
          <w:bottom w:w="0" w:type="dxa"/>
          <w:right w:w="0" w:type="dxa"/>
        </w:tblCellMar>
        <w:tblLook w:val="01E0"/>
      </w:tblPr>
      <w:tblGrid>
        <w:gridCol w:w="2828"/>
        <w:gridCol w:w="2596"/>
      </w:tblGrid>
      <w:tr>
        <w:trPr>
          <w:trHeight w:val="399" w:hRule="exact"/>
        </w:trPr>
        <w:tc>
          <w:tcPr>
            <w:tcW w:w="2828" w:type="dxa"/>
            <w:tcBorders>
              <w:top w:val="nil" w:sz="6" w:space="0" w:color="auto"/>
              <w:left w:val="nil" w:sz="6" w:space="0" w:color="auto"/>
              <w:bottom w:val="nil" w:sz="6" w:space="0" w:color="auto"/>
              <w:right w:val="nil" w:sz="6" w:space="0" w:color="auto"/>
            </w:tcBorders>
          </w:tcPr>
          <w:p>
            <w:pPr>
              <w:pStyle w:val="TableParagraph"/>
              <w:spacing w:line="240" w:lineRule="auto" w:before="31"/>
              <w:ind w:left="200"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59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623"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90" w:hRule="exact"/>
        </w:trPr>
        <w:tc>
          <w:tcPr>
            <w:tcW w:w="282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96" w:right="0"/>
              <w:jc w:val="left"/>
              <w:rPr>
                <w:rFonts w:ascii="Times New Roman" w:hAnsi="Times New Roman" w:cs="Times New Roman" w:eastAsia="Times New Roman" w:hint="default"/>
                <w:sz w:val="21"/>
                <w:szCs w:val="21"/>
              </w:rPr>
            </w:pPr>
            <w:r>
              <w:rPr>
                <w:rFonts w:ascii="Times New Roman"/>
                <w:sz w:val="21"/>
              </w:rPr>
              <w:t>75,160,582.79</w:t>
            </w:r>
          </w:p>
        </w:tc>
        <w:tc>
          <w:tcPr>
            <w:tcW w:w="259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288" w:right="0"/>
              <w:jc w:val="left"/>
              <w:rPr>
                <w:rFonts w:ascii="Times New Roman" w:hAnsi="Times New Roman" w:cs="Times New Roman" w:eastAsia="Times New Roman" w:hint="default"/>
                <w:sz w:val="21"/>
                <w:szCs w:val="21"/>
              </w:rPr>
            </w:pPr>
            <w:r>
              <w:rPr>
                <w:rFonts w:ascii="Times New Roman"/>
                <w:sz w:val="21"/>
              </w:rPr>
              <w:t>42,031,243.58</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3"/>
          <w:szCs w:val="23"/>
        </w:rPr>
      </w:pPr>
    </w:p>
    <w:p>
      <w:pPr>
        <w:tabs>
          <w:tab w:pos="1393" w:val="left" w:leader="none"/>
        </w:tabs>
        <w:spacing w:before="35"/>
        <w:ind w:left="855" w:right="312"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期末数中无预收持本公司</w:t>
      </w:r>
      <w:r>
        <w:rPr>
          <w:rFonts w:ascii="宋体" w:hAnsi="宋体" w:cs="宋体" w:eastAsia="宋体" w:hint="default"/>
          <w:b/>
          <w:bCs/>
          <w:spacing w:val="-63"/>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63"/>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％）表决权股份的股东单位款项。</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7"/>
        <w:rPr>
          <w:rFonts w:ascii="宋体" w:hAnsi="宋体" w:cs="宋体" w:eastAsia="宋体" w:hint="default"/>
          <w:b/>
          <w:bCs/>
          <w:sz w:val="24"/>
          <w:szCs w:val="24"/>
        </w:rPr>
      </w:pPr>
    </w:p>
    <w:p>
      <w:pPr>
        <w:tabs>
          <w:tab w:pos="1393" w:val="left" w:leader="none"/>
        </w:tabs>
        <w:spacing w:before="0"/>
        <w:ind w:left="855" w:right="312"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期末数中无预收关联方款项。</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7"/>
        <w:rPr>
          <w:rFonts w:ascii="宋体" w:hAnsi="宋体" w:cs="宋体" w:eastAsia="宋体" w:hint="default"/>
          <w:b/>
          <w:bCs/>
          <w:sz w:val="24"/>
          <w:szCs w:val="24"/>
        </w:rPr>
      </w:pPr>
    </w:p>
    <w:p>
      <w:pPr>
        <w:spacing w:before="0"/>
        <w:ind w:left="123" w:right="312" w:firstLine="0"/>
        <w:jc w:val="left"/>
        <w:rPr>
          <w:rFonts w:ascii="宋体" w:hAnsi="宋体" w:cs="宋体" w:eastAsia="宋体" w:hint="default"/>
          <w:sz w:val="21"/>
          <w:szCs w:val="21"/>
        </w:rPr>
      </w:pPr>
      <w:r>
        <w:rPr/>
        <w:pict>
          <v:group style="position:absolute;margin-left:119.399994pt;margin-top:40.903473pt;width:417.75pt;height:250.35pt;mso-position-horizontal-relative:page;mso-position-vertical-relative:paragraph;z-index:-708304" coordorigin="2388,818" coordsize="8355,5007">
            <v:shape style="position:absolute;left:5035;top:818;width:4440;height:413" type="#_x0000_t75" stroked="false">
              <v:imagedata r:id="rId175" o:title=""/>
            </v:shape>
            <v:shape style="position:absolute;left:2388;top:1192;width:8354;height:4632" type="#_x0000_t75" stroked="false">
              <v:imagedata r:id="rId176"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十八</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应付职工薪酬</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747" w:type="dxa"/>
        <w:tblLayout w:type="fixed"/>
        <w:tblCellMar>
          <w:top w:w="0" w:type="dxa"/>
          <w:left w:w="0" w:type="dxa"/>
          <w:bottom w:w="0" w:type="dxa"/>
          <w:right w:w="0" w:type="dxa"/>
        </w:tblCellMar>
        <w:tblLook w:val="01E0"/>
      </w:tblPr>
      <w:tblGrid>
        <w:gridCol w:w="2731"/>
        <w:gridCol w:w="1447"/>
        <w:gridCol w:w="1488"/>
        <w:gridCol w:w="1391"/>
        <w:gridCol w:w="1257"/>
      </w:tblGrid>
      <w:tr>
        <w:trPr>
          <w:trHeight w:val="394" w:hRule="exact"/>
        </w:trPr>
        <w:tc>
          <w:tcPr>
            <w:tcW w:w="2731"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82"/>
              <w:jc w:val="center"/>
              <w:rPr>
                <w:rFonts w:ascii="宋体" w:hAnsi="宋体" w:cs="宋体" w:eastAsia="宋体" w:hint="default"/>
                <w:sz w:val="18"/>
                <w:szCs w:val="18"/>
              </w:rPr>
            </w:pPr>
            <w:r>
              <w:rPr>
                <w:rFonts w:ascii="宋体" w:hAnsi="宋体" w:cs="宋体" w:eastAsia="宋体" w:hint="default"/>
                <w:sz w:val="18"/>
                <w:szCs w:val="18"/>
              </w:rPr>
              <w:t>项目</w:t>
            </w:r>
          </w:p>
        </w:tc>
        <w:tc>
          <w:tcPr>
            <w:tcW w:w="144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68"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8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08"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91"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0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25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64"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89" w:hRule="exact"/>
        </w:trPr>
        <w:tc>
          <w:tcPr>
            <w:tcW w:w="273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6"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）工资、奖金、津贴和补贴</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14"/>
              <w:jc w:val="right"/>
              <w:rPr>
                <w:rFonts w:ascii="Times New Roman" w:hAnsi="Times New Roman" w:cs="Times New Roman" w:eastAsia="Times New Roman" w:hint="default"/>
                <w:sz w:val="18"/>
                <w:szCs w:val="18"/>
              </w:rPr>
            </w:pPr>
            <w:r>
              <w:rPr>
                <w:rFonts w:ascii="Times New Roman"/>
                <w:spacing w:val="-1"/>
                <w:sz w:val="18"/>
              </w:rPr>
              <w:t>21,310,000.00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44"/>
              <w:jc w:val="right"/>
              <w:rPr>
                <w:rFonts w:ascii="Times New Roman" w:hAnsi="Times New Roman" w:cs="Times New Roman" w:eastAsia="Times New Roman" w:hint="default"/>
                <w:sz w:val="18"/>
                <w:szCs w:val="18"/>
              </w:rPr>
            </w:pPr>
            <w:r>
              <w:rPr>
                <w:rFonts w:ascii="Times New Roman"/>
                <w:spacing w:val="-1"/>
                <w:sz w:val="18"/>
              </w:rPr>
              <w:t>248,070,558.17</w:t>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16"/>
              <w:jc w:val="right"/>
              <w:rPr>
                <w:rFonts w:ascii="Times New Roman" w:hAnsi="Times New Roman" w:cs="Times New Roman" w:eastAsia="Times New Roman" w:hint="default"/>
                <w:sz w:val="18"/>
                <w:szCs w:val="18"/>
              </w:rPr>
            </w:pPr>
            <w:r>
              <w:rPr>
                <w:rFonts w:ascii="Times New Roman"/>
                <w:spacing w:val="-1"/>
                <w:sz w:val="18"/>
              </w:rPr>
              <w:t>232,580,244.65</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spacing w:val="-1"/>
                <w:sz w:val="18"/>
              </w:rPr>
              <w:t>36,800,313.52</w:t>
            </w:r>
          </w:p>
        </w:tc>
      </w:tr>
      <w:tr>
        <w:trPr>
          <w:trHeight w:val="384" w:hRule="exact"/>
        </w:trPr>
        <w:tc>
          <w:tcPr>
            <w:tcW w:w="2731"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6"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447" w:type="dxa"/>
            <w:tcBorders>
              <w:top w:val="nil" w:sz="6" w:space="0" w:color="auto"/>
              <w:left w:val="nil" w:sz="6" w:space="0" w:color="auto"/>
              <w:bottom w:val="nil" w:sz="6" w:space="0" w:color="auto"/>
              <w:right w:val="nil" w:sz="6" w:space="0" w:color="auto"/>
            </w:tcBorders>
          </w:tcPr>
          <w:p>
            <w:pP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45"/>
              <w:jc w:val="right"/>
              <w:rPr>
                <w:rFonts w:ascii="Times New Roman" w:hAnsi="Times New Roman" w:cs="Times New Roman" w:eastAsia="Times New Roman" w:hint="default"/>
                <w:sz w:val="18"/>
                <w:szCs w:val="18"/>
              </w:rPr>
            </w:pPr>
            <w:r>
              <w:rPr>
                <w:rFonts w:ascii="Times New Roman"/>
                <w:sz w:val="18"/>
              </w:rPr>
              <w:t>651,543.14</w:t>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17"/>
              <w:jc w:val="right"/>
              <w:rPr>
                <w:rFonts w:ascii="Times New Roman" w:hAnsi="Times New Roman" w:cs="Times New Roman" w:eastAsia="Times New Roman" w:hint="default"/>
                <w:sz w:val="18"/>
                <w:szCs w:val="18"/>
              </w:rPr>
            </w:pPr>
            <w:r>
              <w:rPr>
                <w:rFonts w:ascii="Times New Roman"/>
                <w:sz w:val="18"/>
              </w:rPr>
              <w:t>651,543.14</w:t>
            </w:r>
          </w:p>
        </w:tc>
        <w:tc>
          <w:tcPr>
            <w:tcW w:w="1257" w:type="dxa"/>
            <w:tcBorders>
              <w:top w:val="nil" w:sz="6" w:space="0" w:color="auto"/>
              <w:left w:val="nil" w:sz="6" w:space="0" w:color="auto"/>
              <w:bottom w:val="nil" w:sz="6" w:space="0" w:color="auto"/>
              <w:right w:val="nil" w:sz="6" w:space="0" w:color="auto"/>
            </w:tcBorders>
          </w:tcPr>
          <w:p>
            <w:pPr/>
          </w:p>
        </w:tc>
      </w:tr>
      <w:tr>
        <w:trPr>
          <w:trHeight w:val="385" w:hRule="exact"/>
        </w:trPr>
        <w:tc>
          <w:tcPr>
            <w:tcW w:w="2731"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6"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14"/>
              <w:jc w:val="right"/>
              <w:rPr>
                <w:rFonts w:ascii="Times New Roman" w:hAnsi="Times New Roman" w:cs="Times New Roman" w:eastAsia="Times New Roman" w:hint="default"/>
                <w:sz w:val="18"/>
                <w:szCs w:val="18"/>
              </w:rPr>
            </w:pPr>
            <w:r>
              <w:rPr>
                <w:rFonts w:ascii="Times New Roman"/>
                <w:spacing w:val="-1"/>
                <w:sz w:val="18"/>
              </w:rPr>
              <w:t>1,688,259.96</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45"/>
              <w:jc w:val="right"/>
              <w:rPr>
                <w:rFonts w:ascii="Times New Roman" w:hAnsi="Times New Roman" w:cs="Times New Roman" w:eastAsia="Times New Roman" w:hint="default"/>
                <w:sz w:val="18"/>
                <w:szCs w:val="18"/>
              </w:rPr>
            </w:pPr>
            <w:r>
              <w:rPr>
                <w:rFonts w:ascii="Times New Roman"/>
                <w:spacing w:val="-1"/>
                <w:sz w:val="18"/>
              </w:rPr>
              <w:t>19,381,216.20</w:t>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17"/>
              <w:jc w:val="right"/>
              <w:rPr>
                <w:rFonts w:ascii="Times New Roman" w:hAnsi="Times New Roman" w:cs="Times New Roman" w:eastAsia="Times New Roman" w:hint="default"/>
                <w:sz w:val="18"/>
                <w:szCs w:val="18"/>
              </w:rPr>
            </w:pPr>
            <w:r>
              <w:rPr>
                <w:rFonts w:ascii="Times New Roman"/>
                <w:spacing w:val="-1"/>
                <w:sz w:val="18"/>
              </w:rPr>
              <w:t>18,790,556.44</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pacing w:val="-1"/>
                <w:sz w:val="18"/>
              </w:rPr>
              <w:t>2,278,919.72</w:t>
            </w:r>
          </w:p>
        </w:tc>
      </w:tr>
      <w:tr>
        <w:trPr>
          <w:trHeight w:val="383" w:hRule="exact"/>
        </w:trPr>
        <w:tc>
          <w:tcPr>
            <w:tcW w:w="2731"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6" w:right="0"/>
              <w:jc w:val="left"/>
              <w:rPr>
                <w:rFonts w:ascii="宋体" w:hAnsi="宋体" w:cs="宋体" w:eastAsia="宋体" w:hint="default"/>
                <w:sz w:val="18"/>
                <w:szCs w:val="18"/>
              </w:rPr>
            </w:pPr>
            <w:r>
              <w:rPr>
                <w:rFonts w:ascii="宋体" w:hAnsi="宋体" w:cs="宋体" w:eastAsia="宋体" w:hint="default"/>
                <w:sz w:val="18"/>
                <w:szCs w:val="18"/>
              </w:rPr>
              <w:t>其中：医疗保险费</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4"/>
              <w:jc w:val="right"/>
              <w:rPr>
                <w:rFonts w:ascii="Times New Roman" w:hAnsi="Times New Roman" w:cs="Times New Roman" w:eastAsia="Times New Roman" w:hint="default"/>
                <w:sz w:val="18"/>
                <w:szCs w:val="18"/>
              </w:rPr>
            </w:pPr>
            <w:r>
              <w:rPr>
                <w:rFonts w:ascii="Times New Roman"/>
                <w:sz w:val="18"/>
              </w:rPr>
              <w:t>641,752.59</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45"/>
              <w:jc w:val="right"/>
              <w:rPr>
                <w:rFonts w:ascii="Times New Roman" w:hAnsi="Times New Roman" w:cs="Times New Roman" w:eastAsia="Times New Roman" w:hint="default"/>
                <w:sz w:val="18"/>
                <w:szCs w:val="18"/>
              </w:rPr>
            </w:pPr>
            <w:r>
              <w:rPr>
                <w:rFonts w:ascii="Times New Roman"/>
                <w:spacing w:val="-1"/>
                <w:sz w:val="18"/>
              </w:rPr>
              <w:t>7,525,673.31</w:t>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7"/>
              <w:jc w:val="right"/>
              <w:rPr>
                <w:rFonts w:ascii="Times New Roman" w:hAnsi="Times New Roman" w:cs="Times New Roman" w:eastAsia="Times New Roman" w:hint="default"/>
                <w:sz w:val="18"/>
                <w:szCs w:val="18"/>
              </w:rPr>
            </w:pPr>
            <w:r>
              <w:rPr>
                <w:rFonts w:ascii="Times New Roman"/>
                <w:spacing w:val="-1"/>
                <w:sz w:val="18"/>
              </w:rPr>
              <w:t>7,383,326.27</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z w:val="18"/>
              </w:rPr>
              <w:t>784,099.63</w:t>
            </w:r>
          </w:p>
        </w:tc>
      </w:tr>
      <w:tr>
        <w:trPr>
          <w:trHeight w:val="384" w:hRule="exact"/>
        </w:trPr>
        <w:tc>
          <w:tcPr>
            <w:tcW w:w="2731" w:type="dxa"/>
            <w:tcBorders>
              <w:top w:val="nil" w:sz="6" w:space="0" w:color="auto"/>
              <w:left w:val="nil" w:sz="6" w:space="0" w:color="auto"/>
              <w:bottom w:val="nil" w:sz="6" w:space="0" w:color="auto"/>
              <w:right w:val="nil" w:sz="6" w:space="0" w:color="auto"/>
            </w:tcBorders>
          </w:tcPr>
          <w:p>
            <w:pPr>
              <w:pStyle w:val="TableParagraph"/>
              <w:spacing w:line="240" w:lineRule="auto" w:before="42"/>
              <w:ind w:left="556" w:right="0"/>
              <w:jc w:val="left"/>
              <w:rPr>
                <w:rFonts w:ascii="宋体" w:hAnsi="宋体" w:cs="宋体" w:eastAsia="宋体" w:hint="default"/>
                <w:sz w:val="18"/>
                <w:szCs w:val="18"/>
              </w:rPr>
            </w:pPr>
            <w:r>
              <w:rPr>
                <w:rFonts w:ascii="宋体" w:hAnsi="宋体" w:cs="宋体" w:eastAsia="宋体" w:hint="default"/>
                <w:sz w:val="18"/>
                <w:szCs w:val="18"/>
              </w:rPr>
              <w:t>基本养老保险费</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4"/>
              <w:jc w:val="right"/>
              <w:rPr>
                <w:rFonts w:ascii="Times New Roman" w:hAnsi="Times New Roman" w:cs="Times New Roman" w:eastAsia="Times New Roman" w:hint="default"/>
                <w:sz w:val="18"/>
                <w:szCs w:val="18"/>
              </w:rPr>
            </w:pPr>
            <w:r>
              <w:rPr>
                <w:rFonts w:ascii="Times New Roman"/>
                <w:sz w:val="18"/>
              </w:rPr>
              <w:t>969,960.60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45"/>
              <w:jc w:val="right"/>
              <w:rPr>
                <w:rFonts w:ascii="Times New Roman" w:hAnsi="Times New Roman" w:cs="Times New Roman" w:eastAsia="Times New Roman" w:hint="default"/>
                <w:sz w:val="18"/>
                <w:szCs w:val="18"/>
              </w:rPr>
            </w:pPr>
            <w:r>
              <w:rPr>
                <w:rFonts w:ascii="Times New Roman"/>
                <w:spacing w:val="-1"/>
                <w:sz w:val="18"/>
              </w:rPr>
              <w:t>10,815,150.73</w:t>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7"/>
              <w:jc w:val="right"/>
              <w:rPr>
                <w:rFonts w:ascii="Times New Roman" w:hAnsi="Times New Roman" w:cs="Times New Roman" w:eastAsia="Times New Roman" w:hint="default"/>
                <w:sz w:val="18"/>
                <w:szCs w:val="18"/>
              </w:rPr>
            </w:pPr>
            <w:r>
              <w:rPr>
                <w:rFonts w:ascii="Times New Roman"/>
                <w:spacing w:val="-1"/>
                <w:sz w:val="18"/>
              </w:rPr>
              <w:t>10,392,170.76</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pacing w:val="-1"/>
                <w:sz w:val="18"/>
              </w:rPr>
              <w:t>1,392,940.57</w:t>
            </w:r>
          </w:p>
        </w:tc>
      </w:tr>
      <w:tr>
        <w:trPr>
          <w:trHeight w:val="385" w:hRule="exact"/>
        </w:trPr>
        <w:tc>
          <w:tcPr>
            <w:tcW w:w="2731" w:type="dxa"/>
            <w:tcBorders>
              <w:top w:val="nil" w:sz="6" w:space="0" w:color="auto"/>
              <w:left w:val="nil" w:sz="6" w:space="0" w:color="auto"/>
              <w:bottom w:val="nil" w:sz="6" w:space="0" w:color="auto"/>
              <w:right w:val="nil" w:sz="6" w:space="0" w:color="auto"/>
            </w:tcBorders>
          </w:tcPr>
          <w:p>
            <w:pPr>
              <w:pStyle w:val="TableParagraph"/>
              <w:spacing w:line="240" w:lineRule="auto" w:before="42"/>
              <w:ind w:left="556" w:right="0"/>
              <w:jc w:val="left"/>
              <w:rPr>
                <w:rFonts w:ascii="宋体" w:hAnsi="宋体" w:cs="宋体" w:eastAsia="宋体" w:hint="default"/>
                <w:sz w:val="18"/>
                <w:szCs w:val="18"/>
              </w:rPr>
            </w:pPr>
            <w:r>
              <w:rPr>
                <w:rFonts w:ascii="宋体" w:hAnsi="宋体" w:cs="宋体" w:eastAsia="宋体" w:hint="default"/>
                <w:sz w:val="18"/>
                <w:szCs w:val="18"/>
              </w:rPr>
              <w:t>年金缴费</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4"/>
              <w:jc w:val="right"/>
              <w:rPr>
                <w:rFonts w:ascii="Times New Roman" w:hAnsi="Times New Roman" w:cs="Times New Roman" w:eastAsia="Times New Roman" w:hint="default"/>
                <w:sz w:val="18"/>
                <w:szCs w:val="18"/>
              </w:rPr>
            </w:pPr>
            <w:r>
              <w:rPr>
                <w:rFonts w:ascii="Times New Roman"/>
                <w:sz w:val="18"/>
              </w:rPr>
              <w:t>5,431.80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45"/>
              <w:jc w:val="right"/>
              <w:rPr>
                <w:rFonts w:ascii="Times New Roman" w:hAnsi="Times New Roman" w:cs="Times New Roman" w:eastAsia="Times New Roman" w:hint="default"/>
                <w:sz w:val="18"/>
                <w:szCs w:val="18"/>
              </w:rPr>
            </w:pPr>
            <w:r>
              <w:rPr>
                <w:rFonts w:ascii="Times New Roman"/>
                <w:sz w:val="18"/>
              </w:rPr>
              <w:t>69,774.20</w:t>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7"/>
              <w:jc w:val="right"/>
              <w:rPr>
                <w:rFonts w:ascii="Times New Roman" w:hAnsi="Times New Roman" w:cs="Times New Roman" w:eastAsia="Times New Roman" w:hint="default"/>
                <w:sz w:val="18"/>
                <w:szCs w:val="18"/>
              </w:rPr>
            </w:pPr>
            <w:r>
              <w:rPr>
                <w:rFonts w:ascii="Times New Roman"/>
                <w:sz w:val="18"/>
              </w:rPr>
              <w:t>70,391.00</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z w:val="18"/>
              </w:rPr>
              <w:t>4,815.00</w:t>
            </w:r>
          </w:p>
        </w:tc>
      </w:tr>
      <w:tr>
        <w:trPr>
          <w:trHeight w:val="385" w:hRule="exact"/>
        </w:trPr>
        <w:tc>
          <w:tcPr>
            <w:tcW w:w="2731" w:type="dxa"/>
            <w:tcBorders>
              <w:top w:val="nil" w:sz="6" w:space="0" w:color="auto"/>
              <w:left w:val="nil" w:sz="6" w:space="0" w:color="auto"/>
              <w:bottom w:val="nil" w:sz="6" w:space="0" w:color="auto"/>
              <w:right w:val="nil" w:sz="6" w:space="0" w:color="auto"/>
            </w:tcBorders>
          </w:tcPr>
          <w:p>
            <w:pPr>
              <w:pStyle w:val="TableParagraph"/>
              <w:spacing w:line="240" w:lineRule="auto" w:before="43"/>
              <w:ind w:left="556" w:right="0"/>
              <w:jc w:val="left"/>
              <w:rPr>
                <w:rFonts w:ascii="宋体" w:hAnsi="宋体" w:cs="宋体" w:eastAsia="宋体" w:hint="default"/>
                <w:sz w:val="18"/>
                <w:szCs w:val="18"/>
              </w:rPr>
            </w:pPr>
            <w:r>
              <w:rPr>
                <w:rFonts w:ascii="宋体" w:hAnsi="宋体" w:cs="宋体" w:eastAsia="宋体" w:hint="default"/>
                <w:sz w:val="18"/>
                <w:szCs w:val="18"/>
              </w:rPr>
              <w:t>失业保险费</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14"/>
              <w:jc w:val="right"/>
              <w:rPr>
                <w:rFonts w:ascii="Times New Roman" w:hAnsi="Times New Roman" w:cs="Times New Roman" w:eastAsia="Times New Roman" w:hint="default"/>
                <w:sz w:val="18"/>
                <w:szCs w:val="18"/>
              </w:rPr>
            </w:pPr>
            <w:r>
              <w:rPr>
                <w:rFonts w:ascii="Times New Roman"/>
                <w:sz w:val="18"/>
              </w:rPr>
              <w:t>44,492.94</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45"/>
              <w:jc w:val="right"/>
              <w:rPr>
                <w:rFonts w:ascii="Times New Roman" w:hAnsi="Times New Roman" w:cs="Times New Roman" w:eastAsia="Times New Roman" w:hint="default"/>
                <w:sz w:val="18"/>
                <w:szCs w:val="18"/>
              </w:rPr>
            </w:pPr>
            <w:r>
              <w:rPr>
                <w:rFonts w:ascii="Times New Roman"/>
                <w:sz w:val="18"/>
              </w:rPr>
              <w:t>565,760.55</w:t>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17"/>
              <w:jc w:val="right"/>
              <w:rPr>
                <w:rFonts w:ascii="Times New Roman" w:hAnsi="Times New Roman" w:cs="Times New Roman" w:eastAsia="Times New Roman" w:hint="default"/>
                <w:sz w:val="18"/>
                <w:szCs w:val="18"/>
              </w:rPr>
            </w:pPr>
            <w:r>
              <w:rPr>
                <w:rFonts w:ascii="Times New Roman"/>
                <w:sz w:val="18"/>
              </w:rPr>
              <w:t>549,778.41</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z w:val="18"/>
              </w:rPr>
              <w:t>60,475.08</w:t>
            </w:r>
          </w:p>
        </w:tc>
      </w:tr>
      <w:tr>
        <w:trPr>
          <w:trHeight w:val="384" w:hRule="exact"/>
        </w:trPr>
        <w:tc>
          <w:tcPr>
            <w:tcW w:w="2731" w:type="dxa"/>
            <w:tcBorders>
              <w:top w:val="nil" w:sz="6" w:space="0" w:color="auto"/>
              <w:left w:val="nil" w:sz="6" w:space="0" w:color="auto"/>
              <w:bottom w:val="nil" w:sz="6" w:space="0" w:color="auto"/>
              <w:right w:val="nil" w:sz="6" w:space="0" w:color="auto"/>
            </w:tcBorders>
          </w:tcPr>
          <w:p>
            <w:pPr>
              <w:pStyle w:val="TableParagraph"/>
              <w:spacing w:line="240" w:lineRule="auto" w:before="42"/>
              <w:ind w:left="556" w:right="0"/>
              <w:jc w:val="left"/>
              <w:rPr>
                <w:rFonts w:ascii="宋体" w:hAnsi="宋体" w:cs="宋体" w:eastAsia="宋体" w:hint="default"/>
                <w:sz w:val="18"/>
                <w:szCs w:val="18"/>
              </w:rPr>
            </w:pPr>
            <w:r>
              <w:rPr>
                <w:rFonts w:ascii="宋体" w:hAnsi="宋体" w:cs="宋体" w:eastAsia="宋体" w:hint="default"/>
                <w:sz w:val="18"/>
                <w:szCs w:val="18"/>
              </w:rPr>
              <w:t>工伤保险费</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4"/>
              <w:jc w:val="right"/>
              <w:rPr>
                <w:rFonts w:ascii="Times New Roman" w:hAnsi="Times New Roman" w:cs="Times New Roman" w:eastAsia="Times New Roman" w:hint="default"/>
                <w:sz w:val="18"/>
                <w:szCs w:val="18"/>
              </w:rPr>
            </w:pPr>
            <w:r>
              <w:rPr>
                <w:rFonts w:ascii="Times New Roman"/>
                <w:sz w:val="18"/>
              </w:rPr>
              <w:t>14,601.59</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45"/>
              <w:jc w:val="right"/>
              <w:rPr>
                <w:rFonts w:ascii="Times New Roman" w:hAnsi="Times New Roman" w:cs="Times New Roman" w:eastAsia="Times New Roman" w:hint="default"/>
                <w:sz w:val="18"/>
                <w:szCs w:val="18"/>
              </w:rPr>
            </w:pPr>
            <w:r>
              <w:rPr>
                <w:rFonts w:ascii="Times New Roman"/>
                <w:sz w:val="18"/>
              </w:rPr>
              <w:t>209,419.20</w:t>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7"/>
              <w:jc w:val="right"/>
              <w:rPr>
                <w:rFonts w:ascii="Times New Roman" w:hAnsi="Times New Roman" w:cs="Times New Roman" w:eastAsia="Times New Roman" w:hint="default"/>
                <w:sz w:val="18"/>
                <w:szCs w:val="18"/>
              </w:rPr>
            </w:pPr>
            <w:r>
              <w:rPr>
                <w:rFonts w:ascii="Times New Roman"/>
                <w:sz w:val="18"/>
              </w:rPr>
              <w:t>204,725.59</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z w:val="18"/>
              </w:rPr>
              <w:t>19,295.20</w:t>
            </w:r>
          </w:p>
        </w:tc>
      </w:tr>
      <w:tr>
        <w:trPr>
          <w:trHeight w:val="385" w:hRule="exact"/>
        </w:trPr>
        <w:tc>
          <w:tcPr>
            <w:tcW w:w="2731" w:type="dxa"/>
            <w:tcBorders>
              <w:top w:val="nil" w:sz="6" w:space="0" w:color="auto"/>
              <w:left w:val="nil" w:sz="6" w:space="0" w:color="auto"/>
              <w:bottom w:val="nil" w:sz="6" w:space="0" w:color="auto"/>
              <w:right w:val="nil" w:sz="6" w:space="0" w:color="auto"/>
            </w:tcBorders>
          </w:tcPr>
          <w:p>
            <w:pPr>
              <w:pStyle w:val="TableParagraph"/>
              <w:spacing w:line="240" w:lineRule="auto" w:before="42"/>
              <w:ind w:left="556" w:right="0"/>
              <w:jc w:val="left"/>
              <w:rPr>
                <w:rFonts w:ascii="宋体" w:hAnsi="宋体" w:cs="宋体" w:eastAsia="宋体" w:hint="default"/>
                <w:sz w:val="18"/>
                <w:szCs w:val="18"/>
              </w:rPr>
            </w:pPr>
            <w:r>
              <w:rPr>
                <w:rFonts w:ascii="宋体" w:hAnsi="宋体" w:cs="宋体" w:eastAsia="宋体" w:hint="default"/>
                <w:sz w:val="18"/>
                <w:szCs w:val="18"/>
              </w:rPr>
              <w:t>生育保险费</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4"/>
              <w:jc w:val="right"/>
              <w:rPr>
                <w:rFonts w:ascii="Times New Roman" w:hAnsi="Times New Roman" w:cs="Times New Roman" w:eastAsia="Times New Roman" w:hint="default"/>
                <w:sz w:val="18"/>
                <w:szCs w:val="18"/>
              </w:rPr>
            </w:pPr>
            <w:r>
              <w:rPr>
                <w:rFonts w:ascii="Times New Roman"/>
                <w:sz w:val="18"/>
              </w:rPr>
              <w:t>12,020.44</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45"/>
              <w:jc w:val="right"/>
              <w:rPr>
                <w:rFonts w:ascii="Times New Roman" w:hAnsi="Times New Roman" w:cs="Times New Roman" w:eastAsia="Times New Roman" w:hint="default"/>
                <w:sz w:val="18"/>
                <w:szCs w:val="18"/>
              </w:rPr>
            </w:pPr>
            <w:r>
              <w:rPr>
                <w:rFonts w:ascii="Times New Roman"/>
                <w:sz w:val="18"/>
              </w:rPr>
              <w:t>195,438.21</w:t>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7"/>
              <w:jc w:val="right"/>
              <w:rPr>
                <w:rFonts w:ascii="Times New Roman" w:hAnsi="Times New Roman" w:cs="Times New Roman" w:eastAsia="Times New Roman" w:hint="default"/>
                <w:sz w:val="18"/>
                <w:szCs w:val="18"/>
              </w:rPr>
            </w:pPr>
            <w:r>
              <w:rPr>
                <w:rFonts w:ascii="Times New Roman"/>
                <w:sz w:val="18"/>
              </w:rPr>
              <w:t>190,164.41</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z w:val="18"/>
              </w:rPr>
              <w:t>17,294.24</w:t>
            </w:r>
          </w:p>
        </w:tc>
      </w:tr>
      <w:tr>
        <w:trPr>
          <w:trHeight w:val="386" w:hRule="exact"/>
        </w:trPr>
        <w:tc>
          <w:tcPr>
            <w:tcW w:w="2731"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6"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14"/>
              <w:jc w:val="right"/>
              <w:rPr>
                <w:rFonts w:ascii="Times New Roman" w:hAnsi="Times New Roman" w:cs="Times New Roman" w:eastAsia="Times New Roman" w:hint="default"/>
                <w:sz w:val="18"/>
                <w:szCs w:val="18"/>
              </w:rPr>
            </w:pPr>
            <w:r>
              <w:rPr>
                <w:rFonts w:ascii="Times New Roman"/>
                <w:spacing w:val="-1"/>
                <w:sz w:val="18"/>
              </w:rPr>
              <w:t>2,009,516.00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45"/>
              <w:jc w:val="right"/>
              <w:rPr>
                <w:rFonts w:ascii="Times New Roman" w:hAnsi="Times New Roman" w:cs="Times New Roman" w:eastAsia="Times New Roman" w:hint="default"/>
                <w:sz w:val="18"/>
                <w:szCs w:val="18"/>
              </w:rPr>
            </w:pPr>
            <w:r>
              <w:rPr>
                <w:rFonts w:ascii="Times New Roman"/>
                <w:spacing w:val="-1"/>
                <w:sz w:val="18"/>
              </w:rPr>
              <w:t>14,920,183.20</w:t>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17"/>
              <w:jc w:val="right"/>
              <w:rPr>
                <w:rFonts w:ascii="Times New Roman" w:hAnsi="Times New Roman" w:cs="Times New Roman" w:eastAsia="Times New Roman" w:hint="default"/>
                <w:sz w:val="18"/>
                <w:szCs w:val="18"/>
              </w:rPr>
            </w:pPr>
            <w:r>
              <w:rPr>
                <w:rFonts w:ascii="Times New Roman"/>
                <w:spacing w:val="-1"/>
                <w:sz w:val="18"/>
              </w:rPr>
              <w:t>13,830,843.20</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3,098,856.00</w:t>
            </w:r>
          </w:p>
        </w:tc>
      </w:tr>
      <w:tr>
        <w:trPr>
          <w:trHeight w:val="384" w:hRule="exact"/>
        </w:trPr>
        <w:tc>
          <w:tcPr>
            <w:tcW w:w="2731"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6"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）工会经费和职工教育经费</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14"/>
              <w:jc w:val="right"/>
              <w:rPr>
                <w:rFonts w:ascii="Times New Roman" w:hAnsi="Times New Roman" w:cs="Times New Roman" w:eastAsia="Times New Roman" w:hint="default"/>
                <w:sz w:val="18"/>
                <w:szCs w:val="18"/>
              </w:rPr>
            </w:pPr>
            <w:r>
              <w:rPr>
                <w:rFonts w:ascii="Times New Roman"/>
                <w:sz w:val="18"/>
              </w:rPr>
              <w:t>177,555.55</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45"/>
              <w:jc w:val="right"/>
              <w:rPr>
                <w:rFonts w:ascii="Times New Roman" w:hAnsi="Times New Roman" w:cs="Times New Roman" w:eastAsia="Times New Roman" w:hint="default"/>
                <w:sz w:val="18"/>
                <w:szCs w:val="18"/>
              </w:rPr>
            </w:pPr>
            <w:r>
              <w:rPr>
                <w:rFonts w:ascii="Times New Roman"/>
                <w:sz w:val="18"/>
              </w:rPr>
              <w:t>340,714.92</w:t>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17"/>
              <w:jc w:val="right"/>
              <w:rPr>
                <w:rFonts w:ascii="Times New Roman" w:hAnsi="Times New Roman" w:cs="Times New Roman" w:eastAsia="Times New Roman" w:hint="default"/>
                <w:sz w:val="18"/>
                <w:szCs w:val="18"/>
              </w:rPr>
            </w:pPr>
            <w:r>
              <w:rPr>
                <w:rFonts w:ascii="Times New Roman"/>
                <w:sz w:val="18"/>
              </w:rPr>
              <w:t>340,714.92</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99"/>
              <w:jc w:val="right"/>
              <w:rPr>
                <w:rFonts w:ascii="Times New Roman" w:hAnsi="Times New Roman" w:cs="Times New Roman" w:eastAsia="Times New Roman" w:hint="default"/>
                <w:sz w:val="18"/>
                <w:szCs w:val="18"/>
              </w:rPr>
            </w:pPr>
            <w:r>
              <w:rPr>
                <w:rFonts w:ascii="Times New Roman"/>
                <w:sz w:val="18"/>
              </w:rPr>
              <w:t>177,555.55</w:t>
            </w:r>
          </w:p>
        </w:tc>
      </w:tr>
      <w:tr>
        <w:trPr>
          <w:trHeight w:val="390" w:hRule="exact"/>
        </w:trPr>
        <w:tc>
          <w:tcPr>
            <w:tcW w:w="2731"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right="82"/>
              <w:jc w:val="center"/>
              <w:rPr>
                <w:rFonts w:ascii="宋体" w:hAnsi="宋体" w:cs="宋体" w:eastAsia="宋体" w:hint="default"/>
                <w:sz w:val="18"/>
                <w:szCs w:val="18"/>
              </w:rPr>
            </w:pPr>
            <w:r>
              <w:rPr>
                <w:rFonts w:ascii="宋体" w:hAnsi="宋体" w:cs="宋体" w:eastAsia="宋体" w:hint="default"/>
                <w:sz w:val="18"/>
                <w:szCs w:val="18"/>
              </w:rPr>
              <w:t>合计</w:t>
            </w:r>
          </w:p>
        </w:tc>
        <w:tc>
          <w:tcPr>
            <w:tcW w:w="1447"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214"/>
              <w:jc w:val="right"/>
              <w:rPr>
                <w:rFonts w:ascii="Times New Roman" w:hAnsi="Times New Roman" w:cs="Times New Roman" w:eastAsia="Times New Roman" w:hint="default"/>
                <w:sz w:val="18"/>
                <w:szCs w:val="18"/>
              </w:rPr>
            </w:pPr>
            <w:r>
              <w:rPr>
                <w:rFonts w:ascii="Times New Roman"/>
                <w:spacing w:val="-1"/>
                <w:sz w:val="18"/>
              </w:rPr>
              <w:t>25,185,331.51</w:t>
            </w:r>
          </w:p>
        </w:tc>
        <w:tc>
          <w:tcPr>
            <w:tcW w:w="1488"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44"/>
              <w:jc w:val="right"/>
              <w:rPr>
                <w:rFonts w:ascii="Times New Roman" w:hAnsi="Times New Roman" w:cs="Times New Roman" w:eastAsia="Times New Roman" w:hint="default"/>
                <w:sz w:val="18"/>
                <w:szCs w:val="18"/>
              </w:rPr>
            </w:pPr>
            <w:r>
              <w:rPr>
                <w:rFonts w:ascii="Times New Roman"/>
                <w:spacing w:val="-1"/>
                <w:sz w:val="18"/>
              </w:rPr>
              <w:t>283,364,215.63</w:t>
            </w:r>
          </w:p>
        </w:tc>
        <w:tc>
          <w:tcPr>
            <w:tcW w:w="1391"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16"/>
              <w:jc w:val="right"/>
              <w:rPr>
                <w:rFonts w:ascii="Times New Roman" w:hAnsi="Times New Roman" w:cs="Times New Roman" w:eastAsia="Times New Roman" w:hint="default"/>
                <w:sz w:val="18"/>
                <w:szCs w:val="18"/>
              </w:rPr>
            </w:pPr>
            <w:r>
              <w:rPr>
                <w:rFonts w:ascii="Times New Roman"/>
                <w:spacing w:val="-1"/>
                <w:sz w:val="18"/>
              </w:rPr>
              <w:t>266,193,902.35</w:t>
            </w:r>
          </w:p>
        </w:tc>
        <w:tc>
          <w:tcPr>
            <w:tcW w:w="1257"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pacing w:val="-1"/>
                <w:sz w:val="18"/>
              </w:rPr>
              <w:t>42,355,644.79</w:t>
            </w:r>
          </w:p>
        </w:tc>
      </w:tr>
    </w:tbl>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2"/>
          <w:szCs w:val="22"/>
        </w:rPr>
      </w:pPr>
    </w:p>
    <w:p>
      <w:pPr>
        <w:spacing w:before="35"/>
        <w:ind w:left="123" w:right="312" w:firstLine="0"/>
        <w:jc w:val="left"/>
        <w:rPr>
          <w:rFonts w:ascii="宋体" w:hAnsi="宋体" w:cs="宋体" w:eastAsia="宋体" w:hint="default"/>
          <w:sz w:val="21"/>
          <w:szCs w:val="21"/>
        </w:rPr>
      </w:pPr>
      <w:r>
        <w:rPr/>
        <w:pict>
          <v:shape style="position:absolute;margin-left:119.720001pt;margin-top:42.630981pt;width:415.798475pt;height:38.880pt;mso-position-horizontal-relative:page;mso-position-vertical-relative:paragraph;z-index:-708280" type="#_x0000_t75" stroked="false">
            <v:imagedata r:id="rId177" o:title=""/>
          </v:shape>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十九</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应交税费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747" w:type="dxa"/>
        <w:tblLayout w:type="fixed"/>
        <w:tblCellMar>
          <w:top w:w="0" w:type="dxa"/>
          <w:left w:w="0" w:type="dxa"/>
          <w:bottom w:w="0" w:type="dxa"/>
          <w:right w:w="0" w:type="dxa"/>
        </w:tblCellMar>
        <w:tblLook w:val="01E0"/>
      </w:tblPr>
      <w:tblGrid>
        <w:gridCol w:w="3361"/>
        <w:gridCol w:w="2888"/>
        <w:gridCol w:w="2066"/>
      </w:tblGrid>
      <w:tr>
        <w:trPr>
          <w:trHeight w:val="393" w:hRule="exact"/>
        </w:trPr>
        <w:tc>
          <w:tcPr>
            <w:tcW w:w="3361"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1462" w:right="0"/>
              <w:jc w:val="left"/>
              <w:rPr>
                <w:rFonts w:ascii="宋体" w:hAnsi="宋体" w:cs="宋体" w:eastAsia="宋体" w:hint="default"/>
                <w:sz w:val="21"/>
                <w:szCs w:val="21"/>
              </w:rPr>
            </w:pPr>
            <w:r>
              <w:rPr>
                <w:rFonts w:ascii="宋体" w:hAnsi="宋体" w:cs="宋体" w:eastAsia="宋体" w:hint="default"/>
                <w:sz w:val="21"/>
                <w:szCs w:val="21"/>
              </w:rPr>
              <w:t>税费项目</w:t>
            </w:r>
          </w:p>
        </w:tc>
        <w:tc>
          <w:tcPr>
            <w:tcW w:w="2888"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69"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066"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447"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96" w:hRule="exact"/>
        </w:trPr>
        <w:tc>
          <w:tcPr>
            <w:tcW w:w="3361"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2888" w:type="dxa"/>
            <w:tcBorders>
              <w:top w:val="nil" w:sz="6" w:space="0" w:color="auto"/>
              <w:left w:val="nil" w:sz="6" w:space="0" w:color="auto"/>
              <w:bottom w:val="single" w:sz="12" w:space="0" w:color="000000"/>
              <w:right w:val="nil" w:sz="6" w:space="0" w:color="auto"/>
            </w:tcBorders>
          </w:tcPr>
          <w:p>
            <w:pPr>
              <w:pStyle w:val="TableParagraph"/>
              <w:spacing w:line="240" w:lineRule="auto" w:before="71"/>
              <w:ind w:left="1496" w:right="0"/>
              <w:jc w:val="left"/>
              <w:rPr>
                <w:rFonts w:ascii="Times New Roman" w:hAnsi="Times New Roman" w:cs="Times New Roman" w:eastAsia="Times New Roman" w:hint="default"/>
                <w:sz w:val="21"/>
                <w:szCs w:val="21"/>
              </w:rPr>
            </w:pPr>
            <w:r>
              <w:rPr>
                <w:rFonts w:ascii="Times New Roman"/>
                <w:sz w:val="21"/>
              </w:rPr>
              <w:t>722,389.84</w:t>
            </w:r>
          </w:p>
        </w:tc>
        <w:tc>
          <w:tcPr>
            <w:tcW w:w="2066" w:type="dxa"/>
            <w:tcBorders>
              <w:top w:val="nil" w:sz="6" w:space="0" w:color="auto"/>
              <w:left w:val="nil" w:sz="6" w:space="0" w:color="auto"/>
              <w:bottom w:val="single" w:sz="12" w:space="0" w:color="000000"/>
              <w:right w:val="nil" w:sz="6" w:space="0" w:color="auto"/>
            </w:tcBorders>
          </w:tcPr>
          <w:p>
            <w:pPr>
              <w:pStyle w:val="TableParagraph"/>
              <w:spacing w:line="240" w:lineRule="auto" w:before="71"/>
              <w:ind w:left="1018" w:right="0"/>
              <w:jc w:val="left"/>
              <w:rPr>
                <w:rFonts w:ascii="Times New Roman" w:hAnsi="Times New Roman" w:cs="Times New Roman" w:eastAsia="Times New Roman" w:hint="default"/>
                <w:sz w:val="21"/>
                <w:szCs w:val="21"/>
              </w:rPr>
            </w:pPr>
            <w:r>
              <w:rPr>
                <w:rFonts w:ascii="Times New Roman"/>
                <w:sz w:val="21"/>
              </w:rPr>
              <w:t>915,946.21</w:t>
            </w:r>
          </w:p>
        </w:tc>
      </w:tr>
    </w:tbl>
    <w:p>
      <w:pPr>
        <w:spacing w:after="0" w:line="240" w:lineRule="auto"/>
        <w:jc w:val="left"/>
        <w:rPr>
          <w:rFonts w:ascii="Times New Roman" w:hAnsi="Times New Roman" w:cs="Times New Roman" w:eastAsia="Times New Roman" w:hint="default"/>
          <w:sz w:val="21"/>
          <w:szCs w:val="21"/>
        </w:rPr>
        <w:sectPr>
          <w:pgSz w:w="11910" w:h="16840"/>
          <w:pgMar w:header="0" w:footer="982" w:top="1300" w:bottom="1180" w:left="1660" w:right="1060"/>
        </w:sectPr>
      </w:pPr>
    </w:p>
    <w:p>
      <w:pPr>
        <w:spacing w:line="240" w:lineRule="auto" w:before="3"/>
        <w:rPr>
          <w:rFonts w:ascii="宋体" w:hAnsi="宋体" w:cs="宋体" w:eastAsia="宋体" w:hint="default"/>
          <w:b/>
          <w:bCs/>
          <w:sz w:val="2"/>
          <w:szCs w:val="2"/>
        </w:rPr>
      </w:pPr>
      <w:r>
        <w:rPr/>
        <w:pict>
          <v:group style="position:absolute;margin-left:88.379997pt;margin-top:67.680pt;width:443.85pt;height:.1pt;mso-position-horizontal-relative:page;mso-position-vertical-relative:page;z-index:-708256" coordorigin="1768,1354" coordsize="8877,2">
            <v:shape style="position:absolute;left:1768;top:1354;width:8877;height:2" coordorigin="1768,1354" coordsize="8877,0" path="m1768,1354l10644,1354e" filled="false" stroked="true" strokeweight=".72pt" strokecolor="#000000">
              <v:path arrowok="t"/>
            </v:shape>
            <w10:wrap type="none"/>
          </v:group>
        </w:pict>
      </w:r>
    </w:p>
    <w:tbl>
      <w:tblPr>
        <w:tblW w:w="0" w:type="auto"/>
        <w:jc w:val="left"/>
        <w:tblInd w:w="747" w:type="dxa"/>
        <w:tblLayout w:type="fixed"/>
        <w:tblCellMar>
          <w:top w:w="0" w:type="dxa"/>
          <w:left w:w="0" w:type="dxa"/>
          <w:bottom w:w="0" w:type="dxa"/>
          <w:right w:w="0" w:type="dxa"/>
        </w:tblCellMar>
        <w:tblLook w:val="01E0"/>
      </w:tblPr>
      <w:tblGrid>
        <w:gridCol w:w="3362"/>
        <w:gridCol w:w="3061"/>
        <w:gridCol w:w="1892"/>
      </w:tblGrid>
      <w:tr>
        <w:trPr>
          <w:trHeight w:val="500" w:hRule="exact"/>
        </w:trPr>
        <w:tc>
          <w:tcPr>
            <w:tcW w:w="3362"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106"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3061" w:type="dxa"/>
            <w:tcBorders>
              <w:top w:val="single" w:sz="12" w:space="0" w:color="000000"/>
              <w:left w:val="nil" w:sz="6" w:space="0" w:color="auto"/>
              <w:bottom w:val="nil" w:sz="6" w:space="0" w:color="auto"/>
              <w:right w:val="nil" w:sz="6" w:space="0" w:color="auto"/>
            </w:tcBorders>
          </w:tcPr>
          <w:p>
            <w:pPr>
              <w:pStyle w:val="TableParagraph"/>
              <w:spacing w:line="240" w:lineRule="auto" w:before="65"/>
              <w:ind w:right="616"/>
              <w:jc w:val="right"/>
              <w:rPr>
                <w:rFonts w:ascii="Times New Roman" w:hAnsi="Times New Roman" w:cs="Times New Roman" w:eastAsia="Times New Roman" w:hint="default"/>
                <w:sz w:val="21"/>
                <w:szCs w:val="21"/>
              </w:rPr>
            </w:pPr>
            <w:r>
              <w:rPr>
                <w:rFonts w:ascii="Times New Roman"/>
                <w:spacing w:val="-1"/>
                <w:sz w:val="21"/>
              </w:rPr>
              <w:t>1,443,248.63</w:t>
            </w:r>
          </w:p>
        </w:tc>
        <w:tc>
          <w:tcPr>
            <w:tcW w:w="1892" w:type="dxa"/>
            <w:tcBorders>
              <w:top w:val="single" w:sz="12" w:space="0" w:color="000000"/>
              <w:left w:val="nil" w:sz="6" w:space="0" w:color="auto"/>
              <w:bottom w:val="nil" w:sz="6" w:space="0" w:color="auto"/>
              <w:right w:val="nil" w:sz="6" w:space="0" w:color="auto"/>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1"/>
                <w:sz w:val="21"/>
              </w:rPr>
              <w:t>1,492,538.76</w:t>
            </w:r>
          </w:p>
        </w:tc>
      </w:tr>
      <w:tr>
        <w:trPr>
          <w:trHeight w:val="384" w:hRule="exact"/>
        </w:trPr>
        <w:tc>
          <w:tcPr>
            <w:tcW w:w="336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6"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306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618"/>
              <w:jc w:val="right"/>
              <w:rPr>
                <w:rFonts w:ascii="Times New Roman" w:hAnsi="Times New Roman" w:cs="Times New Roman" w:eastAsia="Times New Roman" w:hint="default"/>
                <w:sz w:val="21"/>
                <w:szCs w:val="21"/>
              </w:rPr>
            </w:pPr>
            <w:r>
              <w:rPr>
                <w:rFonts w:ascii="Times New Roman"/>
                <w:spacing w:val="-1"/>
                <w:sz w:val="21"/>
              </w:rPr>
              <w:t>1,258,092.14</w:t>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0"/>
              <w:jc w:val="right"/>
              <w:rPr>
                <w:rFonts w:ascii="Times New Roman" w:hAnsi="Times New Roman" w:cs="Times New Roman" w:eastAsia="Times New Roman" w:hint="default"/>
                <w:sz w:val="21"/>
                <w:szCs w:val="21"/>
              </w:rPr>
            </w:pPr>
            <w:r>
              <w:rPr>
                <w:rFonts w:ascii="Times New Roman"/>
                <w:spacing w:val="-1"/>
                <w:sz w:val="21"/>
              </w:rPr>
              <w:t>906,098.67</w:t>
            </w:r>
          </w:p>
        </w:tc>
      </w:tr>
      <w:tr>
        <w:trPr>
          <w:trHeight w:val="385" w:hRule="exact"/>
        </w:trPr>
        <w:tc>
          <w:tcPr>
            <w:tcW w:w="336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6"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306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619"/>
              <w:jc w:val="right"/>
              <w:rPr>
                <w:rFonts w:ascii="Times New Roman" w:hAnsi="Times New Roman" w:cs="Times New Roman" w:eastAsia="Times New Roman" w:hint="default"/>
                <w:sz w:val="21"/>
                <w:szCs w:val="21"/>
              </w:rPr>
            </w:pPr>
            <w:r>
              <w:rPr>
                <w:rFonts w:ascii="Times New Roman"/>
                <w:spacing w:val="-1"/>
                <w:sz w:val="21"/>
              </w:rPr>
              <w:t>559,536.47</w:t>
            </w:r>
            <w:r>
              <w:rPr>
                <w:rFonts w:ascii="Times New Roman"/>
                <w:sz w:val="21"/>
              </w:rPr>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388,327.95</w:t>
            </w:r>
            <w:r>
              <w:rPr>
                <w:rFonts w:ascii="Times New Roman"/>
                <w:sz w:val="21"/>
              </w:rPr>
            </w:r>
          </w:p>
        </w:tc>
      </w:tr>
      <w:tr>
        <w:trPr>
          <w:trHeight w:val="385" w:hRule="exact"/>
        </w:trPr>
        <w:tc>
          <w:tcPr>
            <w:tcW w:w="3362"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6"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3061"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616"/>
              <w:jc w:val="right"/>
              <w:rPr>
                <w:rFonts w:ascii="Times New Roman" w:hAnsi="Times New Roman" w:cs="Times New Roman" w:eastAsia="Times New Roman" w:hint="default"/>
                <w:sz w:val="21"/>
                <w:szCs w:val="21"/>
              </w:rPr>
            </w:pPr>
            <w:r>
              <w:rPr>
                <w:rFonts w:ascii="Times New Roman"/>
                <w:spacing w:val="-1"/>
                <w:sz w:val="21"/>
              </w:rPr>
              <w:t>-1,278,446.34</w:t>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98"/>
              <w:jc w:val="right"/>
              <w:rPr>
                <w:rFonts w:ascii="Times New Roman" w:hAnsi="Times New Roman" w:cs="Times New Roman" w:eastAsia="Times New Roman" w:hint="default"/>
                <w:sz w:val="21"/>
                <w:szCs w:val="21"/>
              </w:rPr>
            </w:pPr>
            <w:r>
              <w:rPr>
                <w:rFonts w:ascii="Times New Roman"/>
                <w:spacing w:val="-1"/>
                <w:sz w:val="21"/>
              </w:rPr>
              <w:t>-2,166,455.54</w:t>
            </w:r>
          </w:p>
        </w:tc>
      </w:tr>
      <w:tr>
        <w:trPr>
          <w:trHeight w:val="384" w:hRule="exact"/>
        </w:trPr>
        <w:tc>
          <w:tcPr>
            <w:tcW w:w="336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6" w:right="0"/>
              <w:jc w:val="left"/>
              <w:rPr>
                <w:rFonts w:ascii="宋体" w:hAnsi="宋体" w:cs="宋体" w:eastAsia="宋体" w:hint="default"/>
                <w:sz w:val="21"/>
                <w:szCs w:val="21"/>
              </w:rPr>
            </w:pPr>
            <w:r>
              <w:rPr>
                <w:rFonts w:ascii="宋体" w:hAnsi="宋体" w:cs="宋体" w:eastAsia="宋体" w:hint="default"/>
                <w:sz w:val="21"/>
                <w:szCs w:val="21"/>
              </w:rPr>
              <w:t>个人所得税</w:t>
            </w:r>
          </w:p>
        </w:tc>
        <w:tc>
          <w:tcPr>
            <w:tcW w:w="306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616"/>
              <w:jc w:val="right"/>
              <w:rPr>
                <w:rFonts w:ascii="Times New Roman" w:hAnsi="Times New Roman" w:cs="Times New Roman" w:eastAsia="Times New Roman" w:hint="default"/>
                <w:sz w:val="21"/>
                <w:szCs w:val="21"/>
              </w:rPr>
            </w:pPr>
            <w:r>
              <w:rPr>
                <w:rFonts w:ascii="Times New Roman"/>
                <w:spacing w:val="-1"/>
                <w:sz w:val="21"/>
              </w:rPr>
              <w:t>1,794,010.55</w:t>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1"/>
                <w:sz w:val="21"/>
              </w:rPr>
              <w:t>1,172,865.79</w:t>
            </w:r>
          </w:p>
        </w:tc>
      </w:tr>
      <w:tr>
        <w:trPr>
          <w:trHeight w:val="385" w:hRule="exact"/>
        </w:trPr>
        <w:tc>
          <w:tcPr>
            <w:tcW w:w="336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6" w:right="0"/>
              <w:jc w:val="left"/>
              <w:rPr>
                <w:rFonts w:ascii="宋体" w:hAnsi="宋体" w:cs="宋体" w:eastAsia="宋体" w:hint="default"/>
                <w:sz w:val="21"/>
                <w:szCs w:val="21"/>
              </w:rPr>
            </w:pPr>
            <w:r>
              <w:rPr>
                <w:rFonts w:ascii="宋体" w:hAnsi="宋体" w:cs="宋体" w:eastAsia="宋体" w:hint="default"/>
                <w:sz w:val="21"/>
                <w:szCs w:val="21"/>
              </w:rPr>
              <w:t>印花税</w:t>
            </w:r>
          </w:p>
        </w:tc>
        <w:tc>
          <w:tcPr>
            <w:tcW w:w="306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619"/>
              <w:jc w:val="right"/>
              <w:rPr>
                <w:rFonts w:ascii="Times New Roman" w:hAnsi="Times New Roman" w:cs="Times New Roman" w:eastAsia="Times New Roman" w:hint="default"/>
                <w:sz w:val="21"/>
                <w:szCs w:val="21"/>
              </w:rPr>
            </w:pPr>
            <w:r>
              <w:rPr>
                <w:rFonts w:ascii="Times New Roman"/>
                <w:spacing w:val="-1"/>
                <w:sz w:val="21"/>
              </w:rPr>
              <w:t>854,024.38</w:t>
            </w:r>
            <w:r>
              <w:rPr>
                <w:rFonts w:ascii="Times New Roman"/>
                <w:sz w:val="21"/>
              </w:rPr>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890,671.48</w:t>
            </w:r>
            <w:r>
              <w:rPr>
                <w:rFonts w:ascii="Times New Roman"/>
                <w:sz w:val="21"/>
              </w:rPr>
            </w:r>
          </w:p>
        </w:tc>
      </w:tr>
      <w:tr>
        <w:trPr>
          <w:trHeight w:val="390" w:hRule="exact"/>
        </w:trPr>
        <w:tc>
          <w:tcPr>
            <w:tcW w:w="3362" w:type="dxa"/>
            <w:tcBorders>
              <w:top w:val="nil" w:sz="6" w:space="0" w:color="auto"/>
              <w:left w:val="nil" w:sz="6" w:space="0" w:color="auto"/>
              <w:bottom w:val="single" w:sz="12" w:space="0" w:color="000000"/>
              <w:right w:val="nil" w:sz="6" w:space="0" w:color="auto"/>
            </w:tcBorders>
          </w:tcPr>
          <w:p>
            <w:pPr>
              <w:pStyle w:val="TableParagraph"/>
              <w:spacing w:line="240" w:lineRule="auto" w:before="17"/>
              <w:ind w:left="403"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061" w:type="dxa"/>
            <w:tcBorders>
              <w:top w:val="nil" w:sz="6" w:space="0" w:color="auto"/>
              <w:left w:val="nil" w:sz="6" w:space="0" w:color="auto"/>
              <w:bottom w:val="single" w:sz="12" w:space="0" w:color="000000"/>
              <w:right w:val="nil" w:sz="6" w:space="0" w:color="auto"/>
            </w:tcBorders>
          </w:tcPr>
          <w:p>
            <w:pPr>
              <w:pStyle w:val="TableParagraph"/>
              <w:spacing w:line="240" w:lineRule="auto" w:before="66"/>
              <w:ind w:right="616"/>
              <w:jc w:val="right"/>
              <w:rPr>
                <w:rFonts w:ascii="Times New Roman" w:hAnsi="Times New Roman" w:cs="Times New Roman" w:eastAsia="Times New Roman" w:hint="default"/>
                <w:sz w:val="21"/>
                <w:szCs w:val="21"/>
              </w:rPr>
            </w:pPr>
            <w:r>
              <w:rPr>
                <w:rFonts w:ascii="Times New Roman"/>
                <w:spacing w:val="-1"/>
                <w:sz w:val="21"/>
              </w:rPr>
              <w:t>5,352,855.67</w:t>
            </w:r>
          </w:p>
        </w:tc>
        <w:tc>
          <w:tcPr>
            <w:tcW w:w="1892" w:type="dxa"/>
            <w:tcBorders>
              <w:top w:val="nil" w:sz="6" w:space="0" w:color="auto"/>
              <w:left w:val="nil" w:sz="6" w:space="0" w:color="auto"/>
              <w:bottom w:val="single" w:sz="12" w:space="0" w:color="000000"/>
              <w:right w:val="nil" w:sz="6" w:space="0" w:color="auto"/>
            </w:tcBorders>
          </w:tcPr>
          <w:p>
            <w:pPr>
              <w:pStyle w:val="TableParagraph"/>
              <w:spacing w:line="240" w:lineRule="auto" w:before="66"/>
              <w:ind w:right="98"/>
              <w:jc w:val="right"/>
              <w:rPr>
                <w:rFonts w:ascii="Times New Roman" w:hAnsi="Times New Roman" w:cs="Times New Roman" w:eastAsia="Times New Roman" w:hint="default"/>
                <w:sz w:val="21"/>
                <w:szCs w:val="21"/>
              </w:rPr>
            </w:pPr>
            <w:r>
              <w:rPr>
                <w:rFonts w:ascii="Times New Roman"/>
                <w:spacing w:val="-1"/>
                <w:sz w:val="21"/>
              </w:rPr>
              <w:t>3,599,993.32</w:t>
            </w:r>
          </w:p>
        </w:tc>
      </w:tr>
    </w:tbl>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pStyle w:val="BodyText"/>
        <w:spacing w:line="350" w:lineRule="auto" w:before="35"/>
        <w:ind w:left="855" w:right="228"/>
        <w:jc w:val="both"/>
      </w:pPr>
      <w:r>
        <w:rPr/>
        <w:pict>
          <v:group style="position:absolute;margin-left:119.720001pt;margin-top:-164.421555pt;width:417.1pt;height:135pt;mso-position-horizontal-relative:page;mso-position-vertical-relative:paragraph;z-index:-708232" coordorigin="2394,-3288" coordsize="8342,2700">
            <v:shape style="position:absolute;left:6152;top:-3288;width:2190;height:413" type="#_x0000_t75" stroked="false">
              <v:imagedata r:id="rId178" o:title=""/>
            </v:shape>
            <v:shape style="position:absolute;left:2394;top:-2908;width:8342;height:2319" type="#_x0000_t75" stroked="false">
              <v:imagedata r:id="rId179" o:title=""/>
            </v:shape>
            <w10:wrap type="none"/>
          </v:group>
        </w:pict>
      </w:r>
      <w:r>
        <w:rPr>
          <w:spacing w:val="2"/>
        </w:rPr>
        <w:t>本年公司全资子公司北京新媒传信科技有限公司被国家发展改革委员会、工业和信息化</w:t>
      </w:r>
      <w:r>
        <w:rPr>
          <w:spacing w:val="-83"/>
        </w:rPr>
        <w:t> </w:t>
      </w:r>
      <w:r>
        <w:rPr>
          <w:spacing w:val="-83"/>
        </w:rPr>
      </w:r>
      <w:r>
        <w:rPr/>
        <w:t>部、商务部、国家税务总局联合审核认定为</w:t>
      </w:r>
      <w:r>
        <w:rPr>
          <w:spacing w:val="-47"/>
        </w:rPr>
        <w:t> </w:t>
      </w:r>
      <w:r>
        <w:rPr/>
        <w:t>2010</w:t>
      </w:r>
      <w:r>
        <w:rPr>
          <w:spacing w:val="-46"/>
        </w:rPr>
        <w:t> </w:t>
      </w:r>
      <w:r>
        <w:rPr/>
        <w:t>年度国家规划布局内重点软件企业，根</w:t>
      </w:r>
      <w:r>
        <w:rPr/>
        <w:t> </w:t>
      </w:r>
      <w:r>
        <w:rPr>
          <w:spacing w:val="-3"/>
        </w:rPr>
        <w:t>据《财政部、国家税务总局关于企业所得税若干优惠政策的通知》（财税【2008】1</w:t>
      </w:r>
      <w:r>
        <w:rPr>
          <w:spacing w:val="15"/>
        </w:rPr>
        <w:t> </w:t>
      </w:r>
      <w:r>
        <w:rPr/>
        <w:t>号）</w:t>
      </w:r>
      <w:r>
        <w:rPr>
          <w:spacing w:val="-103"/>
        </w:rPr>
        <w:t> </w:t>
      </w:r>
      <w:r>
        <w:rPr>
          <w:spacing w:val="-103"/>
        </w:rPr>
      </w:r>
      <w:r>
        <w:rPr/>
        <w:t>的规定，按</w:t>
      </w:r>
      <w:r>
        <w:rPr>
          <w:spacing w:val="-49"/>
        </w:rPr>
        <w:t> </w:t>
      </w:r>
      <w:r>
        <w:rPr/>
        <w:t>10%的税率计缴企业所得税。企业原按软件企业的标准本年按</w:t>
      </w:r>
      <w:r>
        <w:rPr>
          <w:spacing w:val="-49"/>
        </w:rPr>
        <w:t> </w:t>
      </w:r>
      <w:r>
        <w:rPr/>
        <w:t>12.5%的税率预</w:t>
      </w:r>
      <w:r>
        <w:rPr/>
        <w:t> </w:t>
      </w:r>
      <w:r>
        <w:rPr>
          <w:spacing w:val="-3"/>
        </w:rPr>
        <w:t>缴所得税，预缴税款数额大于按</w:t>
      </w:r>
      <w:r>
        <w:rPr>
          <w:spacing w:val="-72"/>
        </w:rPr>
        <w:t> </w:t>
      </w:r>
      <w:r>
        <w:rPr/>
        <w:t>10%税率计算的实际应缴数，造成期末所得税应缴数为负</w:t>
      </w:r>
      <w:r>
        <w:rPr>
          <w:spacing w:val="-1"/>
        </w:rPr>
        <w:t> </w:t>
      </w:r>
      <w:r>
        <w:rPr/>
        <w:t>数，该多缴部分需待</w:t>
      </w:r>
      <w:r>
        <w:rPr>
          <w:spacing w:val="-68"/>
        </w:rPr>
        <w:t> </w:t>
      </w:r>
      <w:r>
        <w:rPr/>
        <w:t>2010</w:t>
      </w:r>
      <w:r>
        <w:rPr>
          <w:spacing w:val="-67"/>
        </w:rPr>
        <w:t> </w:t>
      </w:r>
      <w:r>
        <w:rPr/>
        <w:t>年度北京海淀区退税工作启动后退回。</w:t>
      </w:r>
    </w:p>
    <w:p>
      <w:pPr>
        <w:spacing w:line="240" w:lineRule="auto" w:before="0"/>
        <w:rPr>
          <w:rFonts w:ascii="宋体" w:hAnsi="宋体" w:cs="宋体" w:eastAsia="宋体" w:hint="default"/>
          <w:sz w:val="20"/>
          <w:szCs w:val="20"/>
        </w:rPr>
      </w:pPr>
    </w:p>
    <w:p>
      <w:pPr>
        <w:pStyle w:val="Heading2"/>
        <w:spacing w:line="240" w:lineRule="auto" w:before="167"/>
        <w:ind w:left="0" w:right="7154"/>
        <w:jc w:val="center"/>
        <w:rPr>
          <w:b w:val="0"/>
          <w:bCs w:val="0"/>
        </w:rPr>
      </w:pPr>
      <w:r>
        <w:rPr>
          <w:rFonts w:ascii="Times New Roman" w:hAnsi="Times New Roman" w:cs="Times New Roman" w:eastAsia="Times New Roman" w:hint="default"/>
        </w:rPr>
        <w:t>(</w:t>
      </w:r>
      <w:r>
        <w:rPr/>
        <w:t>二十</w:t>
      </w:r>
      <w:r>
        <w:rPr>
          <w:rFonts w:ascii="Times New Roman" w:hAnsi="Times New Roman" w:cs="Times New Roman" w:eastAsia="Times New Roman" w:hint="default"/>
        </w:rPr>
        <w:t>)  </w:t>
      </w:r>
      <w:r>
        <w:rPr>
          <w:rFonts w:ascii="Times New Roman" w:hAnsi="Times New Roman" w:cs="Times New Roman" w:eastAsia="Times New Roman" w:hint="default"/>
          <w:spacing w:val="5"/>
        </w:rPr>
        <w:t> </w:t>
      </w:r>
      <w:r>
        <w:rPr/>
        <w:t>其他应付款</w:t>
      </w:r>
      <w:r>
        <w:rPr>
          <w:b w:val="0"/>
          <w:bCs w:val="0"/>
        </w:rPr>
      </w:r>
    </w:p>
    <w:p>
      <w:pPr>
        <w:spacing w:before="109"/>
        <w:ind w:left="854" w:right="0" w:firstLine="0"/>
        <w:jc w:val="both"/>
        <w:rPr>
          <w:rFonts w:ascii="宋体" w:hAnsi="宋体" w:cs="宋体" w:eastAsia="宋体" w:hint="default"/>
          <w:sz w:val="21"/>
          <w:szCs w:val="21"/>
        </w:rPr>
      </w:pPr>
      <w:r>
        <w:rPr/>
        <w:pict>
          <v:group style="position:absolute;margin-left:146.009995pt;margin-top:45.790985pt;width:306.150pt;height:41pt;mso-position-horizontal-relative:page;mso-position-vertical-relative:paragraph;z-index:-708208" coordorigin="2920,916" coordsize="6123,820">
            <v:group style="position:absolute;left:2950;top:931;width:6071;height:2" coordorigin="2950,931" coordsize="6071,2">
              <v:shape style="position:absolute;left:2950;top:931;width:6071;height:2" coordorigin="2950,931" coordsize="6071,0" path="m2950,931l9020,931e" filled="false" stroked="true" strokeweight="1.5pt" strokecolor="#000000">
                <v:path arrowok="t"/>
              </v:shape>
            </v:group>
            <v:group style="position:absolute;left:2935;top:1720;width:3111;height:2" coordorigin="2935,1720" coordsize="3111,2">
              <v:shape style="position:absolute;left:2935;top:1720;width:3111;height:2" coordorigin="2935,1720" coordsize="3111,0" path="m2935,1720l6046,1720e" filled="false" stroked="true" strokeweight="1.5pt" strokecolor="#000000">
                <v:path arrowok="t"/>
              </v:shape>
              <v:shape style="position:absolute;left:2930;top:946;width:6101;height:760" type="#_x0000_t75" stroked="false">
                <v:imagedata r:id="rId180" o:title=""/>
              </v:shape>
            </v:group>
            <v:group style="position:absolute;left:6046;top:1720;width:2982;height:2" coordorigin="6046,1720" coordsize="2982,2">
              <v:shape style="position:absolute;left:6046;top:1720;width:2982;height:2" coordorigin="6046,1720" coordsize="2982,0" path="m6046,1720l9028,1720e" filled="false" stroked="true" strokeweight="1.5pt" strokecolor="#000000">
                <v:path arrowok="t"/>
              </v:shape>
            </v:group>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0"/>
          <w:szCs w:val="20"/>
        </w:rPr>
      </w:pPr>
    </w:p>
    <w:tbl>
      <w:tblPr>
        <w:tblW w:w="0" w:type="auto"/>
        <w:jc w:val="left"/>
        <w:tblInd w:w="2220" w:type="dxa"/>
        <w:tblLayout w:type="fixed"/>
        <w:tblCellMar>
          <w:top w:w="0" w:type="dxa"/>
          <w:left w:w="0" w:type="dxa"/>
          <w:bottom w:w="0" w:type="dxa"/>
          <w:right w:w="0" w:type="dxa"/>
        </w:tblCellMar>
        <w:tblLook w:val="01E0"/>
      </w:tblPr>
      <w:tblGrid>
        <w:gridCol w:w="2651"/>
        <w:gridCol w:w="2489"/>
      </w:tblGrid>
      <w:tr>
        <w:trPr>
          <w:trHeight w:val="399" w:hRule="exact"/>
        </w:trPr>
        <w:tc>
          <w:tcPr>
            <w:tcW w:w="2651" w:type="dxa"/>
            <w:tcBorders>
              <w:top w:val="nil" w:sz="6" w:space="0" w:color="auto"/>
              <w:left w:val="nil" w:sz="6" w:space="0" w:color="auto"/>
              <w:bottom w:val="nil" w:sz="6" w:space="0" w:color="auto"/>
              <w:right w:val="nil" w:sz="6" w:space="0" w:color="auto"/>
            </w:tcBorders>
          </w:tcPr>
          <w:p>
            <w:pPr>
              <w:pStyle w:val="TableParagraph"/>
              <w:spacing w:line="240" w:lineRule="auto" w:before="31"/>
              <w:ind w:left="200"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489" w:type="dxa"/>
            <w:tcBorders>
              <w:top w:val="nil" w:sz="6" w:space="0" w:color="auto"/>
              <w:left w:val="nil" w:sz="6" w:space="0" w:color="auto"/>
              <w:bottom w:val="nil" w:sz="6" w:space="0" w:color="auto"/>
              <w:right w:val="nil" w:sz="6" w:space="0" w:color="auto"/>
            </w:tcBorders>
          </w:tcPr>
          <w:p>
            <w:pPr>
              <w:pStyle w:val="TableParagraph"/>
              <w:spacing w:line="240" w:lineRule="auto" w:before="31"/>
              <w:ind w:left="587"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91" w:hRule="exact"/>
        </w:trPr>
        <w:tc>
          <w:tcPr>
            <w:tcW w:w="26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59" w:right="0"/>
              <w:jc w:val="left"/>
              <w:rPr>
                <w:rFonts w:ascii="Times New Roman" w:hAnsi="Times New Roman" w:cs="Times New Roman" w:eastAsia="Times New Roman" w:hint="default"/>
                <w:sz w:val="21"/>
                <w:szCs w:val="21"/>
              </w:rPr>
            </w:pPr>
            <w:r>
              <w:rPr>
                <w:rFonts w:ascii="Times New Roman"/>
                <w:sz w:val="21"/>
              </w:rPr>
              <w:t>4,001,972.54</w:t>
            </w:r>
          </w:p>
        </w:tc>
        <w:tc>
          <w:tcPr>
            <w:tcW w:w="2489"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286" w:right="0"/>
              <w:jc w:val="left"/>
              <w:rPr>
                <w:rFonts w:ascii="Times New Roman" w:hAnsi="Times New Roman" w:cs="Times New Roman" w:eastAsia="Times New Roman" w:hint="default"/>
                <w:sz w:val="21"/>
                <w:szCs w:val="21"/>
              </w:rPr>
            </w:pPr>
            <w:r>
              <w:rPr>
                <w:rFonts w:ascii="Times New Roman"/>
                <w:sz w:val="21"/>
              </w:rPr>
              <w:t>5,724,454.57</w:t>
            </w:r>
          </w:p>
        </w:tc>
      </w:tr>
    </w:tbl>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3"/>
          <w:szCs w:val="23"/>
        </w:rPr>
      </w:pPr>
    </w:p>
    <w:p>
      <w:pPr>
        <w:tabs>
          <w:tab w:pos="1393" w:val="left" w:leader="none"/>
        </w:tabs>
        <w:spacing w:before="35"/>
        <w:ind w:left="855" w:right="312"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期末数中无欠持本公司</w:t>
      </w:r>
      <w:r>
        <w:rPr>
          <w:rFonts w:ascii="宋体" w:hAnsi="宋体" w:cs="宋体" w:eastAsia="宋体" w:hint="default"/>
          <w:b/>
          <w:bCs/>
          <w:spacing w:val="-61"/>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61"/>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％）表决权股份的股东单位款项。</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3"/>
        <w:rPr>
          <w:rFonts w:ascii="宋体" w:hAnsi="宋体" w:cs="宋体" w:eastAsia="宋体" w:hint="default"/>
          <w:b/>
          <w:bCs/>
          <w:sz w:val="16"/>
          <w:szCs w:val="16"/>
        </w:rPr>
      </w:pPr>
    </w:p>
    <w:p>
      <w:pPr>
        <w:tabs>
          <w:tab w:pos="1393" w:val="left" w:leader="none"/>
        </w:tabs>
        <w:spacing w:before="0"/>
        <w:ind w:left="854" w:right="312"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期末数中无欠关联方款项。</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spacing w:before="0"/>
        <w:ind w:left="122" w:right="312" w:firstLine="0"/>
        <w:jc w:val="left"/>
        <w:rPr>
          <w:rFonts w:ascii="宋体" w:hAnsi="宋体" w:cs="宋体" w:eastAsia="宋体" w:hint="default"/>
          <w:sz w:val="21"/>
          <w:szCs w:val="21"/>
        </w:rPr>
      </w:pPr>
      <w:r>
        <w:rPr/>
        <w:pict>
          <v:group style="position:absolute;margin-left:119.399994pt;margin-top:40.879562pt;width:410.95pt;height:58.1pt;mso-position-horizontal-relative:page;mso-position-vertical-relative:paragraph;z-index:-708184" coordorigin="2388,818" coordsize="8219,1162">
            <v:shape style="position:absolute;left:4183;top:818;width:5022;height:413" type="#_x0000_t75" stroked="false">
              <v:imagedata r:id="rId181" o:title=""/>
            </v:shape>
            <v:shape style="position:absolute;left:2388;top:1192;width:8219;height:787" type="#_x0000_t75" stroked="false">
              <v:imagedata r:id="rId182"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50"/>
          <w:sz w:val="21"/>
          <w:szCs w:val="21"/>
        </w:rPr>
        <w:t> </w:t>
      </w:r>
      <w:r>
        <w:rPr>
          <w:rFonts w:ascii="宋体" w:hAnsi="宋体" w:cs="宋体" w:eastAsia="宋体" w:hint="default"/>
          <w:b/>
          <w:bCs/>
          <w:sz w:val="21"/>
          <w:szCs w:val="21"/>
        </w:rPr>
        <w:t>预计负债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747" w:type="dxa"/>
        <w:tblLayout w:type="fixed"/>
        <w:tblCellMar>
          <w:top w:w="0" w:type="dxa"/>
          <w:left w:w="0" w:type="dxa"/>
          <w:bottom w:w="0" w:type="dxa"/>
          <w:right w:w="0" w:type="dxa"/>
        </w:tblCellMar>
        <w:tblLook w:val="01E0"/>
      </w:tblPr>
      <w:tblGrid>
        <w:gridCol w:w="1648"/>
        <w:gridCol w:w="1903"/>
        <w:gridCol w:w="1709"/>
        <w:gridCol w:w="1632"/>
        <w:gridCol w:w="1280"/>
      </w:tblGrid>
      <w:tr>
        <w:trPr>
          <w:trHeight w:val="394" w:hRule="exact"/>
        </w:trPr>
        <w:tc>
          <w:tcPr>
            <w:tcW w:w="164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567"/>
              <w:jc w:val="right"/>
              <w:rPr>
                <w:rFonts w:ascii="宋体" w:hAnsi="宋体" w:cs="宋体" w:eastAsia="宋体" w:hint="default"/>
                <w:sz w:val="18"/>
                <w:szCs w:val="18"/>
              </w:rPr>
            </w:pPr>
            <w:r>
              <w:rPr>
                <w:rFonts w:ascii="宋体" w:hAnsi="宋体" w:cs="宋体" w:eastAsia="宋体" w:hint="default"/>
                <w:sz w:val="18"/>
                <w:szCs w:val="18"/>
              </w:rPr>
              <w:t>项目</w:t>
            </w:r>
          </w:p>
        </w:tc>
        <w:tc>
          <w:tcPr>
            <w:tcW w:w="190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569"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70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0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63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0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28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24"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88" w:hRule="exact"/>
        </w:trPr>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6" w:right="0"/>
              <w:jc w:val="left"/>
              <w:rPr>
                <w:rFonts w:ascii="宋体" w:hAnsi="宋体" w:cs="宋体" w:eastAsia="宋体" w:hint="default"/>
                <w:sz w:val="18"/>
                <w:szCs w:val="18"/>
              </w:rPr>
            </w:pPr>
            <w:r>
              <w:rPr>
                <w:rFonts w:ascii="宋体" w:hAnsi="宋体" w:cs="宋体" w:eastAsia="宋体" w:hint="default"/>
                <w:sz w:val="18"/>
                <w:szCs w:val="18"/>
              </w:rPr>
              <w:t>质保金</w:t>
            </w:r>
          </w:p>
        </w:tc>
        <w:tc>
          <w:tcPr>
            <w:tcW w:w="190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99"/>
              <w:jc w:val="right"/>
              <w:rPr>
                <w:rFonts w:ascii="Times New Roman" w:hAnsi="Times New Roman" w:cs="Times New Roman" w:eastAsia="Times New Roman" w:hint="default"/>
                <w:sz w:val="18"/>
                <w:szCs w:val="18"/>
              </w:rPr>
            </w:pPr>
            <w:r>
              <w:rPr>
                <w:rFonts w:ascii="Times New Roman"/>
                <w:spacing w:val="-1"/>
                <w:sz w:val="18"/>
              </w:rPr>
              <w:t>3,943,694.03</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99"/>
              <w:jc w:val="right"/>
              <w:rPr>
                <w:rFonts w:ascii="Times New Roman" w:hAnsi="Times New Roman" w:cs="Times New Roman" w:eastAsia="Times New Roman" w:hint="default"/>
                <w:sz w:val="18"/>
                <w:szCs w:val="18"/>
              </w:rPr>
            </w:pPr>
            <w:r>
              <w:rPr>
                <w:rFonts w:ascii="Times New Roman"/>
                <w:spacing w:val="-1"/>
                <w:sz w:val="18"/>
              </w:rPr>
              <w:t>1,767,226.83</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22"/>
              <w:jc w:val="right"/>
              <w:rPr>
                <w:rFonts w:ascii="Times New Roman" w:hAnsi="Times New Roman" w:cs="Times New Roman" w:eastAsia="Times New Roman" w:hint="default"/>
                <w:sz w:val="18"/>
                <w:szCs w:val="18"/>
              </w:rPr>
            </w:pPr>
            <w:r>
              <w:rPr>
                <w:rFonts w:ascii="Times New Roman"/>
                <w:spacing w:val="-1"/>
                <w:sz w:val="18"/>
              </w:rPr>
              <w:t>1,606,116.24</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86"/>
              <w:ind w:left="233" w:right="0"/>
              <w:jc w:val="left"/>
              <w:rPr>
                <w:rFonts w:ascii="Times New Roman" w:hAnsi="Times New Roman" w:cs="Times New Roman" w:eastAsia="Times New Roman" w:hint="default"/>
                <w:sz w:val="18"/>
                <w:szCs w:val="18"/>
              </w:rPr>
            </w:pPr>
            <w:r>
              <w:rPr>
                <w:rFonts w:ascii="Times New Roman"/>
                <w:sz w:val="18"/>
              </w:rPr>
              <w:t>4,104,804.62</w:t>
            </w:r>
          </w:p>
        </w:tc>
      </w:tr>
      <w:tr>
        <w:trPr>
          <w:trHeight w:val="390" w:hRule="exact"/>
        </w:trPr>
        <w:tc>
          <w:tcPr>
            <w:tcW w:w="1648"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567"/>
              <w:jc w:val="right"/>
              <w:rPr>
                <w:rFonts w:ascii="宋体" w:hAnsi="宋体" w:cs="宋体" w:eastAsia="宋体" w:hint="default"/>
                <w:sz w:val="18"/>
                <w:szCs w:val="18"/>
              </w:rPr>
            </w:pPr>
            <w:r>
              <w:rPr>
                <w:rFonts w:ascii="宋体" w:hAnsi="宋体" w:cs="宋体" w:eastAsia="宋体" w:hint="default"/>
                <w:sz w:val="18"/>
                <w:szCs w:val="18"/>
              </w:rPr>
              <w:t>合计</w:t>
            </w:r>
          </w:p>
        </w:tc>
        <w:tc>
          <w:tcPr>
            <w:tcW w:w="1903"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299"/>
              <w:jc w:val="right"/>
              <w:rPr>
                <w:rFonts w:ascii="Times New Roman" w:hAnsi="Times New Roman" w:cs="Times New Roman" w:eastAsia="Times New Roman" w:hint="default"/>
                <w:sz w:val="18"/>
                <w:szCs w:val="18"/>
              </w:rPr>
            </w:pPr>
            <w:r>
              <w:rPr>
                <w:rFonts w:ascii="Times New Roman"/>
                <w:spacing w:val="-1"/>
                <w:sz w:val="18"/>
              </w:rPr>
              <w:t>3,943,694.03</w:t>
            </w:r>
          </w:p>
        </w:tc>
        <w:tc>
          <w:tcPr>
            <w:tcW w:w="1709"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299"/>
              <w:jc w:val="right"/>
              <w:rPr>
                <w:rFonts w:ascii="Times New Roman" w:hAnsi="Times New Roman" w:cs="Times New Roman" w:eastAsia="Times New Roman" w:hint="default"/>
                <w:sz w:val="18"/>
                <w:szCs w:val="18"/>
              </w:rPr>
            </w:pPr>
            <w:r>
              <w:rPr>
                <w:rFonts w:ascii="Times New Roman"/>
                <w:spacing w:val="-1"/>
                <w:sz w:val="18"/>
              </w:rPr>
              <w:t>1,767,226.83</w:t>
            </w:r>
          </w:p>
        </w:tc>
        <w:tc>
          <w:tcPr>
            <w:tcW w:w="1632"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222"/>
              <w:jc w:val="right"/>
              <w:rPr>
                <w:rFonts w:ascii="Times New Roman" w:hAnsi="Times New Roman" w:cs="Times New Roman" w:eastAsia="Times New Roman" w:hint="default"/>
                <w:sz w:val="18"/>
                <w:szCs w:val="18"/>
              </w:rPr>
            </w:pPr>
            <w:r>
              <w:rPr>
                <w:rFonts w:ascii="Times New Roman"/>
                <w:spacing w:val="-1"/>
                <w:sz w:val="18"/>
              </w:rPr>
              <w:t>1,606,116.24</w:t>
            </w:r>
          </w:p>
        </w:tc>
        <w:tc>
          <w:tcPr>
            <w:tcW w:w="1280"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left="233" w:right="0"/>
              <w:jc w:val="left"/>
              <w:rPr>
                <w:rFonts w:ascii="Times New Roman" w:hAnsi="Times New Roman" w:cs="Times New Roman" w:eastAsia="Times New Roman" w:hint="default"/>
                <w:sz w:val="18"/>
                <w:szCs w:val="18"/>
              </w:rPr>
            </w:pPr>
            <w:r>
              <w:rPr>
                <w:rFonts w:ascii="Times New Roman"/>
                <w:sz w:val="18"/>
              </w:rPr>
              <w:t>4,104,804.62</w:t>
            </w:r>
          </w:p>
        </w:tc>
      </w:tr>
    </w:tbl>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pStyle w:val="BodyText"/>
        <w:spacing w:line="240" w:lineRule="auto" w:before="35"/>
        <w:ind w:left="855" w:right="312"/>
        <w:jc w:val="left"/>
      </w:pPr>
      <w:r>
        <w:rPr/>
        <w:t>说明：本期部分项目质保期限已满，将其对应未使用的质保金予以冲回。</w:t>
      </w:r>
    </w:p>
    <w:p>
      <w:pPr>
        <w:spacing w:after="0" w:line="240" w:lineRule="auto"/>
        <w:jc w:val="left"/>
        <w:sectPr>
          <w:pgSz w:w="11910" w:h="16840"/>
          <w:pgMar w:header="0" w:footer="982" w:top="1300" w:bottom="1180" w:left="1660" w:right="1060"/>
        </w:sectPr>
      </w:pPr>
    </w:p>
    <w:p>
      <w:pPr>
        <w:spacing w:line="240" w:lineRule="auto" w:before="11"/>
        <w:rPr>
          <w:rFonts w:ascii="宋体" w:hAnsi="宋体" w:cs="宋体" w:eastAsia="宋体" w:hint="default"/>
          <w:sz w:val="2"/>
          <w:szCs w:val="2"/>
        </w:rPr>
      </w:pPr>
    </w:p>
    <w:p>
      <w:pPr>
        <w:spacing w:line="20" w:lineRule="exact"/>
        <w:ind w:left="100" w:right="0" w:firstLine="0"/>
        <w:rPr>
          <w:rFonts w:ascii="宋体" w:hAnsi="宋体" w:cs="宋体" w:eastAsia="宋体" w:hint="default"/>
          <w:sz w:val="2"/>
          <w:szCs w:val="2"/>
        </w:rPr>
      </w:pPr>
      <w:r>
        <w:rPr>
          <w:rFonts w:ascii="宋体" w:hAnsi="宋体" w:cs="宋体" w:eastAsia="宋体" w:hint="default"/>
          <w:sz w:val="2"/>
          <w:szCs w:val="2"/>
        </w:rPr>
        <w:pict>
          <v:group style="width:444.55pt;height:.75pt;mso-position-horizontal-relative:char;mso-position-vertical-relative:line" coordorigin="0,0" coordsize="8891,15">
            <v:group style="position:absolute;left:7;top:7;width:8877;height:2" coordorigin="7,7" coordsize="8877,2">
              <v:shape style="position:absolute;left:7;top:7;width:8877;height:2" coordorigin="7,7" coordsize="8877,0" path="m7,7l8884,7e" filled="false" stroked="true" strokeweight=".72pt" strokecolor="#000000">
                <v:path arrowok="t"/>
              </v:shape>
            </v:group>
          </v:group>
        </w:pict>
      </w:r>
      <w:r>
        <w:rPr>
          <w:rFonts w:ascii="宋体" w:hAnsi="宋体" w:cs="宋体" w:eastAsia="宋体" w:hint="default"/>
          <w:sz w:val="2"/>
          <w:szCs w:val="2"/>
        </w:rPr>
      </w:r>
    </w:p>
    <w:p>
      <w:pPr>
        <w:spacing w:line="240" w:lineRule="auto" w:before="1"/>
        <w:rPr>
          <w:rFonts w:ascii="宋体" w:hAnsi="宋体" w:cs="宋体" w:eastAsia="宋体" w:hint="default"/>
          <w:sz w:val="10"/>
          <w:szCs w:val="10"/>
        </w:rPr>
      </w:pPr>
    </w:p>
    <w:p>
      <w:pPr>
        <w:pStyle w:val="Heading2"/>
        <w:spacing w:line="240" w:lineRule="auto" w:before="35"/>
        <w:ind w:left="123" w:right="224"/>
        <w:jc w:val="left"/>
        <w:rPr>
          <w:b w:val="0"/>
          <w:bCs w:val="0"/>
        </w:rPr>
      </w:pPr>
      <w:r>
        <w:rPr/>
        <w:pict>
          <v:shape style="position:absolute;margin-left:119.720001pt;margin-top:42.633987pt;width:404.029705pt;height:38.3625pt;mso-position-horizontal-relative:page;mso-position-vertical-relative:paragraph;z-index:-708136" type="#_x0000_t75" stroked="false">
            <v:imagedata r:id="rId183" o:title=""/>
          </v:shape>
        </w:pict>
      </w:r>
      <w:r>
        <w:rPr>
          <w:rFonts w:ascii="Times New Roman" w:hAnsi="Times New Roman" w:cs="Times New Roman" w:eastAsia="Times New Roman" w:hint="default"/>
        </w:rPr>
        <w:t>(</w:t>
      </w:r>
      <w:r>
        <w:rPr/>
        <w:t>二十二</w:t>
      </w:r>
      <w:r>
        <w:rPr>
          <w:rFonts w:ascii="Times New Roman" w:hAnsi="Times New Roman" w:cs="Times New Roman" w:eastAsia="Times New Roman" w:hint="default"/>
        </w:rPr>
        <w:t>)</w:t>
      </w:r>
      <w:r>
        <w:rPr>
          <w:rFonts w:ascii="Times New Roman" w:hAnsi="Times New Roman" w:cs="Times New Roman" w:eastAsia="Times New Roman" w:hint="default"/>
          <w:spacing w:val="49"/>
        </w:rPr>
        <w:t> </w:t>
      </w:r>
      <w:r>
        <w:rPr/>
        <w:t>其他非流动负债</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747" w:type="dxa"/>
        <w:tblLayout w:type="fixed"/>
        <w:tblCellMar>
          <w:top w:w="0" w:type="dxa"/>
          <w:left w:w="0" w:type="dxa"/>
          <w:bottom w:w="0" w:type="dxa"/>
          <w:right w:w="0" w:type="dxa"/>
        </w:tblCellMar>
        <w:tblLook w:val="01E0"/>
      </w:tblPr>
      <w:tblGrid>
        <w:gridCol w:w="3998"/>
        <w:gridCol w:w="2429"/>
        <w:gridCol w:w="1745"/>
      </w:tblGrid>
      <w:tr>
        <w:trPr>
          <w:trHeight w:val="393" w:hRule="exact"/>
        </w:trPr>
        <w:tc>
          <w:tcPr>
            <w:tcW w:w="3998"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492"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429"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926"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1745"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339"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95" w:hRule="exact"/>
        </w:trPr>
        <w:tc>
          <w:tcPr>
            <w:tcW w:w="3998"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递延收益</w:t>
            </w:r>
            <w:r>
              <w:rPr>
                <w:rFonts w:ascii="Times New Roman" w:hAnsi="Times New Roman" w:cs="Times New Roman" w:eastAsia="Times New Roman" w:hint="default"/>
                <w:sz w:val="21"/>
                <w:szCs w:val="21"/>
              </w:rPr>
              <w:t>-</w:t>
            </w:r>
            <w:r>
              <w:rPr>
                <w:rFonts w:ascii="宋体" w:hAnsi="宋体" w:cs="宋体" w:eastAsia="宋体" w:hint="default"/>
                <w:sz w:val="21"/>
                <w:szCs w:val="21"/>
              </w:rPr>
              <w:t>与收益相关的政府补助</w:t>
            </w:r>
          </w:p>
        </w:tc>
        <w:tc>
          <w:tcPr>
            <w:tcW w:w="2429" w:type="dxa"/>
            <w:tcBorders>
              <w:top w:val="nil" w:sz="6" w:space="0" w:color="auto"/>
              <w:left w:val="nil" w:sz="6" w:space="0" w:color="auto"/>
              <w:bottom w:val="single" w:sz="12" w:space="0" w:color="000000"/>
              <w:right w:val="nil" w:sz="6" w:space="0" w:color="auto"/>
            </w:tcBorders>
          </w:tcPr>
          <w:p>
            <w:pPr>
              <w:pStyle w:val="TableParagraph"/>
              <w:spacing w:line="240" w:lineRule="auto" w:before="71"/>
              <w:ind w:left="882" w:right="0"/>
              <w:jc w:val="left"/>
              <w:rPr>
                <w:rFonts w:ascii="Times New Roman" w:hAnsi="Times New Roman" w:cs="Times New Roman" w:eastAsia="Times New Roman" w:hint="default"/>
                <w:sz w:val="21"/>
                <w:szCs w:val="21"/>
              </w:rPr>
            </w:pPr>
            <w:r>
              <w:rPr>
                <w:rFonts w:ascii="Times New Roman"/>
                <w:sz w:val="21"/>
              </w:rPr>
              <w:t>14,224,520.90</w:t>
            </w:r>
          </w:p>
        </w:tc>
        <w:tc>
          <w:tcPr>
            <w:tcW w:w="1745" w:type="dxa"/>
            <w:tcBorders>
              <w:top w:val="nil" w:sz="6" w:space="0" w:color="auto"/>
              <w:left w:val="nil" w:sz="6" w:space="0" w:color="auto"/>
              <w:bottom w:val="single" w:sz="12" w:space="0" w:color="000000"/>
              <w:right w:val="nil" w:sz="6" w:space="0" w:color="auto"/>
            </w:tcBorders>
          </w:tcPr>
          <w:p>
            <w:pPr>
              <w:pStyle w:val="TableParagraph"/>
              <w:spacing w:line="240" w:lineRule="auto" w:before="71"/>
              <w:ind w:left="541" w:right="0"/>
              <w:jc w:val="left"/>
              <w:rPr>
                <w:rFonts w:ascii="Times New Roman" w:hAnsi="Times New Roman" w:cs="Times New Roman" w:eastAsia="Times New Roman" w:hint="default"/>
                <w:sz w:val="21"/>
                <w:szCs w:val="21"/>
              </w:rPr>
            </w:pPr>
            <w:r>
              <w:rPr>
                <w:rFonts w:ascii="Times New Roman"/>
                <w:sz w:val="21"/>
              </w:rPr>
              <w:t>5,822,638.10</w:t>
            </w:r>
          </w:p>
        </w:tc>
      </w:tr>
    </w:tbl>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pStyle w:val="BodyText"/>
        <w:spacing w:line="240" w:lineRule="auto" w:before="35"/>
        <w:ind w:left="855" w:right="224"/>
        <w:jc w:val="left"/>
      </w:pPr>
      <w:r>
        <w:rPr/>
        <w:pict>
          <v:group style="position:absolute;margin-left:119.399994pt;margin-top:37.838455pt;width:417.85pt;height:326.3pt;mso-position-horizontal-relative:page;mso-position-vertical-relative:paragraph;z-index:-708112" coordorigin="2388,757" coordsize="8357,6526">
            <v:shape style="position:absolute;left:7157;top:757;width:1751;height:431" type="#_x0000_t75" stroked="false">
              <v:imagedata r:id="rId184" o:title=""/>
            </v:shape>
            <v:shape style="position:absolute;left:2388;top:1153;width:8357;height:6130" type="#_x0000_t75" stroked="false">
              <v:imagedata r:id="rId185" o:title=""/>
            </v:shape>
            <w10:wrap type="none"/>
          </v:group>
        </w:pict>
      </w:r>
      <w:r>
        <w:rPr/>
        <w:t>递延收益</w:t>
      </w:r>
      <w:r>
        <w:rPr>
          <w:rFonts w:ascii="Times New Roman" w:hAnsi="Times New Roman" w:cs="Times New Roman" w:eastAsia="Times New Roman" w:hint="default"/>
        </w:rPr>
        <w:t>-</w:t>
      </w:r>
      <w:r>
        <w:rPr/>
        <w:t>与收益相关的政府补助明细如下：</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1"/>
          <w:szCs w:val="11"/>
        </w:rPr>
      </w:pPr>
    </w:p>
    <w:tbl>
      <w:tblPr>
        <w:tblW w:w="0" w:type="auto"/>
        <w:jc w:val="left"/>
        <w:tblInd w:w="747" w:type="dxa"/>
        <w:tblLayout w:type="fixed"/>
        <w:tblCellMar>
          <w:top w:w="0" w:type="dxa"/>
          <w:left w:w="0" w:type="dxa"/>
          <w:bottom w:w="0" w:type="dxa"/>
          <w:right w:w="0" w:type="dxa"/>
        </w:tblCellMar>
        <w:tblLook w:val="01E0"/>
      </w:tblPr>
      <w:tblGrid>
        <w:gridCol w:w="4918"/>
        <w:gridCol w:w="1822"/>
        <w:gridCol w:w="1574"/>
      </w:tblGrid>
      <w:tr>
        <w:trPr>
          <w:trHeight w:val="444" w:hRule="exact"/>
        </w:trPr>
        <w:tc>
          <w:tcPr>
            <w:tcW w:w="4918" w:type="dxa"/>
            <w:tcBorders>
              <w:top w:val="single" w:sz="12" w:space="0" w:color="000000"/>
              <w:left w:val="nil" w:sz="6" w:space="0" w:color="auto"/>
              <w:bottom w:val="nil" w:sz="6" w:space="0" w:color="auto"/>
              <w:right w:val="nil" w:sz="6" w:space="0" w:color="auto"/>
            </w:tcBorders>
          </w:tcPr>
          <w:p>
            <w:pPr>
              <w:pStyle w:val="TableParagraph"/>
              <w:spacing w:line="240" w:lineRule="auto" w:before="93"/>
              <w:ind w:left="1586" w:right="0"/>
              <w:jc w:val="left"/>
              <w:rPr>
                <w:rFonts w:ascii="宋体" w:hAnsi="宋体" w:cs="宋体" w:eastAsia="宋体" w:hint="default"/>
                <w:sz w:val="21"/>
                <w:szCs w:val="21"/>
              </w:rPr>
            </w:pPr>
            <w:r>
              <w:rPr>
                <w:rFonts w:ascii="宋体" w:hAnsi="宋体" w:cs="宋体" w:eastAsia="宋体" w:hint="default"/>
                <w:sz w:val="21"/>
                <w:szCs w:val="21"/>
              </w:rPr>
              <w:t>获得政府补助的项目名称</w:t>
            </w:r>
          </w:p>
        </w:tc>
        <w:tc>
          <w:tcPr>
            <w:tcW w:w="1822" w:type="dxa"/>
            <w:tcBorders>
              <w:top w:val="single" w:sz="12" w:space="0" w:color="000000"/>
              <w:left w:val="nil" w:sz="6" w:space="0" w:color="auto"/>
              <w:bottom w:val="nil" w:sz="6" w:space="0" w:color="auto"/>
              <w:right w:val="nil" w:sz="6" w:space="0" w:color="auto"/>
            </w:tcBorders>
          </w:tcPr>
          <w:p>
            <w:pPr>
              <w:pStyle w:val="TableParagraph"/>
              <w:spacing w:line="240" w:lineRule="auto" w:before="28"/>
              <w:ind w:left="286"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1574" w:type="dxa"/>
            <w:tcBorders>
              <w:top w:val="single" w:sz="12" w:space="0" w:color="000000"/>
              <w:left w:val="nil" w:sz="6" w:space="0" w:color="auto"/>
              <w:bottom w:val="nil" w:sz="6" w:space="0" w:color="auto"/>
              <w:right w:val="nil" w:sz="6" w:space="0" w:color="auto"/>
            </w:tcBorders>
          </w:tcPr>
          <w:p>
            <w:pPr>
              <w:pStyle w:val="TableParagraph"/>
              <w:spacing w:line="240" w:lineRule="auto" w:before="28"/>
              <w:ind w:right="134"/>
              <w:jc w:val="right"/>
              <w:rPr>
                <w:rFonts w:ascii="宋体" w:hAnsi="宋体" w:cs="宋体" w:eastAsia="宋体" w:hint="default"/>
                <w:sz w:val="21"/>
                <w:szCs w:val="21"/>
              </w:rPr>
            </w:pPr>
            <w:r>
              <w:rPr>
                <w:rFonts w:ascii="宋体" w:hAnsi="宋体" w:cs="宋体" w:eastAsia="宋体" w:hint="default"/>
                <w:sz w:val="21"/>
                <w:szCs w:val="21"/>
              </w:rPr>
              <w:t>年初余额</w:t>
            </w:r>
          </w:p>
        </w:tc>
      </w:tr>
      <w:tr>
        <w:trPr>
          <w:trHeight w:val="733" w:hRule="exact"/>
        </w:trPr>
        <w:tc>
          <w:tcPr>
            <w:tcW w:w="4918" w:type="dxa"/>
            <w:tcBorders>
              <w:top w:val="nil" w:sz="6" w:space="0" w:color="auto"/>
              <w:left w:val="nil" w:sz="6" w:space="0" w:color="auto"/>
              <w:bottom w:val="nil" w:sz="6" w:space="0" w:color="auto"/>
              <w:right w:val="nil" w:sz="6" w:space="0" w:color="auto"/>
            </w:tcBorders>
          </w:tcPr>
          <w:p>
            <w:pPr>
              <w:pStyle w:val="TableParagraph"/>
              <w:spacing w:line="309" w:lineRule="auto"/>
              <w:ind w:left="379" w:right="256"/>
              <w:jc w:val="left"/>
              <w:rPr>
                <w:rFonts w:ascii="宋体" w:hAnsi="宋体" w:cs="宋体" w:eastAsia="宋体" w:hint="default"/>
                <w:sz w:val="21"/>
                <w:szCs w:val="21"/>
              </w:rPr>
            </w:pPr>
            <w:r>
              <w:rPr>
                <w:rFonts w:ascii="宋体" w:hAnsi="宋体" w:cs="宋体" w:eastAsia="宋体" w:hint="default"/>
                <w:sz w:val="21"/>
                <w:szCs w:val="21"/>
              </w:rPr>
              <w:t>基于</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IAM</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技术的统一身份及访问安全管理平台 软件</w:t>
            </w:r>
          </w:p>
        </w:tc>
        <w:tc>
          <w:tcPr>
            <w:tcW w:w="1822" w:type="dxa"/>
            <w:tcBorders>
              <w:top w:val="nil" w:sz="6" w:space="0" w:color="auto"/>
              <w:left w:val="nil" w:sz="6" w:space="0" w:color="auto"/>
              <w:bottom w:val="nil" w:sz="6" w:space="0" w:color="auto"/>
              <w:right w:val="nil" w:sz="6" w:space="0" w:color="auto"/>
            </w:tcBorders>
          </w:tcPr>
          <w:p>
            <w:pP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1,178,895.42</w:t>
            </w:r>
          </w:p>
        </w:tc>
      </w:tr>
      <w:tr>
        <w:trPr>
          <w:trHeight w:val="390" w:hRule="exact"/>
        </w:trPr>
        <w:tc>
          <w:tcPr>
            <w:tcW w:w="491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79" w:right="0"/>
              <w:jc w:val="left"/>
              <w:rPr>
                <w:rFonts w:ascii="宋体" w:hAnsi="宋体" w:cs="宋体" w:eastAsia="宋体" w:hint="default"/>
                <w:sz w:val="21"/>
                <w:szCs w:val="21"/>
              </w:rPr>
            </w:pPr>
            <w:r>
              <w:rPr>
                <w:rFonts w:ascii="宋体" w:hAnsi="宋体" w:cs="宋体" w:eastAsia="宋体" w:hint="default"/>
                <w:sz w:val="21"/>
                <w:szCs w:val="21"/>
              </w:rPr>
              <w:t>用户身份及访问行为管控系统</w:t>
            </w:r>
          </w:p>
        </w:tc>
        <w:tc>
          <w:tcPr>
            <w:tcW w:w="1822" w:type="dxa"/>
            <w:tcBorders>
              <w:top w:val="nil" w:sz="6" w:space="0" w:color="auto"/>
              <w:left w:val="nil" w:sz="6" w:space="0" w:color="auto"/>
              <w:bottom w:val="nil" w:sz="6" w:space="0" w:color="auto"/>
              <w:right w:val="nil" w:sz="6" w:space="0" w:color="auto"/>
            </w:tcBorders>
          </w:tcPr>
          <w:p>
            <w:pP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2"/>
              <w:jc w:val="right"/>
              <w:rPr>
                <w:rFonts w:ascii="Times New Roman" w:hAnsi="Times New Roman" w:cs="Times New Roman" w:eastAsia="Times New Roman" w:hint="default"/>
                <w:sz w:val="21"/>
                <w:szCs w:val="21"/>
              </w:rPr>
            </w:pPr>
            <w:r>
              <w:rPr>
                <w:rFonts w:ascii="Times New Roman"/>
                <w:spacing w:val="-1"/>
                <w:sz w:val="21"/>
              </w:rPr>
              <w:t>332,599.13</w:t>
            </w:r>
            <w:r>
              <w:rPr>
                <w:rFonts w:ascii="Times New Roman"/>
                <w:sz w:val="21"/>
              </w:rPr>
            </w:r>
          </w:p>
        </w:tc>
      </w:tr>
      <w:tr>
        <w:trPr>
          <w:trHeight w:val="385" w:hRule="exact"/>
        </w:trPr>
        <w:tc>
          <w:tcPr>
            <w:tcW w:w="4918" w:type="dxa"/>
            <w:tcBorders>
              <w:top w:val="nil" w:sz="6" w:space="0" w:color="auto"/>
              <w:left w:val="nil" w:sz="6" w:space="0" w:color="auto"/>
              <w:bottom w:val="nil" w:sz="6" w:space="0" w:color="auto"/>
              <w:right w:val="nil" w:sz="6" w:space="0" w:color="auto"/>
            </w:tcBorders>
          </w:tcPr>
          <w:p>
            <w:pPr>
              <w:pStyle w:val="TableParagraph"/>
              <w:spacing w:line="240" w:lineRule="auto" w:before="17"/>
              <w:ind w:left="379" w:right="0"/>
              <w:jc w:val="left"/>
              <w:rPr>
                <w:rFonts w:ascii="宋体" w:hAnsi="宋体" w:cs="宋体" w:eastAsia="宋体" w:hint="default"/>
                <w:sz w:val="21"/>
                <w:szCs w:val="21"/>
              </w:rPr>
            </w:pPr>
            <w:r>
              <w:rPr>
                <w:rFonts w:ascii="宋体" w:hAnsi="宋体" w:cs="宋体" w:eastAsia="宋体" w:hint="default"/>
                <w:sz w:val="21"/>
                <w:szCs w:val="21"/>
              </w:rPr>
              <w:t>信息安全一体化集中管理系统（</w:t>
            </w:r>
            <w:r>
              <w:rPr>
                <w:rFonts w:ascii="Times New Roman" w:hAnsi="Times New Roman" w:cs="Times New Roman" w:eastAsia="Times New Roman" w:hint="default"/>
                <w:sz w:val="21"/>
                <w:szCs w:val="21"/>
              </w:rPr>
              <w:t>SOC</w:t>
            </w:r>
            <w:r>
              <w:rPr>
                <w:rFonts w:ascii="宋体" w:hAnsi="宋体" w:cs="宋体" w:eastAsia="宋体" w:hint="default"/>
                <w:sz w:val="21"/>
                <w:szCs w:val="21"/>
              </w:rPr>
              <w:t>）</w:t>
            </w: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67"/>
              <w:jc w:val="right"/>
              <w:rPr>
                <w:rFonts w:ascii="Times New Roman" w:hAnsi="Times New Roman" w:cs="Times New Roman" w:eastAsia="Times New Roman" w:hint="default"/>
                <w:sz w:val="21"/>
                <w:szCs w:val="21"/>
              </w:rPr>
            </w:pPr>
            <w:r>
              <w:rPr>
                <w:rFonts w:ascii="Times New Roman"/>
                <w:spacing w:val="-1"/>
                <w:sz w:val="21"/>
              </w:rPr>
              <w:t>464,619.25</w:t>
            </w:r>
            <w:r>
              <w:rPr>
                <w:rFonts w:ascii="Times New Roman"/>
                <w:sz w:val="21"/>
              </w:rPr>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1"/>
              <w:jc w:val="right"/>
              <w:rPr>
                <w:rFonts w:ascii="Times New Roman" w:hAnsi="Times New Roman" w:cs="Times New Roman" w:eastAsia="Times New Roman" w:hint="default"/>
                <w:sz w:val="21"/>
                <w:szCs w:val="21"/>
              </w:rPr>
            </w:pPr>
            <w:r>
              <w:rPr>
                <w:rFonts w:ascii="Times New Roman"/>
                <w:spacing w:val="-1"/>
                <w:sz w:val="21"/>
              </w:rPr>
              <w:t>1,624,054.66</w:t>
            </w:r>
          </w:p>
        </w:tc>
      </w:tr>
      <w:tr>
        <w:trPr>
          <w:trHeight w:val="384" w:hRule="exact"/>
        </w:trPr>
        <w:tc>
          <w:tcPr>
            <w:tcW w:w="4918"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79" w:right="0"/>
              <w:jc w:val="left"/>
              <w:rPr>
                <w:rFonts w:ascii="宋体" w:hAnsi="宋体" w:cs="宋体" w:eastAsia="宋体" w:hint="default"/>
                <w:sz w:val="21"/>
                <w:szCs w:val="21"/>
              </w:rPr>
            </w:pPr>
            <w:r>
              <w:rPr>
                <w:rFonts w:ascii="宋体" w:hAnsi="宋体" w:cs="宋体" w:eastAsia="宋体" w:hint="default"/>
                <w:sz w:val="21"/>
                <w:szCs w:val="21"/>
              </w:rPr>
              <w:t>电信级统一身份认证与访问控制网关项目</w:t>
            </w: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66"/>
              <w:jc w:val="right"/>
              <w:rPr>
                <w:rFonts w:ascii="Times New Roman" w:hAnsi="Times New Roman" w:cs="Times New Roman" w:eastAsia="Times New Roman" w:hint="default"/>
                <w:sz w:val="21"/>
                <w:szCs w:val="21"/>
              </w:rPr>
            </w:pPr>
            <w:r>
              <w:rPr>
                <w:rFonts w:ascii="Times New Roman"/>
                <w:spacing w:val="-2"/>
                <w:sz w:val="21"/>
              </w:rPr>
              <w:t>180,424.11</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2"/>
              <w:jc w:val="right"/>
              <w:rPr>
                <w:rFonts w:ascii="Times New Roman" w:hAnsi="Times New Roman" w:cs="Times New Roman" w:eastAsia="Times New Roman" w:hint="default"/>
                <w:sz w:val="21"/>
                <w:szCs w:val="21"/>
              </w:rPr>
            </w:pPr>
            <w:r>
              <w:rPr>
                <w:rFonts w:ascii="Times New Roman"/>
                <w:spacing w:val="-1"/>
                <w:sz w:val="21"/>
              </w:rPr>
              <w:t>789,177.04</w:t>
            </w:r>
            <w:r>
              <w:rPr>
                <w:rFonts w:ascii="Times New Roman"/>
                <w:sz w:val="21"/>
              </w:rPr>
            </w:r>
          </w:p>
        </w:tc>
      </w:tr>
      <w:tr>
        <w:trPr>
          <w:trHeight w:val="385" w:hRule="exact"/>
        </w:trPr>
        <w:tc>
          <w:tcPr>
            <w:tcW w:w="4918"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79" w:right="0"/>
              <w:jc w:val="left"/>
              <w:rPr>
                <w:rFonts w:ascii="宋体" w:hAnsi="宋体" w:cs="宋体" w:eastAsia="宋体" w:hint="default"/>
                <w:sz w:val="21"/>
                <w:szCs w:val="21"/>
              </w:rPr>
            </w:pPr>
            <w:r>
              <w:rPr>
                <w:rFonts w:ascii="宋体" w:hAnsi="宋体" w:cs="宋体" w:eastAsia="宋体" w:hint="default"/>
                <w:sz w:val="21"/>
                <w:szCs w:val="21"/>
              </w:rPr>
              <w:t>移动互联生活增值服务平台研发</w:t>
            </w:r>
          </w:p>
        </w:tc>
        <w:tc>
          <w:tcPr>
            <w:tcW w:w="1822" w:type="dxa"/>
            <w:tcBorders>
              <w:top w:val="nil" w:sz="6" w:space="0" w:color="auto"/>
              <w:left w:val="nil" w:sz="6" w:space="0" w:color="auto"/>
              <w:bottom w:val="nil" w:sz="6" w:space="0" w:color="auto"/>
              <w:right w:val="nil" w:sz="6" w:space="0" w:color="auto"/>
            </w:tcBorders>
          </w:tcPr>
          <w:p>
            <w:pP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2"/>
                <w:sz w:val="21"/>
              </w:rPr>
              <w:t>897,911.85</w:t>
            </w:r>
          </w:p>
        </w:tc>
      </w:tr>
      <w:tr>
        <w:trPr>
          <w:trHeight w:val="385" w:hRule="exact"/>
        </w:trPr>
        <w:tc>
          <w:tcPr>
            <w:tcW w:w="4918" w:type="dxa"/>
            <w:tcBorders>
              <w:top w:val="nil" w:sz="6" w:space="0" w:color="auto"/>
              <w:left w:val="nil" w:sz="6" w:space="0" w:color="auto"/>
              <w:bottom w:val="nil" w:sz="6" w:space="0" w:color="auto"/>
              <w:right w:val="nil" w:sz="6" w:space="0" w:color="auto"/>
            </w:tcBorders>
          </w:tcPr>
          <w:p>
            <w:pPr>
              <w:pStyle w:val="TableParagraph"/>
              <w:spacing w:line="240" w:lineRule="auto" w:before="17"/>
              <w:ind w:left="379" w:right="0"/>
              <w:jc w:val="left"/>
              <w:rPr>
                <w:rFonts w:ascii="宋体" w:hAnsi="宋体" w:cs="宋体" w:eastAsia="宋体" w:hint="default"/>
                <w:sz w:val="21"/>
                <w:szCs w:val="21"/>
              </w:rPr>
            </w:pPr>
            <w:r>
              <w:rPr>
                <w:rFonts w:ascii="宋体" w:hAnsi="宋体" w:cs="宋体" w:eastAsia="宋体" w:hint="default"/>
                <w:sz w:val="21"/>
                <w:szCs w:val="21"/>
              </w:rPr>
              <w:t>农村综合信息服务平台开发及应用推广</w:t>
            </w:r>
          </w:p>
        </w:tc>
        <w:tc>
          <w:tcPr>
            <w:tcW w:w="1822" w:type="dxa"/>
            <w:tcBorders>
              <w:top w:val="nil" w:sz="6" w:space="0" w:color="auto"/>
              <w:left w:val="nil" w:sz="6" w:space="0" w:color="auto"/>
              <w:bottom w:val="nil" w:sz="6" w:space="0" w:color="auto"/>
              <w:right w:val="nil" w:sz="6" w:space="0" w:color="auto"/>
            </w:tcBorders>
          </w:tcPr>
          <w:p>
            <w:pP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0"/>
              <w:jc w:val="right"/>
              <w:rPr>
                <w:rFonts w:ascii="Times New Roman" w:hAnsi="Times New Roman" w:cs="Times New Roman" w:eastAsia="Times New Roman" w:hint="default"/>
                <w:sz w:val="21"/>
                <w:szCs w:val="21"/>
              </w:rPr>
            </w:pPr>
            <w:r>
              <w:rPr>
                <w:rFonts w:ascii="Times New Roman"/>
                <w:spacing w:val="-1"/>
                <w:sz w:val="21"/>
              </w:rPr>
              <w:t>1,000,000.00</w:t>
            </w:r>
          </w:p>
        </w:tc>
      </w:tr>
      <w:tr>
        <w:trPr>
          <w:trHeight w:val="753" w:hRule="exact"/>
        </w:trPr>
        <w:tc>
          <w:tcPr>
            <w:tcW w:w="4918" w:type="dxa"/>
            <w:tcBorders>
              <w:top w:val="nil" w:sz="6" w:space="0" w:color="auto"/>
              <w:left w:val="nil" w:sz="6" w:space="0" w:color="auto"/>
              <w:bottom w:val="nil" w:sz="6" w:space="0" w:color="auto"/>
              <w:right w:val="nil" w:sz="6" w:space="0" w:color="auto"/>
            </w:tcBorders>
          </w:tcPr>
          <w:p>
            <w:pPr>
              <w:pStyle w:val="TableParagraph"/>
              <w:spacing w:line="309" w:lineRule="auto" w:before="16"/>
              <w:ind w:left="379" w:right="257"/>
              <w:jc w:val="left"/>
              <w:rPr>
                <w:rFonts w:ascii="宋体" w:hAnsi="宋体" w:cs="宋体" w:eastAsia="宋体" w:hint="default"/>
                <w:sz w:val="21"/>
                <w:szCs w:val="21"/>
              </w:rPr>
            </w:pPr>
            <w:r>
              <w:rPr>
                <w:rFonts w:ascii="宋体" w:hAnsi="宋体" w:cs="宋体" w:eastAsia="宋体" w:hint="default"/>
                <w:sz w:val="21"/>
                <w:szCs w:val="21"/>
              </w:rPr>
              <w:t>基于国产中间件的面向</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IT</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服务管理领域的业务 运维管理平台的研发与应用</w:t>
            </w: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51" w:right="0"/>
              <w:jc w:val="left"/>
              <w:rPr>
                <w:rFonts w:ascii="Times New Roman" w:hAnsi="Times New Roman" w:cs="Times New Roman" w:eastAsia="Times New Roman" w:hint="default"/>
                <w:sz w:val="21"/>
                <w:szCs w:val="21"/>
              </w:rPr>
            </w:pPr>
            <w:r>
              <w:rPr>
                <w:rFonts w:ascii="Times New Roman"/>
                <w:sz w:val="21"/>
              </w:rPr>
              <w:t>6,810,000.00</w:t>
            </w:r>
          </w:p>
        </w:tc>
        <w:tc>
          <w:tcPr>
            <w:tcW w:w="1574" w:type="dxa"/>
            <w:tcBorders>
              <w:top w:val="nil" w:sz="6" w:space="0" w:color="auto"/>
              <w:left w:val="nil" w:sz="6" w:space="0" w:color="auto"/>
              <w:bottom w:val="nil" w:sz="6" w:space="0" w:color="auto"/>
              <w:right w:val="nil" w:sz="6" w:space="0" w:color="auto"/>
            </w:tcBorders>
          </w:tcPr>
          <w:p>
            <w:pPr/>
          </w:p>
        </w:tc>
      </w:tr>
      <w:tr>
        <w:trPr>
          <w:trHeight w:val="390" w:hRule="exact"/>
        </w:trPr>
        <w:tc>
          <w:tcPr>
            <w:tcW w:w="491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79" w:right="0"/>
              <w:jc w:val="left"/>
              <w:rPr>
                <w:rFonts w:ascii="宋体" w:hAnsi="宋体" w:cs="宋体" w:eastAsia="宋体" w:hint="default"/>
                <w:sz w:val="21"/>
                <w:szCs w:val="21"/>
              </w:rPr>
            </w:pPr>
            <w:r>
              <w:rPr>
                <w:rFonts w:ascii="宋体" w:hAnsi="宋体" w:cs="宋体" w:eastAsia="宋体" w:hint="default"/>
                <w:sz w:val="21"/>
                <w:szCs w:val="21"/>
              </w:rPr>
              <w:t>面向电信领域的大型商业智能软件</w:t>
            </w: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1" w:right="0"/>
              <w:jc w:val="left"/>
              <w:rPr>
                <w:rFonts w:ascii="Times New Roman" w:hAnsi="Times New Roman" w:cs="Times New Roman" w:eastAsia="Times New Roman" w:hint="default"/>
                <w:sz w:val="21"/>
                <w:szCs w:val="21"/>
              </w:rPr>
            </w:pPr>
            <w:r>
              <w:rPr>
                <w:rFonts w:ascii="Times New Roman"/>
                <w:sz w:val="21"/>
              </w:rPr>
              <w:t>1,414,477.54</w:t>
            </w:r>
          </w:p>
        </w:tc>
        <w:tc>
          <w:tcPr>
            <w:tcW w:w="1574" w:type="dxa"/>
            <w:tcBorders>
              <w:top w:val="nil" w:sz="6" w:space="0" w:color="auto"/>
              <w:left w:val="nil" w:sz="6" w:space="0" w:color="auto"/>
              <w:bottom w:val="nil" w:sz="6" w:space="0" w:color="auto"/>
              <w:right w:val="nil" w:sz="6" w:space="0" w:color="auto"/>
            </w:tcBorders>
          </w:tcPr>
          <w:p>
            <w:pPr/>
          </w:p>
        </w:tc>
      </w:tr>
      <w:tr>
        <w:trPr>
          <w:trHeight w:val="753" w:hRule="exact"/>
        </w:trPr>
        <w:tc>
          <w:tcPr>
            <w:tcW w:w="4918" w:type="dxa"/>
            <w:tcBorders>
              <w:top w:val="nil" w:sz="6" w:space="0" w:color="auto"/>
              <w:left w:val="nil" w:sz="6" w:space="0" w:color="auto"/>
              <w:bottom w:val="nil" w:sz="6" w:space="0" w:color="auto"/>
              <w:right w:val="nil" w:sz="6" w:space="0" w:color="auto"/>
            </w:tcBorders>
          </w:tcPr>
          <w:p>
            <w:pPr>
              <w:pStyle w:val="TableParagraph"/>
              <w:spacing w:line="326" w:lineRule="auto" w:before="17"/>
              <w:ind w:left="379" w:right="249"/>
              <w:jc w:val="left"/>
              <w:rPr>
                <w:rFonts w:ascii="宋体" w:hAnsi="宋体" w:cs="宋体" w:eastAsia="宋体" w:hint="default"/>
                <w:sz w:val="21"/>
                <w:szCs w:val="21"/>
              </w:rPr>
            </w:pPr>
            <w:r>
              <w:rPr>
                <w:rFonts w:ascii="宋体" w:hAnsi="宋体" w:cs="宋体" w:eastAsia="宋体" w:hint="default"/>
                <w:spacing w:val="3"/>
                <w:sz w:val="21"/>
                <w:szCs w:val="21"/>
              </w:rPr>
              <w:t>信息网络业务端到端质量诊断与响应时间测量</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系统</w:t>
            </w: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351" w:right="0"/>
              <w:jc w:val="left"/>
              <w:rPr>
                <w:rFonts w:ascii="Times New Roman" w:hAnsi="Times New Roman" w:cs="Times New Roman" w:eastAsia="Times New Roman" w:hint="default"/>
                <w:sz w:val="21"/>
                <w:szCs w:val="21"/>
              </w:rPr>
            </w:pPr>
            <w:r>
              <w:rPr>
                <w:rFonts w:ascii="Times New Roman"/>
                <w:sz w:val="21"/>
              </w:rPr>
              <w:t>3,000,000.00</w:t>
            </w:r>
          </w:p>
        </w:tc>
        <w:tc>
          <w:tcPr>
            <w:tcW w:w="1574" w:type="dxa"/>
            <w:tcBorders>
              <w:top w:val="nil" w:sz="6" w:space="0" w:color="auto"/>
              <w:left w:val="nil" w:sz="6" w:space="0" w:color="auto"/>
              <w:bottom w:val="nil" w:sz="6" w:space="0" w:color="auto"/>
              <w:right w:val="nil" w:sz="6" w:space="0" w:color="auto"/>
            </w:tcBorders>
          </w:tcPr>
          <w:p>
            <w:pPr/>
          </w:p>
        </w:tc>
      </w:tr>
      <w:tr>
        <w:trPr>
          <w:trHeight w:val="390" w:hRule="exact"/>
        </w:trPr>
        <w:tc>
          <w:tcPr>
            <w:tcW w:w="491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79" w:right="0"/>
              <w:jc w:val="left"/>
              <w:rPr>
                <w:rFonts w:ascii="宋体" w:hAnsi="宋体" w:cs="宋体" w:eastAsia="宋体" w:hint="default"/>
                <w:sz w:val="21"/>
                <w:szCs w:val="21"/>
              </w:rPr>
            </w:pPr>
            <w:r>
              <w:rPr>
                <w:rFonts w:ascii="宋体" w:hAnsi="宋体" w:cs="宋体" w:eastAsia="宋体" w:hint="default"/>
                <w:sz w:val="21"/>
                <w:szCs w:val="21"/>
              </w:rPr>
              <w:t>新一代宽带无线移动通信网科技重大专项</w:t>
            </w: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67"/>
              <w:jc w:val="right"/>
              <w:rPr>
                <w:rFonts w:ascii="Times New Roman" w:hAnsi="Times New Roman" w:cs="Times New Roman" w:eastAsia="Times New Roman" w:hint="default"/>
                <w:sz w:val="21"/>
                <w:szCs w:val="21"/>
              </w:rPr>
            </w:pPr>
            <w:r>
              <w:rPr>
                <w:rFonts w:ascii="Times New Roman"/>
                <w:spacing w:val="-1"/>
                <w:sz w:val="21"/>
              </w:rPr>
              <w:t>550,000.00</w:t>
            </w:r>
            <w:r>
              <w:rPr>
                <w:rFonts w:ascii="Times New Roman"/>
                <w:sz w:val="21"/>
              </w:rPr>
            </w:r>
          </w:p>
        </w:tc>
        <w:tc>
          <w:tcPr>
            <w:tcW w:w="1574" w:type="dxa"/>
            <w:tcBorders>
              <w:top w:val="nil" w:sz="6" w:space="0" w:color="auto"/>
              <w:left w:val="nil" w:sz="6" w:space="0" w:color="auto"/>
              <w:bottom w:val="nil" w:sz="6" w:space="0" w:color="auto"/>
              <w:right w:val="nil" w:sz="6" w:space="0" w:color="auto"/>
            </w:tcBorders>
          </w:tcPr>
          <w:p>
            <w:pPr/>
          </w:p>
        </w:tc>
      </w:tr>
      <w:tr>
        <w:trPr>
          <w:trHeight w:val="753" w:hRule="exact"/>
        </w:trPr>
        <w:tc>
          <w:tcPr>
            <w:tcW w:w="4918" w:type="dxa"/>
            <w:tcBorders>
              <w:top w:val="nil" w:sz="6" w:space="0" w:color="auto"/>
              <w:left w:val="nil" w:sz="6" w:space="0" w:color="auto"/>
              <w:bottom w:val="nil" w:sz="6" w:space="0" w:color="auto"/>
              <w:right w:val="nil" w:sz="6" w:space="0" w:color="auto"/>
            </w:tcBorders>
          </w:tcPr>
          <w:p>
            <w:pPr>
              <w:pStyle w:val="TableParagraph"/>
              <w:spacing w:line="309" w:lineRule="auto" w:before="16"/>
              <w:ind w:left="379" w:right="244"/>
              <w:jc w:val="left"/>
              <w:rPr>
                <w:rFonts w:ascii="宋体" w:hAnsi="宋体" w:cs="宋体" w:eastAsia="宋体" w:hint="default"/>
                <w:sz w:val="21"/>
                <w:szCs w:val="21"/>
              </w:rPr>
            </w:pPr>
            <w:r>
              <w:rPr>
                <w:rFonts w:ascii="Times New Roman" w:hAnsi="Times New Roman" w:cs="Times New Roman" w:eastAsia="Times New Roman" w:hint="default"/>
                <w:sz w:val="21"/>
                <w:szCs w:val="21"/>
              </w:rPr>
              <w:t>TD-SCDMA</w:t>
            </w:r>
            <w:r>
              <w:rPr>
                <w:rFonts w:ascii="Times New Roman" w:hAnsi="Times New Roman" w:cs="Times New Roman" w:eastAsia="Times New Roman" w:hint="default"/>
                <w:spacing w:val="51"/>
                <w:sz w:val="21"/>
                <w:szCs w:val="21"/>
              </w:rPr>
              <w:t> </w:t>
            </w:r>
            <w:r>
              <w:rPr>
                <w:rFonts w:ascii="宋体" w:hAnsi="宋体" w:cs="宋体" w:eastAsia="宋体" w:hint="default"/>
                <w:spacing w:val="10"/>
                <w:sz w:val="21"/>
                <w:szCs w:val="21"/>
              </w:rPr>
              <w:t>农村信息化应用方案开发及示范 </w:t>
            </w:r>
            <w:r>
              <w:rPr>
                <w:rFonts w:ascii="宋体" w:hAnsi="宋体" w:cs="宋体" w:eastAsia="宋体" w:hint="default"/>
                <w:sz w:val="21"/>
                <w:szCs w:val="21"/>
              </w:rPr>
              <w:t>验证项目</w:t>
            </w: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51" w:right="0"/>
              <w:jc w:val="left"/>
              <w:rPr>
                <w:rFonts w:ascii="Times New Roman" w:hAnsi="Times New Roman" w:cs="Times New Roman" w:eastAsia="Times New Roman" w:hint="default"/>
                <w:sz w:val="21"/>
                <w:szCs w:val="21"/>
              </w:rPr>
            </w:pPr>
            <w:r>
              <w:rPr>
                <w:rFonts w:ascii="Times New Roman"/>
                <w:sz w:val="21"/>
              </w:rPr>
              <w:t>1,805,000.00</w:t>
            </w:r>
          </w:p>
        </w:tc>
        <w:tc>
          <w:tcPr>
            <w:tcW w:w="1574" w:type="dxa"/>
            <w:tcBorders>
              <w:top w:val="nil" w:sz="6" w:space="0" w:color="auto"/>
              <w:left w:val="nil" w:sz="6" w:space="0" w:color="auto"/>
              <w:bottom w:val="nil" w:sz="6" w:space="0" w:color="auto"/>
              <w:right w:val="nil" w:sz="6" w:space="0" w:color="auto"/>
            </w:tcBorders>
          </w:tcPr>
          <w:p>
            <w:pPr/>
          </w:p>
        </w:tc>
      </w:tr>
      <w:tr>
        <w:trPr>
          <w:trHeight w:val="396" w:hRule="exact"/>
        </w:trPr>
        <w:tc>
          <w:tcPr>
            <w:tcW w:w="4918" w:type="dxa"/>
            <w:tcBorders>
              <w:top w:val="nil" w:sz="6" w:space="0" w:color="auto"/>
              <w:left w:val="nil" w:sz="6" w:space="0" w:color="auto"/>
              <w:bottom w:val="single" w:sz="12" w:space="0" w:color="000000"/>
              <w:right w:val="nil" w:sz="6" w:space="0" w:color="auto"/>
            </w:tcBorders>
          </w:tcPr>
          <w:p>
            <w:pPr>
              <w:pStyle w:val="TableParagraph"/>
              <w:tabs>
                <w:tab w:pos="1195" w:val="left" w:leader="none"/>
              </w:tabs>
              <w:spacing w:line="240" w:lineRule="auto" w:before="22"/>
              <w:ind w:left="565"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822" w:type="dxa"/>
            <w:tcBorders>
              <w:top w:val="nil" w:sz="6" w:space="0" w:color="auto"/>
              <w:left w:val="nil" w:sz="6" w:space="0" w:color="auto"/>
              <w:bottom w:val="single" w:sz="12" w:space="0" w:color="000000"/>
              <w:right w:val="nil" w:sz="6" w:space="0" w:color="auto"/>
            </w:tcBorders>
          </w:tcPr>
          <w:p>
            <w:pPr>
              <w:pStyle w:val="TableParagraph"/>
              <w:spacing w:line="240" w:lineRule="auto" w:before="72"/>
              <w:ind w:left="246" w:right="0"/>
              <w:jc w:val="left"/>
              <w:rPr>
                <w:rFonts w:ascii="Times New Roman" w:hAnsi="Times New Roman" w:cs="Times New Roman" w:eastAsia="Times New Roman" w:hint="default"/>
                <w:sz w:val="21"/>
                <w:szCs w:val="21"/>
              </w:rPr>
            </w:pPr>
            <w:r>
              <w:rPr>
                <w:rFonts w:ascii="Times New Roman"/>
                <w:sz w:val="21"/>
              </w:rPr>
              <w:t>14,224,520.90</w:t>
            </w:r>
          </w:p>
        </w:tc>
        <w:tc>
          <w:tcPr>
            <w:tcW w:w="1574" w:type="dxa"/>
            <w:tcBorders>
              <w:top w:val="nil" w:sz="6" w:space="0" w:color="auto"/>
              <w:left w:val="nil" w:sz="6" w:space="0" w:color="auto"/>
              <w:bottom w:val="single" w:sz="12" w:space="0" w:color="000000"/>
              <w:right w:val="nil" w:sz="6" w:space="0" w:color="auto"/>
            </w:tcBorders>
          </w:tcPr>
          <w:p>
            <w:pPr>
              <w:pStyle w:val="TableParagraph"/>
              <w:spacing w:line="240" w:lineRule="auto" w:before="72"/>
              <w:ind w:right="100"/>
              <w:jc w:val="right"/>
              <w:rPr>
                <w:rFonts w:ascii="Times New Roman" w:hAnsi="Times New Roman" w:cs="Times New Roman" w:eastAsia="Times New Roman" w:hint="default"/>
                <w:sz w:val="21"/>
                <w:szCs w:val="21"/>
              </w:rPr>
            </w:pPr>
            <w:r>
              <w:rPr>
                <w:rFonts w:ascii="Times New Roman"/>
                <w:spacing w:val="-1"/>
                <w:sz w:val="21"/>
              </w:rPr>
              <w:t>5,822,638.10</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pStyle w:val="BodyText"/>
        <w:spacing w:line="350" w:lineRule="auto" w:before="35"/>
        <w:ind w:left="855" w:right="249"/>
        <w:jc w:val="both"/>
      </w:pPr>
      <w:r>
        <w:rPr>
          <w:spacing w:val="-3"/>
        </w:rPr>
        <w:t>说明：根据企业会计准则，与收益相关的政府补助，用于补偿企业以后期间的相关费用或</w:t>
      </w:r>
      <w:r>
        <w:rPr>
          <w:spacing w:val="-83"/>
        </w:rPr>
        <w:t> </w:t>
      </w:r>
      <w:r>
        <w:rPr>
          <w:spacing w:val="-83"/>
        </w:rPr>
      </w:r>
      <w:r>
        <w:rPr>
          <w:spacing w:val="-3"/>
        </w:rPr>
        <w:t>损失的，取得时确认为递延收益，在确认相关费用的期间计入当期营业外收入。期末余额</w:t>
      </w:r>
      <w:r>
        <w:rPr>
          <w:spacing w:val="-83"/>
        </w:rPr>
        <w:t> </w:t>
      </w:r>
      <w:r>
        <w:rPr>
          <w:spacing w:val="-83"/>
        </w:rPr>
      </w:r>
      <w:r>
        <w:rPr/>
        <w:t>均为相关项目的费用尚未发生的政府补助余额。</w:t>
      </w:r>
    </w:p>
    <w:p>
      <w:pPr>
        <w:spacing w:after="0" w:line="350" w:lineRule="auto"/>
        <w:jc w:val="both"/>
        <w:sectPr>
          <w:pgSz w:w="11910" w:h="16840"/>
          <w:pgMar w:header="0" w:footer="982" w:top="1300" w:bottom="1180" w:left="1660" w:right="1040"/>
        </w:sectPr>
      </w:pPr>
    </w:p>
    <w:p>
      <w:pPr>
        <w:spacing w:line="240" w:lineRule="auto" w:before="0"/>
        <w:rPr>
          <w:rFonts w:ascii="宋体" w:hAnsi="宋体" w:cs="宋体" w:eastAsia="宋体" w:hint="default"/>
          <w:sz w:val="20"/>
          <w:szCs w:val="20"/>
        </w:rPr>
      </w:pPr>
      <w:r>
        <w:rPr/>
        <w:pict>
          <v:group style="position:absolute;margin-left:101.511002pt;margin-top:110.399994pt;width:661.4pt;height:404.05pt;mso-position-horizontal-relative:page;mso-position-vertical-relative:page;z-index:-708088" coordorigin="2030,2208" coordsize="13228,8081">
            <v:shape style="position:absolute;left:4401;top:2208;width:9244;height:797" type="#_x0000_t75" stroked="false">
              <v:imagedata r:id="rId188" o:title=""/>
            </v:shape>
            <v:shape style="position:absolute;left:2030;top:2966;width:13228;height:7322" type="#_x0000_t75" stroked="false">
              <v:imagedata r:id="rId189" o:title=""/>
            </v:shape>
            <w10:wrap type="none"/>
          </v:group>
        </w:pict>
      </w:r>
    </w:p>
    <w:p>
      <w:pPr>
        <w:spacing w:line="240" w:lineRule="auto" w:before="11"/>
        <w:rPr>
          <w:rFonts w:ascii="宋体" w:hAnsi="宋体" w:cs="宋体" w:eastAsia="宋体" w:hint="default"/>
          <w:sz w:val="17"/>
          <w:szCs w:val="17"/>
        </w:rPr>
      </w:pPr>
    </w:p>
    <w:p>
      <w:pPr>
        <w:pStyle w:val="Heading2"/>
        <w:spacing w:line="240" w:lineRule="auto" w:before="35"/>
        <w:ind w:right="0"/>
        <w:jc w:val="left"/>
        <w:rPr>
          <w:b w:val="0"/>
          <w:bCs w:val="0"/>
        </w:rPr>
      </w:pPr>
      <w:r>
        <w:rPr>
          <w:rFonts w:ascii="Times New Roman" w:hAnsi="Times New Roman" w:cs="Times New Roman" w:eastAsia="Times New Roman" w:hint="default"/>
        </w:rPr>
        <w:t>(</w:t>
      </w:r>
      <w:r>
        <w:rPr/>
        <w:t>二十三</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股本</w:t>
      </w:r>
      <w:r>
        <w:rPr>
          <w:b w:val="0"/>
          <w:bCs w:val="0"/>
        </w:rPr>
      </w:r>
    </w:p>
    <w:tbl>
      <w:tblPr>
        <w:tblW w:w="0" w:type="auto"/>
        <w:jc w:val="left"/>
        <w:tblInd w:w="756" w:type="dxa"/>
        <w:tblLayout w:type="fixed"/>
        <w:tblCellMar>
          <w:top w:w="0" w:type="dxa"/>
          <w:left w:w="0" w:type="dxa"/>
          <w:bottom w:w="0" w:type="dxa"/>
          <w:right w:w="0" w:type="dxa"/>
        </w:tblCellMar>
        <w:tblLook w:val="01E0"/>
      </w:tblPr>
      <w:tblGrid>
        <w:gridCol w:w="2420"/>
        <w:gridCol w:w="2962"/>
        <w:gridCol w:w="1645"/>
        <w:gridCol w:w="1497"/>
        <w:gridCol w:w="1560"/>
        <w:gridCol w:w="1622"/>
        <w:gridCol w:w="1474"/>
      </w:tblGrid>
      <w:tr>
        <w:trPr>
          <w:trHeight w:val="295" w:hRule="exact"/>
        </w:trPr>
        <w:tc>
          <w:tcPr>
            <w:tcW w:w="2420" w:type="dxa"/>
            <w:tcBorders>
              <w:top w:val="single" w:sz="12" w:space="0" w:color="000000"/>
              <w:left w:val="nil" w:sz="6" w:space="0" w:color="auto"/>
              <w:bottom w:val="nil" w:sz="6" w:space="0" w:color="auto"/>
              <w:right w:val="nil" w:sz="6" w:space="0" w:color="auto"/>
            </w:tcBorders>
          </w:tcPr>
          <w:p>
            <w:pPr/>
          </w:p>
        </w:tc>
        <w:tc>
          <w:tcPr>
            <w:tcW w:w="2962" w:type="dxa"/>
            <w:tcBorders>
              <w:top w:val="single" w:sz="12" w:space="0" w:color="000000"/>
              <w:left w:val="nil" w:sz="6" w:space="0" w:color="auto"/>
              <w:bottom w:val="nil" w:sz="6" w:space="0" w:color="auto"/>
              <w:right w:val="nil" w:sz="6" w:space="0" w:color="auto"/>
            </w:tcBorders>
          </w:tcPr>
          <w:p>
            <w:pPr/>
          </w:p>
        </w:tc>
        <w:tc>
          <w:tcPr>
            <w:tcW w:w="4702" w:type="dxa"/>
            <w:gridSpan w:val="3"/>
            <w:tcBorders>
              <w:top w:val="single" w:sz="12" w:space="0" w:color="000000"/>
              <w:left w:val="nil" w:sz="6" w:space="0" w:color="auto"/>
              <w:bottom w:val="nil" w:sz="6" w:space="0" w:color="auto"/>
              <w:right w:val="nil" w:sz="6" w:space="0" w:color="auto"/>
            </w:tcBorders>
          </w:tcPr>
          <w:p>
            <w:pPr>
              <w:pStyle w:val="TableParagraph"/>
              <w:spacing w:line="240" w:lineRule="auto" w:before="41"/>
              <w:ind w:left="1356" w:right="0"/>
              <w:jc w:val="left"/>
              <w:rPr>
                <w:rFonts w:ascii="宋体" w:hAnsi="宋体" w:cs="宋体" w:eastAsia="宋体" w:hint="default"/>
                <w:sz w:val="18"/>
                <w:szCs w:val="18"/>
              </w:rPr>
            </w:pPr>
            <w:r>
              <w:rPr>
                <w:rFonts w:ascii="宋体" w:hAnsi="宋体" w:cs="宋体" w:eastAsia="宋体" w:hint="default"/>
                <w:sz w:val="18"/>
                <w:szCs w:val="18"/>
              </w:rPr>
              <w:t>本期变动增（</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p>
        </w:tc>
        <w:tc>
          <w:tcPr>
            <w:tcW w:w="1622" w:type="dxa"/>
            <w:tcBorders>
              <w:top w:val="single" w:sz="12" w:space="0" w:color="000000"/>
              <w:left w:val="nil" w:sz="6" w:space="0" w:color="auto"/>
              <w:bottom w:val="nil" w:sz="6" w:space="0" w:color="auto"/>
              <w:right w:val="nil" w:sz="6" w:space="0" w:color="auto"/>
            </w:tcBorders>
          </w:tcPr>
          <w:p>
            <w:pPr/>
          </w:p>
        </w:tc>
        <w:tc>
          <w:tcPr>
            <w:tcW w:w="1474" w:type="dxa"/>
            <w:tcBorders>
              <w:top w:val="single" w:sz="12" w:space="0" w:color="000000"/>
              <w:left w:val="nil" w:sz="6" w:space="0" w:color="auto"/>
              <w:bottom w:val="nil" w:sz="6" w:space="0" w:color="auto"/>
              <w:right w:val="nil" w:sz="6" w:space="0" w:color="auto"/>
            </w:tcBorders>
          </w:tcPr>
          <w:p>
            <w:pPr/>
          </w:p>
        </w:tc>
      </w:tr>
      <w:tr>
        <w:trPr>
          <w:trHeight w:val="187" w:hRule="exact"/>
        </w:trPr>
        <w:tc>
          <w:tcPr>
            <w:tcW w:w="2420" w:type="dxa"/>
            <w:tcBorders>
              <w:top w:val="nil" w:sz="6" w:space="0" w:color="auto"/>
              <w:left w:val="nil" w:sz="6" w:space="0" w:color="auto"/>
              <w:bottom w:val="nil" w:sz="6" w:space="0" w:color="auto"/>
              <w:right w:val="nil" w:sz="6" w:space="0" w:color="auto"/>
            </w:tcBorders>
          </w:tcPr>
          <w:p>
            <w:pPr>
              <w:pStyle w:val="TableParagraph"/>
              <w:spacing w:line="173" w:lineRule="exact"/>
              <w:ind w:right="56"/>
              <w:jc w:val="center"/>
              <w:rPr>
                <w:rFonts w:ascii="宋体" w:hAnsi="宋体" w:cs="宋体" w:eastAsia="宋体" w:hint="default"/>
                <w:sz w:val="18"/>
                <w:szCs w:val="18"/>
              </w:rPr>
            </w:pPr>
            <w:r>
              <w:rPr>
                <w:rFonts w:ascii="宋体" w:hAnsi="宋体" w:cs="宋体" w:eastAsia="宋体" w:hint="default"/>
                <w:sz w:val="18"/>
                <w:szCs w:val="18"/>
              </w:rPr>
              <w:t>项目</w:t>
            </w:r>
          </w:p>
        </w:tc>
        <w:tc>
          <w:tcPr>
            <w:tcW w:w="2962" w:type="dxa"/>
            <w:tcBorders>
              <w:top w:val="nil" w:sz="6" w:space="0" w:color="auto"/>
              <w:left w:val="nil" w:sz="6" w:space="0" w:color="auto"/>
              <w:bottom w:val="nil" w:sz="6" w:space="0" w:color="auto"/>
              <w:right w:val="nil" w:sz="6" w:space="0" w:color="auto"/>
            </w:tcBorders>
          </w:tcPr>
          <w:p>
            <w:pPr>
              <w:pStyle w:val="TableParagraph"/>
              <w:spacing w:line="173" w:lineRule="exact"/>
              <w:ind w:left="399"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645" w:type="dxa"/>
            <w:tcBorders>
              <w:top w:val="nil" w:sz="6" w:space="0" w:color="auto"/>
              <w:left w:val="nil" w:sz="6" w:space="0" w:color="auto"/>
              <w:bottom w:val="nil" w:sz="6" w:space="0" w:color="auto"/>
              <w:right w:val="nil" w:sz="6" w:space="0" w:color="auto"/>
            </w:tcBorders>
          </w:tcPr>
          <w:p>
            <w:pPr/>
          </w:p>
        </w:tc>
        <w:tc>
          <w:tcPr>
            <w:tcW w:w="1497"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c>
          <w:tcPr>
            <w:tcW w:w="1622"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Style w:val="TableParagraph"/>
              <w:spacing w:line="173" w:lineRule="exact"/>
              <w:ind w:left="30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296" w:hRule="exact"/>
        </w:trPr>
        <w:tc>
          <w:tcPr>
            <w:tcW w:w="2420" w:type="dxa"/>
            <w:tcBorders>
              <w:top w:val="nil" w:sz="6" w:space="0" w:color="auto"/>
              <w:left w:val="nil" w:sz="6" w:space="0" w:color="auto"/>
              <w:bottom w:val="nil" w:sz="6" w:space="0" w:color="auto"/>
              <w:right w:val="nil" w:sz="6" w:space="0" w:color="auto"/>
            </w:tcBorders>
          </w:tcPr>
          <w:p>
            <w:pPr/>
          </w:p>
        </w:tc>
        <w:tc>
          <w:tcPr>
            <w:tcW w:w="2962" w:type="dxa"/>
            <w:tcBorders>
              <w:top w:val="nil" w:sz="6" w:space="0" w:color="auto"/>
              <w:left w:val="nil" w:sz="6" w:space="0" w:color="auto"/>
              <w:bottom w:val="nil" w:sz="6" w:space="0" w:color="auto"/>
              <w:right w:val="nil" w:sz="6" w:space="0" w:color="auto"/>
            </w:tcBorders>
          </w:tcPr>
          <w:p>
            <w:pPr>
              <w:pStyle w:val="TableParagraph"/>
              <w:spacing w:line="194" w:lineRule="exact"/>
              <w:ind w:left="1890"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1645" w:type="dxa"/>
            <w:tcBorders>
              <w:top w:val="nil" w:sz="6" w:space="0" w:color="auto"/>
              <w:left w:val="nil" w:sz="6" w:space="0" w:color="auto"/>
              <w:bottom w:val="nil" w:sz="6" w:space="0" w:color="auto"/>
              <w:right w:val="nil" w:sz="6" w:space="0" w:color="auto"/>
            </w:tcBorders>
          </w:tcPr>
          <w:p>
            <w:pPr>
              <w:pStyle w:val="TableParagraph"/>
              <w:spacing w:line="194" w:lineRule="exact"/>
              <w:ind w:right="94"/>
              <w:jc w:val="center"/>
              <w:rPr>
                <w:rFonts w:ascii="宋体" w:hAnsi="宋体" w:cs="宋体" w:eastAsia="宋体" w:hint="default"/>
                <w:sz w:val="18"/>
                <w:szCs w:val="18"/>
              </w:rPr>
            </w:pPr>
            <w:r>
              <w:rPr>
                <w:rFonts w:ascii="宋体" w:hAnsi="宋体" w:cs="宋体" w:eastAsia="宋体" w:hint="default"/>
                <w:sz w:val="18"/>
                <w:szCs w:val="18"/>
              </w:rPr>
              <w:t>送股</w:t>
            </w:r>
          </w:p>
        </w:tc>
        <w:tc>
          <w:tcPr>
            <w:tcW w:w="1497" w:type="dxa"/>
            <w:tcBorders>
              <w:top w:val="nil" w:sz="6" w:space="0" w:color="auto"/>
              <w:left w:val="nil" w:sz="6" w:space="0" w:color="auto"/>
              <w:bottom w:val="nil" w:sz="6" w:space="0" w:color="auto"/>
              <w:right w:val="nil" w:sz="6" w:space="0" w:color="auto"/>
            </w:tcBorders>
          </w:tcPr>
          <w:p>
            <w:pPr>
              <w:pStyle w:val="TableParagraph"/>
              <w:spacing w:line="194" w:lineRule="exact"/>
              <w:ind w:left="167"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560" w:type="dxa"/>
            <w:tcBorders>
              <w:top w:val="nil" w:sz="6" w:space="0" w:color="auto"/>
              <w:left w:val="nil" w:sz="6" w:space="0" w:color="auto"/>
              <w:bottom w:val="nil" w:sz="6" w:space="0" w:color="auto"/>
              <w:right w:val="nil" w:sz="6" w:space="0" w:color="auto"/>
            </w:tcBorders>
          </w:tcPr>
          <w:p>
            <w:pPr>
              <w:pStyle w:val="TableParagraph"/>
              <w:spacing w:line="194" w:lineRule="exact"/>
              <w:ind w:left="42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622" w:type="dxa"/>
            <w:tcBorders>
              <w:top w:val="nil" w:sz="6" w:space="0" w:color="auto"/>
              <w:left w:val="nil" w:sz="6" w:space="0" w:color="auto"/>
              <w:bottom w:val="nil" w:sz="6" w:space="0" w:color="auto"/>
              <w:right w:val="nil" w:sz="6" w:space="0" w:color="auto"/>
            </w:tcBorders>
          </w:tcPr>
          <w:p>
            <w:pPr>
              <w:pStyle w:val="TableParagraph"/>
              <w:spacing w:line="194" w:lineRule="exact"/>
              <w:ind w:left="489"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474" w:type="dxa"/>
            <w:tcBorders>
              <w:top w:val="nil" w:sz="6" w:space="0" w:color="auto"/>
              <w:left w:val="nil" w:sz="6" w:space="0" w:color="auto"/>
              <w:bottom w:val="nil" w:sz="6" w:space="0" w:color="auto"/>
              <w:right w:val="nil" w:sz="6" w:space="0" w:color="auto"/>
            </w:tcBorders>
          </w:tcPr>
          <w:p>
            <w:pPr/>
          </w:p>
        </w:tc>
      </w:tr>
      <w:tr>
        <w:trPr>
          <w:trHeight w:val="389" w:hRule="exact"/>
        </w:trPr>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．有限售条件股份</w:t>
            </w:r>
          </w:p>
        </w:tc>
        <w:tc>
          <w:tcPr>
            <w:tcW w:w="2962" w:type="dxa"/>
            <w:tcBorders>
              <w:top w:val="nil" w:sz="6" w:space="0" w:color="auto"/>
              <w:left w:val="nil" w:sz="6" w:space="0" w:color="auto"/>
              <w:bottom w:val="nil" w:sz="6" w:space="0" w:color="auto"/>
              <w:right w:val="nil" w:sz="6" w:space="0" w:color="auto"/>
            </w:tcBorders>
          </w:tcPr>
          <w:p>
            <w:pPr/>
          </w:p>
        </w:tc>
        <w:tc>
          <w:tcPr>
            <w:tcW w:w="1645" w:type="dxa"/>
            <w:tcBorders>
              <w:top w:val="nil" w:sz="6" w:space="0" w:color="auto"/>
              <w:left w:val="nil" w:sz="6" w:space="0" w:color="auto"/>
              <w:bottom w:val="nil" w:sz="6" w:space="0" w:color="auto"/>
              <w:right w:val="nil" w:sz="6" w:space="0" w:color="auto"/>
            </w:tcBorders>
          </w:tcPr>
          <w:p>
            <w:pPr/>
          </w:p>
        </w:tc>
        <w:tc>
          <w:tcPr>
            <w:tcW w:w="1497"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c>
          <w:tcPr>
            <w:tcW w:w="1622"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
        </w:tc>
      </w:tr>
      <w:tr>
        <w:trPr>
          <w:trHeight w:val="385" w:hRule="exact"/>
        </w:trPr>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国家持股</w:t>
            </w:r>
          </w:p>
        </w:tc>
        <w:tc>
          <w:tcPr>
            <w:tcW w:w="2962" w:type="dxa"/>
            <w:tcBorders>
              <w:top w:val="nil" w:sz="6" w:space="0" w:color="auto"/>
              <w:left w:val="nil" w:sz="6" w:space="0" w:color="auto"/>
              <w:bottom w:val="nil" w:sz="6" w:space="0" w:color="auto"/>
              <w:right w:val="nil" w:sz="6" w:space="0" w:color="auto"/>
            </w:tcBorders>
          </w:tcPr>
          <w:p>
            <w:pPr/>
          </w:p>
        </w:tc>
        <w:tc>
          <w:tcPr>
            <w:tcW w:w="1645" w:type="dxa"/>
            <w:tcBorders>
              <w:top w:val="nil" w:sz="6" w:space="0" w:color="auto"/>
              <w:left w:val="nil" w:sz="6" w:space="0" w:color="auto"/>
              <w:bottom w:val="nil" w:sz="6" w:space="0" w:color="auto"/>
              <w:right w:val="nil" w:sz="6" w:space="0" w:color="auto"/>
            </w:tcBorders>
          </w:tcPr>
          <w:p>
            <w:pPr/>
          </w:p>
        </w:tc>
        <w:tc>
          <w:tcPr>
            <w:tcW w:w="1497"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c>
          <w:tcPr>
            <w:tcW w:w="1622"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
        </w:tc>
      </w:tr>
      <w:tr>
        <w:trPr>
          <w:trHeight w:val="385" w:hRule="exact"/>
        </w:trPr>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国有法人持股</w:t>
            </w:r>
          </w:p>
        </w:tc>
        <w:tc>
          <w:tcPr>
            <w:tcW w:w="2962" w:type="dxa"/>
            <w:tcBorders>
              <w:top w:val="nil" w:sz="6" w:space="0" w:color="auto"/>
              <w:left w:val="nil" w:sz="6" w:space="0" w:color="auto"/>
              <w:bottom w:val="nil" w:sz="6" w:space="0" w:color="auto"/>
              <w:right w:val="nil" w:sz="6" w:space="0" w:color="auto"/>
            </w:tcBorders>
          </w:tcPr>
          <w:p>
            <w:pPr/>
          </w:p>
        </w:tc>
        <w:tc>
          <w:tcPr>
            <w:tcW w:w="1645" w:type="dxa"/>
            <w:tcBorders>
              <w:top w:val="nil" w:sz="6" w:space="0" w:color="auto"/>
              <w:left w:val="nil" w:sz="6" w:space="0" w:color="auto"/>
              <w:bottom w:val="nil" w:sz="6" w:space="0" w:color="auto"/>
              <w:right w:val="nil" w:sz="6" w:space="0" w:color="auto"/>
            </w:tcBorders>
          </w:tcPr>
          <w:p>
            <w:pPr/>
          </w:p>
        </w:tc>
        <w:tc>
          <w:tcPr>
            <w:tcW w:w="1497"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c>
          <w:tcPr>
            <w:tcW w:w="1622"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
        </w:tc>
      </w:tr>
      <w:tr>
        <w:trPr>
          <w:trHeight w:val="384" w:hRule="exact"/>
        </w:trPr>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其他内资持股</w:t>
            </w:r>
          </w:p>
        </w:tc>
        <w:tc>
          <w:tcPr>
            <w:tcW w:w="2962"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39" w:right="0"/>
              <w:jc w:val="left"/>
              <w:rPr>
                <w:rFonts w:ascii="Times New Roman" w:hAnsi="Times New Roman" w:cs="Times New Roman" w:eastAsia="Times New Roman" w:hint="default"/>
                <w:sz w:val="18"/>
                <w:szCs w:val="18"/>
              </w:rPr>
            </w:pPr>
            <w:r>
              <w:rPr>
                <w:rFonts w:ascii="Times New Roman"/>
                <w:sz w:val="18"/>
              </w:rPr>
              <w:t>101,120,000.00</w:t>
            </w: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65"/>
              <w:jc w:val="right"/>
              <w:rPr>
                <w:rFonts w:ascii="Times New Roman" w:hAnsi="Times New Roman" w:cs="Times New Roman" w:eastAsia="Times New Roman" w:hint="default"/>
                <w:sz w:val="18"/>
                <w:szCs w:val="18"/>
              </w:rPr>
            </w:pPr>
            <w:r>
              <w:rPr>
                <w:rFonts w:ascii="Times New Roman"/>
                <w:spacing w:val="-1"/>
                <w:sz w:val="18"/>
              </w:rPr>
              <w:t>142,200,000.00</w:t>
            </w:r>
          </w:p>
        </w:tc>
        <w:tc>
          <w:tcPr>
            <w:tcW w:w="1497"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45"/>
              <w:jc w:val="right"/>
              <w:rPr>
                <w:rFonts w:ascii="Times New Roman" w:hAnsi="Times New Roman" w:cs="Times New Roman" w:eastAsia="Times New Roman" w:hint="default"/>
                <w:sz w:val="18"/>
                <w:szCs w:val="18"/>
              </w:rPr>
            </w:pPr>
            <w:r>
              <w:rPr>
                <w:rFonts w:ascii="Times New Roman"/>
                <w:spacing w:val="-1"/>
                <w:sz w:val="18"/>
              </w:rPr>
              <w:t>-13,386,475.00</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46"/>
              <w:jc w:val="right"/>
              <w:rPr>
                <w:rFonts w:ascii="Times New Roman" w:hAnsi="Times New Roman" w:cs="Times New Roman" w:eastAsia="Times New Roman" w:hint="default"/>
                <w:sz w:val="18"/>
                <w:szCs w:val="18"/>
              </w:rPr>
            </w:pPr>
            <w:r>
              <w:rPr>
                <w:rFonts w:ascii="Times New Roman"/>
                <w:spacing w:val="-1"/>
                <w:sz w:val="18"/>
              </w:rPr>
              <w:t>128,813,525.00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98"/>
              <w:jc w:val="right"/>
              <w:rPr>
                <w:rFonts w:ascii="Times New Roman" w:hAnsi="Times New Roman" w:cs="Times New Roman" w:eastAsia="Times New Roman" w:hint="default"/>
                <w:sz w:val="18"/>
                <w:szCs w:val="18"/>
              </w:rPr>
            </w:pPr>
            <w:r>
              <w:rPr>
                <w:rFonts w:ascii="Times New Roman"/>
                <w:spacing w:val="-1"/>
                <w:sz w:val="18"/>
              </w:rPr>
              <w:t>229,933,525.00</w:t>
            </w:r>
          </w:p>
        </w:tc>
      </w:tr>
      <w:tr>
        <w:trPr>
          <w:trHeight w:val="380" w:hRule="exact"/>
        </w:trPr>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0"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2962" w:type="dxa"/>
            <w:tcBorders>
              <w:top w:val="nil" w:sz="6" w:space="0" w:color="auto"/>
              <w:left w:val="nil" w:sz="6" w:space="0" w:color="auto"/>
              <w:bottom w:val="nil" w:sz="6" w:space="0" w:color="auto"/>
              <w:right w:val="nil" w:sz="6" w:space="0" w:color="auto"/>
            </w:tcBorders>
          </w:tcPr>
          <w:p>
            <w:pPr/>
          </w:p>
        </w:tc>
        <w:tc>
          <w:tcPr>
            <w:tcW w:w="1645" w:type="dxa"/>
            <w:tcBorders>
              <w:top w:val="nil" w:sz="6" w:space="0" w:color="auto"/>
              <w:left w:val="nil" w:sz="6" w:space="0" w:color="auto"/>
              <w:bottom w:val="nil" w:sz="6" w:space="0" w:color="auto"/>
              <w:right w:val="nil" w:sz="6" w:space="0" w:color="auto"/>
            </w:tcBorders>
          </w:tcPr>
          <w:p>
            <w:pPr/>
          </w:p>
        </w:tc>
        <w:tc>
          <w:tcPr>
            <w:tcW w:w="1497"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c>
          <w:tcPr>
            <w:tcW w:w="1622"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
        </w:tc>
      </w:tr>
      <w:tr>
        <w:trPr>
          <w:trHeight w:val="388" w:hRule="exact"/>
        </w:trPr>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0" w:right="0"/>
              <w:jc w:val="left"/>
              <w:rPr>
                <w:rFonts w:ascii="宋体" w:hAnsi="宋体" w:cs="宋体" w:eastAsia="宋体" w:hint="default"/>
                <w:sz w:val="18"/>
                <w:szCs w:val="18"/>
              </w:rPr>
            </w:pPr>
            <w:r>
              <w:rPr>
                <w:rFonts w:ascii="宋体" w:hAnsi="宋体" w:cs="宋体" w:eastAsia="宋体" w:hint="default"/>
                <w:sz w:val="18"/>
                <w:szCs w:val="18"/>
              </w:rPr>
              <w:t>境内法人持股</w:t>
            </w:r>
          </w:p>
        </w:tc>
        <w:tc>
          <w:tcPr>
            <w:tcW w:w="2962" w:type="dxa"/>
            <w:tcBorders>
              <w:top w:val="nil" w:sz="6" w:space="0" w:color="auto"/>
              <w:left w:val="nil" w:sz="6" w:space="0" w:color="auto"/>
              <w:bottom w:val="nil" w:sz="6" w:space="0" w:color="auto"/>
              <w:right w:val="nil" w:sz="6" w:space="0" w:color="auto"/>
            </w:tcBorders>
          </w:tcPr>
          <w:p>
            <w:pPr>
              <w:pStyle w:val="TableParagraph"/>
              <w:spacing w:line="240" w:lineRule="auto" w:before="87"/>
              <w:ind w:left="434" w:right="0"/>
              <w:jc w:val="left"/>
              <w:rPr>
                <w:rFonts w:ascii="Times New Roman" w:hAnsi="Times New Roman" w:cs="Times New Roman" w:eastAsia="Times New Roman" w:hint="default"/>
                <w:sz w:val="18"/>
                <w:szCs w:val="18"/>
              </w:rPr>
            </w:pPr>
            <w:r>
              <w:rPr>
                <w:rFonts w:ascii="Times New Roman"/>
                <w:sz w:val="18"/>
              </w:rPr>
              <w:t>11,120,000.00</w:t>
            </w: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66"/>
              <w:jc w:val="right"/>
              <w:rPr>
                <w:rFonts w:ascii="Times New Roman" w:hAnsi="Times New Roman" w:cs="Times New Roman" w:eastAsia="Times New Roman" w:hint="default"/>
                <w:sz w:val="18"/>
                <w:szCs w:val="18"/>
              </w:rPr>
            </w:pPr>
            <w:r>
              <w:rPr>
                <w:rFonts w:ascii="Times New Roman"/>
                <w:spacing w:val="-1"/>
                <w:sz w:val="18"/>
              </w:rPr>
              <w:t>7,200,000.00</w:t>
            </w:r>
          </w:p>
        </w:tc>
        <w:tc>
          <w:tcPr>
            <w:tcW w:w="1497"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46"/>
              <w:jc w:val="right"/>
              <w:rPr>
                <w:rFonts w:ascii="Times New Roman" w:hAnsi="Times New Roman" w:cs="Times New Roman" w:eastAsia="Times New Roman" w:hint="default"/>
                <w:sz w:val="18"/>
                <w:szCs w:val="18"/>
              </w:rPr>
            </w:pPr>
            <w:r>
              <w:rPr>
                <w:rFonts w:ascii="Times New Roman"/>
                <w:spacing w:val="-1"/>
                <w:sz w:val="18"/>
              </w:rPr>
              <w:t>-6,320,000.00</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47"/>
              <w:jc w:val="right"/>
              <w:rPr>
                <w:rFonts w:ascii="Times New Roman" w:hAnsi="Times New Roman" w:cs="Times New Roman" w:eastAsia="Times New Roman" w:hint="default"/>
                <w:sz w:val="18"/>
                <w:szCs w:val="18"/>
              </w:rPr>
            </w:pPr>
            <w:r>
              <w:rPr>
                <w:rFonts w:ascii="Times New Roman"/>
                <w:sz w:val="18"/>
              </w:rPr>
              <w:t>880,000.00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99"/>
              <w:jc w:val="right"/>
              <w:rPr>
                <w:rFonts w:ascii="Times New Roman" w:hAnsi="Times New Roman" w:cs="Times New Roman" w:eastAsia="Times New Roman" w:hint="default"/>
                <w:sz w:val="18"/>
                <w:szCs w:val="18"/>
              </w:rPr>
            </w:pPr>
            <w:r>
              <w:rPr>
                <w:rFonts w:ascii="Times New Roman"/>
                <w:spacing w:val="-1"/>
                <w:sz w:val="18"/>
              </w:rPr>
              <w:t>12,000,000.00</w:t>
            </w:r>
          </w:p>
        </w:tc>
      </w:tr>
      <w:tr>
        <w:trPr>
          <w:trHeight w:val="384" w:hRule="exact"/>
        </w:trPr>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0"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2962" w:type="dxa"/>
            <w:tcBorders>
              <w:top w:val="nil" w:sz="6" w:space="0" w:color="auto"/>
              <w:left w:val="nil" w:sz="6" w:space="0" w:color="auto"/>
              <w:bottom w:val="nil" w:sz="6" w:space="0" w:color="auto"/>
              <w:right w:val="nil" w:sz="6" w:space="0" w:color="auto"/>
            </w:tcBorders>
          </w:tcPr>
          <w:p>
            <w:pPr>
              <w:pStyle w:val="TableParagraph"/>
              <w:spacing w:line="240" w:lineRule="auto" w:before="82"/>
              <w:ind w:left="428" w:right="0"/>
              <w:jc w:val="left"/>
              <w:rPr>
                <w:rFonts w:ascii="Times New Roman" w:hAnsi="Times New Roman" w:cs="Times New Roman" w:eastAsia="Times New Roman" w:hint="default"/>
                <w:sz w:val="18"/>
                <w:szCs w:val="18"/>
              </w:rPr>
            </w:pPr>
            <w:r>
              <w:rPr>
                <w:rFonts w:ascii="Times New Roman"/>
                <w:sz w:val="18"/>
              </w:rPr>
              <w:t>90,000,000.00</w:t>
            </w: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65"/>
              <w:jc w:val="right"/>
              <w:rPr>
                <w:rFonts w:ascii="Times New Roman" w:hAnsi="Times New Roman" w:cs="Times New Roman" w:eastAsia="Times New Roman" w:hint="default"/>
                <w:sz w:val="18"/>
                <w:szCs w:val="18"/>
              </w:rPr>
            </w:pPr>
            <w:r>
              <w:rPr>
                <w:rFonts w:ascii="Times New Roman"/>
                <w:spacing w:val="-1"/>
                <w:sz w:val="18"/>
              </w:rPr>
              <w:t>135,000,000.00</w:t>
            </w:r>
          </w:p>
        </w:tc>
        <w:tc>
          <w:tcPr>
            <w:tcW w:w="1497"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6"/>
              <w:jc w:val="right"/>
              <w:rPr>
                <w:rFonts w:ascii="Times New Roman" w:hAnsi="Times New Roman" w:cs="Times New Roman" w:eastAsia="Times New Roman" w:hint="default"/>
                <w:sz w:val="18"/>
                <w:szCs w:val="18"/>
              </w:rPr>
            </w:pPr>
            <w:r>
              <w:rPr>
                <w:rFonts w:ascii="Times New Roman"/>
                <w:spacing w:val="-1"/>
                <w:sz w:val="18"/>
              </w:rPr>
              <w:t>-7,066,475.00</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6"/>
              <w:jc w:val="right"/>
              <w:rPr>
                <w:rFonts w:ascii="Times New Roman" w:hAnsi="Times New Roman" w:cs="Times New Roman" w:eastAsia="Times New Roman" w:hint="default"/>
                <w:sz w:val="18"/>
                <w:szCs w:val="18"/>
              </w:rPr>
            </w:pPr>
            <w:r>
              <w:rPr>
                <w:rFonts w:ascii="Times New Roman"/>
                <w:spacing w:val="-1"/>
                <w:sz w:val="18"/>
              </w:rPr>
              <w:t>127,933,525.00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8"/>
              <w:jc w:val="right"/>
              <w:rPr>
                <w:rFonts w:ascii="Times New Roman" w:hAnsi="Times New Roman" w:cs="Times New Roman" w:eastAsia="Times New Roman" w:hint="default"/>
                <w:sz w:val="18"/>
                <w:szCs w:val="18"/>
              </w:rPr>
            </w:pPr>
            <w:r>
              <w:rPr>
                <w:rFonts w:ascii="Times New Roman"/>
                <w:spacing w:val="-1"/>
                <w:sz w:val="18"/>
              </w:rPr>
              <w:t>217,933,525.00</w:t>
            </w:r>
          </w:p>
        </w:tc>
      </w:tr>
      <w:tr>
        <w:trPr>
          <w:trHeight w:val="386" w:hRule="exact"/>
        </w:trPr>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外资持股</w:t>
            </w:r>
          </w:p>
        </w:tc>
        <w:tc>
          <w:tcPr>
            <w:tcW w:w="2962" w:type="dxa"/>
            <w:tcBorders>
              <w:top w:val="nil" w:sz="6" w:space="0" w:color="auto"/>
              <w:left w:val="nil" w:sz="6" w:space="0" w:color="auto"/>
              <w:bottom w:val="nil" w:sz="6" w:space="0" w:color="auto"/>
              <w:right w:val="nil" w:sz="6" w:space="0" w:color="auto"/>
            </w:tcBorders>
          </w:tcPr>
          <w:p>
            <w:pPr/>
          </w:p>
        </w:tc>
        <w:tc>
          <w:tcPr>
            <w:tcW w:w="1645" w:type="dxa"/>
            <w:tcBorders>
              <w:top w:val="nil" w:sz="6" w:space="0" w:color="auto"/>
              <w:left w:val="nil" w:sz="6" w:space="0" w:color="auto"/>
              <w:bottom w:val="nil" w:sz="6" w:space="0" w:color="auto"/>
              <w:right w:val="nil" w:sz="6" w:space="0" w:color="auto"/>
            </w:tcBorders>
          </w:tcPr>
          <w:p>
            <w:pPr/>
          </w:p>
        </w:tc>
        <w:tc>
          <w:tcPr>
            <w:tcW w:w="1497"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c>
          <w:tcPr>
            <w:tcW w:w="1622"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
        </w:tc>
      </w:tr>
      <w:tr>
        <w:trPr>
          <w:trHeight w:val="380" w:hRule="exact"/>
        </w:trPr>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0"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2962" w:type="dxa"/>
            <w:tcBorders>
              <w:top w:val="nil" w:sz="6" w:space="0" w:color="auto"/>
              <w:left w:val="nil" w:sz="6" w:space="0" w:color="auto"/>
              <w:bottom w:val="nil" w:sz="6" w:space="0" w:color="auto"/>
              <w:right w:val="nil" w:sz="6" w:space="0" w:color="auto"/>
            </w:tcBorders>
          </w:tcPr>
          <w:p>
            <w:pPr/>
          </w:p>
        </w:tc>
        <w:tc>
          <w:tcPr>
            <w:tcW w:w="1645" w:type="dxa"/>
            <w:tcBorders>
              <w:top w:val="nil" w:sz="6" w:space="0" w:color="auto"/>
              <w:left w:val="nil" w:sz="6" w:space="0" w:color="auto"/>
              <w:bottom w:val="nil" w:sz="6" w:space="0" w:color="auto"/>
              <w:right w:val="nil" w:sz="6" w:space="0" w:color="auto"/>
            </w:tcBorders>
          </w:tcPr>
          <w:p>
            <w:pPr/>
          </w:p>
        </w:tc>
        <w:tc>
          <w:tcPr>
            <w:tcW w:w="1497"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c>
          <w:tcPr>
            <w:tcW w:w="1622"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
        </w:tc>
      </w:tr>
      <w:tr>
        <w:trPr>
          <w:trHeight w:val="384" w:hRule="exact"/>
        </w:trPr>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0" w:right="0"/>
              <w:jc w:val="left"/>
              <w:rPr>
                <w:rFonts w:ascii="宋体" w:hAnsi="宋体" w:cs="宋体" w:eastAsia="宋体" w:hint="default"/>
                <w:sz w:val="18"/>
                <w:szCs w:val="18"/>
              </w:rPr>
            </w:pPr>
            <w:r>
              <w:rPr>
                <w:rFonts w:ascii="宋体" w:hAnsi="宋体" w:cs="宋体" w:eastAsia="宋体" w:hint="default"/>
                <w:sz w:val="18"/>
                <w:szCs w:val="18"/>
              </w:rPr>
              <w:t>境外法人持股</w:t>
            </w:r>
          </w:p>
        </w:tc>
        <w:tc>
          <w:tcPr>
            <w:tcW w:w="2962" w:type="dxa"/>
            <w:tcBorders>
              <w:top w:val="nil" w:sz="6" w:space="0" w:color="auto"/>
              <w:left w:val="nil" w:sz="6" w:space="0" w:color="auto"/>
              <w:bottom w:val="nil" w:sz="6" w:space="0" w:color="auto"/>
              <w:right w:val="nil" w:sz="6" w:space="0" w:color="auto"/>
            </w:tcBorders>
          </w:tcPr>
          <w:p>
            <w:pPr/>
          </w:p>
        </w:tc>
        <w:tc>
          <w:tcPr>
            <w:tcW w:w="1645" w:type="dxa"/>
            <w:tcBorders>
              <w:top w:val="nil" w:sz="6" w:space="0" w:color="auto"/>
              <w:left w:val="nil" w:sz="6" w:space="0" w:color="auto"/>
              <w:bottom w:val="nil" w:sz="6" w:space="0" w:color="auto"/>
              <w:right w:val="nil" w:sz="6" w:space="0" w:color="auto"/>
            </w:tcBorders>
          </w:tcPr>
          <w:p>
            <w:pPr/>
          </w:p>
        </w:tc>
        <w:tc>
          <w:tcPr>
            <w:tcW w:w="1497"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c>
          <w:tcPr>
            <w:tcW w:w="1622"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
        </w:tc>
      </w:tr>
      <w:tr>
        <w:trPr>
          <w:trHeight w:val="385" w:hRule="exact"/>
        </w:trPr>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0" w:right="0"/>
              <w:jc w:val="left"/>
              <w:rPr>
                <w:rFonts w:ascii="宋体" w:hAnsi="宋体" w:cs="宋体" w:eastAsia="宋体" w:hint="default"/>
                <w:sz w:val="18"/>
                <w:szCs w:val="18"/>
              </w:rPr>
            </w:pPr>
            <w:r>
              <w:rPr>
                <w:rFonts w:ascii="宋体" w:hAnsi="宋体" w:cs="宋体" w:eastAsia="宋体" w:hint="default"/>
                <w:sz w:val="18"/>
                <w:szCs w:val="18"/>
              </w:rPr>
              <w:t>境外自然人持股</w:t>
            </w:r>
          </w:p>
        </w:tc>
        <w:tc>
          <w:tcPr>
            <w:tcW w:w="2962" w:type="dxa"/>
            <w:tcBorders>
              <w:top w:val="nil" w:sz="6" w:space="0" w:color="auto"/>
              <w:left w:val="nil" w:sz="6" w:space="0" w:color="auto"/>
              <w:bottom w:val="nil" w:sz="6" w:space="0" w:color="auto"/>
              <w:right w:val="nil" w:sz="6" w:space="0" w:color="auto"/>
            </w:tcBorders>
          </w:tcPr>
          <w:p>
            <w:pPr/>
          </w:p>
        </w:tc>
        <w:tc>
          <w:tcPr>
            <w:tcW w:w="1645" w:type="dxa"/>
            <w:tcBorders>
              <w:top w:val="nil" w:sz="6" w:space="0" w:color="auto"/>
              <w:left w:val="nil" w:sz="6" w:space="0" w:color="auto"/>
              <w:bottom w:val="nil" w:sz="6" w:space="0" w:color="auto"/>
              <w:right w:val="nil" w:sz="6" w:space="0" w:color="auto"/>
            </w:tcBorders>
          </w:tcPr>
          <w:p>
            <w:pPr/>
          </w:p>
        </w:tc>
        <w:tc>
          <w:tcPr>
            <w:tcW w:w="1497"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c>
          <w:tcPr>
            <w:tcW w:w="1622"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
        </w:tc>
      </w:tr>
      <w:tr>
        <w:trPr>
          <w:trHeight w:val="388" w:hRule="exact"/>
        </w:trPr>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0" w:right="0"/>
              <w:jc w:val="left"/>
              <w:rPr>
                <w:rFonts w:ascii="宋体" w:hAnsi="宋体" w:cs="宋体" w:eastAsia="宋体" w:hint="default"/>
                <w:sz w:val="18"/>
                <w:szCs w:val="18"/>
              </w:rPr>
            </w:pPr>
            <w:r>
              <w:rPr>
                <w:rFonts w:ascii="宋体" w:hAnsi="宋体" w:cs="宋体" w:eastAsia="宋体" w:hint="default"/>
                <w:sz w:val="18"/>
                <w:szCs w:val="18"/>
              </w:rPr>
              <w:t>有限售条件股份合计</w:t>
            </w:r>
          </w:p>
        </w:tc>
        <w:tc>
          <w:tcPr>
            <w:tcW w:w="2962" w:type="dxa"/>
            <w:tcBorders>
              <w:top w:val="nil" w:sz="6" w:space="0" w:color="auto"/>
              <w:left w:val="nil" w:sz="6" w:space="0" w:color="auto"/>
              <w:bottom w:val="nil" w:sz="6" w:space="0" w:color="auto"/>
              <w:right w:val="nil" w:sz="6" w:space="0" w:color="auto"/>
            </w:tcBorders>
          </w:tcPr>
          <w:p>
            <w:pPr>
              <w:pStyle w:val="TableParagraph"/>
              <w:spacing w:line="240" w:lineRule="auto" w:before="87"/>
              <w:ind w:left="339" w:right="0"/>
              <w:jc w:val="left"/>
              <w:rPr>
                <w:rFonts w:ascii="Times New Roman" w:hAnsi="Times New Roman" w:cs="Times New Roman" w:eastAsia="Times New Roman" w:hint="default"/>
                <w:sz w:val="18"/>
                <w:szCs w:val="18"/>
              </w:rPr>
            </w:pPr>
            <w:r>
              <w:rPr>
                <w:rFonts w:ascii="Times New Roman"/>
                <w:sz w:val="18"/>
              </w:rPr>
              <w:t>101,120,000.00</w:t>
            </w: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65"/>
              <w:jc w:val="right"/>
              <w:rPr>
                <w:rFonts w:ascii="Times New Roman" w:hAnsi="Times New Roman" w:cs="Times New Roman" w:eastAsia="Times New Roman" w:hint="default"/>
                <w:sz w:val="18"/>
                <w:szCs w:val="18"/>
              </w:rPr>
            </w:pPr>
            <w:r>
              <w:rPr>
                <w:rFonts w:ascii="Times New Roman"/>
                <w:spacing w:val="-1"/>
                <w:sz w:val="18"/>
              </w:rPr>
              <w:t>142,200,000.00</w:t>
            </w:r>
          </w:p>
        </w:tc>
        <w:tc>
          <w:tcPr>
            <w:tcW w:w="1497"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45"/>
              <w:jc w:val="right"/>
              <w:rPr>
                <w:rFonts w:ascii="Times New Roman" w:hAnsi="Times New Roman" w:cs="Times New Roman" w:eastAsia="Times New Roman" w:hint="default"/>
                <w:sz w:val="18"/>
                <w:szCs w:val="18"/>
              </w:rPr>
            </w:pPr>
            <w:r>
              <w:rPr>
                <w:rFonts w:ascii="Times New Roman"/>
                <w:spacing w:val="-1"/>
                <w:sz w:val="18"/>
              </w:rPr>
              <w:t>-13,386,475.00</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46"/>
              <w:jc w:val="right"/>
              <w:rPr>
                <w:rFonts w:ascii="Times New Roman" w:hAnsi="Times New Roman" w:cs="Times New Roman" w:eastAsia="Times New Roman" w:hint="default"/>
                <w:sz w:val="18"/>
                <w:szCs w:val="18"/>
              </w:rPr>
            </w:pPr>
            <w:r>
              <w:rPr>
                <w:rFonts w:ascii="Times New Roman"/>
                <w:spacing w:val="-1"/>
                <w:sz w:val="18"/>
              </w:rPr>
              <w:t>128,813,525.00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98"/>
              <w:jc w:val="right"/>
              <w:rPr>
                <w:rFonts w:ascii="Times New Roman" w:hAnsi="Times New Roman" w:cs="Times New Roman" w:eastAsia="Times New Roman" w:hint="default"/>
                <w:sz w:val="18"/>
                <w:szCs w:val="18"/>
              </w:rPr>
            </w:pPr>
            <w:r>
              <w:rPr>
                <w:rFonts w:ascii="Times New Roman"/>
                <w:spacing w:val="-1"/>
                <w:sz w:val="18"/>
              </w:rPr>
              <w:t>229,933,525.00</w:t>
            </w:r>
          </w:p>
        </w:tc>
      </w:tr>
      <w:tr>
        <w:trPr>
          <w:trHeight w:val="385" w:hRule="exact"/>
        </w:trPr>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．无限售条件流通股份</w:t>
            </w:r>
          </w:p>
        </w:tc>
        <w:tc>
          <w:tcPr>
            <w:tcW w:w="2962" w:type="dxa"/>
            <w:tcBorders>
              <w:top w:val="nil" w:sz="6" w:space="0" w:color="auto"/>
              <w:left w:val="nil" w:sz="6" w:space="0" w:color="auto"/>
              <w:bottom w:val="nil" w:sz="6" w:space="0" w:color="auto"/>
              <w:right w:val="nil" w:sz="6" w:space="0" w:color="auto"/>
            </w:tcBorders>
          </w:tcPr>
          <w:p>
            <w:pPr/>
          </w:p>
        </w:tc>
        <w:tc>
          <w:tcPr>
            <w:tcW w:w="1645" w:type="dxa"/>
            <w:tcBorders>
              <w:top w:val="nil" w:sz="6" w:space="0" w:color="auto"/>
              <w:left w:val="nil" w:sz="6" w:space="0" w:color="auto"/>
              <w:bottom w:val="nil" w:sz="6" w:space="0" w:color="auto"/>
              <w:right w:val="nil" w:sz="6" w:space="0" w:color="auto"/>
            </w:tcBorders>
          </w:tcPr>
          <w:p>
            <w:pPr/>
          </w:p>
        </w:tc>
        <w:tc>
          <w:tcPr>
            <w:tcW w:w="1497"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c>
          <w:tcPr>
            <w:tcW w:w="1622"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
        </w:tc>
      </w:tr>
      <w:tr>
        <w:trPr>
          <w:trHeight w:val="385" w:hRule="exact"/>
        </w:trPr>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人民币普通股</w:t>
            </w:r>
          </w:p>
        </w:tc>
        <w:tc>
          <w:tcPr>
            <w:tcW w:w="2962" w:type="dxa"/>
            <w:tcBorders>
              <w:top w:val="nil" w:sz="6" w:space="0" w:color="auto"/>
              <w:left w:val="nil" w:sz="6" w:space="0" w:color="auto"/>
              <w:bottom w:val="nil" w:sz="6" w:space="0" w:color="auto"/>
              <w:right w:val="nil" w:sz="6" w:space="0" w:color="auto"/>
            </w:tcBorders>
          </w:tcPr>
          <w:p>
            <w:pPr>
              <w:pStyle w:val="TableParagraph"/>
              <w:spacing w:line="240" w:lineRule="auto" w:before="81"/>
              <w:ind w:left="428" w:right="0"/>
              <w:jc w:val="left"/>
              <w:rPr>
                <w:rFonts w:ascii="Times New Roman" w:hAnsi="Times New Roman" w:cs="Times New Roman" w:eastAsia="Times New Roman" w:hint="default"/>
                <w:sz w:val="18"/>
                <w:szCs w:val="18"/>
              </w:rPr>
            </w:pPr>
            <w:r>
              <w:rPr>
                <w:rFonts w:ascii="Times New Roman"/>
                <w:sz w:val="18"/>
              </w:rPr>
              <w:t>25,280,000.00</w:t>
            </w: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66"/>
              <w:jc w:val="right"/>
              <w:rPr>
                <w:rFonts w:ascii="Times New Roman" w:hAnsi="Times New Roman" w:cs="Times New Roman" w:eastAsia="Times New Roman" w:hint="default"/>
                <w:sz w:val="18"/>
                <w:szCs w:val="18"/>
              </w:rPr>
            </w:pPr>
            <w:r>
              <w:rPr>
                <w:rFonts w:ascii="Times New Roman"/>
                <w:spacing w:val="-1"/>
                <w:sz w:val="18"/>
              </w:rPr>
              <w:t>47,400,000.00</w:t>
            </w:r>
          </w:p>
        </w:tc>
        <w:tc>
          <w:tcPr>
            <w:tcW w:w="1497"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46"/>
              <w:jc w:val="right"/>
              <w:rPr>
                <w:rFonts w:ascii="Times New Roman" w:hAnsi="Times New Roman" w:cs="Times New Roman" w:eastAsia="Times New Roman" w:hint="default"/>
                <w:sz w:val="18"/>
                <w:szCs w:val="18"/>
              </w:rPr>
            </w:pPr>
            <w:r>
              <w:rPr>
                <w:rFonts w:ascii="Times New Roman"/>
                <w:spacing w:val="-1"/>
                <w:sz w:val="18"/>
              </w:rPr>
              <w:t>13,386,475.00</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47"/>
              <w:jc w:val="right"/>
              <w:rPr>
                <w:rFonts w:ascii="Times New Roman" w:hAnsi="Times New Roman" w:cs="Times New Roman" w:eastAsia="Times New Roman" w:hint="default"/>
                <w:sz w:val="18"/>
                <w:szCs w:val="18"/>
              </w:rPr>
            </w:pPr>
            <w:r>
              <w:rPr>
                <w:rFonts w:ascii="Times New Roman"/>
                <w:spacing w:val="-1"/>
                <w:sz w:val="18"/>
              </w:rPr>
              <w:t>60,786,475.00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99"/>
              <w:jc w:val="right"/>
              <w:rPr>
                <w:rFonts w:ascii="Times New Roman" w:hAnsi="Times New Roman" w:cs="Times New Roman" w:eastAsia="Times New Roman" w:hint="default"/>
                <w:sz w:val="18"/>
                <w:szCs w:val="18"/>
              </w:rPr>
            </w:pPr>
            <w:r>
              <w:rPr>
                <w:rFonts w:ascii="Times New Roman"/>
                <w:spacing w:val="-1"/>
                <w:sz w:val="18"/>
              </w:rPr>
              <w:t>86,066,475.00</w:t>
            </w:r>
          </w:p>
        </w:tc>
      </w:tr>
      <w:tr>
        <w:trPr>
          <w:trHeight w:val="385" w:hRule="exact"/>
        </w:trPr>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境内上市的外资股</w:t>
            </w:r>
          </w:p>
        </w:tc>
        <w:tc>
          <w:tcPr>
            <w:tcW w:w="2962" w:type="dxa"/>
            <w:tcBorders>
              <w:top w:val="nil" w:sz="6" w:space="0" w:color="auto"/>
              <w:left w:val="nil" w:sz="6" w:space="0" w:color="auto"/>
              <w:bottom w:val="nil" w:sz="6" w:space="0" w:color="auto"/>
              <w:right w:val="nil" w:sz="6" w:space="0" w:color="auto"/>
            </w:tcBorders>
          </w:tcPr>
          <w:p>
            <w:pPr/>
          </w:p>
        </w:tc>
        <w:tc>
          <w:tcPr>
            <w:tcW w:w="1645" w:type="dxa"/>
            <w:tcBorders>
              <w:top w:val="nil" w:sz="6" w:space="0" w:color="auto"/>
              <w:left w:val="nil" w:sz="6" w:space="0" w:color="auto"/>
              <w:bottom w:val="nil" w:sz="6" w:space="0" w:color="auto"/>
              <w:right w:val="nil" w:sz="6" w:space="0" w:color="auto"/>
            </w:tcBorders>
          </w:tcPr>
          <w:p>
            <w:pPr/>
          </w:p>
        </w:tc>
        <w:tc>
          <w:tcPr>
            <w:tcW w:w="1497"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c>
          <w:tcPr>
            <w:tcW w:w="1622"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
        </w:tc>
      </w:tr>
      <w:tr>
        <w:trPr>
          <w:trHeight w:val="384" w:hRule="exact"/>
        </w:trPr>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境外上市的外资股</w:t>
            </w:r>
          </w:p>
        </w:tc>
        <w:tc>
          <w:tcPr>
            <w:tcW w:w="2962" w:type="dxa"/>
            <w:tcBorders>
              <w:top w:val="nil" w:sz="6" w:space="0" w:color="auto"/>
              <w:left w:val="nil" w:sz="6" w:space="0" w:color="auto"/>
              <w:bottom w:val="nil" w:sz="6" w:space="0" w:color="auto"/>
              <w:right w:val="nil" w:sz="6" w:space="0" w:color="auto"/>
            </w:tcBorders>
          </w:tcPr>
          <w:p>
            <w:pPr/>
          </w:p>
        </w:tc>
        <w:tc>
          <w:tcPr>
            <w:tcW w:w="1645" w:type="dxa"/>
            <w:tcBorders>
              <w:top w:val="nil" w:sz="6" w:space="0" w:color="auto"/>
              <w:left w:val="nil" w:sz="6" w:space="0" w:color="auto"/>
              <w:bottom w:val="nil" w:sz="6" w:space="0" w:color="auto"/>
              <w:right w:val="nil" w:sz="6" w:space="0" w:color="auto"/>
            </w:tcBorders>
          </w:tcPr>
          <w:p>
            <w:pPr/>
          </w:p>
        </w:tc>
        <w:tc>
          <w:tcPr>
            <w:tcW w:w="1497"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c>
          <w:tcPr>
            <w:tcW w:w="1622"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
        </w:tc>
      </w:tr>
      <w:tr>
        <w:trPr>
          <w:trHeight w:val="385" w:hRule="exact"/>
        </w:trPr>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其他</w:t>
            </w:r>
          </w:p>
        </w:tc>
        <w:tc>
          <w:tcPr>
            <w:tcW w:w="2962" w:type="dxa"/>
            <w:tcBorders>
              <w:top w:val="nil" w:sz="6" w:space="0" w:color="auto"/>
              <w:left w:val="nil" w:sz="6" w:space="0" w:color="auto"/>
              <w:bottom w:val="nil" w:sz="6" w:space="0" w:color="auto"/>
              <w:right w:val="nil" w:sz="6" w:space="0" w:color="auto"/>
            </w:tcBorders>
          </w:tcPr>
          <w:p>
            <w:pPr/>
          </w:p>
        </w:tc>
        <w:tc>
          <w:tcPr>
            <w:tcW w:w="1645" w:type="dxa"/>
            <w:tcBorders>
              <w:top w:val="nil" w:sz="6" w:space="0" w:color="auto"/>
              <w:left w:val="nil" w:sz="6" w:space="0" w:color="auto"/>
              <w:bottom w:val="nil" w:sz="6" w:space="0" w:color="auto"/>
              <w:right w:val="nil" w:sz="6" w:space="0" w:color="auto"/>
            </w:tcBorders>
          </w:tcPr>
          <w:p>
            <w:pPr/>
          </w:p>
        </w:tc>
        <w:tc>
          <w:tcPr>
            <w:tcW w:w="1497"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c>
          <w:tcPr>
            <w:tcW w:w="1622"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
        </w:tc>
      </w:tr>
      <w:tr>
        <w:trPr>
          <w:trHeight w:val="383" w:hRule="exact"/>
        </w:trPr>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0" w:right="0"/>
              <w:jc w:val="left"/>
              <w:rPr>
                <w:rFonts w:ascii="宋体" w:hAnsi="宋体" w:cs="宋体" w:eastAsia="宋体" w:hint="default"/>
                <w:sz w:val="18"/>
                <w:szCs w:val="18"/>
              </w:rPr>
            </w:pPr>
            <w:r>
              <w:rPr>
                <w:rFonts w:ascii="宋体" w:hAnsi="宋体" w:cs="宋体" w:eastAsia="宋体" w:hint="default"/>
                <w:sz w:val="18"/>
                <w:szCs w:val="18"/>
              </w:rPr>
              <w:t>无限售条件流通股份合计</w:t>
            </w:r>
          </w:p>
        </w:tc>
        <w:tc>
          <w:tcPr>
            <w:tcW w:w="2962" w:type="dxa"/>
            <w:tcBorders>
              <w:top w:val="nil" w:sz="6" w:space="0" w:color="auto"/>
              <w:left w:val="nil" w:sz="6" w:space="0" w:color="auto"/>
              <w:bottom w:val="nil" w:sz="6" w:space="0" w:color="auto"/>
              <w:right w:val="nil" w:sz="6" w:space="0" w:color="auto"/>
            </w:tcBorders>
          </w:tcPr>
          <w:p>
            <w:pPr>
              <w:pStyle w:val="TableParagraph"/>
              <w:spacing w:line="240" w:lineRule="auto" w:before="82"/>
              <w:ind w:left="428" w:right="0"/>
              <w:jc w:val="left"/>
              <w:rPr>
                <w:rFonts w:ascii="Times New Roman" w:hAnsi="Times New Roman" w:cs="Times New Roman" w:eastAsia="Times New Roman" w:hint="default"/>
                <w:sz w:val="18"/>
                <w:szCs w:val="18"/>
              </w:rPr>
            </w:pPr>
            <w:r>
              <w:rPr>
                <w:rFonts w:ascii="Times New Roman"/>
                <w:sz w:val="18"/>
              </w:rPr>
              <w:t>25,280,000.00</w:t>
            </w: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66"/>
              <w:jc w:val="right"/>
              <w:rPr>
                <w:rFonts w:ascii="Times New Roman" w:hAnsi="Times New Roman" w:cs="Times New Roman" w:eastAsia="Times New Roman" w:hint="default"/>
                <w:sz w:val="18"/>
                <w:szCs w:val="18"/>
              </w:rPr>
            </w:pPr>
            <w:r>
              <w:rPr>
                <w:rFonts w:ascii="Times New Roman"/>
                <w:spacing w:val="-1"/>
                <w:sz w:val="18"/>
              </w:rPr>
              <w:t>47,400,000.00</w:t>
            </w:r>
          </w:p>
        </w:tc>
        <w:tc>
          <w:tcPr>
            <w:tcW w:w="1497"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6"/>
              <w:jc w:val="right"/>
              <w:rPr>
                <w:rFonts w:ascii="Times New Roman" w:hAnsi="Times New Roman" w:cs="Times New Roman" w:eastAsia="Times New Roman" w:hint="default"/>
                <w:sz w:val="18"/>
                <w:szCs w:val="18"/>
              </w:rPr>
            </w:pPr>
            <w:r>
              <w:rPr>
                <w:rFonts w:ascii="Times New Roman"/>
                <w:spacing w:val="-1"/>
                <w:sz w:val="18"/>
              </w:rPr>
              <w:t>13,386,475.00</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7"/>
              <w:jc w:val="right"/>
              <w:rPr>
                <w:rFonts w:ascii="Times New Roman" w:hAnsi="Times New Roman" w:cs="Times New Roman" w:eastAsia="Times New Roman" w:hint="default"/>
                <w:sz w:val="18"/>
                <w:szCs w:val="18"/>
              </w:rPr>
            </w:pPr>
            <w:r>
              <w:rPr>
                <w:rFonts w:ascii="Times New Roman"/>
                <w:spacing w:val="-1"/>
                <w:sz w:val="18"/>
              </w:rPr>
              <w:t>60,786,475.00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pacing w:val="-1"/>
                <w:sz w:val="18"/>
              </w:rPr>
              <w:t>86,066,475.00</w:t>
            </w:r>
          </w:p>
        </w:tc>
      </w:tr>
      <w:tr>
        <w:trPr>
          <w:trHeight w:val="390" w:hRule="exact"/>
        </w:trPr>
        <w:tc>
          <w:tcPr>
            <w:tcW w:w="2420"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56"/>
              <w:jc w:val="center"/>
              <w:rPr>
                <w:rFonts w:ascii="宋体" w:hAnsi="宋体" w:cs="宋体" w:eastAsia="宋体" w:hint="default"/>
                <w:sz w:val="18"/>
                <w:szCs w:val="18"/>
              </w:rPr>
            </w:pPr>
            <w:r>
              <w:rPr>
                <w:rFonts w:ascii="宋体" w:hAnsi="宋体" w:cs="宋体" w:eastAsia="宋体" w:hint="default"/>
                <w:sz w:val="18"/>
                <w:szCs w:val="18"/>
              </w:rPr>
              <w:t>合计</w:t>
            </w:r>
          </w:p>
        </w:tc>
        <w:tc>
          <w:tcPr>
            <w:tcW w:w="2962"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left="339" w:right="0"/>
              <w:jc w:val="left"/>
              <w:rPr>
                <w:rFonts w:ascii="Times New Roman" w:hAnsi="Times New Roman" w:cs="Times New Roman" w:eastAsia="Times New Roman" w:hint="default"/>
                <w:sz w:val="18"/>
                <w:szCs w:val="18"/>
              </w:rPr>
            </w:pPr>
            <w:r>
              <w:rPr>
                <w:rFonts w:ascii="Times New Roman"/>
                <w:sz w:val="18"/>
              </w:rPr>
              <w:t>126,400,000.00</w:t>
            </w:r>
          </w:p>
        </w:tc>
        <w:tc>
          <w:tcPr>
            <w:tcW w:w="1645"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65"/>
              <w:jc w:val="right"/>
              <w:rPr>
                <w:rFonts w:ascii="Times New Roman" w:hAnsi="Times New Roman" w:cs="Times New Roman" w:eastAsia="Times New Roman" w:hint="default"/>
                <w:sz w:val="18"/>
                <w:szCs w:val="18"/>
              </w:rPr>
            </w:pPr>
            <w:r>
              <w:rPr>
                <w:rFonts w:ascii="Times New Roman"/>
                <w:spacing w:val="-1"/>
                <w:sz w:val="18"/>
              </w:rPr>
              <w:t>189,600,000.00</w:t>
            </w:r>
          </w:p>
        </w:tc>
        <w:tc>
          <w:tcPr>
            <w:tcW w:w="1497" w:type="dxa"/>
            <w:tcBorders>
              <w:top w:val="nil" w:sz="6" w:space="0" w:color="auto"/>
              <w:left w:val="nil" w:sz="6" w:space="0" w:color="auto"/>
              <w:bottom w:val="single" w:sz="12" w:space="0" w:color="000000"/>
              <w:right w:val="nil" w:sz="6" w:space="0" w:color="auto"/>
            </w:tcBorders>
          </w:tcPr>
          <w:p>
            <w:pPr/>
          </w:p>
        </w:tc>
        <w:tc>
          <w:tcPr>
            <w:tcW w:w="1560" w:type="dxa"/>
            <w:tcBorders>
              <w:top w:val="nil" w:sz="6" w:space="0" w:color="auto"/>
              <w:left w:val="nil" w:sz="6" w:space="0" w:color="auto"/>
              <w:bottom w:val="single" w:sz="12" w:space="0" w:color="000000"/>
              <w:right w:val="nil" w:sz="6" w:space="0" w:color="auto"/>
            </w:tcBorders>
          </w:tcPr>
          <w:p>
            <w:pPr/>
          </w:p>
        </w:tc>
        <w:tc>
          <w:tcPr>
            <w:tcW w:w="1622"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246"/>
              <w:jc w:val="right"/>
              <w:rPr>
                <w:rFonts w:ascii="Times New Roman" w:hAnsi="Times New Roman" w:cs="Times New Roman" w:eastAsia="Times New Roman" w:hint="default"/>
                <w:sz w:val="18"/>
                <w:szCs w:val="18"/>
              </w:rPr>
            </w:pPr>
            <w:r>
              <w:rPr>
                <w:rFonts w:ascii="Times New Roman"/>
                <w:spacing w:val="-1"/>
                <w:sz w:val="18"/>
              </w:rPr>
              <w:t>189,600,000.00</w:t>
            </w:r>
          </w:p>
        </w:tc>
        <w:tc>
          <w:tcPr>
            <w:tcW w:w="1474"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97"/>
              <w:jc w:val="right"/>
              <w:rPr>
                <w:rFonts w:ascii="Times New Roman" w:hAnsi="Times New Roman" w:cs="Times New Roman" w:eastAsia="Times New Roman" w:hint="default"/>
                <w:sz w:val="18"/>
                <w:szCs w:val="18"/>
              </w:rPr>
            </w:pPr>
            <w:r>
              <w:rPr>
                <w:rFonts w:ascii="Times New Roman"/>
                <w:spacing w:val="-1"/>
                <w:sz w:val="18"/>
              </w:rPr>
              <w:t>316,000,000.00</w:t>
            </w:r>
          </w:p>
        </w:tc>
      </w:tr>
    </w:tbl>
    <w:p>
      <w:pPr>
        <w:spacing w:after="0" w:line="240" w:lineRule="auto"/>
        <w:jc w:val="right"/>
        <w:rPr>
          <w:rFonts w:ascii="Times New Roman" w:hAnsi="Times New Roman" w:cs="Times New Roman" w:eastAsia="Times New Roman" w:hint="default"/>
          <w:sz w:val="18"/>
          <w:szCs w:val="18"/>
        </w:rPr>
        <w:sectPr>
          <w:headerReference w:type="default" r:id="rId186"/>
          <w:footerReference w:type="default" r:id="rId187"/>
          <w:pgSz w:w="16840" w:h="11910" w:orient="landscape"/>
          <w:pgMar w:header="851" w:footer="978" w:top="1360" w:bottom="1160" w:left="1300" w:right="1300"/>
          <w:pgNumType w:start="131"/>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5"/>
          <w:szCs w:val="15"/>
        </w:rPr>
      </w:pPr>
    </w:p>
    <w:p>
      <w:pPr>
        <w:pStyle w:val="BodyText"/>
        <w:spacing w:line="240" w:lineRule="auto" w:before="35"/>
        <w:ind w:left="1399" w:right="0"/>
        <w:jc w:val="left"/>
      </w:pPr>
      <w:r>
        <w:rPr/>
        <w:t>本期股本变动情况及说明：</w:t>
      </w:r>
    </w:p>
    <w:p>
      <w:pPr>
        <w:pStyle w:val="BodyText"/>
        <w:spacing w:line="240" w:lineRule="auto" w:before="126"/>
        <w:ind w:left="1399" w:right="0"/>
        <w:jc w:val="left"/>
        <w:rPr>
          <w:rFonts w:ascii="Times New Roman" w:hAnsi="Times New Roman" w:cs="Times New Roman" w:eastAsia="Times New Roman" w:hint="default"/>
        </w:rPr>
      </w:pPr>
      <w:r>
        <w:rPr>
          <w:rFonts w:ascii="Times New Roman" w:hAnsi="Times New Roman" w:cs="Times New Roman" w:eastAsia="Times New Roman" w:hint="default"/>
        </w:rPr>
        <w:t>1</w:t>
      </w:r>
      <w:r>
        <w:rPr/>
        <w:t>、根据《证券发行与承销管理办法》的有关规定，公司网下配售的股票</w:t>
      </w:r>
      <w:r>
        <w:rPr>
          <w:spacing w:val="-75"/>
        </w:rPr>
        <w:t> </w:t>
      </w:r>
      <w:r>
        <w:rPr>
          <w:rFonts w:ascii="Times New Roman" w:hAnsi="Times New Roman" w:cs="Times New Roman" w:eastAsia="Times New Roman" w:hint="default"/>
        </w:rPr>
        <w:t>632</w:t>
      </w:r>
      <w:r>
        <w:rPr>
          <w:rFonts w:ascii="Times New Roman" w:hAnsi="Times New Roman" w:cs="Times New Roman" w:eastAsia="Times New Roman" w:hint="default"/>
          <w:spacing w:val="-22"/>
        </w:rPr>
        <w:t> </w:t>
      </w:r>
      <w:r>
        <w:rPr/>
        <w:t>万股自网上发行的股票在深圳证券交易所上市交易之日即</w:t>
      </w:r>
      <w:r>
        <w:rPr>
          <w:spacing w:val="-75"/>
        </w:rPr>
        <w:t> </w:t>
      </w:r>
      <w:r>
        <w:rPr>
          <w:rFonts w:ascii="Times New Roman" w:hAnsi="Times New Roman" w:cs="Times New Roman" w:eastAsia="Times New Roman" w:hint="default"/>
        </w:rPr>
        <w:t>2009</w:t>
      </w:r>
    </w:p>
    <w:p>
      <w:pPr>
        <w:pStyle w:val="BodyText"/>
        <w:spacing w:line="240" w:lineRule="auto" w:before="109"/>
        <w:ind w:left="1399" w:right="0"/>
        <w:jc w:val="left"/>
      </w:pPr>
      <w:r>
        <w:rPr/>
        <w:t>年</w:t>
      </w:r>
      <w:r>
        <w:rPr>
          <w:spacing w:val="-54"/>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30</w:t>
      </w:r>
      <w:r>
        <w:rPr>
          <w:rFonts w:ascii="Times New Roman" w:hAnsi="Times New Roman" w:cs="Times New Roman" w:eastAsia="Times New Roman" w:hint="default"/>
          <w:spacing w:val="-2"/>
        </w:rPr>
        <w:t> </w:t>
      </w:r>
      <w:r>
        <w:rPr/>
        <w:t>日起锁定三个月方可上市流通。锁定期已满，现该部分股票成为无限售条件的流通股。</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BodyText"/>
        <w:spacing w:line="240" w:lineRule="auto"/>
        <w:ind w:left="1399" w:right="0"/>
        <w:jc w:val="left"/>
      </w:pPr>
      <w:r>
        <w:rPr>
          <w:rFonts w:ascii="Times New Roman" w:hAnsi="Times New Roman" w:cs="Times New Roman" w:eastAsia="Times New Roman" w:hint="default"/>
        </w:rPr>
        <w:t>2</w:t>
      </w:r>
      <w:r>
        <w:rPr/>
        <w:t>、经公司</w:t>
      </w:r>
      <w:r>
        <w:rPr>
          <w:spacing w:val="-51"/>
        </w:rPr>
        <w:t> </w:t>
      </w:r>
      <w:r>
        <w:rPr>
          <w:rFonts w:ascii="Times New Roman" w:hAnsi="Times New Roman" w:cs="Times New Roman" w:eastAsia="Times New Roman" w:hint="default"/>
        </w:rPr>
        <w:t>2009</w:t>
      </w:r>
      <w:r>
        <w:rPr>
          <w:rFonts w:ascii="Times New Roman" w:hAnsi="Times New Roman" w:cs="Times New Roman" w:eastAsia="Times New Roman" w:hint="default"/>
          <w:spacing w:val="2"/>
        </w:rPr>
        <w:t> </w:t>
      </w:r>
      <w:r>
        <w:rPr/>
        <w:t>年度股东大会审议通过，公司以</w:t>
      </w:r>
      <w:r>
        <w:rPr>
          <w:spacing w:val="-51"/>
        </w:rPr>
        <w:t> </w:t>
      </w:r>
      <w:r>
        <w:rPr>
          <w:rFonts w:ascii="Times New Roman" w:hAnsi="Times New Roman" w:cs="Times New Roman" w:eastAsia="Times New Roman" w:hint="default"/>
        </w:rPr>
        <w:t>2009</w:t>
      </w:r>
      <w:r>
        <w:rPr>
          <w:rFonts w:ascii="Times New Roman" w:hAnsi="Times New Roman" w:cs="Times New Roman" w:eastAsia="Times New Roman" w:hint="default"/>
          <w:spacing w:val="2"/>
        </w:rPr>
        <w:t> </w:t>
      </w:r>
      <w:r>
        <w:rPr/>
        <w:t>年</w:t>
      </w:r>
      <w:r>
        <w:rPr>
          <w:spacing w:val="-51"/>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2"/>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日公司总股本</w:t>
      </w:r>
      <w:r>
        <w:rPr>
          <w:spacing w:val="-51"/>
        </w:rPr>
        <w:t> </w:t>
      </w:r>
      <w:r>
        <w:rPr>
          <w:rFonts w:ascii="Times New Roman" w:hAnsi="Times New Roman" w:cs="Times New Roman" w:eastAsia="Times New Roman" w:hint="default"/>
        </w:rPr>
        <w:t>12,640</w:t>
      </w:r>
      <w:r>
        <w:rPr>
          <w:rFonts w:ascii="Times New Roman" w:hAnsi="Times New Roman" w:cs="Times New Roman" w:eastAsia="Times New Roman" w:hint="default"/>
          <w:spacing w:val="1"/>
        </w:rPr>
        <w:t> </w:t>
      </w:r>
      <w:r>
        <w:rPr/>
        <w:t>万股为基数，以资本公积金向全体股东每</w:t>
      </w:r>
      <w:r>
        <w:rPr>
          <w:spacing w:val="-51"/>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t>股转增</w:t>
      </w:r>
    </w:p>
    <w:p>
      <w:pPr>
        <w:pStyle w:val="BodyText"/>
        <w:spacing w:line="240" w:lineRule="auto" w:before="109"/>
        <w:ind w:left="1400" w:right="0"/>
        <w:jc w:val="left"/>
      </w:pPr>
      <w:r>
        <w:rPr>
          <w:rFonts w:ascii="Times New Roman" w:hAnsi="Times New Roman" w:cs="Times New Roman" w:eastAsia="Times New Roman" w:hint="default"/>
        </w:rPr>
        <w:t>15</w:t>
      </w:r>
      <w:r>
        <w:rPr>
          <w:rFonts w:ascii="Times New Roman" w:hAnsi="Times New Roman" w:cs="Times New Roman" w:eastAsia="Times New Roman" w:hint="default"/>
          <w:spacing w:val="6"/>
        </w:rPr>
        <w:t> </w:t>
      </w:r>
      <w:r>
        <w:rPr/>
        <w:t>股，合计转增股本</w:t>
      </w:r>
      <w:r>
        <w:rPr>
          <w:spacing w:val="-47"/>
        </w:rPr>
        <w:t> </w:t>
      </w:r>
      <w:r>
        <w:rPr>
          <w:rFonts w:ascii="Times New Roman" w:hAnsi="Times New Roman" w:cs="Times New Roman" w:eastAsia="Times New Roman" w:hint="default"/>
        </w:rPr>
        <w:t>18,960</w:t>
      </w:r>
      <w:r>
        <w:rPr>
          <w:rFonts w:ascii="Times New Roman" w:hAnsi="Times New Roman" w:cs="Times New Roman" w:eastAsia="Times New Roman" w:hint="default"/>
          <w:spacing w:val="6"/>
        </w:rPr>
        <w:t> </w:t>
      </w:r>
      <w:r>
        <w:rPr/>
        <w:t>万股。分红前本公司总股本为</w:t>
      </w:r>
      <w:r>
        <w:rPr>
          <w:spacing w:val="-3"/>
        </w:rPr>
        <w:t> </w:t>
      </w:r>
      <w:r>
        <w:rPr>
          <w:rFonts w:ascii="Times New Roman" w:hAnsi="Times New Roman" w:cs="Times New Roman" w:eastAsia="Times New Roman" w:hint="default"/>
        </w:rPr>
        <w:t>12,640</w:t>
      </w:r>
      <w:r>
        <w:rPr>
          <w:rFonts w:ascii="Times New Roman" w:hAnsi="Times New Roman" w:cs="Times New Roman" w:eastAsia="Times New Roman" w:hint="default"/>
          <w:spacing w:val="6"/>
        </w:rPr>
        <w:t> </w:t>
      </w:r>
      <w:r>
        <w:rPr/>
        <w:t>万股，分红后总股本增至</w:t>
      </w:r>
      <w:r>
        <w:rPr>
          <w:spacing w:val="-47"/>
        </w:rPr>
        <w:t> </w:t>
      </w:r>
      <w:r>
        <w:rPr>
          <w:rFonts w:ascii="Times New Roman" w:hAnsi="Times New Roman" w:cs="Times New Roman" w:eastAsia="Times New Roman" w:hint="default"/>
        </w:rPr>
        <w:t>31,600</w:t>
      </w:r>
      <w:r>
        <w:rPr>
          <w:rFonts w:ascii="Times New Roman" w:hAnsi="Times New Roman" w:cs="Times New Roman" w:eastAsia="Times New Roman" w:hint="default"/>
          <w:spacing w:val="4"/>
        </w:rPr>
        <w:t> </w:t>
      </w:r>
      <w:r>
        <w:rPr/>
        <w:t>万股。该增资业经信会师报字（</w:t>
      </w:r>
      <w:r>
        <w:rPr>
          <w:rFonts w:ascii="Times New Roman" w:hAnsi="Times New Roman" w:cs="Times New Roman" w:eastAsia="Times New Roman" w:hint="default"/>
        </w:rPr>
        <w:t>2010</w:t>
      </w:r>
      <w:r>
        <w:rPr/>
        <w:t>）</w:t>
      </w:r>
    </w:p>
    <w:p>
      <w:pPr>
        <w:pStyle w:val="BodyText"/>
        <w:spacing w:line="240" w:lineRule="auto" w:before="109"/>
        <w:ind w:left="1399" w:right="0"/>
        <w:jc w:val="left"/>
      </w:pPr>
      <w:r>
        <w:rPr/>
        <w:t>第</w:t>
      </w:r>
      <w:r>
        <w:rPr>
          <w:spacing w:val="-59"/>
        </w:rPr>
        <w:t> </w:t>
      </w:r>
      <w:r>
        <w:rPr>
          <w:rFonts w:ascii="Times New Roman" w:hAnsi="Times New Roman" w:cs="Times New Roman" w:eastAsia="Times New Roman" w:hint="default"/>
        </w:rPr>
        <w:t>11710</w:t>
      </w:r>
      <w:r>
        <w:rPr>
          <w:rFonts w:ascii="Times New Roman" w:hAnsi="Times New Roman" w:cs="Times New Roman" w:eastAsia="Times New Roman" w:hint="default"/>
          <w:spacing w:val="-6"/>
        </w:rPr>
        <w:t> </w:t>
      </w:r>
      <w:r>
        <w:rPr/>
        <w:t>号验资报告验证。</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BodyText"/>
        <w:spacing w:line="328" w:lineRule="auto"/>
        <w:ind w:left="1399" w:right="130"/>
        <w:jc w:val="left"/>
      </w:pPr>
      <w:r>
        <w:rPr>
          <w:rFonts w:ascii="Times New Roman" w:hAnsi="Times New Roman" w:cs="Times New Roman" w:eastAsia="Times New Roman" w:hint="default"/>
          <w:spacing w:val="-1"/>
        </w:rPr>
        <w:t>3</w:t>
      </w:r>
      <w:r>
        <w:rPr>
          <w:spacing w:val="-1"/>
        </w:rPr>
        <w:t>、公司上市前持有公司股份的股东甄岳宾承诺的自愿锁定期为自公司股票上市之日起十二个月内。</w:t>
      </w:r>
      <w:r>
        <w:rPr>
          <w:rFonts w:ascii="Times New Roman" w:hAnsi="Times New Roman" w:cs="Times New Roman" w:eastAsia="Times New Roman" w:hint="default"/>
          <w:spacing w:val="-1"/>
        </w:rPr>
        <w:t>2009</w:t>
      </w:r>
      <w:r>
        <w:rPr>
          <w:rFonts w:ascii="Times New Roman" w:hAnsi="Times New Roman" w:cs="Times New Roman" w:eastAsia="Times New Roman" w:hint="default"/>
          <w:spacing w:val="11"/>
        </w:rPr>
        <w:t> </w:t>
      </w:r>
      <w:r>
        <w:rPr>
          <w:spacing w:val="-2"/>
        </w:rPr>
        <w:t>年度，根据司法裁定，甄岳宾将其</w:t>
      </w:r>
      <w:r>
        <w:rPr/>
        <w:t> 持有的公司股份全部过户至前妻彭洁女士，其股份锁定期不变。</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日，锁定期已满，该部分股票成为无限售条件的流通股。</w:t>
      </w:r>
    </w:p>
    <w:p>
      <w:pPr>
        <w:spacing w:after="0" w:line="328" w:lineRule="auto"/>
        <w:jc w:val="left"/>
        <w:sectPr>
          <w:pgSz w:w="16840" w:h="11910" w:orient="landscape"/>
          <w:pgMar w:header="851" w:footer="978" w:top="1360" w:bottom="1160" w:left="1300" w:right="13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4"/>
          <w:szCs w:val="24"/>
        </w:rPr>
      </w:pPr>
    </w:p>
    <w:p>
      <w:pPr>
        <w:pStyle w:val="Heading2"/>
        <w:spacing w:line="240" w:lineRule="auto" w:before="35"/>
        <w:ind w:left="123" w:right="390"/>
        <w:jc w:val="left"/>
        <w:rPr>
          <w:b w:val="0"/>
          <w:bCs w:val="0"/>
        </w:rPr>
      </w:pPr>
      <w:r>
        <w:rPr/>
        <w:pict>
          <v:group style="position:absolute;margin-left:119.399994pt;margin-top:42.629501pt;width:408.75pt;height:211.4pt;mso-position-horizontal-relative:page;mso-position-vertical-relative:paragraph;z-index:-708064" coordorigin="2388,853" coordsize="8175,4228">
            <v:shape style="position:absolute;left:4902;top:853;width:4182;height:413" type="#_x0000_t75" stroked="false">
              <v:imagedata r:id="rId192" o:title=""/>
            </v:shape>
            <v:shape style="position:absolute;left:2388;top:1233;width:8174;height:3847" type="#_x0000_t75" stroked="false">
              <v:imagedata r:id="rId193" o:title=""/>
            </v:shape>
            <w10:wrap type="none"/>
          </v:group>
        </w:pict>
      </w:r>
      <w:r>
        <w:rPr>
          <w:rFonts w:ascii="Times New Roman" w:hAnsi="Times New Roman" w:cs="Times New Roman" w:eastAsia="Times New Roman" w:hint="default"/>
        </w:rPr>
        <w:t>(</w:t>
      </w:r>
      <w:r>
        <w:rPr/>
        <w:t>二十四</w:t>
      </w:r>
      <w:r>
        <w:rPr>
          <w:rFonts w:ascii="Times New Roman" w:hAnsi="Times New Roman" w:cs="Times New Roman" w:eastAsia="Times New Roman" w:hint="default"/>
        </w:rPr>
        <w:t>)</w:t>
      </w:r>
      <w:r>
        <w:rPr>
          <w:rFonts w:ascii="Times New Roman" w:hAnsi="Times New Roman" w:cs="Times New Roman" w:eastAsia="Times New Roman" w:hint="default"/>
          <w:spacing w:val="28"/>
        </w:rPr>
        <w:t> </w:t>
      </w:r>
      <w:r>
        <w:rPr/>
        <w:t>资本公积</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747" w:type="dxa"/>
        <w:tblLayout w:type="fixed"/>
        <w:tblCellMar>
          <w:top w:w="0" w:type="dxa"/>
          <w:left w:w="0" w:type="dxa"/>
          <w:bottom w:w="0" w:type="dxa"/>
          <w:right w:w="0" w:type="dxa"/>
        </w:tblCellMar>
        <w:tblLook w:val="01E0"/>
      </w:tblPr>
      <w:tblGrid>
        <w:gridCol w:w="2626"/>
        <w:gridCol w:w="1457"/>
        <w:gridCol w:w="1249"/>
        <w:gridCol w:w="1429"/>
        <w:gridCol w:w="1369"/>
      </w:tblGrid>
      <w:tr>
        <w:trPr>
          <w:trHeight w:val="393" w:hRule="exact"/>
        </w:trPr>
        <w:tc>
          <w:tcPr>
            <w:tcW w:w="2626" w:type="dxa"/>
            <w:tcBorders>
              <w:top w:val="single" w:sz="12" w:space="0" w:color="000000"/>
              <w:left w:val="nil" w:sz="6" w:space="0" w:color="auto"/>
              <w:bottom w:val="nil" w:sz="6" w:space="0" w:color="auto"/>
              <w:right w:val="nil" w:sz="6" w:space="0" w:color="auto"/>
            </w:tcBorders>
          </w:tcPr>
          <w:p>
            <w:pPr>
              <w:pStyle w:val="TableParagraph"/>
              <w:spacing w:line="240" w:lineRule="auto" w:before="64"/>
              <w:ind w:right="109"/>
              <w:jc w:val="center"/>
              <w:rPr>
                <w:rFonts w:ascii="宋体" w:hAnsi="宋体" w:cs="宋体" w:eastAsia="宋体" w:hint="default"/>
                <w:sz w:val="15"/>
                <w:szCs w:val="15"/>
              </w:rPr>
            </w:pPr>
            <w:r>
              <w:rPr>
                <w:rFonts w:ascii="宋体" w:hAnsi="宋体" w:cs="宋体" w:eastAsia="宋体" w:hint="default"/>
                <w:sz w:val="15"/>
                <w:szCs w:val="15"/>
              </w:rPr>
              <w:t>项目</w:t>
            </w:r>
          </w:p>
        </w:tc>
        <w:tc>
          <w:tcPr>
            <w:tcW w:w="1457" w:type="dxa"/>
            <w:tcBorders>
              <w:top w:val="single" w:sz="12" w:space="0" w:color="000000"/>
              <w:left w:val="nil" w:sz="6" w:space="0" w:color="auto"/>
              <w:bottom w:val="nil" w:sz="6" w:space="0" w:color="auto"/>
              <w:right w:val="nil" w:sz="6" w:space="0" w:color="auto"/>
            </w:tcBorders>
          </w:tcPr>
          <w:p>
            <w:pPr>
              <w:pStyle w:val="TableParagraph"/>
              <w:spacing w:line="240" w:lineRule="auto" w:before="64"/>
              <w:ind w:left="334" w:right="0"/>
              <w:jc w:val="left"/>
              <w:rPr>
                <w:rFonts w:ascii="宋体" w:hAnsi="宋体" w:cs="宋体" w:eastAsia="宋体" w:hint="default"/>
                <w:sz w:val="15"/>
                <w:szCs w:val="15"/>
              </w:rPr>
            </w:pPr>
            <w:r>
              <w:rPr>
                <w:rFonts w:ascii="宋体" w:hAnsi="宋体" w:cs="宋体" w:eastAsia="宋体" w:hint="default"/>
                <w:sz w:val="15"/>
                <w:szCs w:val="15"/>
              </w:rPr>
              <w:t>年初余额</w:t>
            </w:r>
          </w:p>
        </w:tc>
        <w:tc>
          <w:tcPr>
            <w:tcW w:w="1249" w:type="dxa"/>
            <w:tcBorders>
              <w:top w:val="single" w:sz="12" w:space="0" w:color="000000"/>
              <w:left w:val="nil" w:sz="6" w:space="0" w:color="auto"/>
              <w:bottom w:val="nil" w:sz="6" w:space="0" w:color="auto"/>
              <w:right w:val="nil" w:sz="6" w:space="0" w:color="auto"/>
            </w:tcBorders>
          </w:tcPr>
          <w:p>
            <w:pPr>
              <w:pStyle w:val="TableParagraph"/>
              <w:spacing w:line="240" w:lineRule="auto" w:before="64"/>
              <w:ind w:left="202" w:right="0"/>
              <w:jc w:val="left"/>
              <w:rPr>
                <w:rFonts w:ascii="宋体" w:hAnsi="宋体" w:cs="宋体" w:eastAsia="宋体" w:hint="default"/>
                <w:sz w:val="15"/>
                <w:szCs w:val="15"/>
              </w:rPr>
            </w:pPr>
            <w:r>
              <w:rPr>
                <w:rFonts w:ascii="宋体" w:hAnsi="宋体" w:cs="宋体" w:eastAsia="宋体" w:hint="default"/>
                <w:sz w:val="15"/>
                <w:szCs w:val="15"/>
              </w:rPr>
              <w:t>本期增加</w:t>
            </w:r>
          </w:p>
        </w:tc>
        <w:tc>
          <w:tcPr>
            <w:tcW w:w="1429" w:type="dxa"/>
            <w:tcBorders>
              <w:top w:val="single" w:sz="12" w:space="0" w:color="000000"/>
              <w:left w:val="nil" w:sz="6" w:space="0" w:color="auto"/>
              <w:bottom w:val="nil" w:sz="6" w:space="0" w:color="auto"/>
              <w:right w:val="nil" w:sz="6" w:space="0" w:color="auto"/>
            </w:tcBorders>
          </w:tcPr>
          <w:p>
            <w:pPr>
              <w:pStyle w:val="TableParagraph"/>
              <w:spacing w:line="240" w:lineRule="auto" w:before="64"/>
              <w:ind w:left="276" w:right="0"/>
              <w:jc w:val="left"/>
              <w:rPr>
                <w:rFonts w:ascii="宋体" w:hAnsi="宋体" w:cs="宋体" w:eastAsia="宋体" w:hint="default"/>
                <w:sz w:val="15"/>
                <w:szCs w:val="15"/>
              </w:rPr>
            </w:pPr>
            <w:r>
              <w:rPr>
                <w:rFonts w:ascii="宋体" w:hAnsi="宋体" w:cs="宋体" w:eastAsia="宋体" w:hint="default"/>
                <w:sz w:val="15"/>
                <w:szCs w:val="15"/>
              </w:rPr>
              <w:t>本期减少</w:t>
            </w:r>
          </w:p>
        </w:tc>
        <w:tc>
          <w:tcPr>
            <w:tcW w:w="1369" w:type="dxa"/>
            <w:tcBorders>
              <w:top w:val="single" w:sz="12" w:space="0" w:color="000000"/>
              <w:left w:val="nil" w:sz="6" w:space="0" w:color="auto"/>
              <w:bottom w:val="nil" w:sz="6" w:space="0" w:color="auto"/>
              <w:right w:val="nil" w:sz="6" w:space="0" w:color="auto"/>
            </w:tcBorders>
          </w:tcPr>
          <w:p>
            <w:pPr>
              <w:pStyle w:val="TableParagraph"/>
              <w:spacing w:line="240" w:lineRule="auto" w:before="64"/>
              <w:ind w:left="333" w:right="0"/>
              <w:jc w:val="left"/>
              <w:rPr>
                <w:rFonts w:ascii="宋体" w:hAnsi="宋体" w:cs="宋体" w:eastAsia="宋体" w:hint="default"/>
                <w:sz w:val="15"/>
                <w:szCs w:val="15"/>
              </w:rPr>
            </w:pPr>
            <w:r>
              <w:rPr>
                <w:rFonts w:ascii="宋体" w:hAnsi="宋体" w:cs="宋体" w:eastAsia="宋体" w:hint="default"/>
                <w:sz w:val="15"/>
                <w:szCs w:val="15"/>
              </w:rPr>
              <w:t>期末余额</w:t>
            </w:r>
          </w:p>
        </w:tc>
      </w:tr>
      <w:tr>
        <w:trPr>
          <w:trHeight w:val="389" w:hRule="exact"/>
        </w:trPr>
        <w:tc>
          <w:tcPr>
            <w:tcW w:w="2626"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0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资本溢价（股本溢价）</w:t>
            </w:r>
          </w:p>
        </w:tc>
        <w:tc>
          <w:tcPr>
            <w:tcW w:w="1457" w:type="dxa"/>
            <w:tcBorders>
              <w:top w:val="nil" w:sz="6" w:space="0" w:color="auto"/>
              <w:left w:val="nil" w:sz="6" w:space="0" w:color="auto"/>
              <w:bottom w:val="nil" w:sz="6" w:space="0" w:color="auto"/>
              <w:right w:val="nil" w:sz="6" w:space="0" w:color="auto"/>
            </w:tcBorders>
          </w:tcPr>
          <w:p>
            <w:pPr/>
          </w:p>
        </w:tc>
        <w:tc>
          <w:tcPr>
            <w:tcW w:w="1249"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
        </w:tc>
        <w:tc>
          <w:tcPr>
            <w:tcW w:w="1369" w:type="dxa"/>
            <w:tcBorders>
              <w:top w:val="nil" w:sz="6" w:space="0" w:color="auto"/>
              <w:left w:val="nil" w:sz="6" w:space="0" w:color="auto"/>
              <w:bottom w:val="nil" w:sz="6" w:space="0" w:color="auto"/>
              <w:right w:val="nil" w:sz="6" w:space="0" w:color="auto"/>
            </w:tcBorders>
          </w:tcPr>
          <w:p>
            <w:pPr/>
          </w:p>
        </w:tc>
      </w:tr>
      <w:tr>
        <w:trPr>
          <w:trHeight w:val="385" w:hRule="exact"/>
        </w:trPr>
        <w:tc>
          <w:tcPr>
            <w:tcW w:w="2626" w:type="dxa"/>
            <w:tcBorders>
              <w:top w:val="nil" w:sz="6" w:space="0" w:color="auto"/>
              <w:left w:val="nil" w:sz="6" w:space="0" w:color="auto"/>
              <w:bottom w:val="nil" w:sz="6" w:space="0" w:color="auto"/>
              <w:right w:val="nil" w:sz="6" w:space="0" w:color="auto"/>
            </w:tcBorders>
          </w:tcPr>
          <w:p>
            <w:pPr>
              <w:pStyle w:val="TableParagraph"/>
              <w:spacing w:line="240" w:lineRule="auto" w:before="67"/>
              <w:ind w:left="106"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1</w:t>
            </w:r>
            <w:r>
              <w:rPr>
                <w:rFonts w:ascii="宋体" w:hAnsi="宋体" w:cs="宋体" w:eastAsia="宋体" w:hint="default"/>
                <w:sz w:val="15"/>
                <w:szCs w:val="15"/>
              </w:rPr>
              <w:t>）投资者投入的资本</w:t>
            </w:r>
          </w:p>
        </w:tc>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5"/>
              <w:jc w:val="right"/>
              <w:rPr>
                <w:rFonts w:ascii="Times New Roman" w:hAnsi="Times New Roman" w:cs="Times New Roman" w:eastAsia="Times New Roman" w:hint="default"/>
                <w:sz w:val="15"/>
                <w:szCs w:val="15"/>
              </w:rPr>
            </w:pPr>
            <w:r>
              <w:rPr>
                <w:rFonts w:ascii="Times New Roman"/>
                <w:spacing w:val="-1"/>
                <w:sz w:val="15"/>
              </w:rPr>
              <w:t>1,735,771,128.52</w:t>
            </w:r>
          </w:p>
        </w:tc>
        <w:tc>
          <w:tcPr>
            <w:tcW w:w="1249"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272" w:right="0"/>
              <w:jc w:val="left"/>
              <w:rPr>
                <w:rFonts w:ascii="Times New Roman" w:hAnsi="Times New Roman" w:cs="Times New Roman" w:eastAsia="Times New Roman" w:hint="default"/>
                <w:sz w:val="15"/>
                <w:szCs w:val="15"/>
              </w:rPr>
            </w:pPr>
            <w:r>
              <w:rPr>
                <w:rFonts w:ascii="Times New Roman"/>
                <w:sz w:val="15"/>
              </w:rPr>
              <w:t>189,916,529.70</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5"/>
                <w:szCs w:val="15"/>
              </w:rPr>
            </w:pPr>
            <w:r>
              <w:rPr>
                <w:rFonts w:ascii="Times New Roman"/>
                <w:spacing w:val="-1"/>
                <w:sz w:val="15"/>
              </w:rPr>
              <w:t>1,545,854,598.82</w:t>
            </w:r>
          </w:p>
        </w:tc>
      </w:tr>
      <w:tr>
        <w:trPr>
          <w:trHeight w:val="384" w:hRule="exact"/>
        </w:trPr>
        <w:tc>
          <w:tcPr>
            <w:tcW w:w="2626" w:type="dxa"/>
            <w:tcBorders>
              <w:top w:val="nil" w:sz="6" w:space="0" w:color="auto"/>
              <w:left w:val="nil" w:sz="6" w:space="0" w:color="auto"/>
              <w:bottom w:val="nil" w:sz="6" w:space="0" w:color="auto"/>
              <w:right w:val="nil" w:sz="6" w:space="0" w:color="auto"/>
            </w:tcBorders>
          </w:tcPr>
          <w:p>
            <w:pPr>
              <w:pStyle w:val="TableParagraph"/>
              <w:spacing w:line="240" w:lineRule="auto" w:before="66"/>
              <w:ind w:left="106"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2</w:t>
            </w:r>
            <w:r>
              <w:rPr>
                <w:rFonts w:ascii="宋体" w:hAnsi="宋体" w:cs="宋体" w:eastAsia="宋体" w:hint="default"/>
                <w:sz w:val="15"/>
                <w:szCs w:val="15"/>
              </w:rPr>
              <w:t>）同一控制下企业合并的影响</w:t>
            </w:r>
          </w:p>
        </w:tc>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85"/>
              <w:jc w:val="right"/>
              <w:rPr>
                <w:rFonts w:ascii="Times New Roman" w:hAnsi="Times New Roman" w:cs="Times New Roman" w:eastAsia="Times New Roman" w:hint="default"/>
                <w:sz w:val="15"/>
                <w:szCs w:val="15"/>
              </w:rPr>
            </w:pPr>
            <w:r>
              <w:rPr>
                <w:rFonts w:ascii="Times New Roman"/>
                <w:spacing w:val="-2"/>
                <w:sz w:val="15"/>
              </w:rPr>
              <w:t>13,111,113.00</w:t>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87" w:right="0"/>
              <w:jc w:val="left"/>
              <w:rPr>
                <w:rFonts w:ascii="Times New Roman" w:hAnsi="Times New Roman" w:cs="Times New Roman" w:eastAsia="Times New Roman" w:hint="default"/>
                <w:sz w:val="15"/>
                <w:szCs w:val="15"/>
              </w:rPr>
            </w:pPr>
            <w:r>
              <w:rPr>
                <w:rFonts w:ascii="Times New Roman"/>
                <w:sz w:val="15"/>
              </w:rPr>
              <w:t>6,133,653.14</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347" w:right="0"/>
              <w:jc w:val="left"/>
              <w:rPr>
                <w:rFonts w:ascii="Times New Roman" w:hAnsi="Times New Roman" w:cs="Times New Roman" w:eastAsia="Times New Roman" w:hint="default"/>
                <w:sz w:val="15"/>
                <w:szCs w:val="15"/>
              </w:rPr>
            </w:pPr>
            <w:r>
              <w:rPr>
                <w:rFonts w:ascii="Times New Roman"/>
                <w:sz w:val="15"/>
              </w:rPr>
              <w:t>13,229,087.61</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5"/>
                <w:szCs w:val="15"/>
              </w:rPr>
            </w:pPr>
            <w:r>
              <w:rPr>
                <w:rFonts w:ascii="Times New Roman"/>
                <w:spacing w:val="-1"/>
                <w:sz w:val="15"/>
              </w:rPr>
              <w:t>6,015,678.53</w:t>
            </w:r>
          </w:p>
        </w:tc>
      </w:tr>
      <w:tr>
        <w:trPr>
          <w:trHeight w:val="384" w:hRule="exact"/>
        </w:trPr>
        <w:tc>
          <w:tcPr>
            <w:tcW w:w="2626" w:type="dxa"/>
            <w:tcBorders>
              <w:top w:val="nil" w:sz="6" w:space="0" w:color="auto"/>
              <w:left w:val="nil" w:sz="6" w:space="0" w:color="auto"/>
              <w:bottom w:val="nil" w:sz="6" w:space="0" w:color="auto"/>
              <w:right w:val="nil" w:sz="6" w:space="0" w:color="auto"/>
            </w:tcBorders>
          </w:tcPr>
          <w:p>
            <w:pPr>
              <w:pStyle w:val="TableParagraph"/>
              <w:spacing w:line="240" w:lineRule="auto" w:before="66"/>
              <w:ind w:left="106" w:right="0"/>
              <w:jc w:val="left"/>
              <w:rPr>
                <w:rFonts w:ascii="宋体" w:hAnsi="宋体" w:cs="宋体" w:eastAsia="宋体" w:hint="default"/>
                <w:sz w:val="15"/>
                <w:szCs w:val="15"/>
              </w:rPr>
            </w:pPr>
            <w:r>
              <w:rPr>
                <w:rFonts w:ascii="宋体" w:hAnsi="宋体" w:cs="宋体" w:eastAsia="宋体" w:hint="default"/>
                <w:sz w:val="15"/>
                <w:szCs w:val="15"/>
              </w:rPr>
              <w:t>小计</w:t>
            </w:r>
          </w:p>
        </w:tc>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85"/>
              <w:jc w:val="right"/>
              <w:rPr>
                <w:rFonts w:ascii="Times New Roman" w:hAnsi="Times New Roman" w:cs="Times New Roman" w:eastAsia="Times New Roman" w:hint="default"/>
                <w:sz w:val="15"/>
                <w:szCs w:val="15"/>
              </w:rPr>
            </w:pPr>
            <w:r>
              <w:rPr>
                <w:rFonts w:ascii="Times New Roman"/>
                <w:spacing w:val="-1"/>
                <w:sz w:val="15"/>
              </w:rPr>
              <w:t>1,748,882,241.52</w:t>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87" w:right="0"/>
              <w:jc w:val="left"/>
              <w:rPr>
                <w:rFonts w:ascii="Times New Roman" w:hAnsi="Times New Roman" w:cs="Times New Roman" w:eastAsia="Times New Roman" w:hint="default"/>
                <w:sz w:val="15"/>
                <w:szCs w:val="15"/>
              </w:rPr>
            </w:pPr>
            <w:r>
              <w:rPr>
                <w:rFonts w:ascii="Times New Roman"/>
                <w:sz w:val="15"/>
              </w:rPr>
              <w:t>6,133,653.14</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272" w:right="0"/>
              <w:jc w:val="left"/>
              <w:rPr>
                <w:rFonts w:ascii="Times New Roman" w:hAnsi="Times New Roman" w:cs="Times New Roman" w:eastAsia="Times New Roman" w:hint="default"/>
                <w:sz w:val="15"/>
                <w:szCs w:val="15"/>
              </w:rPr>
            </w:pPr>
            <w:r>
              <w:rPr>
                <w:rFonts w:ascii="Times New Roman"/>
                <w:sz w:val="15"/>
              </w:rPr>
              <w:t>203,145,617.31</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8"/>
              <w:jc w:val="right"/>
              <w:rPr>
                <w:rFonts w:ascii="Times New Roman" w:hAnsi="Times New Roman" w:cs="Times New Roman" w:eastAsia="Times New Roman" w:hint="default"/>
                <w:sz w:val="15"/>
                <w:szCs w:val="15"/>
              </w:rPr>
            </w:pPr>
            <w:r>
              <w:rPr>
                <w:rFonts w:ascii="Times New Roman"/>
                <w:spacing w:val="-1"/>
                <w:sz w:val="15"/>
              </w:rPr>
              <w:t>1,551,870,277.35</w:t>
            </w:r>
          </w:p>
        </w:tc>
      </w:tr>
      <w:tr>
        <w:trPr>
          <w:trHeight w:val="385" w:hRule="exact"/>
        </w:trPr>
        <w:tc>
          <w:tcPr>
            <w:tcW w:w="2626" w:type="dxa"/>
            <w:tcBorders>
              <w:top w:val="nil" w:sz="6" w:space="0" w:color="auto"/>
              <w:left w:val="nil" w:sz="6" w:space="0" w:color="auto"/>
              <w:bottom w:val="nil" w:sz="6" w:space="0" w:color="auto"/>
              <w:right w:val="nil" w:sz="6" w:space="0" w:color="auto"/>
            </w:tcBorders>
          </w:tcPr>
          <w:p>
            <w:pPr>
              <w:pStyle w:val="TableParagraph"/>
              <w:spacing w:line="240" w:lineRule="auto" w:before="68"/>
              <w:ind w:left="10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其他资本公积</w:t>
            </w:r>
          </w:p>
        </w:tc>
        <w:tc>
          <w:tcPr>
            <w:tcW w:w="1457" w:type="dxa"/>
            <w:tcBorders>
              <w:top w:val="nil" w:sz="6" w:space="0" w:color="auto"/>
              <w:left w:val="nil" w:sz="6" w:space="0" w:color="auto"/>
              <w:bottom w:val="nil" w:sz="6" w:space="0" w:color="auto"/>
              <w:right w:val="nil" w:sz="6" w:space="0" w:color="auto"/>
            </w:tcBorders>
          </w:tcPr>
          <w:p>
            <w:pPr/>
          </w:p>
        </w:tc>
        <w:tc>
          <w:tcPr>
            <w:tcW w:w="1249"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
        </w:tc>
        <w:tc>
          <w:tcPr>
            <w:tcW w:w="1369" w:type="dxa"/>
            <w:tcBorders>
              <w:top w:val="nil" w:sz="6" w:space="0" w:color="auto"/>
              <w:left w:val="nil" w:sz="6" w:space="0" w:color="auto"/>
              <w:bottom w:val="nil" w:sz="6" w:space="0" w:color="auto"/>
              <w:right w:val="nil" w:sz="6" w:space="0" w:color="auto"/>
            </w:tcBorders>
          </w:tcPr>
          <w:p>
            <w:pPr/>
          </w:p>
        </w:tc>
      </w:tr>
      <w:tr>
        <w:trPr>
          <w:trHeight w:val="754" w:hRule="exact"/>
        </w:trPr>
        <w:tc>
          <w:tcPr>
            <w:tcW w:w="2626" w:type="dxa"/>
            <w:tcBorders>
              <w:top w:val="nil" w:sz="6" w:space="0" w:color="auto"/>
              <w:left w:val="nil" w:sz="6" w:space="0" w:color="auto"/>
              <w:bottom w:val="nil" w:sz="6" w:space="0" w:color="auto"/>
              <w:right w:val="nil" w:sz="6" w:space="0" w:color="auto"/>
            </w:tcBorders>
          </w:tcPr>
          <w:p>
            <w:pPr>
              <w:pStyle w:val="TableParagraph"/>
              <w:spacing w:line="432" w:lineRule="auto" w:before="66"/>
              <w:ind w:left="106" w:right="215"/>
              <w:jc w:val="left"/>
              <w:rPr>
                <w:rFonts w:ascii="宋体" w:hAnsi="宋体" w:cs="宋体" w:eastAsia="宋体" w:hint="default"/>
                <w:sz w:val="15"/>
                <w:szCs w:val="15"/>
              </w:rPr>
            </w:pPr>
            <w:r>
              <w:rPr>
                <w:rFonts w:ascii="宋体" w:hAnsi="宋体" w:cs="宋体" w:eastAsia="宋体" w:hint="default"/>
                <w:spacing w:val="-2"/>
                <w:sz w:val="15"/>
                <w:szCs w:val="15"/>
              </w:rPr>
              <w:t>（</w:t>
            </w:r>
            <w:r>
              <w:rPr>
                <w:rFonts w:ascii="Times New Roman" w:hAnsi="Times New Roman" w:cs="Times New Roman" w:eastAsia="Times New Roman" w:hint="default"/>
                <w:spacing w:val="-2"/>
                <w:sz w:val="15"/>
                <w:szCs w:val="15"/>
              </w:rPr>
              <w:t>1</w:t>
            </w:r>
            <w:r>
              <w:rPr>
                <w:rFonts w:ascii="宋体" w:hAnsi="宋体" w:cs="宋体" w:eastAsia="宋体" w:hint="default"/>
                <w:spacing w:val="-2"/>
                <w:sz w:val="15"/>
                <w:szCs w:val="15"/>
              </w:rPr>
              <w:t>）被投资单位除净损益外所有者</w:t>
            </w:r>
            <w:r>
              <w:rPr>
                <w:rFonts w:ascii="宋体" w:hAnsi="宋体" w:cs="宋体" w:eastAsia="宋体" w:hint="default"/>
                <w:spacing w:val="-68"/>
                <w:sz w:val="15"/>
                <w:szCs w:val="15"/>
              </w:rPr>
              <w:t> </w:t>
            </w:r>
            <w:r>
              <w:rPr>
                <w:rFonts w:ascii="宋体" w:hAnsi="宋体" w:cs="宋体" w:eastAsia="宋体" w:hint="default"/>
                <w:spacing w:val="-68"/>
                <w:sz w:val="15"/>
                <w:szCs w:val="15"/>
              </w:rPr>
            </w:r>
            <w:r>
              <w:rPr>
                <w:rFonts w:ascii="宋体" w:hAnsi="宋体" w:cs="宋体" w:eastAsia="宋体" w:hint="default"/>
                <w:sz w:val="15"/>
                <w:szCs w:val="15"/>
              </w:rPr>
              <w:t>权益其他变动</w:t>
            </w:r>
          </w:p>
        </w:tc>
        <w:tc>
          <w:tcPr>
            <w:tcW w:w="1457" w:type="dxa"/>
            <w:tcBorders>
              <w:top w:val="nil" w:sz="6" w:space="0" w:color="auto"/>
              <w:left w:val="nil" w:sz="6" w:space="0" w:color="auto"/>
              <w:bottom w:val="nil" w:sz="6" w:space="0" w:color="auto"/>
              <w:right w:val="nil" w:sz="6" w:space="0" w:color="auto"/>
            </w:tcBorders>
          </w:tcPr>
          <w:p>
            <w:pP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4"/>
              <w:ind w:right="272"/>
              <w:jc w:val="right"/>
              <w:rPr>
                <w:rFonts w:ascii="Times New Roman" w:hAnsi="Times New Roman" w:cs="Times New Roman" w:eastAsia="Times New Roman" w:hint="default"/>
                <w:sz w:val="15"/>
                <w:szCs w:val="15"/>
              </w:rPr>
            </w:pPr>
            <w:r>
              <w:rPr>
                <w:rFonts w:ascii="Times New Roman"/>
                <w:spacing w:val="-1"/>
                <w:sz w:val="15"/>
              </w:rPr>
              <w:t>40,169.10</w:t>
            </w:r>
          </w:p>
        </w:tc>
        <w:tc>
          <w:tcPr>
            <w:tcW w:w="1429" w:type="dxa"/>
            <w:tcBorders>
              <w:top w:val="nil" w:sz="6" w:space="0" w:color="auto"/>
              <w:left w:val="nil" w:sz="6" w:space="0" w:color="auto"/>
              <w:bottom w:val="nil" w:sz="6" w:space="0" w:color="auto"/>
              <w:right w:val="nil" w:sz="6" w:space="0" w:color="auto"/>
            </w:tcBorders>
          </w:tcPr>
          <w:p>
            <w:pP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4"/>
              <w:ind w:right="98"/>
              <w:jc w:val="right"/>
              <w:rPr>
                <w:rFonts w:ascii="Times New Roman" w:hAnsi="Times New Roman" w:cs="Times New Roman" w:eastAsia="Times New Roman" w:hint="default"/>
                <w:sz w:val="15"/>
                <w:szCs w:val="15"/>
              </w:rPr>
            </w:pPr>
            <w:r>
              <w:rPr>
                <w:rFonts w:ascii="Times New Roman"/>
                <w:spacing w:val="-1"/>
                <w:sz w:val="15"/>
              </w:rPr>
              <w:t>40,169.10</w:t>
            </w:r>
          </w:p>
        </w:tc>
      </w:tr>
      <w:tr>
        <w:trPr>
          <w:trHeight w:val="389" w:hRule="exact"/>
        </w:trPr>
        <w:tc>
          <w:tcPr>
            <w:tcW w:w="2626"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06"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2</w:t>
            </w:r>
            <w:r>
              <w:rPr>
                <w:rFonts w:ascii="宋体" w:hAnsi="宋体" w:cs="宋体" w:eastAsia="宋体" w:hint="default"/>
                <w:sz w:val="15"/>
                <w:szCs w:val="15"/>
              </w:rPr>
              <w:t>）政府补助</w:t>
            </w:r>
          </w:p>
        </w:tc>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86"/>
              <w:jc w:val="right"/>
              <w:rPr>
                <w:rFonts w:ascii="Times New Roman" w:hAnsi="Times New Roman" w:cs="Times New Roman" w:eastAsia="Times New Roman" w:hint="default"/>
                <w:sz w:val="15"/>
                <w:szCs w:val="15"/>
              </w:rPr>
            </w:pPr>
            <w:r>
              <w:rPr>
                <w:rFonts w:ascii="Times New Roman"/>
                <w:spacing w:val="-1"/>
                <w:sz w:val="15"/>
              </w:rPr>
              <w:t>9,332,678.40</w:t>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271"/>
              <w:jc w:val="right"/>
              <w:rPr>
                <w:rFonts w:ascii="Times New Roman" w:hAnsi="Times New Roman" w:cs="Times New Roman" w:eastAsia="Times New Roman" w:hint="default"/>
                <w:sz w:val="15"/>
                <w:szCs w:val="15"/>
              </w:rPr>
            </w:pPr>
            <w:r>
              <w:rPr>
                <w:rFonts w:ascii="Times New Roman"/>
                <w:spacing w:val="-1"/>
                <w:sz w:val="15"/>
              </w:rPr>
              <w:t>699,400.00</w:t>
            </w:r>
          </w:p>
        </w:tc>
        <w:tc>
          <w:tcPr>
            <w:tcW w:w="1429" w:type="dxa"/>
            <w:tcBorders>
              <w:top w:val="nil" w:sz="6" w:space="0" w:color="auto"/>
              <w:left w:val="nil" w:sz="6" w:space="0" w:color="auto"/>
              <w:bottom w:val="nil" w:sz="6" w:space="0" w:color="auto"/>
              <w:right w:val="nil" w:sz="6" w:space="0" w:color="auto"/>
            </w:tcBorders>
          </w:tcPr>
          <w:p>
            <w:pP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98"/>
              <w:jc w:val="right"/>
              <w:rPr>
                <w:rFonts w:ascii="Times New Roman" w:hAnsi="Times New Roman" w:cs="Times New Roman" w:eastAsia="Times New Roman" w:hint="default"/>
                <w:sz w:val="15"/>
                <w:szCs w:val="15"/>
              </w:rPr>
            </w:pPr>
            <w:r>
              <w:rPr>
                <w:rFonts w:ascii="Times New Roman"/>
                <w:spacing w:val="-1"/>
                <w:sz w:val="15"/>
              </w:rPr>
              <w:t>10,032,078.40</w:t>
            </w:r>
          </w:p>
        </w:tc>
      </w:tr>
      <w:tr>
        <w:trPr>
          <w:trHeight w:val="384" w:hRule="exact"/>
        </w:trPr>
        <w:tc>
          <w:tcPr>
            <w:tcW w:w="2626" w:type="dxa"/>
            <w:tcBorders>
              <w:top w:val="nil" w:sz="6" w:space="0" w:color="auto"/>
              <w:left w:val="nil" w:sz="6" w:space="0" w:color="auto"/>
              <w:bottom w:val="nil" w:sz="6" w:space="0" w:color="auto"/>
              <w:right w:val="nil" w:sz="6" w:space="0" w:color="auto"/>
            </w:tcBorders>
          </w:tcPr>
          <w:p>
            <w:pPr>
              <w:pStyle w:val="TableParagraph"/>
              <w:spacing w:line="240" w:lineRule="auto" w:before="67"/>
              <w:ind w:left="106" w:right="0"/>
              <w:jc w:val="left"/>
              <w:rPr>
                <w:rFonts w:ascii="宋体" w:hAnsi="宋体" w:cs="宋体" w:eastAsia="宋体" w:hint="default"/>
                <w:sz w:val="15"/>
                <w:szCs w:val="15"/>
              </w:rPr>
            </w:pPr>
            <w:r>
              <w:rPr>
                <w:rFonts w:ascii="宋体" w:hAnsi="宋体" w:cs="宋体" w:eastAsia="宋体" w:hint="default"/>
                <w:sz w:val="15"/>
                <w:szCs w:val="15"/>
              </w:rPr>
              <w:t>小计</w:t>
            </w:r>
          </w:p>
        </w:tc>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6"/>
              <w:jc w:val="right"/>
              <w:rPr>
                <w:rFonts w:ascii="Times New Roman" w:hAnsi="Times New Roman" w:cs="Times New Roman" w:eastAsia="Times New Roman" w:hint="default"/>
                <w:sz w:val="15"/>
                <w:szCs w:val="15"/>
              </w:rPr>
            </w:pPr>
            <w:r>
              <w:rPr>
                <w:rFonts w:ascii="Times New Roman"/>
                <w:spacing w:val="-1"/>
                <w:sz w:val="15"/>
              </w:rPr>
              <w:t>9,332,678.40</w:t>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71"/>
              <w:jc w:val="right"/>
              <w:rPr>
                <w:rFonts w:ascii="Times New Roman" w:hAnsi="Times New Roman" w:cs="Times New Roman" w:eastAsia="Times New Roman" w:hint="default"/>
                <w:sz w:val="15"/>
                <w:szCs w:val="15"/>
              </w:rPr>
            </w:pPr>
            <w:r>
              <w:rPr>
                <w:rFonts w:ascii="Times New Roman"/>
                <w:spacing w:val="-1"/>
                <w:sz w:val="15"/>
              </w:rPr>
              <w:t>739,569.10</w:t>
            </w:r>
          </w:p>
        </w:tc>
        <w:tc>
          <w:tcPr>
            <w:tcW w:w="1429" w:type="dxa"/>
            <w:tcBorders>
              <w:top w:val="nil" w:sz="6" w:space="0" w:color="auto"/>
              <w:left w:val="nil" w:sz="6" w:space="0" w:color="auto"/>
              <w:bottom w:val="nil" w:sz="6" w:space="0" w:color="auto"/>
              <w:right w:val="nil" w:sz="6" w:space="0" w:color="auto"/>
            </w:tcBorders>
          </w:tcPr>
          <w:p>
            <w:pP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5"/>
                <w:szCs w:val="15"/>
              </w:rPr>
            </w:pPr>
            <w:r>
              <w:rPr>
                <w:rFonts w:ascii="Times New Roman"/>
                <w:spacing w:val="-1"/>
                <w:sz w:val="15"/>
              </w:rPr>
              <w:t>10,072,247.50</w:t>
            </w:r>
          </w:p>
        </w:tc>
      </w:tr>
      <w:tr>
        <w:trPr>
          <w:trHeight w:val="392" w:hRule="exact"/>
        </w:trPr>
        <w:tc>
          <w:tcPr>
            <w:tcW w:w="2626" w:type="dxa"/>
            <w:tcBorders>
              <w:top w:val="nil" w:sz="6" w:space="0" w:color="auto"/>
              <w:left w:val="nil" w:sz="6" w:space="0" w:color="auto"/>
              <w:bottom w:val="single" w:sz="12" w:space="0" w:color="000000"/>
              <w:right w:val="nil" w:sz="6" w:space="0" w:color="auto"/>
            </w:tcBorders>
          </w:tcPr>
          <w:p>
            <w:pPr>
              <w:pStyle w:val="TableParagraph"/>
              <w:spacing w:line="240" w:lineRule="auto" w:before="67"/>
              <w:ind w:right="109"/>
              <w:jc w:val="center"/>
              <w:rPr>
                <w:rFonts w:ascii="宋体" w:hAnsi="宋体" w:cs="宋体" w:eastAsia="宋体" w:hint="default"/>
                <w:sz w:val="15"/>
                <w:szCs w:val="15"/>
              </w:rPr>
            </w:pPr>
            <w:r>
              <w:rPr>
                <w:rFonts w:ascii="宋体" w:hAnsi="宋体" w:cs="宋体" w:eastAsia="宋体" w:hint="default"/>
                <w:sz w:val="15"/>
                <w:szCs w:val="15"/>
              </w:rPr>
              <w:t>合计</w:t>
            </w:r>
          </w:p>
        </w:tc>
        <w:tc>
          <w:tcPr>
            <w:tcW w:w="1457"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85"/>
              <w:jc w:val="right"/>
              <w:rPr>
                <w:rFonts w:ascii="Times New Roman" w:hAnsi="Times New Roman" w:cs="Times New Roman" w:eastAsia="Times New Roman" w:hint="default"/>
                <w:sz w:val="15"/>
                <w:szCs w:val="15"/>
              </w:rPr>
            </w:pPr>
            <w:r>
              <w:rPr>
                <w:rFonts w:ascii="Times New Roman"/>
                <w:spacing w:val="-1"/>
                <w:sz w:val="15"/>
              </w:rPr>
              <w:t>1,758,214,919.92</w:t>
            </w:r>
          </w:p>
        </w:tc>
        <w:tc>
          <w:tcPr>
            <w:tcW w:w="1249"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left="187" w:right="0"/>
              <w:jc w:val="left"/>
              <w:rPr>
                <w:rFonts w:ascii="Times New Roman" w:hAnsi="Times New Roman" w:cs="Times New Roman" w:eastAsia="Times New Roman" w:hint="default"/>
                <w:sz w:val="15"/>
                <w:szCs w:val="15"/>
              </w:rPr>
            </w:pPr>
            <w:r>
              <w:rPr>
                <w:rFonts w:ascii="Times New Roman"/>
                <w:sz w:val="15"/>
              </w:rPr>
              <w:t>6,873,222.24</w:t>
            </w:r>
          </w:p>
        </w:tc>
        <w:tc>
          <w:tcPr>
            <w:tcW w:w="1429"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left="272" w:right="0"/>
              <w:jc w:val="left"/>
              <w:rPr>
                <w:rFonts w:ascii="Times New Roman" w:hAnsi="Times New Roman" w:cs="Times New Roman" w:eastAsia="Times New Roman" w:hint="default"/>
                <w:sz w:val="15"/>
                <w:szCs w:val="15"/>
              </w:rPr>
            </w:pPr>
            <w:r>
              <w:rPr>
                <w:rFonts w:ascii="Times New Roman"/>
                <w:sz w:val="15"/>
              </w:rPr>
              <w:t>203,145,617.31</w:t>
            </w:r>
          </w:p>
        </w:tc>
        <w:tc>
          <w:tcPr>
            <w:tcW w:w="1369"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5"/>
                <w:szCs w:val="15"/>
              </w:rPr>
            </w:pPr>
            <w:r>
              <w:rPr>
                <w:rFonts w:ascii="Times New Roman"/>
                <w:spacing w:val="-1"/>
                <w:sz w:val="15"/>
              </w:rPr>
              <w:t>1,561,942,524.85</w:t>
            </w:r>
          </w:p>
        </w:tc>
      </w:tr>
    </w:tbl>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tabs>
          <w:tab w:pos="1393" w:val="left" w:leader="none"/>
        </w:tabs>
        <w:spacing w:before="35"/>
        <w:ind w:left="855" w:right="390"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股本溢价本期变动为：</w:t>
      </w:r>
      <w:r>
        <w:rPr>
          <w:rFonts w:ascii="宋体" w:hAnsi="宋体" w:cs="宋体" w:eastAsia="宋体" w:hint="default"/>
          <w:sz w:val="21"/>
          <w:szCs w:val="21"/>
        </w:rPr>
      </w:r>
    </w:p>
    <w:p>
      <w:pPr>
        <w:pStyle w:val="BodyText"/>
        <w:spacing w:line="240" w:lineRule="auto" w:before="125"/>
        <w:ind w:left="1397" w:right="0"/>
        <w:jc w:val="both"/>
      </w:pPr>
      <w:r>
        <w:rPr/>
        <w:t>（1）经公司</w:t>
      </w:r>
      <w:r>
        <w:rPr>
          <w:spacing w:val="-42"/>
        </w:rPr>
        <w:t> </w:t>
      </w:r>
      <w:r>
        <w:rPr/>
        <w:t>2009</w:t>
      </w:r>
      <w:r>
        <w:rPr>
          <w:spacing w:val="-41"/>
        </w:rPr>
        <w:t> </w:t>
      </w:r>
      <w:r>
        <w:rPr/>
        <w:t>年度股东大会审议通过，公司以</w:t>
      </w:r>
      <w:r>
        <w:rPr>
          <w:spacing w:val="-42"/>
        </w:rPr>
        <w:t> </w:t>
      </w:r>
      <w:r>
        <w:rPr/>
        <w:t>2009</w:t>
      </w:r>
      <w:r>
        <w:rPr>
          <w:spacing w:val="-41"/>
        </w:rPr>
        <w:t> </w:t>
      </w:r>
      <w:r>
        <w:rPr/>
        <w:t>年</w:t>
      </w:r>
      <w:r>
        <w:rPr>
          <w:spacing w:val="-43"/>
        </w:rPr>
        <w:t> </w:t>
      </w:r>
      <w:r>
        <w:rPr/>
        <w:t>12</w:t>
      </w:r>
      <w:r>
        <w:rPr>
          <w:spacing w:val="-41"/>
        </w:rPr>
        <w:t> </w:t>
      </w:r>
      <w:r>
        <w:rPr/>
        <w:t>月</w:t>
      </w:r>
      <w:r>
        <w:rPr>
          <w:spacing w:val="-42"/>
        </w:rPr>
        <w:t> </w:t>
      </w:r>
      <w:r>
        <w:rPr/>
        <w:t>31</w:t>
      </w:r>
      <w:r>
        <w:rPr>
          <w:spacing w:val="-41"/>
        </w:rPr>
        <w:t> </w:t>
      </w:r>
      <w:r>
        <w:rPr/>
        <w:t>日公司总股本</w:t>
      </w:r>
    </w:p>
    <w:p>
      <w:pPr>
        <w:pStyle w:val="BodyText"/>
        <w:spacing w:line="240" w:lineRule="auto" w:before="126"/>
        <w:ind w:left="1397" w:right="0"/>
        <w:jc w:val="both"/>
      </w:pPr>
      <w:r>
        <w:rPr/>
        <w:t>12,640</w:t>
      </w:r>
      <w:r>
        <w:rPr>
          <w:spacing w:val="-23"/>
        </w:rPr>
        <w:t> </w:t>
      </w:r>
      <w:r>
        <w:rPr/>
        <w:t>万股为基数，以资本公积金向全体股东每</w:t>
      </w:r>
      <w:r>
        <w:rPr>
          <w:spacing w:val="-24"/>
        </w:rPr>
        <w:t> </w:t>
      </w:r>
      <w:r>
        <w:rPr/>
        <w:t>10</w:t>
      </w:r>
      <w:r>
        <w:rPr>
          <w:spacing w:val="-23"/>
        </w:rPr>
        <w:t> </w:t>
      </w:r>
      <w:r>
        <w:rPr/>
        <w:t>股转增</w:t>
      </w:r>
      <w:r>
        <w:rPr>
          <w:spacing w:val="-24"/>
        </w:rPr>
        <w:t> </w:t>
      </w:r>
      <w:r>
        <w:rPr/>
        <w:t>15</w:t>
      </w:r>
      <w:r>
        <w:rPr>
          <w:spacing w:val="-23"/>
        </w:rPr>
        <w:t> </w:t>
      </w:r>
      <w:r>
        <w:rPr/>
        <w:t>股，合计转增股本</w:t>
      </w:r>
    </w:p>
    <w:p>
      <w:pPr>
        <w:pStyle w:val="BodyText"/>
        <w:spacing w:line="240" w:lineRule="auto" w:before="125"/>
        <w:ind w:left="1397" w:right="0"/>
        <w:jc w:val="both"/>
      </w:pPr>
      <w:r>
        <w:rPr/>
        <w:t>18,960</w:t>
      </w:r>
      <w:r>
        <w:rPr>
          <w:spacing w:val="-54"/>
        </w:rPr>
        <w:t> </w:t>
      </w:r>
      <w:r>
        <w:rPr/>
        <w:t>万股，“资本公积-股本溢价”减少</w:t>
      </w:r>
      <w:r>
        <w:rPr>
          <w:spacing w:val="-55"/>
        </w:rPr>
        <w:t> </w:t>
      </w:r>
      <w:r>
        <w:rPr/>
        <w:t>189,600,000.00</w:t>
      </w:r>
      <w:r>
        <w:rPr>
          <w:spacing w:val="-54"/>
        </w:rPr>
        <w:t> </w:t>
      </w:r>
      <w:r>
        <w:rPr/>
        <w:t>元。</w:t>
      </w:r>
    </w:p>
    <w:p>
      <w:pPr>
        <w:pStyle w:val="BodyText"/>
        <w:spacing w:line="350" w:lineRule="auto" w:before="125"/>
        <w:ind w:left="1397" w:right="150"/>
        <w:jc w:val="both"/>
      </w:pPr>
      <w:r>
        <w:rPr/>
        <w:t>（2）2010</w:t>
      </w:r>
      <w:r>
        <w:rPr>
          <w:spacing w:val="-55"/>
        </w:rPr>
        <w:t> </w:t>
      </w:r>
      <w:r>
        <w:rPr/>
        <w:t>年</w:t>
      </w:r>
      <w:r>
        <w:rPr>
          <w:spacing w:val="-55"/>
        </w:rPr>
        <w:t> </w:t>
      </w:r>
      <w:r>
        <w:rPr/>
        <w:t>10</w:t>
      </w:r>
      <w:r>
        <w:rPr>
          <w:spacing w:val="-54"/>
        </w:rPr>
        <w:t> </w:t>
      </w:r>
      <w:r>
        <w:rPr/>
        <w:t>月，公司向少数股东溢价收购控股</w:t>
      </w:r>
      <w:r>
        <w:rPr>
          <w:spacing w:val="-55"/>
        </w:rPr>
        <w:t> </w:t>
      </w:r>
      <w:r>
        <w:rPr/>
        <w:t>70%的子公司北京神州泰岳通信</w:t>
      </w:r>
      <w:r>
        <w:rPr/>
        <w:t> 技术有限公司剩余</w:t>
      </w:r>
      <w:r>
        <w:rPr>
          <w:spacing w:val="-55"/>
        </w:rPr>
        <w:t> </w:t>
      </w:r>
      <w:r>
        <w:rPr/>
        <w:t>30%股权，溢价款</w:t>
      </w:r>
      <w:r>
        <w:rPr>
          <w:spacing w:val="-55"/>
        </w:rPr>
        <w:t> </w:t>
      </w:r>
      <w:r>
        <w:rPr/>
        <w:t>316,529.70</w:t>
      </w:r>
      <w:r>
        <w:rPr>
          <w:spacing w:val="-54"/>
        </w:rPr>
        <w:t> </w:t>
      </w:r>
      <w:r>
        <w:rPr/>
        <w:t>元冲减“资本公积-股本溢价”。</w:t>
      </w:r>
    </w:p>
    <w:p>
      <w:pPr>
        <w:pStyle w:val="BodyText"/>
        <w:spacing w:line="350" w:lineRule="auto" w:before="28"/>
        <w:ind w:left="1397" w:right="147"/>
        <w:jc w:val="both"/>
      </w:pPr>
      <w:r>
        <w:rPr/>
        <w:t>（3）本年公司收购同受实际控制人控制的北京互联时代通讯科技有限公司</w:t>
      </w:r>
      <w:r>
        <w:rPr>
          <w:spacing w:val="-7"/>
        </w:rPr>
        <w:t> </w:t>
      </w:r>
      <w:r>
        <w:rPr/>
        <w:t>100%股</w:t>
      </w:r>
      <w:r>
        <w:rPr/>
        <w:t> 权，构成同一控制下的企业合并，合并日支付价款高于净资产 117,974.61</w:t>
      </w:r>
      <w:r>
        <w:rPr>
          <w:spacing w:val="-4"/>
        </w:rPr>
        <w:t> </w:t>
      </w:r>
      <w:r>
        <w:rPr/>
        <w:t>元，冲</w:t>
      </w:r>
      <w:r>
        <w:rPr/>
        <w:t> 减“资本公积-股本溢价”；合并日恢复被合并方的留存收益，增加“资本公积-股 本溢价” 6,133,653.14</w:t>
      </w:r>
      <w:r>
        <w:rPr>
          <w:spacing w:val="-53"/>
        </w:rPr>
        <w:t> </w:t>
      </w:r>
      <w:r>
        <w:rPr/>
        <w:t>元。</w:t>
      </w:r>
    </w:p>
    <w:p>
      <w:pPr>
        <w:spacing w:line="240" w:lineRule="auto" w:before="0"/>
        <w:rPr>
          <w:rFonts w:ascii="宋体" w:hAnsi="宋体" w:cs="宋体" w:eastAsia="宋体" w:hint="default"/>
          <w:sz w:val="20"/>
          <w:szCs w:val="20"/>
        </w:rPr>
      </w:pPr>
    </w:p>
    <w:p>
      <w:pPr>
        <w:pStyle w:val="Heading2"/>
        <w:tabs>
          <w:tab w:pos="1393" w:val="left" w:leader="none"/>
        </w:tabs>
        <w:spacing w:line="240" w:lineRule="auto" w:before="167"/>
        <w:ind w:left="855" w:right="390"/>
        <w:jc w:val="left"/>
        <w:rPr>
          <w:b w:val="0"/>
          <w:bCs w:val="0"/>
        </w:rPr>
      </w:pPr>
      <w:r>
        <w:rPr>
          <w:w w:val="95"/>
        </w:rPr>
        <w:t>2、</w:t>
        <w:tab/>
      </w:r>
      <w:r>
        <w:rPr/>
        <w:t>其他资本公积本期变动为：</w:t>
      </w:r>
      <w:r>
        <w:rPr>
          <w:b w:val="0"/>
          <w:bCs w:val="0"/>
        </w:rPr>
      </w:r>
    </w:p>
    <w:p>
      <w:pPr>
        <w:pStyle w:val="BodyText"/>
        <w:spacing w:line="348" w:lineRule="auto" w:before="125"/>
        <w:ind w:left="1397" w:right="146"/>
        <w:jc w:val="both"/>
      </w:pPr>
      <w:r>
        <w:rPr>
          <w:spacing w:val="2"/>
        </w:rPr>
        <w:t>（1）联营企业大连华信计算机技术股份有限公司所有者权益项下“外币报表折算</w:t>
      </w:r>
      <w:r>
        <w:rPr>
          <w:spacing w:val="-93"/>
        </w:rPr>
        <w:t> </w:t>
      </w:r>
      <w:r>
        <w:rPr>
          <w:spacing w:val="-93"/>
        </w:rPr>
      </w:r>
      <w:r>
        <w:rPr/>
        <w:t>差额”变动数，公司按持股比例确认“资本公积-其他资本公积”40,169.10</w:t>
      </w:r>
      <w:r>
        <w:rPr>
          <w:spacing w:val="-54"/>
        </w:rPr>
        <w:t> </w:t>
      </w:r>
      <w:r>
        <w:rPr/>
        <w:t>元。</w:t>
      </w:r>
    </w:p>
    <w:p>
      <w:pPr>
        <w:pStyle w:val="BodyText"/>
        <w:spacing w:line="348" w:lineRule="auto" w:before="31"/>
        <w:ind w:left="1397" w:right="149"/>
        <w:jc w:val="both"/>
      </w:pPr>
      <w:r>
        <w:rPr/>
        <w:t>（2）本期公司收到北京市高薪技术成果转化项目财政专项资金</w:t>
      </w:r>
      <w:r>
        <w:rPr>
          <w:spacing w:val="-68"/>
        </w:rPr>
        <w:t> </w:t>
      </w:r>
      <w:r>
        <w:rPr/>
        <w:t>699,400.00</w:t>
      </w:r>
      <w:r>
        <w:rPr>
          <w:spacing w:val="-67"/>
        </w:rPr>
        <w:t> </w:t>
      </w:r>
      <w:r>
        <w:rPr/>
        <w:t>元，根</w:t>
      </w:r>
      <w:r>
        <w:rPr/>
        <w:t> 据相关规定记入“资本公积-其他资本公积”。</w:t>
      </w:r>
    </w:p>
    <w:p>
      <w:pPr>
        <w:spacing w:after="0" w:line="348" w:lineRule="auto"/>
        <w:jc w:val="both"/>
        <w:sectPr>
          <w:headerReference w:type="default" r:id="rId190"/>
          <w:footerReference w:type="default" r:id="rId191"/>
          <w:pgSz w:w="11910" w:h="16840"/>
          <w:pgMar w:header="851" w:footer="982" w:top="1300" w:bottom="1180" w:left="1660" w:right="1140"/>
          <w:pgNumType w:start="133"/>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1"/>
          <w:szCs w:val="21"/>
        </w:rPr>
      </w:pPr>
    </w:p>
    <w:p>
      <w:pPr>
        <w:pStyle w:val="Heading2"/>
        <w:spacing w:line="240" w:lineRule="auto" w:before="35"/>
        <w:ind w:left="123" w:right="224"/>
        <w:jc w:val="left"/>
        <w:rPr>
          <w:b w:val="0"/>
          <w:bCs w:val="0"/>
        </w:rPr>
      </w:pPr>
      <w:r>
        <w:rPr/>
        <w:pict>
          <v:group style="position:absolute;margin-left:119.399994pt;margin-top:42.629501pt;width:417.7pt;height:58.15pt;mso-position-horizontal-relative:page;mso-position-vertical-relative:paragraph;z-index:-708040" coordorigin="2388,853" coordsize="8354,1163">
            <v:shape style="position:absolute;left:4340;top:853;width:4853;height:413" type="#_x0000_t75" stroked="false">
              <v:imagedata r:id="rId194" o:title=""/>
            </v:shape>
            <v:shape style="position:absolute;left:2388;top:1233;width:8354;height:782" type="#_x0000_t75" stroked="false">
              <v:imagedata r:id="rId195" o:title=""/>
            </v:shape>
            <w10:wrap type="none"/>
          </v:group>
        </w:pict>
      </w:r>
      <w:r>
        <w:rPr>
          <w:rFonts w:ascii="Times New Roman" w:hAnsi="Times New Roman" w:cs="Times New Roman" w:eastAsia="Times New Roman" w:hint="default"/>
        </w:rPr>
        <w:t>(</w:t>
      </w:r>
      <w:r>
        <w:rPr/>
        <w:t>二十五</w:t>
      </w:r>
      <w:r>
        <w:rPr>
          <w:rFonts w:ascii="Times New Roman" w:hAnsi="Times New Roman" w:cs="Times New Roman" w:eastAsia="Times New Roman" w:hint="default"/>
        </w:rPr>
        <w:t>)</w:t>
      </w:r>
      <w:r>
        <w:rPr>
          <w:rFonts w:ascii="Times New Roman" w:hAnsi="Times New Roman" w:cs="Times New Roman" w:eastAsia="Times New Roman" w:hint="default"/>
          <w:spacing w:val="28"/>
        </w:rPr>
        <w:t> </w:t>
      </w:r>
      <w:r>
        <w:rPr/>
        <w:t>盈余公积</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747" w:type="dxa"/>
        <w:tblLayout w:type="fixed"/>
        <w:tblCellMar>
          <w:top w:w="0" w:type="dxa"/>
          <w:left w:w="0" w:type="dxa"/>
          <w:bottom w:w="0" w:type="dxa"/>
          <w:right w:w="0" w:type="dxa"/>
        </w:tblCellMar>
        <w:tblLook w:val="01E0"/>
      </w:tblPr>
      <w:tblGrid>
        <w:gridCol w:w="1858"/>
        <w:gridCol w:w="2044"/>
        <w:gridCol w:w="1637"/>
        <w:gridCol w:w="1284"/>
        <w:gridCol w:w="1493"/>
      </w:tblGrid>
      <w:tr>
        <w:trPr>
          <w:trHeight w:val="394" w:hRule="exact"/>
        </w:trPr>
        <w:tc>
          <w:tcPr>
            <w:tcW w:w="185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9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04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610"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63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0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28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03"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49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60"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88" w:hRule="exact"/>
        </w:trPr>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6"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07"/>
              <w:jc w:val="right"/>
              <w:rPr>
                <w:rFonts w:ascii="Times New Roman" w:hAnsi="Times New Roman" w:cs="Times New Roman" w:eastAsia="Times New Roman" w:hint="default"/>
                <w:sz w:val="18"/>
                <w:szCs w:val="18"/>
              </w:rPr>
            </w:pPr>
            <w:r>
              <w:rPr>
                <w:rFonts w:ascii="Times New Roman"/>
                <w:spacing w:val="-1"/>
                <w:sz w:val="18"/>
              </w:rPr>
              <w:t>33,236,015.99</w:t>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01"/>
              <w:jc w:val="right"/>
              <w:rPr>
                <w:rFonts w:ascii="Times New Roman" w:hAnsi="Times New Roman" w:cs="Times New Roman" w:eastAsia="Times New Roman" w:hint="default"/>
                <w:sz w:val="18"/>
                <w:szCs w:val="18"/>
              </w:rPr>
            </w:pPr>
            <w:r>
              <w:rPr>
                <w:rFonts w:ascii="Times New Roman"/>
                <w:spacing w:val="-1"/>
                <w:sz w:val="18"/>
              </w:rPr>
              <w:t>13,264,866.86</w:t>
            </w:r>
          </w:p>
        </w:tc>
        <w:tc>
          <w:tcPr>
            <w:tcW w:w="128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56" w:right="0"/>
              <w:jc w:val="left"/>
              <w:rPr>
                <w:rFonts w:ascii="Times New Roman" w:hAnsi="Times New Roman" w:cs="Times New Roman" w:eastAsia="Times New Roman" w:hint="default"/>
                <w:sz w:val="18"/>
                <w:szCs w:val="18"/>
              </w:rPr>
            </w:pPr>
            <w:r>
              <w:rPr>
                <w:rFonts w:ascii="Times New Roman"/>
                <w:sz w:val="18"/>
              </w:rPr>
              <w:t>46,500,882.85</w:t>
            </w:r>
          </w:p>
        </w:tc>
      </w:tr>
      <w:tr>
        <w:trPr>
          <w:trHeight w:val="391" w:hRule="exact"/>
        </w:trPr>
        <w:tc>
          <w:tcPr>
            <w:tcW w:w="1858" w:type="dxa"/>
            <w:tcBorders>
              <w:top w:val="nil" w:sz="6" w:space="0" w:color="auto"/>
              <w:left w:val="nil" w:sz="6" w:space="0" w:color="auto"/>
              <w:bottom w:val="single" w:sz="12" w:space="0" w:color="000000"/>
              <w:right w:val="nil" w:sz="6" w:space="0" w:color="auto"/>
            </w:tcBorders>
          </w:tcPr>
          <w:p>
            <w:pPr>
              <w:pStyle w:val="TableParagraph"/>
              <w:spacing w:line="240" w:lineRule="auto" w:before="43"/>
              <w:ind w:left="706"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2044"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307"/>
              <w:jc w:val="right"/>
              <w:rPr>
                <w:rFonts w:ascii="Times New Roman" w:hAnsi="Times New Roman" w:cs="Times New Roman" w:eastAsia="Times New Roman" w:hint="default"/>
                <w:sz w:val="18"/>
                <w:szCs w:val="18"/>
              </w:rPr>
            </w:pPr>
            <w:r>
              <w:rPr>
                <w:rFonts w:ascii="Times New Roman"/>
                <w:spacing w:val="-1"/>
                <w:sz w:val="18"/>
              </w:rPr>
              <w:t>33,236,015.99</w:t>
            </w:r>
          </w:p>
        </w:tc>
        <w:tc>
          <w:tcPr>
            <w:tcW w:w="1637"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201"/>
              <w:jc w:val="right"/>
              <w:rPr>
                <w:rFonts w:ascii="Times New Roman" w:hAnsi="Times New Roman" w:cs="Times New Roman" w:eastAsia="Times New Roman" w:hint="default"/>
                <w:sz w:val="18"/>
                <w:szCs w:val="18"/>
              </w:rPr>
            </w:pPr>
            <w:r>
              <w:rPr>
                <w:rFonts w:ascii="Times New Roman"/>
                <w:spacing w:val="-1"/>
                <w:sz w:val="18"/>
              </w:rPr>
              <w:t>13,264,866.86</w:t>
            </w:r>
          </w:p>
        </w:tc>
        <w:tc>
          <w:tcPr>
            <w:tcW w:w="1284" w:type="dxa"/>
            <w:tcBorders>
              <w:top w:val="nil" w:sz="6" w:space="0" w:color="auto"/>
              <w:left w:val="nil" w:sz="6" w:space="0" w:color="auto"/>
              <w:bottom w:val="single" w:sz="12" w:space="0" w:color="000000"/>
              <w:right w:val="nil" w:sz="6" w:space="0" w:color="auto"/>
            </w:tcBorders>
          </w:tcPr>
          <w:p>
            <w:pPr/>
          </w:p>
        </w:tc>
        <w:tc>
          <w:tcPr>
            <w:tcW w:w="1493"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left="356" w:right="0"/>
              <w:jc w:val="left"/>
              <w:rPr>
                <w:rFonts w:ascii="Times New Roman" w:hAnsi="Times New Roman" w:cs="Times New Roman" w:eastAsia="Times New Roman" w:hint="default"/>
                <w:sz w:val="18"/>
                <w:szCs w:val="18"/>
              </w:rPr>
            </w:pPr>
            <w:r>
              <w:rPr>
                <w:rFonts w:ascii="Times New Roman"/>
                <w:sz w:val="18"/>
              </w:rPr>
              <w:t>46,500,882.85</w:t>
            </w:r>
          </w:p>
        </w:tc>
      </w:tr>
    </w:tbl>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spacing w:before="35"/>
        <w:ind w:left="123" w:right="224" w:firstLine="0"/>
        <w:jc w:val="left"/>
        <w:rPr>
          <w:rFonts w:ascii="宋体" w:hAnsi="宋体" w:cs="宋体" w:eastAsia="宋体" w:hint="default"/>
          <w:sz w:val="21"/>
          <w:szCs w:val="21"/>
        </w:rPr>
      </w:pPr>
      <w:r>
        <w:rPr/>
        <w:pict>
          <v:group style="position:absolute;margin-left:119.399994pt;margin-top:42.63858pt;width:418.1pt;height:154.2pt;mso-position-horizontal-relative:page;mso-position-vertical-relative:paragraph;z-index:-708016" coordorigin="2388,853" coordsize="8362,3084">
            <v:shape style="position:absolute;left:6877;top:853;width:1972;height:413" type="#_x0000_t75" stroked="false">
              <v:imagedata r:id="rId196" o:title=""/>
            </v:shape>
            <v:shape style="position:absolute;left:2388;top:1227;width:8362;height:2710" type="#_x0000_t75" stroked="false">
              <v:imagedata r:id="rId197"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二十六</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5"/>
          <w:sz w:val="21"/>
          <w:szCs w:val="21"/>
        </w:rPr>
        <w:t> </w:t>
      </w:r>
      <w:r>
        <w:rPr>
          <w:rFonts w:ascii="宋体" w:hAnsi="宋体" w:cs="宋体" w:eastAsia="宋体" w:hint="default"/>
          <w:b/>
          <w:bCs/>
          <w:sz w:val="21"/>
          <w:szCs w:val="21"/>
        </w:rPr>
        <w:t>未分配利润</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747" w:type="dxa"/>
        <w:tblLayout w:type="fixed"/>
        <w:tblCellMar>
          <w:top w:w="0" w:type="dxa"/>
          <w:left w:w="0" w:type="dxa"/>
          <w:bottom w:w="0" w:type="dxa"/>
          <w:right w:w="0" w:type="dxa"/>
        </w:tblCellMar>
        <w:tblLook w:val="01E0"/>
      </w:tblPr>
      <w:tblGrid>
        <w:gridCol w:w="4389"/>
        <w:gridCol w:w="2084"/>
        <w:gridCol w:w="1842"/>
      </w:tblGrid>
      <w:tr>
        <w:trPr>
          <w:trHeight w:val="393" w:hRule="exact"/>
        </w:trPr>
        <w:tc>
          <w:tcPr>
            <w:tcW w:w="4389" w:type="dxa"/>
            <w:tcBorders>
              <w:top w:val="single" w:sz="12" w:space="0" w:color="000000"/>
              <w:left w:val="nil" w:sz="6" w:space="0" w:color="auto"/>
              <w:bottom w:val="nil" w:sz="6" w:space="0" w:color="auto"/>
              <w:right w:val="nil" w:sz="6" w:space="0" w:color="auto"/>
            </w:tcBorders>
          </w:tcPr>
          <w:p>
            <w:pPr>
              <w:pStyle w:val="TableParagraph"/>
              <w:tabs>
                <w:tab w:pos="731" w:val="left" w:leader="none"/>
              </w:tabs>
              <w:spacing w:line="240" w:lineRule="auto" w:before="16"/>
              <w:ind w:left="101"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084" w:type="dxa"/>
            <w:tcBorders>
              <w:top w:val="single" w:sz="12" w:space="0" w:color="000000"/>
              <w:left w:val="nil" w:sz="6" w:space="0" w:color="auto"/>
              <w:bottom w:val="nil" w:sz="6" w:space="0" w:color="auto"/>
              <w:right w:val="nil" w:sz="6" w:space="0" w:color="auto"/>
            </w:tcBorders>
          </w:tcPr>
          <w:p>
            <w:pPr>
              <w:pStyle w:val="TableParagraph"/>
              <w:tabs>
                <w:tab w:pos="470" w:val="left" w:leader="none"/>
              </w:tabs>
              <w:spacing w:line="240" w:lineRule="auto" w:before="16"/>
              <w:ind w:left="48" w:right="0"/>
              <w:jc w:val="center"/>
              <w:rPr>
                <w:rFonts w:ascii="宋体" w:hAnsi="宋体" w:cs="宋体" w:eastAsia="宋体" w:hint="default"/>
                <w:sz w:val="21"/>
                <w:szCs w:val="21"/>
              </w:rPr>
            </w:pPr>
            <w:r>
              <w:rPr>
                <w:rFonts w:ascii="宋体" w:hAnsi="宋体" w:cs="宋体" w:eastAsia="宋体" w:hint="default"/>
                <w:sz w:val="21"/>
                <w:szCs w:val="21"/>
              </w:rPr>
              <w:t>金</w:t>
              <w:tab/>
              <w:t>额</w:t>
            </w:r>
          </w:p>
        </w:tc>
        <w:tc>
          <w:tcPr>
            <w:tcW w:w="1842"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162" w:right="0"/>
              <w:jc w:val="left"/>
              <w:rPr>
                <w:rFonts w:ascii="宋体" w:hAnsi="宋体" w:cs="宋体" w:eastAsia="宋体" w:hint="default"/>
                <w:sz w:val="21"/>
                <w:szCs w:val="21"/>
              </w:rPr>
            </w:pPr>
            <w:r>
              <w:rPr>
                <w:rFonts w:ascii="宋体" w:hAnsi="宋体" w:cs="宋体" w:eastAsia="宋体" w:hint="default"/>
                <w:sz w:val="21"/>
                <w:szCs w:val="21"/>
              </w:rPr>
              <w:t>提取或分配比例</w:t>
            </w:r>
          </w:p>
        </w:tc>
      </w:tr>
      <w:tr>
        <w:trPr>
          <w:trHeight w:val="390" w:hRule="exact"/>
        </w:trPr>
        <w:tc>
          <w:tcPr>
            <w:tcW w:w="438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调整前</w:t>
            </w:r>
            <w:r>
              <w:rPr>
                <w:rFonts w:ascii="宋体" w:hAnsi="宋体" w:cs="宋体" w:eastAsia="宋体" w:hint="default"/>
                <w:spacing w:val="-2"/>
                <w:sz w:val="21"/>
                <w:szCs w:val="21"/>
              </w:rPr>
              <w:t> </w:t>
            </w:r>
            <w:r>
              <w:rPr>
                <w:rFonts w:ascii="宋体" w:hAnsi="宋体" w:cs="宋体" w:eastAsia="宋体" w:hint="default"/>
                <w:sz w:val="21"/>
                <w:szCs w:val="21"/>
              </w:rPr>
              <w:t>上年末未分配利润</w:t>
            </w:r>
          </w:p>
        </w:tc>
        <w:tc>
          <w:tcPr>
            <w:tcW w:w="208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61"/>
              <w:jc w:val="right"/>
              <w:rPr>
                <w:rFonts w:ascii="Times New Roman" w:hAnsi="Times New Roman" w:cs="Times New Roman" w:eastAsia="Times New Roman" w:hint="default"/>
                <w:sz w:val="21"/>
                <w:szCs w:val="21"/>
              </w:rPr>
            </w:pPr>
            <w:r>
              <w:rPr>
                <w:rFonts w:ascii="Times New Roman"/>
                <w:spacing w:val="-1"/>
                <w:sz w:val="21"/>
              </w:rPr>
              <w:t>349,602,074.34</w:t>
            </w:r>
          </w:p>
        </w:tc>
        <w:tc>
          <w:tcPr>
            <w:tcW w:w="1842" w:type="dxa"/>
            <w:tcBorders>
              <w:top w:val="nil" w:sz="6" w:space="0" w:color="auto"/>
              <w:left w:val="nil" w:sz="6" w:space="0" w:color="auto"/>
              <w:bottom w:val="nil" w:sz="6" w:space="0" w:color="auto"/>
              <w:right w:val="nil" w:sz="6" w:space="0" w:color="auto"/>
            </w:tcBorders>
          </w:tcPr>
          <w:p>
            <w:pPr/>
          </w:p>
        </w:tc>
      </w:tr>
      <w:tr>
        <w:trPr>
          <w:trHeight w:val="384" w:hRule="exact"/>
        </w:trPr>
        <w:tc>
          <w:tcPr>
            <w:tcW w:w="438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6" w:right="-1"/>
              <w:jc w:val="left"/>
              <w:rPr>
                <w:rFonts w:ascii="宋体" w:hAnsi="宋体" w:cs="宋体" w:eastAsia="宋体" w:hint="default"/>
                <w:sz w:val="21"/>
                <w:szCs w:val="21"/>
              </w:rPr>
            </w:pPr>
            <w:r>
              <w:rPr>
                <w:rFonts w:ascii="宋体" w:hAnsi="宋体" w:cs="宋体" w:eastAsia="宋体" w:hint="default"/>
                <w:sz w:val="21"/>
                <w:szCs w:val="21"/>
              </w:rPr>
              <w:t>调整</w:t>
            </w:r>
            <w:r>
              <w:rPr>
                <w:rFonts w:ascii="宋体" w:hAnsi="宋体" w:cs="宋体" w:eastAsia="宋体" w:hint="default"/>
                <w:spacing w:val="-3"/>
                <w:sz w:val="21"/>
                <w:szCs w:val="21"/>
              </w:rPr>
              <w:t> </w:t>
            </w:r>
            <w:r>
              <w:rPr>
                <w:rFonts w:ascii="宋体" w:hAnsi="宋体" w:cs="宋体" w:eastAsia="宋体" w:hint="default"/>
                <w:sz w:val="21"/>
                <w:szCs w:val="21"/>
              </w:rPr>
              <w:t>年初未分配利润合计数（调增</w:t>
            </w:r>
            <w:r>
              <w:rPr>
                <w:rFonts w:ascii="Times New Roman" w:hAnsi="Times New Roman" w:cs="Times New Roman" w:eastAsia="Times New Roman" w:hint="default"/>
                <w:sz w:val="21"/>
                <w:szCs w:val="21"/>
              </w:rPr>
              <w:t>+</w:t>
            </w:r>
            <w:r>
              <w:rPr>
                <w:rFonts w:ascii="宋体" w:hAnsi="宋体" w:cs="宋体" w:eastAsia="宋体" w:hint="default"/>
                <w:sz w:val="21"/>
                <w:szCs w:val="21"/>
              </w:rPr>
              <w:t>，调减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2084"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nil" w:sz="6" w:space="0" w:color="auto"/>
            </w:tcBorders>
          </w:tcPr>
          <w:p>
            <w:pPr/>
          </w:p>
        </w:tc>
      </w:tr>
      <w:tr>
        <w:trPr>
          <w:trHeight w:val="385" w:hRule="exact"/>
        </w:trPr>
        <w:tc>
          <w:tcPr>
            <w:tcW w:w="438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6" w:right="0"/>
              <w:jc w:val="left"/>
              <w:rPr>
                <w:rFonts w:ascii="宋体" w:hAnsi="宋体" w:cs="宋体" w:eastAsia="宋体" w:hint="default"/>
                <w:sz w:val="21"/>
                <w:szCs w:val="21"/>
              </w:rPr>
            </w:pPr>
            <w:r>
              <w:rPr>
                <w:rFonts w:ascii="宋体" w:hAnsi="宋体" w:cs="宋体" w:eastAsia="宋体" w:hint="default"/>
                <w:sz w:val="21"/>
                <w:szCs w:val="21"/>
              </w:rPr>
              <w:t>调整后</w:t>
            </w:r>
            <w:r>
              <w:rPr>
                <w:rFonts w:ascii="宋体" w:hAnsi="宋体" w:cs="宋体" w:eastAsia="宋体" w:hint="default"/>
                <w:spacing w:val="-2"/>
                <w:sz w:val="21"/>
                <w:szCs w:val="21"/>
              </w:rPr>
              <w:t> </w:t>
            </w:r>
            <w:r>
              <w:rPr>
                <w:rFonts w:ascii="宋体" w:hAnsi="宋体" w:cs="宋体" w:eastAsia="宋体" w:hint="default"/>
                <w:sz w:val="21"/>
                <w:szCs w:val="21"/>
              </w:rPr>
              <w:t>年初未分配利润</w:t>
            </w:r>
          </w:p>
        </w:tc>
        <w:tc>
          <w:tcPr>
            <w:tcW w:w="208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61"/>
              <w:jc w:val="right"/>
              <w:rPr>
                <w:rFonts w:ascii="Times New Roman" w:hAnsi="Times New Roman" w:cs="Times New Roman" w:eastAsia="Times New Roman" w:hint="default"/>
                <w:sz w:val="21"/>
                <w:szCs w:val="21"/>
              </w:rPr>
            </w:pPr>
            <w:r>
              <w:rPr>
                <w:rFonts w:ascii="Times New Roman"/>
                <w:spacing w:val="-1"/>
                <w:sz w:val="21"/>
              </w:rPr>
              <w:t>349,602,074.34</w:t>
            </w:r>
          </w:p>
        </w:tc>
        <w:tc>
          <w:tcPr>
            <w:tcW w:w="1842" w:type="dxa"/>
            <w:tcBorders>
              <w:top w:val="nil" w:sz="6" w:space="0" w:color="auto"/>
              <w:left w:val="nil" w:sz="6" w:space="0" w:color="auto"/>
              <w:bottom w:val="nil" w:sz="6" w:space="0" w:color="auto"/>
              <w:right w:val="nil" w:sz="6" w:space="0" w:color="auto"/>
            </w:tcBorders>
          </w:tcPr>
          <w:p>
            <w:pPr/>
          </w:p>
        </w:tc>
      </w:tr>
      <w:tr>
        <w:trPr>
          <w:trHeight w:val="385" w:hRule="exact"/>
        </w:trPr>
        <w:tc>
          <w:tcPr>
            <w:tcW w:w="4389"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6" w:right="0"/>
              <w:jc w:val="left"/>
              <w:rPr>
                <w:rFonts w:ascii="宋体" w:hAnsi="宋体" w:cs="宋体" w:eastAsia="宋体" w:hint="default"/>
                <w:sz w:val="21"/>
                <w:szCs w:val="21"/>
              </w:rPr>
            </w:pPr>
            <w:r>
              <w:rPr>
                <w:rFonts w:ascii="宋体" w:hAnsi="宋体" w:cs="宋体" w:eastAsia="宋体" w:hint="default"/>
                <w:sz w:val="21"/>
                <w:szCs w:val="21"/>
              </w:rPr>
              <w:t>加：</w:t>
            </w:r>
            <w:r>
              <w:rPr>
                <w:rFonts w:ascii="宋体" w:hAnsi="宋体" w:cs="宋体" w:eastAsia="宋体" w:hint="default"/>
                <w:spacing w:val="-2"/>
                <w:sz w:val="21"/>
                <w:szCs w:val="21"/>
              </w:rPr>
              <w:t> </w:t>
            </w:r>
            <w:r>
              <w:rPr>
                <w:rFonts w:ascii="宋体" w:hAnsi="宋体" w:cs="宋体" w:eastAsia="宋体" w:hint="default"/>
                <w:sz w:val="21"/>
                <w:szCs w:val="21"/>
              </w:rPr>
              <w:t>本期归属于母公司所有者的净利润</w:t>
            </w:r>
          </w:p>
        </w:tc>
        <w:tc>
          <w:tcPr>
            <w:tcW w:w="2084"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61"/>
              <w:jc w:val="right"/>
              <w:rPr>
                <w:rFonts w:ascii="Times New Roman" w:hAnsi="Times New Roman" w:cs="Times New Roman" w:eastAsia="Times New Roman" w:hint="default"/>
                <w:sz w:val="21"/>
                <w:szCs w:val="21"/>
              </w:rPr>
            </w:pPr>
            <w:r>
              <w:rPr>
                <w:rFonts w:ascii="Times New Roman"/>
                <w:spacing w:val="-1"/>
                <w:sz w:val="21"/>
              </w:rPr>
              <w:t>327,915,598.64</w:t>
            </w:r>
          </w:p>
        </w:tc>
        <w:tc>
          <w:tcPr>
            <w:tcW w:w="1842" w:type="dxa"/>
            <w:tcBorders>
              <w:top w:val="nil" w:sz="6" w:space="0" w:color="auto"/>
              <w:left w:val="nil" w:sz="6" w:space="0" w:color="auto"/>
              <w:bottom w:val="nil" w:sz="6" w:space="0" w:color="auto"/>
              <w:right w:val="nil" w:sz="6" w:space="0" w:color="auto"/>
            </w:tcBorders>
          </w:tcPr>
          <w:p>
            <w:pPr/>
          </w:p>
        </w:tc>
      </w:tr>
      <w:tr>
        <w:trPr>
          <w:trHeight w:val="384" w:hRule="exact"/>
        </w:trPr>
        <w:tc>
          <w:tcPr>
            <w:tcW w:w="438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6" w:right="0"/>
              <w:jc w:val="left"/>
              <w:rPr>
                <w:rFonts w:ascii="宋体" w:hAnsi="宋体" w:cs="宋体" w:eastAsia="宋体" w:hint="default"/>
                <w:sz w:val="21"/>
                <w:szCs w:val="21"/>
              </w:rPr>
            </w:pPr>
            <w:r>
              <w:rPr>
                <w:rFonts w:ascii="宋体" w:hAnsi="宋体" w:cs="宋体" w:eastAsia="宋体" w:hint="default"/>
                <w:sz w:val="21"/>
                <w:szCs w:val="21"/>
              </w:rPr>
              <w:t>减：提取法定盈余公积</w:t>
            </w:r>
          </w:p>
        </w:tc>
        <w:tc>
          <w:tcPr>
            <w:tcW w:w="208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60"/>
              <w:jc w:val="right"/>
              <w:rPr>
                <w:rFonts w:ascii="Times New Roman" w:hAnsi="Times New Roman" w:cs="Times New Roman" w:eastAsia="Times New Roman" w:hint="default"/>
                <w:sz w:val="21"/>
                <w:szCs w:val="21"/>
              </w:rPr>
            </w:pPr>
            <w:r>
              <w:rPr>
                <w:rFonts w:ascii="Times New Roman"/>
                <w:spacing w:val="-1"/>
                <w:sz w:val="21"/>
              </w:rPr>
              <w:t>13,264,866.86</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93" w:right="0"/>
              <w:jc w:val="left"/>
              <w:rPr>
                <w:rFonts w:ascii="Times New Roman" w:hAnsi="Times New Roman" w:cs="Times New Roman" w:eastAsia="Times New Roman" w:hint="default"/>
                <w:sz w:val="21"/>
                <w:szCs w:val="21"/>
              </w:rPr>
            </w:pPr>
            <w:r>
              <w:rPr>
                <w:rFonts w:ascii="Times New Roman"/>
                <w:sz w:val="21"/>
              </w:rPr>
              <w:t>10.00%</w:t>
            </w:r>
          </w:p>
        </w:tc>
      </w:tr>
      <w:tr>
        <w:trPr>
          <w:trHeight w:val="385" w:hRule="exact"/>
        </w:trPr>
        <w:tc>
          <w:tcPr>
            <w:tcW w:w="438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527" w:right="0"/>
              <w:jc w:val="left"/>
              <w:rPr>
                <w:rFonts w:ascii="宋体" w:hAnsi="宋体" w:cs="宋体" w:eastAsia="宋体" w:hint="default"/>
                <w:sz w:val="21"/>
                <w:szCs w:val="21"/>
              </w:rPr>
            </w:pPr>
            <w:r>
              <w:rPr>
                <w:rFonts w:ascii="宋体" w:hAnsi="宋体" w:cs="宋体" w:eastAsia="宋体" w:hint="default"/>
                <w:sz w:val="21"/>
                <w:szCs w:val="21"/>
              </w:rPr>
              <w:t>应付普通股股利</w:t>
            </w:r>
          </w:p>
        </w:tc>
        <w:tc>
          <w:tcPr>
            <w:tcW w:w="208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60"/>
              <w:jc w:val="right"/>
              <w:rPr>
                <w:rFonts w:ascii="Times New Roman" w:hAnsi="Times New Roman" w:cs="Times New Roman" w:eastAsia="Times New Roman" w:hint="default"/>
                <w:sz w:val="21"/>
                <w:szCs w:val="21"/>
              </w:rPr>
            </w:pPr>
            <w:r>
              <w:rPr>
                <w:rFonts w:ascii="Times New Roman"/>
                <w:spacing w:val="-1"/>
                <w:sz w:val="21"/>
              </w:rPr>
              <w:t>37,920,000.00</w:t>
            </w:r>
          </w:p>
        </w:tc>
        <w:tc>
          <w:tcPr>
            <w:tcW w:w="1842" w:type="dxa"/>
            <w:tcBorders>
              <w:top w:val="nil" w:sz="6" w:space="0" w:color="auto"/>
              <w:left w:val="nil" w:sz="6" w:space="0" w:color="auto"/>
              <w:bottom w:val="nil" w:sz="6" w:space="0" w:color="auto"/>
              <w:right w:val="nil" w:sz="6" w:space="0" w:color="auto"/>
            </w:tcBorders>
          </w:tcPr>
          <w:p>
            <w:pPr/>
          </w:p>
        </w:tc>
      </w:tr>
      <w:tr>
        <w:trPr>
          <w:trHeight w:val="390" w:hRule="exact"/>
        </w:trPr>
        <w:tc>
          <w:tcPr>
            <w:tcW w:w="4389" w:type="dxa"/>
            <w:tcBorders>
              <w:top w:val="nil" w:sz="6" w:space="0" w:color="auto"/>
              <w:left w:val="nil" w:sz="6" w:space="0" w:color="auto"/>
              <w:bottom w:val="single" w:sz="12" w:space="0" w:color="000000"/>
              <w:right w:val="nil" w:sz="6" w:space="0" w:color="auto"/>
            </w:tcBorders>
          </w:tcPr>
          <w:p>
            <w:pPr>
              <w:pStyle w:val="TableParagraph"/>
              <w:spacing w:line="240" w:lineRule="auto" w:before="17"/>
              <w:ind w:left="106" w:right="0"/>
              <w:jc w:val="left"/>
              <w:rPr>
                <w:rFonts w:ascii="宋体" w:hAnsi="宋体" w:cs="宋体" w:eastAsia="宋体" w:hint="default"/>
                <w:sz w:val="21"/>
                <w:szCs w:val="21"/>
              </w:rPr>
            </w:pPr>
            <w:r>
              <w:rPr>
                <w:rFonts w:ascii="宋体" w:hAnsi="宋体" w:cs="宋体" w:eastAsia="宋体" w:hint="default"/>
                <w:sz w:val="21"/>
                <w:szCs w:val="21"/>
              </w:rPr>
              <w:t>期末未分配利润</w:t>
            </w:r>
          </w:p>
        </w:tc>
        <w:tc>
          <w:tcPr>
            <w:tcW w:w="2084" w:type="dxa"/>
            <w:tcBorders>
              <w:top w:val="nil" w:sz="6" w:space="0" w:color="auto"/>
              <w:left w:val="nil" w:sz="6" w:space="0" w:color="auto"/>
              <w:bottom w:val="single" w:sz="12" w:space="0" w:color="000000"/>
              <w:right w:val="nil" w:sz="6" w:space="0" w:color="auto"/>
            </w:tcBorders>
          </w:tcPr>
          <w:p>
            <w:pPr>
              <w:pStyle w:val="TableParagraph"/>
              <w:spacing w:line="240" w:lineRule="auto" w:before="66"/>
              <w:ind w:right="161"/>
              <w:jc w:val="right"/>
              <w:rPr>
                <w:rFonts w:ascii="Times New Roman" w:hAnsi="Times New Roman" w:cs="Times New Roman" w:eastAsia="Times New Roman" w:hint="default"/>
                <w:sz w:val="21"/>
                <w:szCs w:val="21"/>
              </w:rPr>
            </w:pPr>
            <w:r>
              <w:rPr>
                <w:rFonts w:ascii="Times New Roman"/>
                <w:spacing w:val="-1"/>
                <w:sz w:val="21"/>
              </w:rPr>
              <w:t>626,332,806.12</w:t>
            </w:r>
          </w:p>
        </w:tc>
        <w:tc>
          <w:tcPr>
            <w:tcW w:w="1842"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5"/>
          <w:szCs w:val="25"/>
        </w:rPr>
      </w:pPr>
    </w:p>
    <w:p>
      <w:pPr>
        <w:spacing w:before="35"/>
        <w:ind w:left="855" w:right="224" w:firstLine="0"/>
        <w:jc w:val="left"/>
        <w:rPr>
          <w:rFonts w:ascii="宋体" w:hAnsi="宋体" w:cs="宋体" w:eastAsia="宋体" w:hint="default"/>
          <w:sz w:val="21"/>
          <w:szCs w:val="21"/>
        </w:rPr>
      </w:pPr>
      <w:r>
        <w:rPr>
          <w:rFonts w:ascii="宋体" w:hAnsi="宋体" w:cs="宋体" w:eastAsia="宋体" w:hint="default"/>
          <w:b/>
          <w:bCs/>
          <w:sz w:val="21"/>
          <w:szCs w:val="21"/>
        </w:rPr>
        <w:t>未分配利润的说明：</w:t>
      </w:r>
      <w:r>
        <w:rPr>
          <w:rFonts w:ascii="宋体" w:hAnsi="宋体" w:cs="宋体" w:eastAsia="宋体" w:hint="default"/>
          <w:sz w:val="21"/>
          <w:szCs w:val="21"/>
        </w:rPr>
      </w:r>
    </w:p>
    <w:p>
      <w:pPr>
        <w:pStyle w:val="BodyText"/>
        <w:spacing w:line="240" w:lineRule="auto" w:before="164"/>
        <w:ind w:left="855" w:right="224"/>
        <w:jc w:val="left"/>
        <w:rPr>
          <w:rFonts w:ascii="Times New Roman" w:hAnsi="Times New Roman" w:cs="Times New Roman" w:eastAsia="Times New Roman" w:hint="default"/>
        </w:rPr>
      </w:pP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w:t>
      </w:r>
      <w:r>
        <w:rPr>
          <w:spacing w:val="-54"/>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日，公司</w:t>
      </w:r>
      <w:r>
        <w:rPr>
          <w:spacing w:val="-53"/>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
        </w:rPr>
        <w:t> </w:t>
      </w:r>
      <w:r>
        <w:rPr/>
        <w:t>年度股东大会通过决议，实施利润分配，以截至</w:t>
      </w:r>
      <w:r>
        <w:rPr>
          <w:spacing w:val="-53"/>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
        </w:rPr>
        <w:t> </w:t>
      </w:r>
      <w:r>
        <w:rPr/>
        <w:t>年</w:t>
      </w:r>
      <w:r>
        <w:rPr>
          <w:spacing w:val="-54"/>
        </w:rPr>
        <w:t> </w:t>
      </w:r>
      <w:r>
        <w:rPr>
          <w:rFonts w:ascii="Times New Roman" w:hAnsi="Times New Roman" w:cs="Times New Roman" w:eastAsia="Times New Roman" w:hint="default"/>
        </w:rPr>
        <w:t>12</w:t>
      </w:r>
    </w:p>
    <w:p>
      <w:pPr>
        <w:pStyle w:val="BodyText"/>
        <w:spacing w:line="240" w:lineRule="auto" w:before="149"/>
        <w:ind w:left="854" w:right="224"/>
        <w:jc w:val="left"/>
      </w:pPr>
      <w:r>
        <w:rPr/>
        <w:t>月</w:t>
      </w:r>
      <w:r>
        <w:rPr>
          <w:spacing w:val="-53"/>
        </w:rPr>
        <w:t> </w:t>
      </w:r>
      <w:r>
        <w:rPr>
          <w:rFonts w:ascii="Times New Roman" w:hAnsi="Times New Roman" w:cs="Times New Roman" w:eastAsia="Times New Roman" w:hint="default"/>
        </w:rPr>
        <w:t>31 </w:t>
      </w:r>
      <w:r>
        <w:rPr/>
        <w:t>日止的总股本</w:t>
      </w:r>
      <w:r>
        <w:rPr>
          <w:spacing w:val="-53"/>
        </w:rPr>
        <w:t> </w:t>
      </w:r>
      <w:r>
        <w:rPr>
          <w:rFonts w:ascii="Times New Roman" w:hAnsi="Times New Roman" w:cs="Times New Roman" w:eastAsia="Times New Roman" w:hint="default"/>
        </w:rPr>
        <w:t>126,400,000 </w:t>
      </w:r>
      <w:r>
        <w:rPr/>
        <w:t>股为基数，以未分配利润向全体股东每</w:t>
      </w:r>
      <w:r>
        <w:rPr>
          <w:spacing w:val="-53"/>
        </w:rPr>
        <w:t> </w:t>
      </w:r>
      <w:r>
        <w:rPr>
          <w:rFonts w:ascii="Times New Roman" w:hAnsi="Times New Roman" w:cs="Times New Roman" w:eastAsia="Times New Roman" w:hint="default"/>
        </w:rPr>
        <w:t>10 </w:t>
      </w:r>
      <w:r>
        <w:rPr/>
        <w:t>股派发现金红</w:t>
      </w:r>
    </w:p>
    <w:p>
      <w:pPr>
        <w:pStyle w:val="BodyText"/>
        <w:spacing w:line="362" w:lineRule="auto" w:before="149"/>
        <w:ind w:left="854" w:right="249"/>
        <w:jc w:val="left"/>
      </w:pPr>
      <w:r>
        <w:rPr/>
        <w:t>利</w:t>
      </w:r>
      <w:r>
        <w:rPr>
          <w:spacing w:val="-47"/>
        </w:rPr>
        <w:t> </w:t>
      </w:r>
      <w:r>
        <w:rPr>
          <w:rFonts w:ascii="Times New Roman" w:hAnsi="Times New Roman" w:cs="Times New Roman" w:eastAsia="Times New Roman" w:hint="default"/>
        </w:rPr>
        <w:t>3.00</w:t>
      </w:r>
      <w:r>
        <w:rPr>
          <w:rFonts w:ascii="Times New Roman" w:hAnsi="Times New Roman" w:cs="Times New Roman" w:eastAsia="Times New Roman" w:hint="default"/>
          <w:spacing w:val="6"/>
        </w:rPr>
        <w:t> </w:t>
      </w:r>
      <w:r>
        <w:rPr>
          <w:spacing w:val="-8"/>
        </w:rPr>
        <w:t>元（含税），共计派送现金红利</w:t>
      </w:r>
      <w:r>
        <w:rPr>
          <w:spacing w:val="-47"/>
        </w:rPr>
        <w:t> </w:t>
      </w:r>
      <w:r>
        <w:rPr>
          <w:rFonts w:ascii="Times New Roman" w:hAnsi="Times New Roman" w:cs="Times New Roman" w:eastAsia="Times New Roman" w:hint="default"/>
          <w:spacing w:val="-1"/>
        </w:rPr>
        <w:t>37,920,000.00</w:t>
      </w:r>
      <w:r>
        <w:rPr>
          <w:rFonts w:ascii="Times New Roman" w:hAnsi="Times New Roman" w:cs="Times New Roman" w:eastAsia="Times New Roman" w:hint="default"/>
          <w:spacing w:val="6"/>
        </w:rPr>
        <w:t> </w:t>
      </w:r>
      <w:r>
        <w:rPr>
          <w:spacing w:val="-7"/>
        </w:rPr>
        <w:t>元（含税），剩余未分配利润结转以</w:t>
      </w:r>
      <w:r>
        <w:rPr/>
        <w:t> 后年度。</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Heading2"/>
        <w:spacing w:line="240" w:lineRule="auto"/>
        <w:ind w:left="122" w:right="224"/>
        <w:jc w:val="left"/>
        <w:rPr>
          <w:b w:val="0"/>
          <w:bCs w:val="0"/>
        </w:rPr>
      </w:pPr>
      <w:r>
        <w:rPr>
          <w:rFonts w:ascii="Times New Roman" w:hAnsi="Times New Roman" w:cs="Times New Roman" w:eastAsia="Times New Roman" w:hint="default"/>
        </w:rPr>
        <w:t>(</w:t>
      </w:r>
      <w:r>
        <w:rPr/>
        <w:t>二十七</w:t>
      </w:r>
      <w:r>
        <w:rPr>
          <w:rFonts w:ascii="Times New Roman" w:hAnsi="Times New Roman" w:cs="Times New Roman" w:eastAsia="Times New Roman" w:hint="default"/>
        </w:rPr>
        <w:t>)</w:t>
      </w:r>
      <w:r>
        <w:rPr>
          <w:rFonts w:ascii="Times New Roman" w:hAnsi="Times New Roman" w:cs="Times New Roman" w:eastAsia="Times New Roman" w:hint="default"/>
          <w:spacing w:val="25"/>
        </w:rPr>
        <w:t> </w:t>
      </w:r>
      <w:r>
        <w:rPr/>
        <w:t>营业收入和营业成本</w:t>
      </w:r>
      <w:r>
        <w:rPr>
          <w:b w:val="0"/>
          <w:bCs w:val="0"/>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393" w:val="left" w:leader="none"/>
        </w:tabs>
        <w:spacing w:before="0"/>
        <w:ind w:left="854" w:right="224" w:firstLine="0"/>
        <w:jc w:val="left"/>
        <w:rPr>
          <w:rFonts w:ascii="宋体" w:hAnsi="宋体" w:cs="宋体" w:eastAsia="宋体" w:hint="default"/>
          <w:sz w:val="21"/>
          <w:szCs w:val="21"/>
        </w:rPr>
      </w:pPr>
      <w:r>
        <w:rPr/>
        <w:pict>
          <v:group style="position:absolute;margin-left:146.520004pt;margin-top:31.529968pt;width:390.85pt;height:77.350pt;mso-position-horizontal-relative:page;mso-position-vertical-relative:paragraph;z-index:-707992" coordorigin="2930,631" coordsize="7817,1547">
            <v:shape style="position:absolute;left:6096;top:631;width:2568;height:413" type="#_x0000_t75" stroked="false">
              <v:imagedata r:id="rId198" o:title=""/>
            </v:shape>
            <v:shape style="position:absolute;left:2930;top:1005;width:7817;height:1172" type="#_x0000_t75" stroked="false">
              <v:imagedata r:id="rId199" o:title=""/>
            </v:shape>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营业收入、营业成本</w:t>
      </w:r>
      <w:r>
        <w:rPr>
          <w:rFonts w:ascii="宋体" w:hAnsi="宋体" w:cs="宋体" w:eastAsia="宋体" w:hint="default"/>
          <w:sz w:val="21"/>
          <w:szCs w:val="21"/>
        </w:rPr>
      </w:r>
    </w:p>
    <w:p>
      <w:pPr>
        <w:spacing w:line="240" w:lineRule="auto" w:before="2"/>
        <w:rPr>
          <w:rFonts w:ascii="宋体" w:hAnsi="宋体" w:cs="宋体" w:eastAsia="宋体" w:hint="default"/>
          <w:b/>
          <w:bCs/>
          <w:sz w:val="25"/>
          <w:szCs w:val="25"/>
        </w:rPr>
      </w:pPr>
    </w:p>
    <w:tbl>
      <w:tblPr>
        <w:tblW w:w="0" w:type="auto"/>
        <w:jc w:val="left"/>
        <w:tblInd w:w="1289" w:type="dxa"/>
        <w:tblLayout w:type="fixed"/>
        <w:tblCellMar>
          <w:top w:w="0" w:type="dxa"/>
          <w:left w:w="0" w:type="dxa"/>
          <w:bottom w:w="0" w:type="dxa"/>
          <w:right w:w="0" w:type="dxa"/>
        </w:tblCellMar>
        <w:tblLook w:val="01E0"/>
      </w:tblPr>
      <w:tblGrid>
        <w:gridCol w:w="3008"/>
        <w:gridCol w:w="2940"/>
        <w:gridCol w:w="1824"/>
      </w:tblGrid>
      <w:tr>
        <w:trPr>
          <w:trHeight w:val="393" w:hRule="exact"/>
        </w:trPr>
        <w:tc>
          <w:tcPr>
            <w:tcW w:w="3008" w:type="dxa"/>
            <w:tcBorders>
              <w:top w:val="single" w:sz="12" w:space="0" w:color="000000"/>
              <w:left w:val="nil" w:sz="6" w:space="0" w:color="auto"/>
              <w:bottom w:val="nil" w:sz="6" w:space="0" w:color="auto"/>
              <w:right w:val="nil" w:sz="6" w:space="0" w:color="auto"/>
            </w:tcBorders>
          </w:tcPr>
          <w:p>
            <w:pPr>
              <w:pStyle w:val="TableParagraph"/>
              <w:tabs>
                <w:tab w:pos="792" w:val="left" w:leader="none"/>
              </w:tabs>
              <w:spacing w:line="240" w:lineRule="auto" w:before="16"/>
              <w:ind w:left="162"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940"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right="92"/>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1824"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366"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90" w:hRule="exact"/>
        </w:trPr>
        <w:tc>
          <w:tcPr>
            <w:tcW w:w="30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64"/>
              <w:jc w:val="right"/>
              <w:rPr>
                <w:rFonts w:ascii="Times New Roman" w:hAnsi="Times New Roman" w:cs="Times New Roman" w:eastAsia="Times New Roman" w:hint="default"/>
                <w:sz w:val="21"/>
                <w:szCs w:val="21"/>
              </w:rPr>
            </w:pPr>
            <w:r>
              <w:rPr>
                <w:rFonts w:ascii="Times New Roman"/>
                <w:spacing w:val="-1"/>
                <w:sz w:val="21"/>
              </w:rPr>
              <w:t>841,628,987.00</w:t>
            </w:r>
          </w:p>
        </w:tc>
        <w:tc>
          <w:tcPr>
            <w:tcW w:w="1824" w:type="dxa"/>
            <w:tcBorders>
              <w:top w:val="nil" w:sz="6" w:space="0" w:color="auto"/>
              <w:left w:val="nil" w:sz="6" w:space="0" w:color="auto"/>
              <w:bottom w:val="nil" w:sz="6" w:space="0" w:color="auto"/>
              <w:right w:val="nil" w:sz="6" w:space="0" w:color="auto"/>
            </w:tcBorders>
          </w:tcPr>
          <w:p>
            <w:pPr>
              <w:pStyle w:val="TableParagraph"/>
              <w:spacing w:line="240" w:lineRule="auto" w:before="71"/>
              <w:ind w:left="410" w:right="0"/>
              <w:jc w:val="left"/>
              <w:rPr>
                <w:rFonts w:ascii="Times New Roman" w:hAnsi="Times New Roman" w:cs="Times New Roman" w:eastAsia="Times New Roman" w:hint="default"/>
                <w:sz w:val="21"/>
                <w:szCs w:val="21"/>
              </w:rPr>
            </w:pPr>
            <w:r>
              <w:rPr>
                <w:rFonts w:ascii="Times New Roman"/>
                <w:sz w:val="21"/>
              </w:rPr>
              <w:t>722,900,469.20</w:t>
            </w:r>
          </w:p>
        </w:tc>
      </w:tr>
      <w:tr>
        <w:trPr>
          <w:trHeight w:val="378" w:hRule="exact"/>
        </w:trPr>
        <w:tc>
          <w:tcPr>
            <w:tcW w:w="3008"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2940" w:type="dxa"/>
            <w:tcBorders>
              <w:top w:val="nil" w:sz="6" w:space="0" w:color="auto"/>
              <w:left w:val="nil" w:sz="6" w:space="0" w:color="auto"/>
              <w:bottom w:val="nil" w:sz="6" w:space="0" w:color="auto"/>
              <w:right w:val="nil" w:sz="6" w:space="0" w:color="auto"/>
            </w:tcBorders>
          </w:tcPr>
          <w:p>
            <w:pPr/>
          </w:p>
        </w:tc>
        <w:tc>
          <w:tcPr>
            <w:tcW w:w="1824" w:type="dxa"/>
            <w:tcBorders>
              <w:top w:val="nil" w:sz="6" w:space="0" w:color="auto"/>
              <w:left w:val="nil" w:sz="6" w:space="0" w:color="auto"/>
              <w:bottom w:val="nil" w:sz="6" w:space="0" w:color="auto"/>
              <w:right w:val="nil" w:sz="6" w:space="0" w:color="auto"/>
            </w:tcBorders>
          </w:tcPr>
          <w:p>
            <w:pPr/>
          </w:p>
        </w:tc>
      </w:tr>
      <w:tr>
        <w:trPr>
          <w:trHeight w:val="396" w:hRule="exact"/>
        </w:trPr>
        <w:tc>
          <w:tcPr>
            <w:tcW w:w="3008"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2940" w:type="dxa"/>
            <w:tcBorders>
              <w:top w:val="nil" w:sz="6" w:space="0" w:color="auto"/>
              <w:left w:val="nil" w:sz="6" w:space="0" w:color="auto"/>
              <w:bottom w:val="single" w:sz="12" w:space="0" w:color="000000"/>
              <w:right w:val="nil" w:sz="6" w:space="0" w:color="auto"/>
            </w:tcBorders>
          </w:tcPr>
          <w:p>
            <w:pPr>
              <w:pStyle w:val="TableParagraph"/>
              <w:spacing w:line="240" w:lineRule="auto" w:before="71"/>
              <w:ind w:right="364"/>
              <w:jc w:val="right"/>
              <w:rPr>
                <w:rFonts w:ascii="Times New Roman" w:hAnsi="Times New Roman" w:cs="Times New Roman" w:eastAsia="Times New Roman" w:hint="default"/>
                <w:sz w:val="21"/>
                <w:szCs w:val="21"/>
              </w:rPr>
            </w:pPr>
            <w:r>
              <w:rPr>
                <w:rFonts w:ascii="Times New Roman"/>
                <w:spacing w:val="-1"/>
                <w:sz w:val="21"/>
              </w:rPr>
              <w:t>220,052,700.32</w:t>
            </w:r>
          </w:p>
        </w:tc>
        <w:tc>
          <w:tcPr>
            <w:tcW w:w="1824" w:type="dxa"/>
            <w:tcBorders>
              <w:top w:val="nil" w:sz="6" w:space="0" w:color="auto"/>
              <w:left w:val="nil" w:sz="6" w:space="0" w:color="auto"/>
              <w:bottom w:val="single" w:sz="12" w:space="0" w:color="000000"/>
              <w:right w:val="nil" w:sz="6" w:space="0" w:color="auto"/>
            </w:tcBorders>
          </w:tcPr>
          <w:p>
            <w:pPr>
              <w:pStyle w:val="TableParagraph"/>
              <w:spacing w:line="240" w:lineRule="auto" w:before="71"/>
              <w:ind w:left="410" w:right="0"/>
              <w:jc w:val="left"/>
              <w:rPr>
                <w:rFonts w:ascii="Times New Roman" w:hAnsi="Times New Roman" w:cs="Times New Roman" w:eastAsia="Times New Roman" w:hint="default"/>
                <w:sz w:val="21"/>
                <w:szCs w:val="21"/>
              </w:rPr>
            </w:pPr>
            <w:r>
              <w:rPr>
                <w:rFonts w:ascii="Times New Roman"/>
                <w:sz w:val="21"/>
              </w:rPr>
              <w:t>190,645,334.80</w:t>
            </w:r>
          </w:p>
        </w:tc>
      </w:tr>
    </w:tbl>
    <w:p>
      <w:pPr>
        <w:spacing w:after="0" w:line="240" w:lineRule="auto"/>
        <w:jc w:val="left"/>
        <w:rPr>
          <w:rFonts w:ascii="Times New Roman" w:hAnsi="Times New Roman" w:cs="Times New Roman" w:eastAsia="Times New Roman" w:hint="default"/>
          <w:sz w:val="21"/>
          <w:szCs w:val="21"/>
        </w:rPr>
        <w:sectPr>
          <w:pgSz w:w="11910" w:h="16840"/>
          <w:pgMar w:header="851" w:footer="982" w:top="1360" w:bottom="1180" w:left="1660" w:right="1040"/>
        </w:sectPr>
      </w:pPr>
    </w:p>
    <w:p>
      <w:pPr>
        <w:spacing w:line="240" w:lineRule="auto" w:before="6"/>
        <w:rPr>
          <w:rFonts w:ascii="宋体" w:hAnsi="宋体" w:cs="宋体" w:eastAsia="宋体" w:hint="default"/>
          <w:b/>
          <w:bCs/>
          <w:sz w:val="10"/>
          <w:szCs w:val="10"/>
        </w:rPr>
      </w:pPr>
    </w:p>
    <w:p>
      <w:pPr>
        <w:tabs>
          <w:tab w:pos="1393" w:val="left" w:leader="none"/>
        </w:tabs>
        <w:spacing w:before="35"/>
        <w:ind w:left="855" w:right="0" w:firstLine="0"/>
        <w:jc w:val="left"/>
        <w:rPr>
          <w:rFonts w:ascii="宋体" w:hAnsi="宋体" w:cs="宋体" w:eastAsia="宋体" w:hint="default"/>
          <w:sz w:val="21"/>
          <w:szCs w:val="21"/>
        </w:rPr>
      </w:pPr>
      <w:r>
        <w:rPr/>
        <w:pict>
          <v:group style="position:absolute;margin-left:146.839996pt;margin-top:42.093994pt;width:393.5pt;height:154.75pt;mso-position-horizontal-relative:page;mso-position-vertical-relative:paragraph;z-index:-707800" coordorigin="2937,842" coordsize="7870,3095">
            <v:group style="position:absolute;left:2957;top:857;width:7828;height:2" coordorigin="2957,857" coordsize="7828,2">
              <v:shape style="position:absolute;left:2957;top:857;width:7828;height:2" coordorigin="2957,857" coordsize="7828,0" path="m2957,857l10784,857e" filled="false" stroked="true" strokeweight="1.5pt" strokecolor="#000000">
                <v:path arrowok="t"/>
              </v:shape>
              <v:shape style="position:absolute;left:4468;top:853;width:3198;height:413" type="#_x0000_t75" stroked="false">
                <v:imagedata r:id="rId200" o:title=""/>
              </v:shape>
              <v:shape style="position:absolute;left:4468;top:1227;width:6338;height:422" type="#_x0000_t75" stroked="false">
                <v:imagedata r:id="rId201" o:title=""/>
              </v:shape>
              <v:shape style="position:absolute;left:2937;top:1617;width:7863;height:2319" type="#_x0000_t75" stroked="false">
                <v:imagedata r:id="rId202" o:title=""/>
              </v:shape>
              <v:shape style="position:absolute;left:5706;top:96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8856;top:96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3360;top:114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行业名称</w:t>
                      </w:r>
                    </w:p>
                  </w:txbxContent>
                </v:textbox>
                <w10:wrap type="none"/>
              </v:shape>
              <v:shape style="position:absolute;left:4919;top:135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w:t>
                      </w:r>
                    </w:p>
                  </w:txbxContent>
                </v:textbox>
                <w10:wrap type="none"/>
              </v:shape>
              <v:shape style="position:absolute;left:6493;top:135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shape style="position:absolute;left:8069;top:135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w:t>
                      </w:r>
                    </w:p>
                  </w:txbxContent>
                </v:textbox>
                <w10:wrap type="none"/>
              </v:shape>
              <v:shape style="position:absolute;left:9643;top:135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group>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主营业务（客户分行业）</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tbl>
      <w:tblPr>
        <w:tblW w:w="0" w:type="auto"/>
        <w:jc w:val="left"/>
        <w:tblInd w:w="1362" w:type="dxa"/>
        <w:tblLayout w:type="fixed"/>
        <w:tblCellMar>
          <w:top w:w="0" w:type="dxa"/>
          <w:left w:w="0" w:type="dxa"/>
          <w:bottom w:w="0" w:type="dxa"/>
          <w:right w:w="0" w:type="dxa"/>
        </w:tblCellMar>
        <w:tblLook w:val="01E0"/>
      </w:tblPr>
      <w:tblGrid>
        <w:gridCol w:w="299"/>
        <w:gridCol w:w="270"/>
        <w:gridCol w:w="225"/>
        <w:gridCol w:w="618"/>
        <w:gridCol w:w="1749"/>
        <w:gridCol w:w="1575"/>
        <w:gridCol w:w="1575"/>
        <w:gridCol w:w="1385"/>
      </w:tblGrid>
      <w:tr>
        <w:trPr>
          <w:trHeight w:val="386" w:hRule="exact"/>
        </w:trPr>
        <w:tc>
          <w:tcPr>
            <w:tcW w:w="29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电</w:t>
            </w:r>
          </w:p>
        </w:tc>
        <w:tc>
          <w:tcPr>
            <w:tcW w:w="270" w:type="dxa"/>
            <w:tcBorders>
              <w:top w:val="nil" w:sz="6" w:space="0" w:color="auto"/>
              <w:left w:val="nil" w:sz="6" w:space="0" w:color="auto"/>
              <w:bottom w:val="nil" w:sz="6" w:space="0" w:color="auto"/>
              <w:right w:val="nil" w:sz="6" w:space="0" w:color="auto"/>
            </w:tcBorders>
          </w:tcPr>
          <w:p>
            <w:pPr/>
          </w:p>
        </w:tc>
        <w:tc>
          <w:tcPr>
            <w:tcW w:w="22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 w:right="0"/>
              <w:jc w:val="left"/>
              <w:rPr>
                <w:rFonts w:ascii="宋体" w:hAnsi="宋体" w:cs="宋体" w:eastAsia="宋体" w:hint="default"/>
                <w:sz w:val="18"/>
                <w:szCs w:val="18"/>
              </w:rPr>
            </w:pPr>
            <w:r>
              <w:rPr>
                <w:rFonts w:ascii="宋体" w:hAnsi="宋体" w:cs="宋体" w:eastAsia="宋体" w:hint="default"/>
                <w:sz w:val="18"/>
                <w:szCs w:val="18"/>
              </w:rPr>
              <w:t>信</w:t>
            </w:r>
          </w:p>
        </w:tc>
        <w:tc>
          <w:tcPr>
            <w:tcW w:w="618" w:type="dxa"/>
            <w:tcBorders>
              <w:top w:val="nil" w:sz="6" w:space="0" w:color="auto"/>
              <w:left w:val="nil" w:sz="6" w:space="0" w:color="auto"/>
              <w:bottom w:val="nil" w:sz="6" w:space="0" w:color="auto"/>
              <w:right w:val="nil" w:sz="6" w:space="0" w:color="auto"/>
            </w:tcBorders>
          </w:tcPr>
          <w:p>
            <w:pP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22"/>
              <w:jc w:val="right"/>
              <w:rPr>
                <w:rFonts w:ascii="Times New Roman" w:hAnsi="Times New Roman" w:cs="Times New Roman" w:eastAsia="Times New Roman" w:hint="default"/>
                <w:sz w:val="18"/>
                <w:szCs w:val="18"/>
              </w:rPr>
            </w:pPr>
            <w:r>
              <w:rPr>
                <w:rFonts w:ascii="Times New Roman"/>
                <w:spacing w:val="-1"/>
                <w:sz w:val="18"/>
              </w:rPr>
              <w:t>754,697,637.17</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22"/>
              <w:jc w:val="right"/>
              <w:rPr>
                <w:rFonts w:ascii="Times New Roman" w:hAnsi="Times New Roman" w:cs="Times New Roman" w:eastAsia="Times New Roman" w:hint="default"/>
                <w:sz w:val="18"/>
                <w:szCs w:val="18"/>
              </w:rPr>
            </w:pPr>
            <w:r>
              <w:rPr>
                <w:rFonts w:ascii="Times New Roman"/>
                <w:spacing w:val="-1"/>
                <w:sz w:val="18"/>
              </w:rPr>
              <w:t>190,523,925.49</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0"/>
              <w:jc w:val="center"/>
              <w:rPr>
                <w:rFonts w:ascii="Times New Roman" w:hAnsi="Times New Roman" w:cs="Times New Roman" w:eastAsia="Times New Roman" w:hint="default"/>
                <w:sz w:val="18"/>
                <w:szCs w:val="18"/>
              </w:rPr>
            </w:pPr>
            <w:r>
              <w:rPr>
                <w:rFonts w:ascii="Times New Roman"/>
                <w:sz w:val="18"/>
              </w:rPr>
              <w:t>651,799,893.78</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3"/>
              <w:jc w:val="right"/>
              <w:rPr>
                <w:rFonts w:ascii="Times New Roman" w:hAnsi="Times New Roman" w:cs="Times New Roman" w:eastAsia="Times New Roman" w:hint="default"/>
                <w:sz w:val="18"/>
                <w:szCs w:val="18"/>
              </w:rPr>
            </w:pPr>
            <w:r>
              <w:rPr>
                <w:rFonts w:ascii="Times New Roman"/>
                <w:spacing w:val="-1"/>
                <w:sz w:val="18"/>
              </w:rPr>
              <w:t>173,262,196.25</w:t>
            </w:r>
          </w:p>
        </w:tc>
      </w:tr>
      <w:tr>
        <w:trPr>
          <w:trHeight w:val="385" w:hRule="exact"/>
        </w:trPr>
        <w:tc>
          <w:tcPr>
            <w:tcW w:w="299"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金</w:t>
            </w:r>
          </w:p>
        </w:tc>
        <w:tc>
          <w:tcPr>
            <w:tcW w:w="270" w:type="dxa"/>
            <w:tcBorders>
              <w:top w:val="nil" w:sz="6" w:space="0" w:color="auto"/>
              <w:left w:val="nil" w:sz="6" w:space="0" w:color="auto"/>
              <w:bottom w:val="nil" w:sz="6" w:space="0" w:color="auto"/>
              <w:right w:val="nil" w:sz="6" w:space="0" w:color="auto"/>
            </w:tcBorders>
          </w:tcPr>
          <w:p>
            <w:pPr/>
          </w:p>
        </w:tc>
        <w:tc>
          <w:tcPr>
            <w:tcW w:w="225" w:type="dxa"/>
            <w:tcBorders>
              <w:top w:val="nil" w:sz="6" w:space="0" w:color="auto"/>
              <w:left w:val="nil" w:sz="6" w:space="0" w:color="auto"/>
              <w:bottom w:val="nil" w:sz="6" w:space="0" w:color="auto"/>
              <w:right w:val="nil" w:sz="6" w:space="0" w:color="auto"/>
            </w:tcBorders>
          </w:tcPr>
          <w:p>
            <w:pPr>
              <w:pStyle w:val="TableParagraph"/>
              <w:spacing w:line="240" w:lineRule="auto" w:before="43"/>
              <w:ind w:left="6" w:right="0"/>
              <w:jc w:val="left"/>
              <w:rPr>
                <w:rFonts w:ascii="宋体" w:hAnsi="宋体" w:cs="宋体" w:eastAsia="宋体" w:hint="default"/>
                <w:sz w:val="18"/>
                <w:szCs w:val="18"/>
              </w:rPr>
            </w:pPr>
            <w:r>
              <w:rPr>
                <w:rFonts w:ascii="宋体" w:hAnsi="宋体" w:cs="宋体" w:eastAsia="宋体" w:hint="default"/>
                <w:sz w:val="18"/>
                <w:szCs w:val="18"/>
              </w:rPr>
              <w:t>融</w:t>
            </w:r>
          </w:p>
        </w:tc>
        <w:tc>
          <w:tcPr>
            <w:tcW w:w="618" w:type="dxa"/>
            <w:tcBorders>
              <w:top w:val="nil" w:sz="6" w:space="0" w:color="auto"/>
              <w:left w:val="nil" w:sz="6" w:space="0" w:color="auto"/>
              <w:bottom w:val="nil" w:sz="6" w:space="0" w:color="auto"/>
              <w:right w:val="nil" w:sz="6" w:space="0" w:color="auto"/>
            </w:tcBorders>
          </w:tcPr>
          <w:p>
            <w:pP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23"/>
              <w:jc w:val="right"/>
              <w:rPr>
                <w:rFonts w:ascii="Times New Roman" w:hAnsi="Times New Roman" w:cs="Times New Roman" w:eastAsia="Times New Roman" w:hint="default"/>
                <w:sz w:val="18"/>
                <w:szCs w:val="18"/>
              </w:rPr>
            </w:pPr>
            <w:r>
              <w:rPr>
                <w:rFonts w:ascii="Times New Roman"/>
                <w:spacing w:val="-1"/>
                <w:sz w:val="18"/>
              </w:rPr>
              <w:t>42,373,093.70</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24"/>
              <w:jc w:val="right"/>
              <w:rPr>
                <w:rFonts w:ascii="Times New Roman" w:hAnsi="Times New Roman" w:cs="Times New Roman" w:eastAsia="Times New Roman" w:hint="default"/>
                <w:sz w:val="18"/>
                <w:szCs w:val="18"/>
              </w:rPr>
            </w:pPr>
            <w:r>
              <w:rPr>
                <w:rFonts w:ascii="Times New Roman"/>
                <w:spacing w:val="-1"/>
                <w:sz w:val="18"/>
              </w:rPr>
              <w:t>9,757,584.65</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88" w:right="0"/>
              <w:jc w:val="center"/>
              <w:rPr>
                <w:rFonts w:ascii="Times New Roman" w:hAnsi="Times New Roman" w:cs="Times New Roman" w:eastAsia="Times New Roman" w:hint="default"/>
                <w:sz w:val="18"/>
                <w:szCs w:val="18"/>
              </w:rPr>
            </w:pPr>
            <w:r>
              <w:rPr>
                <w:rFonts w:ascii="Times New Roman"/>
                <w:sz w:val="18"/>
              </w:rPr>
              <w:t>22,071,579.26</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4"/>
              <w:jc w:val="right"/>
              <w:rPr>
                <w:rFonts w:ascii="Times New Roman" w:hAnsi="Times New Roman" w:cs="Times New Roman" w:eastAsia="Times New Roman" w:hint="default"/>
                <w:sz w:val="18"/>
                <w:szCs w:val="18"/>
              </w:rPr>
            </w:pPr>
            <w:r>
              <w:rPr>
                <w:rFonts w:ascii="Times New Roman"/>
                <w:spacing w:val="-1"/>
                <w:sz w:val="18"/>
              </w:rPr>
              <w:t>4,330,102.25</w:t>
            </w:r>
          </w:p>
        </w:tc>
      </w:tr>
      <w:tr>
        <w:trPr>
          <w:trHeight w:val="384" w:hRule="exact"/>
        </w:trPr>
        <w:tc>
          <w:tcPr>
            <w:tcW w:w="29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能</w:t>
            </w:r>
          </w:p>
        </w:tc>
        <w:tc>
          <w:tcPr>
            <w:tcW w:w="270" w:type="dxa"/>
            <w:tcBorders>
              <w:top w:val="nil" w:sz="6" w:space="0" w:color="auto"/>
              <w:left w:val="nil" w:sz="6" w:space="0" w:color="auto"/>
              <w:bottom w:val="nil" w:sz="6" w:space="0" w:color="auto"/>
              <w:right w:val="nil" w:sz="6" w:space="0" w:color="auto"/>
            </w:tcBorders>
          </w:tcPr>
          <w:p>
            <w:pPr/>
          </w:p>
        </w:tc>
        <w:tc>
          <w:tcPr>
            <w:tcW w:w="225" w:type="dxa"/>
            <w:tcBorders>
              <w:top w:val="nil" w:sz="6" w:space="0" w:color="auto"/>
              <w:left w:val="nil" w:sz="6" w:space="0" w:color="auto"/>
              <w:bottom w:val="nil" w:sz="6" w:space="0" w:color="auto"/>
              <w:right w:val="nil" w:sz="6" w:space="0" w:color="auto"/>
            </w:tcBorders>
          </w:tcPr>
          <w:p>
            <w:pPr>
              <w:pStyle w:val="TableParagraph"/>
              <w:spacing w:line="240" w:lineRule="auto" w:before="42"/>
              <w:ind w:left="6" w:right="0"/>
              <w:jc w:val="left"/>
              <w:rPr>
                <w:rFonts w:ascii="宋体" w:hAnsi="宋体" w:cs="宋体" w:eastAsia="宋体" w:hint="default"/>
                <w:sz w:val="18"/>
                <w:szCs w:val="18"/>
              </w:rPr>
            </w:pPr>
            <w:r>
              <w:rPr>
                <w:rFonts w:ascii="宋体" w:hAnsi="宋体" w:cs="宋体" w:eastAsia="宋体" w:hint="default"/>
                <w:sz w:val="18"/>
                <w:szCs w:val="18"/>
              </w:rPr>
              <w:t>源</w:t>
            </w:r>
          </w:p>
        </w:tc>
        <w:tc>
          <w:tcPr>
            <w:tcW w:w="618" w:type="dxa"/>
            <w:tcBorders>
              <w:top w:val="nil" w:sz="6" w:space="0" w:color="auto"/>
              <w:left w:val="nil" w:sz="6" w:space="0" w:color="auto"/>
              <w:bottom w:val="nil" w:sz="6" w:space="0" w:color="auto"/>
              <w:right w:val="nil" w:sz="6" w:space="0" w:color="auto"/>
            </w:tcBorders>
          </w:tcPr>
          <w:p>
            <w:pP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3"/>
              <w:jc w:val="right"/>
              <w:rPr>
                <w:rFonts w:ascii="Times New Roman" w:hAnsi="Times New Roman" w:cs="Times New Roman" w:eastAsia="Times New Roman" w:hint="default"/>
                <w:sz w:val="18"/>
                <w:szCs w:val="18"/>
              </w:rPr>
            </w:pPr>
            <w:r>
              <w:rPr>
                <w:rFonts w:ascii="Times New Roman"/>
                <w:spacing w:val="-1"/>
                <w:sz w:val="18"/>
              </w:rPr>
              <w:t>8,618,429.00</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4"/>
              <w:jc w:val="right"/>
              <w:rPr>
                <w:rFonts w:ascii="Times New Roman" w:hAnsi="Times New Roman" w:cs="Times New Roman" w:eastAsia="Times New Roman" w:hint="default"/>
                <w:sz w:val="18"/>
                <w:szCs w:val="18"/>
              </w:rPr>
            </w:pPr>
            <w:r>
              <w:rPr>
                <w:rFonts w:ascii="Times New Roman"/>
                <w:spacing w:val="-1"/>
                <w:sz w:val="18"/>
              </w:rPr>
              <w:t>1,496,034.97</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2"/>
              <w:ind w:left="88" w:right="0"/>
              <w:jc w:val="center"/>
              <w:rPr>
                <w:rFonts w:ascii="Times New Roman" w:hAnsi="Times New Roman" w:cs="Times New Roman" w:eastAsia="Times New Roman" w:hint="default"/>
                <w:sz w:val="18"/>
                <w:szCs w:val="18"/>
              </w:rPr>
            </w:pPr>
            <w:r>
              <w:rPr>
                <w:rFonts w:ascii="Times New Roman"/>
                <w:sz w:val="18"/>
              </w:rPr>
              <w:t>12,847,974.83</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4"/>
              <w:jc w:val="right"/>
              <w:rPr>
                <w:rFonts w:ascii="Times New Roman" w:hAnsi="Times New Roman" w:cs="Times New Roman" w:eastAsia="Times New Roman" w:hint="default"/>
                <w:sz w:val="18"/>
                <w:szCs w:val="18"/>
              </w:rPr>
            </w:pPr>
            <w:r>
              <w:rPr>
                <w:rFonts w:ascii="Times New Roman"/>
                <w:spacing w:val="-1"/>
                <w:sz w:val="18"/>
              </w:rPr>
              <w:t>2,453,690.45</w:t>
            </w:r>
          </w:p>
        </w:tc>
      </w:tr>
      <w:tr>
        <w:trPr>
          <w:trHeight w:val="385" w:hRule="exact"/>
        </w:trPr>
        <w:tc>
          <w:tcPr>
            <w:tcW w:w="29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政</w:t>
            </w:r>
          </w:p>
        </w:tc>
        <w:tc>
          <w:tcPr>
            <w:tcW w:w="270" w:type="dxa"/>
            <w:tcBorders>
              <w:top w:val="nil" w:sz="6" w:space="0" w:color="auto"/>
              <w:left w:val="nil" w:sz="6" w:space="0" w:color="auto"/>
              <w:bottom w:val="nil" w:sz="6" w:space="0" w:color="auto"/>
              <w:right w:val="nil" w:sz="6" w:space="0" w:color="auto"/>
            </w:tcBorders>
          </w:tcPr>
          <w:p>
            <w:pPr/>
          </w:p>
        </w:tc>
        <w:tc>
          <w:tcPr>
            <w:tcW w:w="225" w:type="dxa"/>
            <w:tcBorders>
              <w:top w:val="nil" w:sz="6" w:space="0" w:color="auto"/>
              <w:left w:val="nil" w:sz="6" w:space="0" w:color="auto"/>
              <w:bottom w:val="nil" w:sz="6" w:space="0" w:color="auto"/>
              <w:right w:val="nil" w:sz="6" w:space="0" w:color="auto"/>
            </w:tcBorders>
          </w:tcPr>
          <w:p>
            <w:pPr>
              <w:pStyle w:val="TableParagraph"/>
              <w:spacing w:line="240" w:lineRule="auto" w:before="42"/>
              <w:ind w:left="6" w:right="0"/>
              <w:jc w:val="left"/>
              <w:rPr>
                <w:rFonts w:ascii="宋体" w:hAnsi="宋体" w:cs="宋体" w:eastAsia="宋体" w:hint="default"/>
                <w:sz w:val="18"/>
                <w:szCs w:val="18"/>
              </w:rPr>
            </w:pPr>
            <w:r>
              <w:rPr>
                <w:rFonts w:ascii="宋体" w:hAnsi="宋体" w:cs="宋体" w:eastAsia="宋体" w:hint="default"/>
                <w:sz w:val="18"/>
                <w:szCs w:val="18"/>
              </w:rPr>
              <w:t>府</w:t>
            </w:r>
          </w:p>
        </w:tc>
        <w:tc>
          <w:tcPr>
            <w:tcW w:w="618" w:type="dxa"/>
            <w:tcBorders>
              <w:top w:val="nil" w:sz="6" w:space="0" w:color="auto"/>
              <w:left w:val="nil" w:sz="6" w:space="0" w:color="auto"/>
              <w:bottom w:val="nil" w:sz="6" w:space="0" w:color="auto"/>
              <w:right w:val="nil" w:sz="6" w:space="0" w:color="auto"/>
            </w:tcBorders>
          </w:tcPr>
          <w:p>
            <w:pP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3"/>
              <w:jc w:val="right"/>
              <w:rPr>
                <w:rFonts w:ascii="Times New Roman" w:hAnsi="Times New Roman" w:cs="Times New Roman" w:eastAsia="Times New Roman" w:hint="default"/>
                <w:sz w:val="18"/>
                <w:szCs w:val="18"/>
              </w:rPr>
            </w:pPr>
            <w:r>
              <w:rPr>
                <w:rFonts w:ascii="Times New Roman"/>
                <w:spacing w:val="-1"/>
                <w:sz w:val="18"/>
              </w:rPr>
              <w:t>12,911,831.92</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4"/>
              <w:jc w:val="right"/>
              <w:rPr>
                <w:rFonts w:ascii="Times New Roman" w:hAnsi="Times New Roman" w:cs="Times New Roman" w:eastAsia="Times New Roman" w:hint="default"/>
                <w:sz w:val="18"/>
                <w:szCs w:val="18"/>
              </w:rPr>
            </w:pPr>
            <w:r>
              <w:rPr>
                <w:rFonts w:ascii="Times New Roman"/>
                <w:spacing w:val="-1"/>
                <w:sz w:val="18"/>
              </w:rPr>
              <w:t>5,023,787.29</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77" w:right="0"/>
              <w:jc w:val="center"/>
              <w:rPr>
                <w:rFonts w:ascii="Times New Roman" w:hAnsi="Times New Roman" w:cs="Times New Roman" w:eastAsia="Times New Roman" w:hint="default"/>
                <w:sz w:val="18"/>
                <w:szCs w:val="18"/>
              </w:rPr>
            </w:pPr>
            <w:r>
              <w:rPr>
                <w:rFonts w:ascii="Times New Roman"/>
                <w:sz w:val="18"/>
              </w:rPr>
              <w:t>8,952,800.00</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4"/>
              <w:jc w:val="right"/>
              <w:rPr>
                <w:rFonts w:ascii="Times New Roman" w:hAnsi="Times New Roman" w:cs="Times New Roman" w:eastAsia="Times New Roman" w:hint="default"/>
                <w:sz w:val="18"/>
                <w:szCs w:val="18"/>
              </w:rPr>
            </w:pPr>
            <w:r>
              <w:rPr>
                <w:rFonts w:ascii="Times New Roman"/>
                <w:spacing w:val="-1"/>
                <w:sz w:val="18"/>
              </w:rPr>
              <w:t>1,871,976.99</w:t>
            </w:r>
          </w:p>
        </w:tc>
      </w:tr>
      <w:tr>
        <w:trPr>
          <w:trHeight w:val="385" w:hRule="exact"/>
        </w:trPr>
        <w:tc>
          <w:tcPr>
            <w:tcW w:w="299"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其</w:t>
            </w:r>
          </w:p>
        </w:tc>
        <w:tc>
          <w:tcPr>
            <w:tcW w:w="270" w:type="dxa"/>
            <w:tcBorders>
              <w:top w:val="nil" w:sz="6" w:space="0" w:color="auto"/>
              <w:left w:val="nil" w:sz="6" w:space="0" w:color="auto"/>
              <w:bottom w:val="nil" w:sz="6" w:space="0" w:color="auto"/>
              <w:right w:val="nil" w:sz="6" w:space="0" w:color="auto"/>
            </w:tcBorders>
          </w:tcPr>
          <w:p>
            <w:pPr/>
          </w:p>
        </w:tc>
        <w:tc>
          <w:tcPr>
            <w:tcW w:w="225" w:type="dxa"/>
            <w:tcBorders>
              <w:top w:val="nil" w:sz="6" w:space="0" w:color="auto"/>
              <w:left w:val="nil" w:sz="6" w:space="0" w:color="auto"/>
              <w:bottom w:val="nil" w:sz="6" w:space="0" w:color="auto"/>
              <w:right w:val="nil" w:sz="6" w:space="0" w:color="auto"/>
            </w:tcBorders>
          </w:tcPr>
          <w:p>
            <w:pPr>
              <w:pStyle w:val="TableParagraph"/>
              <w:spacing w:line="240" w:lineRule="auto" w:before="43"/>
              <w:ind w:left="6" w:right="0"/>
              <w:jc w:val="left"/>
              <w:rPr>
                <w:rFonts w:ascii="宋体" w:hAnsi="宋体" w:cs="宋体" w:eastAsia="宋体" w:hint="default"/>
                <w:sz w:val="18"/>
                <w:szCs w:val="18"/>
              </w:rPr>
            </w:pPr>
            <w:r>
              <w:rPr>
                <w:rFonts w:ascii="宋体" w:hAnsi="宋体" w:cs="宋体" w:eastAsia="宋体" w:hint="default"/>
                <w:sz w:val="18"/>
                <w:szCs w:val="18"/>
              </w:rPr>
              <w:t>他</w:t>
            </w:r>
          </w:p>
        </w:tc>
        <w:tc>
          <w:tcPr>
            <w:tcW w:w="618" w:type="dxa"/>
            <w:tcBorders>
              <w:top w:val="nil" w:sz="6" w:space="0" w:color="auto"/>
              <w:left w:val="nil" w:sz="6" w:space="0" w:color="auto"/>
              <w:bottom w:val="nil" w:sz="6" w:space="0" w:color="auto"/>
              <w:right w:val="nil" w:sz="6" w:space="0" w:color="auto"/>
            </w:tcBorders>
          </w:tcPr>
          <w:p>
            <w:pP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23"/>
              <w:jc w:val="right"/>
              <w:rPr>
                <w:rFonts w:ascii="Times New Roman" w:hAnsi="Times New Roman" w:cs="Times New Roman" w:eastAsia="Times New Roman" w:hint="default"/>
                <w:sz w:val="18"/>
                <w:szCs w:val="18"/>
              </w:rPr>
            </w:pPr>
            <w:r>
              <w:rPr>
                <w:rFonts w:ascii="Times New Roman"/>
                <w:spacing w:val="-1"/>
                <w:sz w:val="18"/>
              </w:rPr>
              <w:t>23,027,995.21</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24"/>
              <w:jc w:val="right"/>
              <w:rPr>
                <w:rFonts w:ascii="Times New Roman" w:hAnsi="Times New Roman" w:cs="Times New Roman" w:eastAsia="Times New Roman" w:hint="default"/>
                <w:sz w:val="18"/>
                <w:szCs w:val="18"/>
              </w:rPr>
            </w:pPr>
            <w:r>
              <w:rPr>
                <w:rFonts w:ascii="Times New Roman"/>
                <w:spacing w:val="-1"/>
                <w:sz w:val="18"/>
              </w:rPr>
              <w:t>13,251,367.92</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88" w:right="0"/>
              <w:jc w:val="center"/>
              <w:rPr>
                <w:rFonts w:ascii="Times New Roman" w:hAnsi="Times New Roman" w:cs="Times New Roman" w:eastAsia="Times New Roman" w:hint="default"/>
                <w:sz w:val="18"/>
                <w:szCs w:val="18"/>
              </w:rPr>
            </w:pPr>
            <w:r>
              <w:rPr>
                <w:rFonts w:ascii="Times New Roman"/>
                <w:sz w:val="18"/>
              </w:rPr>
              <w:t>27,228,221.33</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4"/>
              <w:jc w:val="right"/>
              <w:rPr>
                <w:rFonts w:ascii="Times New Roman" w:hAnsi="Times New Roman" w:cs="Times New Roman" w:eastAsia="Times New Roman" w:hint="default"/>
                <w:sz w:val="18"/>
                <w:szCs w:val="18"/>
              </w:rPr>
            </w:pPr>
            <w:r>
              <w:rPr>
                <w:rFonts w:ascii="Times New Roman"/>
                <w:spacing w:val="-1"/>
                <w:sz w:val="18"/>
              </w:rPr>
              <w:t>8,727,368.86</w:t>
            </w:r>
          </w:p>
        </w:tc>
      </w:tr>
      <w:tr>
        <w:trPr>
          <w:trHeight w:val="390" w:hRule="exact"/>
        </w:trPr>
        <w:tc>
          <w:tcPr>
            <w:tcW w:w="299" w:type="dxa"/>
            <w:tcBorders>
              <w:top w:val="nil" w:sz="6" w:space="0" w:color="auto"/>
              <w:left w:val="nil" w:sz="6" w:space="0" w:color="auto"/>
              <w:bottom w:val="single" w:sz="12" w:space="0" w:color="000000"/>
              <w:right w:val="nil" w:sz="6" w:space="0" w:color="auto"/>
            </w:tcBorders>
          </w:tcPr>
          <w:p>
            <w:pPr/>
          </w:p>
        </w:tc>
        <w:tc>
          <w:tcPr>
            <w:tcW w:w="270"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left="83" w:right="0"/>
              <w:jc w:val="left"/>
              <w:rPr>
                <w:rFonts w:ascii="宋体" w:hAnsi="宋体" w:cs="宋体" w:eastAsia="宋体" w:hint="default"/>
                <w:sz w:val="18"/>
                <w:szCs w:val="18"/>
              </w:rPr>
            </w:pPr>
            <w:r>
              <w:rPr>
                <w:rFonts w:ascii="宋体" w:hAnsi="宋体" w:cs="宋体" w:eastAsia="宋体" w:hint="default"/>
                <w:sz w:val="18"/>
                <w:szCs w:val="18"/>
              </w:rPr>
              <w:t>合</w:t>
            </w:r>
          </w:p>
        </w:tc>
        <w:tc>
          <w:tcPr>
            <w:tcW w:w="225" w:type="dxa"/>
            <w:tcBorders>
              <w:top w:val="nil" w:sz="6" w:space="0" w:color="auto"/>
              <w:left w:val="nil" w:sz="6" w:space="0" w:color="auto"/>
              <w:bottom w:val="single" w:sz="12" w:space="0" w:color="000000"/>
              <w:right w:val="nil" w:sz="6" w:space="0" w:color="auto"/>
            </w:tcBorders>
          </w:tcPr>
          <w:p>
            <w:pPr/>
          </w:p>
        </w:tc>
        <w:tc>
          <w:tcPr>
            <w:tcW w:w="618"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left="38" w:right="0"/>
              <w:jc w:val="left"/>
              <w:rPr>
                <w:rFonts w:ascii="宋体" w:hAnsi="宋体" w:cs="宋体" w:eastAsia="宋体" w:hint="default"/>
                <w:sz w:val="18"/>
                <w:szCs w:val="18"/>
              </w:rPr>
            </w:pPr>
            <w:r>
              <w:rPr>
                <w:rFonts w:ascii="宋体" w:hAnsi="宋体" w:cs="宋体" w:eastAsia="宋体" w:hint="default"/>
                <w:sz w:val="18"/>
                <w:szCs w:val="18"/>
              </w:rPr>
              <w:t>计</w:t>
            </w:r>
          </w:p>
        </w:tc>
        <w:tc>
          <w:tcPr>
            <w:tcW w:w="1749"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222"/>
              <w:jc w:val="right"/>
              <w:rPr>
                <w:rFonts w:ascii="Times New Roman" w:hAnsi="Times New Roman" w:cs="Times New Roman" w:eastAsia="Times New Roman" w:hint="default"/>
                <w:sz w:val="18"/>
                <w:szCs w:val="18"/>
              </w:rPr>
            </w:pPr>
            <w:r>
              <w:rPr>
                <w:rFonts w:ascii="Times New Roman"/>
                <w:spacing w:val="-1"/>
                <w:sz w:val="18"/>
              </w:rPr>
              <w:t>841,628,987.00</w:t>
            </w:r>
          </w:p>
        </w:tc>
        <w:tc>
          <w:tcPr>
            <w:tcW w:w="1575"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223"/>
              <w:jc w:val="right"/>
              <w:rPr>
                <w:rFonts w:ascii="Times New Roman" w:hAnsi="Times New Roman" w:cs="Times New Roman" w:eastAsia="Times New Roman" w:hint="default"/>
                <w:sz w:val="18"/>
                <w:szCs w:val="18"/>
              </w:rPr>
            </w:pPr>
            <w:r>
              <w:rPr>
                <w:rFonts w:ascii="Times New Roman"/>
                <w:spacing w:val="-1"/>
                <w:sz w:val="18"/>
              </w:rPr>
              <w:t>220,052,700.32</w:t>
            </w:r>
          </w:p>
        </w:tc>
        <w:tc>
          <w:tcPr>
            <w:tcW w:w="1575"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0"/>
              <w:jc w:val="center"/>
              <w:rPr>
                <w:rFonts w:ascii="Times New Roman" w:hAnsi="Times New Roman" w:cs="Times New Roman" w:eastAsia="Times New Roman" w:hint="default"/>
                <w:sz w:val="18"/>
                <w:szCs w:val="18"/>
              </w:rPr>
            </w:pPr>
            <w:r>
              <w:rPr>
                <w:rFonts w:ascii="Times New Roman"/>
                <w:sz w:val="18"/>
              </w:rPr>
              <w:t>722,900,469.20</w:t>
            </w:r>
          </w:p>
        </w:tc>
        <w:tc>
          <w:tcPr>
            <w:tcW w:w="1385"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190,645,334.80</w:t>
            </w:r>
          </w:p>
        </w:tc>
      </w:tr>
    </w:tbl>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1"/>
          <w:szCs w:val="21"/>
        </w:rPr>
      </w:pPr>
    </w:p>
    <w:p>
      <w:pPr>
        <w:tabs>
          <w:tab w:pos="1393" w:val="left" w:leader="none"/>
        </w:tabs>
        <w:spacing w:before="35"/>
        <w:ind w:left="855" w:right="0" w:firstLine="0"/>
        <w:jc w:val="left"/>
        <w:rPr>
          <w:rFonts w:ascii="宋体" w:hAnsi="宋体" w:cs="宋体" w:eastAsia="宋体" w:hint="default"/>
          <w:sz w:val="21"/>
          <w:szCs w:val="21"/>
        </w:rPr>
      </w:pPr>
      <w:r>
        <w:rPr/>
        <w:pict>
          <v:group style="position:absolute;margin-left:146.520004pt;margin-top:42.098499pt;width:398pt;height:116.35pt;mso-position-horizontal-relative:page;mso-position-vertical-relative:paragraph;z-index:-707728" coordorigin="2930,842" coordsize="7960,2327">
            <v:group style="position:absolute;left:2957;top:857;width:7906;height:2" coordorigin="2957,857" coordsize="7906,2">
              <v:shape style="position:absolute;left:2957;top:857;width:7906;height:2" coordorigin="2957,857" coordsize="7906,0" path="m2957,857l10862,857e" filled="false" stroked="true" strokeweight="1.5pt" strokecolor="#000000">
                <v:path arrowok="t"/>
              </v:shape>
              <v:shape style="position:absolute;left:5052;top:853;width:2866;height:413" type="#_x0000_t75" stroked="false">
                <v:imagedata r:id="rId203" o:title=""/>
              </v:shape>
              <v:shape style="position:absolute;left:5052;top:1227;width:5838;height:422" type="#_x0000_t75" stroked="false">
                <v:imagedata r:id="rId204" o:title=""/>
              </v:shape>
              <v:shape style="position:absolute;left:2930;top:1618;width:7960;height:1551" type="#_x0000_t75" stroked="false">
                <v:imagedata r:id="rId205" o:title=""/>
              </v:shape>
              <v:shape style="position:absolute;left:6125;top:96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9022;top:96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group>
            <w10:wrap type="none"/>
          </v:group>
        </w:pict>
      </w: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主营业务（分产品）</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tbl>
      <w:tblPr>
        <w:tblW w:w="0" w:type="auto"/>
        <w:jc w:val="left"/>
        <w:tblInd w:w="1362" w:type="dxa"/>
        <w:tblLayout w:type="fixed"/>
        <w:tblCellMar>
          <w:top w:w="0" w:type="dxa"/>
          <w:left w:w="0" w:type="dxa"/>
          <w:bottom w:w="0" w:type="dxa"/>
          <w:right w:w="0" w:type="dxa"/>
        </w:tblCellMar>
        <w:tblLook w:val="01E0"/>
      </w:tblPr>
      <w:tblGrid>
        <w:gridCol w:w="2043"/>
        <w:gridCol w:w="1450"/>
        <w:gridCol w:w="1417"/>
        <w:gridCol w:w="1488"/>
        <w:gridCol w:w="1377"/>
      </w:tblGrid>
      <w:tr>
        <w:trPr>
          <w:trHeight w:val="490" w:hRule="exact"/>
        </w:trPr>
        <w:tc>
          <w:tcPr>
            <w:tcW w:w="2043" w:type="dxa"/>
            <w:tcBorders>
              <w:top w:val="nil" w:sz="6" w:space="0" w:color="auto"/>
              <w:left w:val="nil" w:sz="6" w:space="0" w:color="auto"/>
              <w:bottom w:val="nil" w:sz="6" w:space="0" w:color="auto"/>
              <w:right w:val="nil" w:sz="6" w:space="0" w:color="auto"/>
            </w:tcBorders>
          </w:tcPr>
          <w:p>
            <w:pPr>
              <w:pStyle w:val="TableParagraph"/>
              <w:spacing w:line="180" w:lineRule="exact"/>
              <w:ind w:left="630" w:right="0"/>
              <w:jc w:val="left"/>
              <w:rPr>
                <w:rFonts w:ascii="宋体" w:hAnsi="宋体" w:cs="宋体" w:eastAsia="宋体" w:hint="default"/>
                <w:sz w:val="18"/>
                <w:szCs w:val="18"/>
              </w:rPr>
            </w:pPr>
            <w:r>
              <w:rPr>
                <w:rFonts w:ascii="宋体" w:hAnsi="宋体" w:cs="宋体" w:eastAsia="宋体" w:hint="default"/>
                <w:sz w:val="18"/>
                <w:szCs w:val="18"/>
              </w:rPr>
              <w:t>产品名称</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349"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309"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309"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77"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309"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390" w:hRule="exact"/>
        </w:trPr>
        <w:tc>
          <w:tcPr>
            <w:tcW w:w="204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软件产品开发与销售</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43"/>
              <w:jc w:val="right"/>
              <w:rPr>
                <w:rFonts w:ascii="Times New Roman" w:hAnsi="Times New Roman" w:cs="Times New Roman" w:eastAsia="Times New Roman" w:hint="default"/>
                <w:sz w:val="18"/>
                <w:szCs w:val="18"/>
              </w:rPr>
            </w:pPr>
            <w:r>
              <w:rPr>
                <w:rFonts w:ascii="Times New Roman"/>
                <w:spacing w:val="-1"/>
                <w:sz w:val="18"/>
              </w:rPr>
              <w:t>141,528,660.17</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45"/>
              <w:jc w:val="right"/>
              <w:rPr>
                <w:rFonts w:ascii="Times New Roman" w:hAnsi="Times New Roman" w:cs="Times New Roman" w:eastAsia="Times New Roman" w:hint="default"/>
                <w:sz w:val="18"/>
                <w:szCs w:val="18"/>
              </w:rPr>
            </w:pPr>
            <w:r>
              <w:rPr>
                <w:rFonts w:ascii="Times New Roman"/>
                <w:spacing w:val="-1"/>
                <w:sz w:val="18"/>
              </w:rPr>
              <w:t>7,774,102.42</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14"/>
              <w:jc w:val="right"/>
              <w:rPr>
                <w:rFonts w:ascii="Times New Roman" w:hAnsi="Times New Roman" w:cs="Times New Roman" w:eastAsia="Times New Roman" w:hint="default"/>
                <w:sz w:val="18"/>
                <w:szCs w:val="18"/>
              </w:rPr>
            </w:pPr>
            <w:r>
              <w:rPr>
                <w:rFonts w:ascii="Times New Roman"/>
                <w:spacing w:val="-1"/>
                <w:sz w:val="18"/>
              </w:rPr>
              <w:t>141,395,334.12</w:t>
            </w:r>
          </w:p>
        </w:tc>
        <w:tc>
          <w:tcPr>
            <w:tcW w:w="137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4"/>
              <w:jc w:val="right"/>
              <w:rPr>
                <w:rFonts w:ascii="Times New Roman" w:hAnsi="Times New Roman" w:cs="Times New Roman" w:eastAsia="Times New Roman" w:hint="default"/>
                <w:sz w:val="18"/>
                <w:szCs w:val="18"/>
              </w:rPr>
            </w:pPr>
            <w:r>
              <w:rPr>
                <w:rFonts w:ascii="Times New Roman"/>
                <w:spacing w:val="-1"/>
                <w:sz w:val="18"/>
              </w:rPr>
              <w:t>7,218,050.92</w:t>
            </w:r>
          </w:p>
        </w:tc>
      </w:tr>
      <w:tr>
        <w:trPr>
          <w:trHeight w:val="385" w:hRule="exact"/>
        </w:trPr>
        <w:tc>
          <w:tcPr>
            <w:tcW w:w="204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技术服务</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43"/>
              <w:jc w:val="right"/>
              <w:rPr>
                <w:rFonts w:ascii="Times New Roman" w:hAnsi="Times New Roman" w:cs="Times New Roman" w:eastAsia="Times New Roman" w:hint="default"/>
                <w:sz w:val="18"/>
                <w:szCs w:val="18"/>
              </w:rPr>
            </w:pPr>
            <w:r>
              <w:rPr>
                <w:rFonts w:ascii="Times New Roman"/>
                <w:spacing w:val="-1"/>
                <w:sz w:val="18"/>
              </w:rPr>
              <w:t>633,881,737.50</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43"/>
              <w:jc w:val="right"/>
              <w:rPr>
                <w:rFonts w:ascii="Times New Roman" w:hAnsi="Times New Roman" w:cs="Times New Roman" w:eastAsia="Times New Roman" w:hint="default"/>
                <w:sz w:val="18"/>
                <w:szCs w:val="18"/>
              </w:rPr>
            </w:pPr>
            <w:r>
              <w:rPr>
                <w:rFonts w:ascii="Times New Roman"/>
                <w:spacing w:val="-1"/>
                <w:sz w:val="18"/>
              </w:rPr>
              <w:t>158,525,274.94</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4"/>
              <w:jc w:val="right"/>
              <w:rPr>
                <w:rFonts w:ascii="Times New Roman" w:hAnsi="Times New Roman" w:cs="Times New Roman" w:eastAsia="Times New Roman" w:hint="default"/>
                <w:sz w:val="18"/>
                <w:szCs w:val="18"/>
              </w:rPr>
            </w:pPr>
            <w:r>
              <w:rPr>
                <w:rFonts w:ascii="Times New Roman"/>
                <w:spacing w:val="-1"/>
                <w:sz w:val="18"/>
              </w:rPr>
              <w:t>523,612,339.54</w:t>
            </w:r>
          </w:p>
        </w:tc>
        <w:tc>
          <w:tcPr>
            <w:tcW w:w="137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2"/>
                <w:sz w:val="18"/>
              </w:rPr>
              <w:t>134,761,111.26</w:t>
            </w:r>
          </w:p>
        </w:tc>
      </w:tr>
      <w:tr>
        <w:trPr>
          <w:trHeight w:val="384" w:hRule="exact"/>
        </w:trPr>
        <w:tc>
          <w:tcPr>
            <w:tcW w:w="2043"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系统集成</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45"/>
              <w:jc w:val="right"/>
              <w:rPr>
                <w:rFonts w:ascii="Times New Roman" w:hAnsi="Times New Roman" w:cs="Times New Roman" w:eastAsia="Times New Roman" w:hint="default"/>
                <w:sz w:val="18"/>
                <w:szCs w:val="18"/>
              </w:rPr>
            </w:pPr>
            <w:r>
              <w:rPr>
                <w:rFonts w:ascii="Times New Roman"/>
                <w:spacing w:val="-1"/>
                <w:sz w:val="18"/>
              </w:rPr>
              <w:t>66,218,589.33</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45"/>
              <w:jc w:val="right"/>
              <w:rPr>
                <w:rFonts w:ascii="Times New Roman" w:hAnsi="Times New Roman" w:cs="Times New Roman" w:eastAsia="Times New Roman" w:hint="default"/>
                <w:sz w:val="18"/>
                <w:szCs w:val="18"/>
              </w:rPr>
            </w:pPr>
            <w:r>
              <w:rPr>
                <w:rFonts w:ascii="Times New Roman"/>
                <w:spacing w:val="-1"/>
                <w:sz w:val="18"/>
              </w:rPr>
              <w:t>53,753,322.96</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15"/>
              <w:jc w:val="right"/>
              <w:rPr>
                <w:rFonts w:ascii="Times New Roman" w:hAnsi="Times New Roman" w:cs="Times New Roman" w:eastAsia="Times New Roman" w:hint="default"/>
                <w:sz w:val="18"/>
                <w:szCs w:val="18"/>
              </w:rPr>
            </w:pPr>
            <w:r>
              <w:rPr>
                <w:rFonts w:ascii="Times New Roman"/>
                <w:spacing w:val="-1"/>
                <w:sz w:val="18"/>
              </w:rPr>
              <w:t>57,892,795.54</w:t>
            </w:r>
          </w:p>
        </w:tc>
        <w:tc>
          <w:tcPr>
            <w:tcW w:w="137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5"/>
              <w:jc w:val="right"/>
              <w:rPr>
                <w:rFonts w:ascii="Times New Roman" w:hAnsi="Times New Roman" w:cs="Times New Roman" w:eastAsia="Times New Roman" w:hint="default"/>
                <w:sz w:val="18"/>
                <w:szCs w:val="18"/>
              </w:rPr>
            </w:pPr>
            <w:r>
              <w:rPr>
                <w:rFonts w:ascii="Times New Roman"/>
                <w:spacing w:val="-1"/>
                <w:sz w:val="18"/>
              </w:rPr>
              <w:t>48,666,172.62</w:t>
            </w:r>
          </w:p>
        </w:tc>
      </w:tr>
      <w:tr>
        <w:trPr>
          <w:trHeight w:val="390" w:hRule="exact"/>
        </w:trPr>
        <w:tc>
          <w:tcPr>
            <w:tcW w:w="2043" w:type="dxa"/>
            <w:tcBorders>
              <w:top w:val="nil" w:sz="6" w:space="0" w:color="auto"/>
              <w:left w:val="nil" w:sz="6" w:space="0" w:color="auto"/>
              <w:bottom w:val="single" w:sz="12" w:space="0" w:color="000000"/>
              <w:right w:val="nil" w:sz="6" w:space="0" w:color="auto"/>
            </w:tcBorders>
          </w:tcPr>
          <w:p>
            <w:pPr>
              <w:pStyle w:val="TableParagraph"/>
              <w:tabs>
                <w:tab w:pos="1124" w:val="left" w:leader="none"/>
              </w:tabs>
              <w:spacing w:line="240" w:lineRule="auto" w:before="41"/>
              <w:ind w:left="674"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450"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43"/>
              <w:jc w:val="right"/>
              <w:rPr>
                <w:rFonts w:ascii="Times New Roman" w:hAnsi="Times New Roman" w:cs="Times New Roman" w:eastAsia="Times New Roman" w:hint="default"/>
                <w:sz w:val="18"/>
                <w:szCs w:val="18"/>
              </w:rPr>
            </w:pPr>
            <w:r>
              <w:rPr>
                <w:rFonts w:ascii="Times New Roman"/>
                <w:spacing w:val="-1"/>
                <w:sz w:val="18"/>
              </w:rPr>
              <w:t>841,628,987.00</w:t>
            </w:r>
          </w:p>
        </w:tc>
        <w:tc>
          <w:tcPr>
            <w:tcW w:w="1417"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43"/>
              <w:jc w:val="right"/>
              <w:rPr>
                <w:rFonts w:ascii="Times New Roman" w:hAnsi="Times New Roman" w:cs="Times New Roman" w:eastAsia="Times New Roman" w:hint="default"/>
                <w:sz w:val="18"/>
                <w:szCs w:val="18"/>
              </w:rPr>
            </w:pPr>
            <w:r>
              <w:rPr>
                <w:rFonts w:ascii="Times New Roman"/>
                <w:spacing w:val="-1"/>
                <w:sz w:val="18"/>
              </w:rPr>
              <w:t>220,052,700.32</w:t>
            </w:r>
          </w:p>
        </w:tc>
        <w:tc>
          <w:tcPr>
            <w:tcW w:w="1488"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214"/>
              <w:jc w:val="right"/>
              <w:rPr>
                <w:rFonts w:ascii="Times New Roman" w:hAnsi="Times New Roman" w:cs="Times New Roman" w:eastAsia="Times New Roman" w:hint="default"/>
                <w:sz w:val="18"/>
                <w:szCs w:val="18"/>
              </w:rPr>
            </w:pPr>
            <w:r>
              <w:rPr>
                <w:rFonts w:ascii="Times New Roman"/>
                <w:spacing w:val="-1"/>
                <w:sz w:val="18"/>
              </w:rPr>
              <w:t>722,900,469.20</w:t>
            </w:r>
          </w:p>
        </w:tc>
        <w:tc>
          <w:tcPr>
            <w:tcW w:w="1377"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pacing w:val="-1"/>
                <w:sz w:val="18"/>
              </w:rPr>
              <w:t>190,645,334.80</w:t>
            </w:r>
          </w:p>
        </w:tc>
      </w:tr>
    </w:tbl>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1"/>
          <w:szCs w:val="21"/>
        </w:rPr>
      </w:pPr>
    </w:p>
    <w:p>
      <w:pPr>
        <w:tabs>
          <w:tab w:pos="1393" w:val="left" w:leader="none"/>
        </w:tabs>
        <w:spacing w:before="35"/>
        <w:ind w:left="855" w:right="0" w:firstLine="0"/>
        <w:jc w:val="left"/>
        <w:rPr>
          <w:rFonts w:ascii="宋体" w:hAnsi="宋体" w:cs="宋体" w:eastAsia="宋体" w:hint="default"/>
          <w:sz w:val="21"/>
          <w:szCs w:val="21"/>
        </w:rPr>
      </w:pPr>
      <w:r>
        <w:rPr/>
        <w:pict>
          <v:group style="position:absolute;margin-left:146.839996pt;margin-top:42.630981pt;width:396.95pt;height:134.550pt;mso-position-horizontal-relative:page;mso-position-vertical-relative:paragraph;z-index:-707704" coordorigin="2937,853" coordsize="7939,2691">
            <v:shape style="position:absolute;left:6367;top:853;width:2075;height:787" type="#_x0000_t75" stroked="false">
              <v:imagedata r:id="rId206" o:title=""/>
            </v:shape>
            <v:shape style="position:absolute;left:2937;top:1608;width:7938;height:1935" type="#_x0000_t75" stroked="false">
              <v:imagedata r:id="rId207" o:title=""/>
            </v:shape>
            <w10:wrap type="none"/>
          </v:group>
        </w:pict>
      </w: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公司前五名客户的营业收入情况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1289" w:type="dxa"/>
        <w:tblLayout w:type="fixed"/>
        <w:tblCellMar>
          <w:top w:w="0" w:type="dxa"/>
          <w:left w:w="0" w:type="dxa"/>
          <w:bottom w:w="0" w:type="dxa"/>
          <w:right w:w="0" w:type="dxa"/>
        </w:tblCellMar>
        <w:tblLook w:val="01E0"/>
      </w:tblPr>
      <w:tblGrid>
        <w:gridCol w:w="3436"/>
        <w:gridCol w:w="2066"/>
        <w:gridCol w:w="2411"/>
      </w:tblGrid>
      <w:tr>
        <w:trPr>
          <w:trHeight w:val="773" w:hRule="exact"/>
        </w:trPr>
        <w:tc>
          <w:tcPr>
            <w:tcW w:w="3436"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5" w:right="0"/>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2066"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388" w:right="0"/>
              <w:jc w:val="left"/>
              <w:rPr>
                <w:rFonts w:ascii="宋体" w:hAnsi="宋体" w:cs="宋体" w:eastAsia="宋体" w:hint="default"/>
                <w:sz w:val="21"/>
                <w:szCs w:val="21"/>
              </w:rPr>
            </w:pPr>
            <w:r>
              <w:rPr>
                <w:rFonts w:ascii="宋体" w:hAnsi="宋体" w:cs="宋体" w:eastAsia="宋体" w:hint="default"/>
                <w:sz w:val="21"/>
                <w:szCs w:val="21"/>
              </w:rPr>
              <w:t>营业收入总额</w:t>
            </w:r>
          </w:p>
        </w:tc>
        <w:tc>
          <w:tcPr>
            <w:tcW w:w="2411" w:type="dxa"/>
            <w:tcBorders>
              <w:top w:val="single" w:sz="12" w:space="0" w:color="000000"/>
              <w:left w:val="nil" w:sz="6" w:space="0" w:color="auto"/>
              <w:bottom w:val="nil" w:sz="6" w:space="0" w:color="auto"/>
              <w:right w:val="nil" w:sz="6" w:space="0" w:color="auto"/>
            </w:tcBorders>
          </w:tcPr>
          <w:p>
            <w:pPr>
              <w:pStyle w:val="TableParagraph"/>
              <w:spacing w:line="326" w:lineRule="auto" w:before="16"/>
              <w:ind w:left="824" w:right="167" w:hanging="683"/>
              <w:jc w:val="left"/>
              <w:rPr>
                <w:rFonts w:ascii="Times New Roman" w:hAnsi="Times New Roman" w:cs="Times New Roman" w:eastAsia="Times New Roman" w:hint="default"/>
                <w:sz w:val="21"/>
                <w:szCs w:val="21"/>
              </w:rPr>
            </w:pPr>
            <w:r>
              <w:rPr>
                <w:rFonts w:ascii="宋体" w:hAnsi="宋体" w:cs="宋体" w:eastAsia="宋体" w:hint="default"/>
                <w:sz w:val="21"/>
                <w:szCs w:val="21"/>
              </w:rPr>
              <w:t>占公司全部营业收入的 比例</w:t>
            </w:r>
            <w:r>
              <w:rPr>
                <w:rFonts w:ascii="Times New Roman" w:hAnsi="Times New Roman" w:cs="Times New Roman" w:eastAsia="Times New Roman" w:hint="default"/>
                <w:sz w:val="21"/>
                <w:szCs w:val="21"/>
              </w:rPr>
              <w:t>(%)</w:t>
            </w:r>
          </w:p>
        </w:tc>
      </w:tr>
      <w:tr>
        <w:trPr>
          <w:trHeight w:val="385" w:hRule="exact"/>
        </w:trPr>
        <w:tc>
          <w:tcPr>
            <w:tcW w:w="3436"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卓望信息技术（北京）有限公司</w:t>
            </w:r>
          </w:p>
        </w:tc>
        <w:tc>
          <w:tcPr>
            <w:tcW w:w="206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40"/>
              <w:jc w:val="right"/>
              <w:rPr>
                <w:rFonts w:ascii="Times New Roman" w:hAnsi="Times New Roman" w:cs="Times New Roman" w:eastAsia="Times New Roman" w:hint="default"/>
                <w:sz w:val="21"/>
                <w:szCs w:val="21"/>
              </w:rPr>
            </w:pPr>
            <w:r>
              <w:rPr>
                <w:rFonts w:ascii="Times New Roman"/>
                <w:spacing w:val="-1"/>
                <w:sz w:val="21"/>
              </w:rPr>
              <w:t>491,207,587.66</w:t>
            </w:r>
          </w:p>
        </w:tc>
        <w:tc>
          <w:tcPr>
            <w:tcW w:w="241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1"/>
                <w:sz w:val="21"/>
              </w:rPr>
              <w:t>58.36</w:t>
            </w:r>
          </w:p>
        </w:tc>
      </w:tr>
      <w:tr>
        <w:trPr>
          <w:trHeight w:val="385" w:hRule="exact"/>
        </w:trPr>
        <w:tc>
          <w:tcPr>
            <w:tcW w:w="3436"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8" w:right="0"/>
              <w:jc w:val="left"/>
              <w:rPr>
                <w:rFonts w:ascii="宋体" w:hAnsi="宋体" w:cs="宋体" w:eastAsia="宋体" w:hint="default"/>
                <w:sz w:val="21"/>
                <w:szCs w:val="21"/>
              </w:rPr>
            </w:pPr>
            <w:r>
              <w:rPr>
                <w:rFonts w:ascii="宋体" w:hAnsi="宋体" w:cs="宋体" w:eastAsia="宋体" w:hint="default"/>
                <w:sz w:val="21"/>
                <w:szCs w:val="21"/>
              </w:rPr>
              <w:t>中国移动通信集团重庆有限公司</w:t>
            </w:r>
          </w:p>
        </w:tc>
        <w:tc>
          <w:tcPr>
            <w:tcW w:w="2066"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39"/>
              <w:jc w:val="right"/>
              <w:rPr>
                <w:rFonts w:ascii="Times New Roman" w:hAnsi="Times New Roman" w:cs="Times New Roman" w:eastAsia="Times New Roman" w:hint="default"/>
                <w:sz w:val="21"/>
                <w:szCs w:val="21"/>
              </w:rPr>
            </w:pPr>
            <w:r>
              <w:rPr>
                <w:rFonts w:ascii="Times New Roman"/>
                <w:spacing w:val="-1"/>
                <w:sz w:val="21"/>
              </w:rPr>
              <w:t>58,571,137.19</w:t>
            </w:r>
          </w:p>
        </w:tc>
        <w:tc>
          <w:tcPr>
            <w:tcW w:w="2411"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99"/>
              <w:jc w:val="right"/>
              <w:rPr>
                <w:rFonts w:ascii="Times New Roman" w:hAnsi="Times New Roman" w:cs="Times New Roman" w:eastAsia="Times New Roman" w:hint="default"/>
                <w:sz w:val="21"/>
                <w:szCs w:val="21"/>
              </w:rPr>
            </w:pPr>
            <w:r>
              <w:rPr>
                <w:rFonts w:ascii="Times New Roman"/>
                <w:spacing w:val="-1"/>
                <w:sz w:val="21"/>
              </w:rPr>
              <w:t>6.96</w:t>
            </w:r>
          </w:p>
        </w:tc>
      </w:tr>
      <w:tr>
        <w:trPr>
          <w:trHeight w:val="384" w:hRule="exact"/>
        </w:trPr>
        <w:tc>
          <w:tcPr>
            <w:tcW w:w="3436"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中国人寿保险股份有限公司</w:t>
            </w:r>
          </w:p>
        </w:tc>
        <w:tc>
          <w:tcPr>
            <w:tcW w:w="206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39"/>
              <w:jc w:val="right"/>
              <w:rPr>
                <w:rFonts w:ascii="Times New Roman" w:hAnsi="Times New Roman" w:cs="Times New Roman" w:eastAsia="Times New Roman" w:hint="default"/>
                <w:sz w:val="21"/>
                <w:szCs w:val="21"/>
              </w:rPr>
            </w:pPr>
            <w:r>
              <w:rPr>
                <w:rFonts w:ascii="Times New Roman"/>
                <w:spacing w:val="-1"/>
                <w:sz w:val="21"/>
              </w:rPr>
              <w:t>19,359,621.75</w:t>
            </w:r>
          </w:p>
        </w:tc>
        <w:tc>
          <w:tcPr>
            <w:tcW w:w="241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9"/>
              <w:jc w:val="right"/>
              <w:rPr>
                <w:rFonts w:ascii="Times New Roman" w:hAnsi="Times New Roman" w:cs="Times New Roman" w:eastAsia="Times New Roman" w:hint="default"/>
                <w:sz w:val="21"/>
                <w:szCs w:val="21"/>
              </w:rPr>
            </w:pPr>
            <w:r>
              <w:rPr>
                <w:rFonts w:ascii="Times New Roman"/>
                <w:spacing w:val="-1"/>
                <w:sz w:val="21"/>
              </w:rPr>
              <w:t>2.30</w:t>
            </w:r>
          </w:p>
        </w:tc>
      </w:tr>
      <w:tr>
        <w:trPr>
          <w:trHeight w:val="385" w:hRule="exact"/>
        </w:trPr>
        <w:tc>
          <w:tcPr>
            <w:tcW w:w="3436"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中国移动通信集团广东有限公司</w:t>
            </w:r>
          </w:p>
        </w:tc>
        <w:tc>
          <w:tcPr>
            <w:tcW w:w="206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39"/>
              <w:jc w:val="right"/>
              <w:rPr>
                <w:rFonts w:ascii="Times New Roman" w:hAnsi="Times New Roman" w:cs="Times New Roman" w:eastAsia="Times New Roman" w:hint="default"/>
                <w:sz w:val="21"/>
                <w:szCs w:val="21"/>
              </w:rPr>
            </w:pPr>
            <w:r>
              <w:rPr>
                <w:rFonts w:ascii="Times New Roman"/>
                <w:spacing w:val="-1"/>
                <w:sz w:val="21"/>
              </w:rPr>
              <w:t>19,079,734.00</w:t>
            </w:r>
          </w:p>
        </w:tc>
        <w:tc>
          <w:tcPr>
            <w:tcW w:w="241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9"/>
              <w:jc w:val="right"/>
              <w:rPr>
                <w:rFonts w:ascii="Times New Roman" w:hAnsi="Times New Roman" w:cs="Times New Roman" w:eastAsia="Times New Roman" w:hint="default"/>
                <w:sz w:val="21"/>
                <w:szCs w:val="21"/>
              </w:rPr>
            </w:pPr>
            <w:r>
              <w:rPr>
                <w:rFonts w:ascii="Times New Roman"/>
                <w:spacing w:val="-1"/>
                <w:sz w:val="21"/>
              </w:rPr>
              <w:t>2.27</w:t>
            </w:r>
          </w:p>
        </w:tc>
      </w:tr>
      <w:tr>
        <w:trPr>
          <w:trHeight w:val="390" w:hRule="exact"/>
        </w:trPr>
        <w:tc>
          <w:tcPr>
            <w:tcW w:w="3436" w:type="dxa"/>
            <w:tcBorders>
              <w:top w:val="nil" w:sz="6" w:space="0" w:color="auto"/>
              <w:left w:val="nil" w:sz="6" w:space="0" w:color="auto"/>
              <w:bottom w:val="single" w:sz="12" w:space="0" w:color="000000"/>
              <w:right w:val="nil" w:sz="6" w:space="0" w:color="auto"/>
            </w:tcBorders>
          </w:tcPr>
          <w:p>
            <w:pPr>
              <w:pStyle w:val="TableParagraph"/>
              <w:spacing w:line="240" w:lineRule="auto" w:before="17"/>
              <w:ind w:left="108" w:right="0"/>
              <w:jc w:val="left"/>
              <w:rPr>
                <w:rFonts w:ascii="宋体" w:hAnsi="宋体" w:cs="宋体" w:eastAsia="宋体" w:hint="default"/>
                <w:sz w:val="21"/>
                <w:szCs w:val="21"/>
              </w:rPr>
            </w:pPr>
            <w:r>
              <w:rPr>
                <w:rFonts w:ascii="宋体" w:hAnsi="宋体" w:cs="宋体" w:eastAsia="宋体" w:hint="default"/>
                <w:sz w:val="21"/>
                <w:szCs w:val="21"/>
              </w:rPr>
              <w:t>中国移动通信集团北京有限公司</w:t>
            </w:r>
          </w:p>
        </w:tc>
        <w:tc>
          <w:tcPr>
            <w:tcW w:w="2066" w:type="dxa"/>
            <w:tcBorders>
              <w:top w:val="nil" w:sz="6" w:space="0" w:color="auto"/>
              <w:left w:val="nil" w:sz="6" w:space="0" w:color="auto"/>
              <w:bottom w:val="single" w:sz="12" w:space="0" w:color="000000"/>
              <w:right w:val="nil" w:sz="6" w:space="0" w:color="auto"/>
            </w:tcBorders>
          </w:tcPr>
          <w:p>
            <w:pPr>
              <w:pStyle w:val="TableParagraph"/>
              <w:spacing w:line="240" w:lineRule="auto" w:before="66"/>
              <w:ind w:right="139"/>
              <w:jc w:val="right"/>
              <w:rPr>
                <w:rFonts w:ascii="Times New Roman" w:hAnsi="Times New Roman" w:cs="Times New Roman" w:eastAsia="Times New Roman" w:hint="default"/>
                <w:sz w:val="21"/>
                <w:szCs w:val="21"/>
              </w:rPr>
            </w:pPr>
            <w:r>
              <w:rPr>
                <w:rFonts w:ascii="Times New Roman"/>
                <w:spacing w:val="-1"/>
                <w:sz w:val="21"/>
              </w:rPr>
              <w:t>17,178,752.15</w:t>
            </w:r>
          </w:p>
        </w:tc>
        <w:tc>
          <w:tcPr>
            <w:tcW w:w="2411" w:type="dxa"/>
            <w:tcBorders>
              <w:top w:val="nil" w:sz="6" w:space="0" w:color="auto"/>
              <w:left w:val="nil" w:sz="6" w:space="0" w:color="auto"/>
              <w:bottom w:val="single" w:sz="12" w:space="0" w:color="000000"/>
              <w:right w:val="nil" w:sz="6" w:space="0" w:color="auto"/>
            </w:tcBorders>
          </w:tcPr>
          <w:p>
            <w:pPr>
              <w:pStyle w:val="TableParagraph"/>
              <w:spacing w:line="240" w:lineRule="auto" w:before="66"/>
              <w:ind w:right="99"/>
              <w:jc w:val="right"/>
              <w:rPr>
                <w:rFonts w:ascii="Times New Roman" w:hAnsi="Times New Roman" w:cs="Times New Roman" w:eastAsia="Times New Roman" w:hint="default"/>
                <w:sz w:val="21"/>
                <w:szCs w:val="21"/>
              </w:rPr>
            </w:pPr>
            <w:r>
              <w:rPr>
                <w:rFonts w:ascii="Times New Roman"/>
                <w:spacing w:val="-1"/>
                <w:sz w:val="21"/>
              </w:rPr>
              <w:t>2.04</w:t>
            </w:r>
          </w:p>
        </w:tc>
      </w:tr>
    </w:tbl>
    <w:p>
      <w:pPr>
        <w:spacing w:after="0" w:line="240" w:lineRule="auto"/>
        <w:jc w:val="right"/>
        <w:rPr>
          <w:rFonts w:ascii="Times New Roman" w:hAnsi="Times New Roman" w:cs="Times New Roman" w:eastAsia="Times New Roman" w:hint="default"/>
          <w:sz w:val="21"/>
          <w:szCs w:val="21"/>
        </w:rPr>
        <w:sectPr>
          <w:pgSz w:w="11910" w:h="16840"/>
          <w:pgMar w:header="851" w:footer="982" w:top="1360" w:bottom="1180" w:left="1660" w:right="900"/>
        </w:sect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8"/>
          <w:szCs w:val="28"/>
        </w:rPr>
      </w:pPr>
    </w:p>
    <w:p>
      <w:pPr>
        <w:spacing w:before="35"/>
        <w:ind w:left="123" w:right="312" w:firstLine="0"/>
        <w:jc w:val="left"/>
        <w:rPr>
          <w:rFonts w:ascii="宋体" w:hAnsi="宋体" w:cs="宋体" w:eastAsia="宋体" w:hint="default"/>
          <w:sz w:val="21"/>
          <w:szCs w:val="21"/>
        </w:rPr>
      </w:pPr>
      <w:r>
        <w:rPr/>
        <w:pict>
          <v:group style="position:absolute;margin-left:119.399994pt;margin-top:42.638489pt;width:410.65pt;height:96.55pt;mso-position-horizontal-relative:page;mso-position-vertical-relative:paragraph;z-index:-707680" coordorigin="2388,853" coordsize="8213,1931">
            <v:shape style="position:absolute;left:5885;top:853;width:2316;height:413" type="#_x0000_t75" stroked="false">
              <v:imagedata r:id="rId208" o:title=""/>
            </v:shape>
            <v:shape style="position:absolute;left:2388;top:1227;width:8213;height:1556" type="#_x0000_t75" stroked="false">
              <v:imagedata r:id="rId209"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二十八</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6"/>
          <w:sz w:val="21"/>
          <w:szCs w:val="21"/>
        </w:rPr>
        <w:t> </w:t>
      </w:r>
      <w:r>
        <w:rPr>
          <w:rFonts w:ascii="宋体" w:hAnsi="宋体" w:cs="宋体" w:eastAsia="宋体" w:hint="default"/>
          <w:b/>
          <w:bCs/>
          <w:sz w:val="21"/>
          <w:szCs w:val="21"/>
        </w:rPr>
        <w:t>营业税金及附加</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747" w:type="dxa"/>
        <w:tblLayout w:type="fixed"/>
        <w:tblCellMar>
          <w:top w:w="0" w:type="dxa"/>
          <w:left w:w="0" w:type="dxa"/>
          <w:bottom w:w="0" w:type="dxa"/>
          <w:right w:w="0" w:type="dxa"/>
        </w:tblCellMar>
        <w:tblLook w:val="01E0"/>
      </w:tblPr>
      <w:tblGrid>
        <w:gridCol w:w="3088"/>
        <w:gridCol w:w="3021"/>
        <w:gridCol w:w="2063"/>
      </w:tblGrid>
      <w:tr>
        <w:trPr>
          <w:trHeight w:val="393" w:hRule="exact"/>
        </w:trPr>
        <w:tc>
          <w:tcPr>
            <w:tcW w:w="3088"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right="1126"/>
              <w:jc w:val="right"/>
              <w:rPr>
                <w:rFonts w:ascii="宋体" w:hAnsi="宋体" w:cs="宋体" w:eastAsia="宋体" w:hint="default"/>
                <w:sz w:val="21"/>
                <w:szCs w:val="21"/>
              </w:rPr>
            </w:pPr>
            <w:r>
              <w:rPr>
                <w:rFonts w:ascii="宋体" w:hAnsi="宋体" w:cs="宋体" w:eastAsia="宋体" w:hint="default"/>
                <w:sz w:val="21"/>
                <w:szCs w:val="21"/>
              </w:rPr>
              <w:t>项目</w:t>
            </w:r>
          </w:p>
        </w:tc>
        <w:tc>
          <w:tcPr>
            <w:tcW w:w="3021"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74"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2063"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445"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90" w:hRule="exact"/>
        </w:trPr>
        <w:tc>
          <w:tcPr>
            <w:tcW w:w="308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3021"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44"/>
              <w:jc w:val="right"/>
              <w:rPr>
                <w:rFonts w:ascii="Times New Roman" w:hAnsi="Times New Roman" w:cs="Times New Roman" w:eastAsia="Times New Roman" w:hint="default"/>
                <w:sz w:val="21"/>
                <w:szCs w:val="21"/>
              </w:rPr>
            </w:pPr>
            <w:r>
              <w:rPr>
                <w:rFonts w:ascii="Times New Roman"/>
                <w:spacing w:val="-1"/>
                <w:sz w:val="21"/>
              </w:rPr>
              <w:t>8,507,615.43</w:t>
            </w:r>
          </w:p>
        </w:tc>
        <w:tc>
          <w:tcPr>
            <w:tcW w:w="206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97"/>
              <w:jc w:val="right"/>
              <w:rPr>
                <w:rFonts w:ascii="Times New Roman" w:hAnsi="Times New Roman" w:cs="Times New Roman" w:eastAsia="Times New Roman" w:hint="default"/>
                <w:sz w:val="21"/>
                <w:szCs w:val="21"/>
              </w:rPr>
            </w:pPr>
            <w:r>
              <w:rPr>
                <w:rFonts w:ascii="Times New Roman"/>
                <w:spacing w:val="-1"/>
                <w:sz w:val="21"/>
              </w:rPr>
              <w:t>6,700,475.81</w:t>
            </w:r>
          </w:p>
        </w:tc>
      </w:tr>
      <w:tr>
        <w:trPr>
          <w:trHeight w:val="384" w:hRule="exact"/>
        </w:trPr>
        <w:tc>
          <w:tcPr>
            <w:tcW w:w="3088"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6"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302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444"/>
              <w:jc w:val="right"/>
              <w:rPr>
                <w:rFonts w:ascii="Times New Roman" w:hAnsi="Times New Roman" w:cs="Times New Roman" w:eastAsia="Times New Roman" w:hint="default"/>
                <w:sz w:val="21"/>
                <w:szCs w:val="21"/>
              </w:rPr>
            </w:pPr>
            <w:r>
              <w:rPr>
                <w:rFonts w:ascii="Times New Roman"/>
                <w:spacing w:val="-1"/>
                <w:sz w:val="21"/>
              </w:rPr>
              <w:t>1,832,172.31</w:t>
            </w:r>
          </w:p>
        </w:tc>
        <w:tc>
          <w:tcPr>
            <w:tcW w:w="20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7"/>
              <w:jc w:val="right"/>
              <w:rPr>
                <w:rFonts w:ascii="Times New Roman" w:hAnsi="Times New Roman" w:cs="Times New Roman" w:eastAsia="Times New Roman" w:hint="default"/>
                <w:sz w:val="21"/>
                <w:szCs w:val="21"/>
              </w:rPr>
            </w:pPr>
            <w:r>
              <w:rPr>
                <w:rFonts w:ascii="Times New Roman"/>
                <w:spacing w:val="-1"/>
                <w:sz w:val="21"/>
              </w:rPr>
              <w:t>1,128,127.53</w:t>
            </w:r>
          </w:p>
        </w:tc>
      </w:tr>
      <w:tr>
        <w:trPr>
          <w:trHeight w:val="385" w:hRule="exact"/>
        </w:trPr>
        <w:tc>
          <w:tcPr>
            <w:tcW w:w="3088"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6"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302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446"/>
              <w:jc w:val="right"/>
              <w:rPr>
                <w:rFonts w:ascii="Times New Roman" w:hAnsi="Times New Roman" w:cs="Times New Roman" w:eastAsia="Times New Roman" w:hint="default"/>
                <w:sz w:val="21"/>
                <w:szCs w:val="21"/>
              </w:rPr>
            </w:pPr>
            <w:r>
              <w:rPr>
                <w:rFonts w:ascii="Times New Roman"/>
                <w:spacing w:val="-1"/>
                <w:sz w:val="21"/>
              </w:rPr>
              <w:t>785,216.73</w:t>
            </w:r>
            <w:r>
              <w:rPr>
                <w:rFonts w:ascii="Times New Roman"/>
                <w:sz w:val="21"/>
              </w:rPr>
            </w:r>
          </w:p>
        </w:tc>
        <w:tc>
          <w:tcPr>
            <w:tcW w:w="20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0"/>
              <w:jc w:val="right"/>
              <w:rPr>
                <w:rFonts w:ascii="Times New Roman" w:hAnsi="Times New Roman" w:cs="Times New Roman" w:eastAsia="Times New Roman" w:hint="default"/>
                <w:sz w:val="21"/>
                <w:szCs w:val="21"/>
              </w:rPr>
            </w:pPr>
            <w:r>
              <w:rPr>
                <w:rFonts w:ascii="Times New Roman"/>
                <w:spacing w:val="-1"/>
                <w:sz w:val="21"/>
              </w:rPr>
              <w:t>483,483.23</w:t>
            </w:r>
            <w:r>
              <w:rPr>
                <w:rFonts w:ascii="Times New Roman"/>
                <w:sz w:val="21"/>
              </w:rPr>
            </w:r>
          </w:p>
        </w:tc>
      </w:tr>
      <w:tr>
        <w:trPr>
          <w:trHeight w:val="390" w:hRule="exact"/>
        </w:trPr>
        <w:tc>
          <w:tcPr>
            <w:tcW w:w="3088" w:type="dxa"/>
            <w:tcBorders>
              <w:top w:val="nil" w:sz="6" w:space="0" w:color="auto"/>
              <w:left w:val="nil" w:sz="6" w:space="0" w:color="auto"/>
              <w:bottom w:val="single" w:sz="12" w:space="0" w:color="000000"/>
              <w:right w:val="nil" w:sz="6" w:space="0" w:color="auto"/>
            </w:tcBorders>
          </w:tcPr>
          <w:p>
            <w:pPr>
              <w:pStyle w:val="TableParagraph"/>
              <w:spacing w:line="240" w:lineRule="auto" w:before="17"/>
              <w:ind w:right="1126"/>
              <w:jc w:val="right"/>
              <w:rPr>
                <w:rFonts w:ascii="宋体" w:hAnsi="宋体" w:cs="宋体" w:eastAsia="宋体" w:hint="default"/>
                <w:sz w:val="21"/>
                <w:szCs w:val="21"/>
              </w:rPr>
            </w:pPr>
            <w:r>
              <w:rPr>
                <w:rFonts w:ascii="宋体" w:hAnsi="宋体" w:cs="宋体" w:eastAsia="宋体" w:hint="default"/>
                <w:sz w:val="21"/>
                <w:szCs w:val="21"/>
              </w:rPr>
              <w:t>合计</w:t>
            </w:r>
          </w:p>
        </w:tc>
        <w:tc>
          <w:tcPr>
            <w:tcW w:w="3021" w:type="dxa"/>
            <w:tcBorders>
              <w:top w:val="nil" w:sz="6" w:space="0" w:color="auto"/>
              <w:left w:val="nil" w:sz="6" w:space="0" w:color="auto"/>
              <w:bottom w:val="single" w:sz="12" w:space="0" w:color="000000"/>
              <w:right w:val="nil" w:sz="6" w:space="0" w:color="auto"/>
            </w:tcBorders>
          </w:tcPr>
          <w:p>
            <w:pPr>
              <w:pStyle w:val="TableParagraph"/>
              <w:spacing w:line="240" w:lineRule="auto" w:before="66"/>
              <w:ind w:right="443"/>
              <w:jc w:val="right"/>
              <w:rPr>
                <w:rFonts w:ascii="Times New Roman" w:hAnsi="Times New Roman" w:cs="Times New Roman" w:eastAsia="Times New Roman" w:hint="default"/>
                <w:sz w:val="21"/>
                <w:szCs w:val="21"/>
              </w:rPr>
            </w:pPr>
            <w:r>
              <w:rPr>
                <w:rFonts w:ascii="Times New Roman"/>
                <w:spacing w:val="-1"/>
                <w:sz w:val="21"/>
              </w:rPr>
              <w:t>11,125,004.47</w:t>
            </w:r>
          </w:p>
        </w:tc>
        <w:tc>
          <w:tcPr>
            <w:tcW w:w="2063" w:type="dxa"/>
            <w:tcBorders>
              <w:top w:val="nil" w:sz="6" w:space="0" w:color="auto"/>
              <w:left w:val="nil" w:sz="6" w:space="0" w:color="auto"/>
              <w:bottom w:val="single" w:sz="12" w:space="0" w:color="000000"/>
              <w:right w:val="nil" w:sz="6" w:space="0" w:color="auto"/>
            </w:tcBorders>
          </w:tcPr>
          <w:p>
            <w:pPr>
              <w:pStyle w:val="TableParagraph"/>
              <w:spacing w:line="240" w:lineRule="auto" w:before="66"/>
              <w:ind w:right="97"/>
              <w:jc w:val="right"/>
              <w:rPr>
                <w:rFonts w:ascii="Times New Roman" w:hAnsi="Times New Roman" w:cs="Times New Roman" w:eastAsia="Times New Roman" w:hint="default"/>
                <w:sz w:val="21"/>
                <w:szCs w:val="21"/>
              </w:rPr>
            </w:pPr>
            <w:r>
              <w:rPr>
                <w:rFonts w:ascii="Times New Roman"/>
                <w:spacing w:val="-1"/>
                <w:sz w:val="21"/>
              </w:rPr>
              <w:t>8,312,086.57</w:t>
            </w:r>
          </w:p>
        </w:tc>
      </w:tr>
    </w:tbl>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spacing w:before="35"/>
        <w:ind w:left="123" w:right="312" w:firstLine="0"/>
        <w:jc w:val="left"/>
        <w:rPr>
          <w:rFonts w:ascii="宋体" w:hAnsi="宋体" w:cs="宋体" w:eastAsia="宋体" w:hint="default"/>
          <w:sz w:val="21"/>
          <w:szCs w:val="21"/>
        </w:rPr>
      </w:pPr>
      <w:r>
        <w:rPr/>
        <w:pict>
          <v:group style="position:absolute;margin-left:119.399994pt;margin-top:37.59845pt;width:410.65pt;height:295.350pt;mso-position-horizontal-relative:page;mso-position-vertical-relative:paragraph;z-index:-707656" coordorigin="2388,752" coordsize="8213,5907">
            <v:shape style="position:absolute;left:5920;top:752;width:2281;height:413" type="#_x0000_t75" stroked="false">
              <v:imagedata r:id="rId210" o:title=""/>
            </v:shape>
            <v:shape style="position:absolute;left:2388;top:1126;width:8213;height:5532" type="#_x0000_t75" stroked="false">
              <v:imagedata r:id="rId211"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二十九</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销售费用</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747" w:type="dxa"/>
        <w:tblLayout w:type="fixed"/>
        <w:tblCellMar>
          <w:top w:w="0" w:type="dxa"/>
          <w:left w:w="0" w:type="dxa"/>
          <w:bottom w:w="0" w:type="dxa"/>
          <w:right w:w="0" w:type="dxa"/>
        </w:tblCellMar>
        <w:tblLook w:val="01E0"/>
      </w:tblPr>
      <w:tblGrid>
        <w:gridCol w:w="3850"/>
        <w:gridCol w:w="2259"/>
        <w:gridCol w:w="2063"/>
      </w:tblGrid>
      <w:tr>
        <w:trPr>
          <w:trHeight w:val="412" w:hRule="exact"/>
        </w:trPr>
        <w:tc>
          <w:tcPr>
            <w:tcW w:w="3850"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right="314"/>
              <w:jc w:val="center"/>
              <w:rPr>
                <w:rFonts w:ascii="宋体" w:hAnsi="宋体" w:cs="宋体" w:eastAsia="宋体" w:hint="default"/>
                <w:sz w:val="21"/>
                <w:szCs w:val="21"/>
              </w:rPr>
            </w:pPr>
            <w:r>
              <w:rPr>
                <w:rFonts w:ascii="宋体" w:hAnsi="宋体" w:cs="宋体" w:eastAsia="宋体" w:hint="default"/>
                <w:sz w:val="21"/>
                <w:szCs w:val="21"/>
              </w:rPr>
              <w:t>项目</w:t>
            </w:r>
          </w:p>
        </w:tc>
        <w:tc>
          <w:tcPr>
            <w:tcW w:w="2259"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382"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2063"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445"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428"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6" w:right="0"/>
              <w:jc w:val="left"/>
              <w:rPr>
                <w:rFonts w:ascii="宋体" w:hAnsi="宋体" w:cs="宋体" w:eastAsia="宋体" w:hint="default"/>
                <w:sz w:val="21"/>
                <w:szCs w:val="21"/>
              </w:rPr>
            </w:pPr>
            <w:r>
              <w:rPr>
                <w:rFonts w:ascii="宋体" w:hAnsi="宋体" w:cs="宋体" w:eastAsia="宋体" w:hint="default"/>
                <w:sz w:val="21"/>
                <w:szCs w:val="21"/>
              </w:rPr>
              <w:t>职工薪酬</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443"/>
              <w:jc w:val="right"/>
              <w:rPr>
                <w:rFonts w:ascii="Times New Roman" w:hAnsi="Times New Roman" w:cs="Times New Roman" w:eastAsia="Times New Roman" w:hint="default"/>
                <w:sz w:val="21"/>
                <w:szCs w:val="21"/>
              </w:rPr>
            </w:pPr>
            <w:r>
              <w:rPr>
                <w:rFonts w:ascii="Times New Roman"/>
                <w:spacing w:val="-1"/>
                <w:sz w:val="21"/>
              </w:rPr>
              <w:t>17,701,058.84</w:t>
            </w:r>
          </w:p>
        </w:tc>
        <w:tc>
          <w:tcPr>
            <w:tcW w:w="2063"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97"/>
              <w:jc w:val="right"/>
              <w:rPr>
                <w:rFonts w:ascii="Times New Roman" w:hAnsi="Times New Roman" w:cs="Times New Roman" w:eastAsia="Times New Roman" w:hint="default"/>
                <w:sz w:val="21"/>
                <w:szCs w:val="21"/>
              </w:rPr>
            </w:pPr>
            <w:r>
              <w:rPr>
                <w:rFonts w:ascii="Times New Roman"/>
                <w:spacing w:val="-1"/>
                <w:sz w:val="21"/>
              </w:rPr>
              <w:t>10,398,568.50</w:t>
            </w:r>
          </w:p>
        </w:tc>
      </w:tr>
      <w:tr>
        <w:trPr>
          <w:trHeight w:val="404"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06" w:right="0"/>
              <w:jc w:val="left"/>
              <w:rPr>
                <w:rFonts w:ascii="宋体" w:hAnsi="宋体" w:cs="宋体" w:eastAsia="宋体" w:hint="default"/>
                <w:sz w:val="21"/>
                <w:szCs w:val="21"/>
              </w:rPr>
            </w:pPr>
            <w:r>
              <w:rPr>
                <w:rFonts w:ascii="宋体" w:hAnsi="宋体" w:cs="宋体" w:eastAsia="宋体" w:hint="default"/>
                <w:sz w:val="21"/>
                <w:szCs w:val="21"/>
              </w:rPr>
              <w:t>折旧费</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445"/>
              <w:jc w:val="right"/>
              <w:rPr>
                <w:rFonts w:ascii="Times New Roman" w:hAnsi="Times New Roman" w:cs="Times New Roman" w:eastAsia="Times New Roman" w:hint="default"/>
                <w:sz w:val="21"/>
                <w:szCs w:val="21"/>
              </w:rPr>
            </w:pPr>
            <w:r>
              <w:rPr>
                <w:rFonts w:ascii="Times New Roman"/>
                <w:spacing w:val="-1"/>
                <w:sz w:val="21"/>
              </w:rPr>
              <w:t>99,495.27</w:t>
            </w:r>
          </w:p>
        </w:tc>
        <w:tc>
          <w:tcPr>
            <w:tcW w:w="2063"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97"/>
              <w:jc w:val="right"/>
              <w:rPr>
                <w:rFonts w:ascii="Times New Roman" w:hAnsi="Times New Roman" w:cs="Times New Roman" w:eastAsia="Times New Roman" w:hint="default"/>
                <w:sz w:val="21"/>
                <w:szCs w:val="21"/>
              </w:rPr>
            </w:pPr>
            <w:r>
              <w:rPr>
                <w:rFonts w:ascii="Times New Roman"/>
                <w:spacing w:val="-1"/>
                <w:sz w:val="21"/>
              </w:rPr>
              <w:t>195,950.64</w:t>
            </w:r>
          </w:p>
        </w:tc>
      </w:tr>
      <w:tr>
        <w:trPr>
          <w:trHeight w:val="384"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6" w:right="0"/>
              <w:jc w:val="left"/>
              <w:rPr>
                <w:rFonts w:ascii="宋体" w:hAnsi="宋体" w:cs="宋体" w:eastAsia="宋体" w:hint="default"/>
                <w:sz w:val="21"/>
                <w:szCs w:val="21"/>
              </w:rPr>
            </w:pPr>
            <w:r>
              <w:rPr>
                <w:rFonts w:ascii="宋体" w:hAnsi="宋体" w:cs="宋体" w:eastAsia="宋体" w:hint="default"/>
                <w:sz w:val="21"/>
                <w:szCs w:val="21"/>
              </w:rPr>
              <w:t>业务招待费</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443"/>
              <w:jc w:val="right"/>
              <w:rPr>
                <w:rFonts w:ascii="Times New Roman" w:hAnsi="Times New Roman" w:cs="Times New Roman" w:eastAsia="Times New Roman" w:hint="default"/>
                <w:sz w:val="21"/>
                <w:szCs w:val="21"/>
              </w:rPr>
            </w:pPr>
            <w:r>
              <w:rPr>
                <w:rFonts w:ascii="Times New Roman"/>
                <w:spacing w:val="-1"/>
                <w:sz w:val="21"/>
              </w:rPr>
              <w:t>3,065,012.65</w:t>
            </w:r>
          </w:p>
        </w:tc>
        <w:tc>
          <w:tcPr>
            <w:tcW w:w="20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7"/>
              <w:jc w:val="right"/>
              <w:rPr>
                <w:rFonts w:ascii="Times New Roman" w:hAnsi="Times New Roman" w:cs="Times New Roman" w:eastAsia="Times New Roman" w:hint="default"/>
                <w:sz w:val="21"/>
                <w:szCs w:val="21"/>
              </w:rPr>
            </w:pPr>
            <w:r>
              <w:rPr>
                <w:rFonts w:ascii="Times New Roman"/>
                <w:spacing w:val="-1"/>
                <w:sz w:val="21"/>
              </w:rPr>
              <w:t>3,336,801.84</w:t>
            </w:r>
          </w:p>
        </w:tc>
      </w:tr>
      <w:tr>
        <w:trPr>
          <w:trHeight w:val="403"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6"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443"/>
              <w:jc w:val="right"/>
              <w:rPr>
                <w:rFonts w:ascii="Times New Roman" w:hAnsi="Times New Roman" w:cs="Times New Roman" w:eastAsia="Times New Roman" w:hint="default"/>
                <w:sz w:val="21"/>
                <w:szCs w:val="21"/>
              </w:rPr>
            </w:pPr>
            <w:r>
              <w:rPr>
                <w:rFonts w:ascii="Times New Roman"/>
                <w:spacing w:val="-1"/>
                <w:sz w:val="21"/>
              </w:rPr>
              <w:t>2,085,788.60</w:t>
            </w:r>
          </w:p>
        </w:tc>
        <w:tc>
          <w:tcPr>
            <w:tcW w:w="20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7"/>
              <w:jc w:val="right"/>
              <w:rPr>
                <w:rFonts w:ascii="Times New Roman" w:hAnsi="Times New Roman" w:cs="Times New Roman" w:eastAsia="Times New Roman" w:hint="default"/>
                <w:sz w:val="21"/>
                <w:szCs w:val="21"/>
              </w:rPr>
            </w:pPr>
            <w:r>
              <w:rPr>
                <w:rFonts w:ascii="Times New Roman"/>
                <w:spacing w:val="-1"/>
                <w:sz w:val="21"/>
              </w:rPr>
              <w:t>1,676,566.40</w:t>
            </w:r>
          </w:p>
        </w:tc>
      </w:tr>
      <w:tr>
        <w:trPr>
          <w:trHeight w:val="422"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06" w:right="0"/>
              <w:jc w:val="left"/>
              <w:rPr>
                <w:rFonts w:ascii="宋体" w:hAnsi="宋体" w:cs="宋体" w:eastAsia="宋体" w:hint="default"/>
                <w:sz w:val="21"/>
                <w:szCs w:val="21"/>
              </w:rPr>
            </w:pPr>
            <w:r>
              <w:rPr>
                <w:rFonts w:ascii="宋体" w:hAnsi="宋体" w:cs="宋体" w:eastAsia="宋体" w:hint="default"/>
                <w:sz w:val="21"/>
                <w:szCs w:val="21"/>
              </w:rPr>
              <w:t>运输费、汽车车辆使用费</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444"/>
              <w:jc w:val="right"/>
              <w:rPr>
                <w:rFonts w:ascii="Times New Roman" w:hAnsi="Times New Roman" w:cs="Times New Roman" w:eastAsia="Times New Roman" w:hint="default"/>
                <w:sz w:val="21"/>
                <w:szCs w:val="21"/>
              </w:rPr>
            </w:pPr>
            <w:r>
              <w:rPr>
                <w:rFonts w:ascii="Times New Roman"/>
                <w:spacing w:val="-1"/>
                <w:sz w:val="21"/>
              </w:rPr>
              <w:t>644,455.87</w:t>
            </w:r>
          </w:p>
        </w:tc>
        <w:tc>
          <w:tcPr>
            <w:tcW w:w="2063"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98"/>
              <w:jc w:val="right"/>
              <w:rPr>
                <w:rFonts w:ascii="Times New Roman" w:hAnsi="Times New Roman" w:cs="Times New Roman" w:eastAsia="Times New Roman" w:hint="default"/>
                <w:sz w:val="21"/>
                <w:szCs w:val="21"/>
              </w:rPr>
            </w:pPr>
            <w:r>
              <w:rPr>
                <w:rFonts w:ascii="Times New Roman"/>
                <w:spacing w:val="-1"/>
                <w:sz w:val="21"/>
              </w:rPr>
              <w:t>825,233.29</w:t>
            </w:r>
          </w:p>
        </w:tc>
      </w:tr>
      <w:tr>
        <w:trPr>
          <w:trHeight w:val="403"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06" w:right="0"/>
              <w:jc w:val="left"/>
              <w:rPr>
                <w:rFonts w:ascii="宋体" w:hAnsi="宋体" w:cs="宋体" w:eastAsia="宋体" w:hint="default"/>
                <w:sz w:val="21"/>
                <w:szCs w:val="21"/>
              </w:rPr>
            </w:pPr>
            <w:r>
              <w:rPr>
                <w:rFonts w:ascii="宋体" w:hAnsi="宋体" w:cs="宋体" w:eastAsia="宋体" w:hint="default"/>
                <w:sz w:val="21"/>
                <w:szCs w:val="21"/>
              </w:rPr>
              <w:t>商检费、测试费</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444"/>
              <w:jc w:val="right"/>
              <w:rPr>
                <w:rFonts w:ascii="Times New Roman" w:hAnsi="Times New Roman" w:cs="Times New Roman" w:eastAsia="Times New Roman" w:hint="default"/>
                <w:sz w:val="21"/>
                <w:szCs w:val="21"/>
              </w:rPr>
            </w:pPr>
            <w:r>
              <w:rPr>
                <w:rFonts w:ascii="Times New Roman"/>
                <w:spacing w:val="-1"/>
                <w:sz w:val="21"/>
              </w:rPr>
              <w:t>9,572.00</w:t>
            </w:r>
          </w:p>
        </w:tc>
        <w:tc>
          <w:tcPr>
            <w:tcW w:w="2063"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98"/>
              <w:jc w:val="right"/>
              <w:rPr>
                <w:rFonts w:ascii="Times New Roman" w:hAnsi="Times New Roman" w:cs="Times New Roman" w:eastAsia="Times New Roman" w:hint="default"/>
                <w:sz w:val="21"/>
                <w:szCs w:val="21"/>
              </w:rPr>
            </w:pPr>
            <w:r>
              <w:rPr>
                <w:rFonts w:ascii="Times New Roman"/>
                <w:spacing w:val="-1"/>
                <w:sz w:val="21"/>
              </w:rPr>
              <w:t>5,100.00</w:t>
            </w:r>
          </w:p>
        </w:tc>
      </w:tr>
      <w:tr>
        <w:trPr>
          <w:trHeight w:val="753"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326" w:lineRule="auto" w:before="16"/>
              <w:ind w:left="106" w:right="420"/>
              <w:jc w:val="left"/>
              <w:rPr>
                <w:rFonts w:ascii="宋体" w:hAnsi="宋体" w:cs="宋体" w:eastAsia="宋体" w:hint="default"/>
                <w:sz w:val="21"/>
                <w:szCs w:val="21"/>
              </w:rPr>
            </w:pPr>
            <w:r>
              <w:rPr>
                <w:rFonts w:ascii="宋体" w:hAnsi="宋体" w:cs="宋体" w:eastAsia="宋体" w:hint="default"/>
                <w:spacing w:val="-3"/>
                <w:sz w:val="21"/>
                <w:szCs w:val="21"/>
              </w:rPr>
              <w:t>广告费、展览费、宣传费、样品、样</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件拍摄费、宣传费</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445"/>
              <w:jc w:val="right"/>
              <w:rPr>
                <w:rFonts w:ascii="Times New Roman" w:hAnsi="Times New Roman" w:cs="Times New Roman" w:eastAsia="Times New Roman" w:hint="default"/>
                <w:sz w:val="21"/>
                <w:szCs w:val="21"/>
              </w:rPr>
            </w:pPr>
            <w:r>
              <w:rPr>
                <w:rFonts w:ascii="Times New Roman"/>
                <w:spacing w:val="-2"/>
                <w:sz w:val="21"/>
              </w:rPr>
              <w:t>600,114.00</w:t>
            </w:r>
          </w:p>
        </w:tc>
        <w:tc>
          <w:tcPr>
            <w:tcW w:w="206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40,000.00</w:t>
            </w:r>
          </w:p>
        </w:tc>
      </w:tr>
      <w:tr>
        <w:trPr>
          <w:trHeight w:val="390"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租赁费、仓储费</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444"/>
              <w:jc w:val="right"/>
              <w:rPr>
                <w:rFonts w:ascii="Times New Roman" w:hAnsi="Times New Roman" w:cs="Times New Roman" w:eastAsia="Times New Roman" w:hint="default"/>
                <w:sz w:val="21"/>
                <w:szCs w:val="21"/>
              </w:rPr>
            </w:pPr>
            <w:r>
              <w:rPr>
                <w:rFonts w:ascii="Times New Roman"/>
                <w:spacing w:val="-1"/>
                <w:sz w:val="21"/>
              </w:rPr>
              <w:t>251,169.59</w:t>
            </w:r>
          </w:p>
        </w:tc>
        <w:tc>
          <w:tcPr>
            <w:tcW w:w="2063"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98"/>
              <w:jc w:val="right"/>
              <w:rPr>
                <w:rFonts w:ascii="Times New Roman" w:hAnsi="Times New Roman" w:cs="Times New Roman" w:eastAsia="Times New Roman" w:hint="default"/>
                <w:sz w:val="21"/>
                <w:szCs w:val="21"/>
              </w:rPr>
            </w:pPr>
            <w:r>
              <w:rPr>
                <w:rFonts w:ascii="Times New Roman"/>
                <w:spacing w:val="-1"/>
                <w:sz w:val="21"/>
              </w:rPr>
              <w:t>208,319.69</w:t>
            </w:r>
          </w:p>
        </w:tc>
      </w:tr>
      <w:tr>
        <w:trPr>
          <w:trHeight w:val="753"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326" w:lineRule="auto" w:before="16"/>
              <w:ind w:left="106" w:right="380"/>
              <w:jc w:val="left"/>
              <w:rPr>
                <w:rFonts w:ascii="宋体" w:hAnsi="宋体" w:cs="宋体" w:eastAsia="宋体" w:hint="default"/>
                <w:sz w:val="21"/>
                <w:szCs w:val="21"/>
              </w:rPr>
            </w:pPr>
            <w:r>
              <w:rPr>
                <w:rFonts w:ascii="宋体" w:hAnsi="宋体" w:cs="宋体" w:eastAsia="宋体" w:hint="default"/>
                <w:sz w:val="21"/>
                <w:szCs w:val="21"/>
              </w:rPr>
              <w:t>办公费、电信费、水电费、通讯费、 会务费、董事会费</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443"/>
              <w:jc w:val="right"/>
              <w:rPr>
                <w:rFonts w:ascii="Times New Roman" w:hAnsi="Times New Roman" w:cs="Times New Roman" w:eastAsia="Times New Roman" w:hint="default"/>
                <w:sz w:val="21"/>
                <w:szCs w:val="21"/>
              </w:rPr>
            </w:pPr>
            <w:r>
              <w:rPr>
                <w:rFonts w:ascii="Times New Roman"/>
                <w:spacing w:val="-1"/>
                <w:sz w:val="21"/>
              </w:rPr>
              <w:t>4,023,654.56</w:t>
            </w:r>
          </w:p>
        </w:tc>
        <w:tc>
          <w:tcPr>
            <w:tcW w:w="206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3,906,450.88</w:t>
            </w:r>
          </w:p>
        </w:tc>
      </w:tr>
      <w:tr>
        <w:trPr>
          <w:trHeight w:val="390"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预计质保费用</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45"/>
              <w:jc w:val="right"/>
              <w:rPr>
                <w:rFonts w:ascii="Times New Roman" w:hAnsi="Times New Roman" w:cs="Times New Roman" w:eastAsia="Times New Roman" w:hint="default"/>
                <w:sz w:val="21"/>
                <w:szCs w:val="21"/>
              </w:rPr>
            </w:pPr>
            <w:r>
              <w:rPr>
                <w:rFonts w:ascii="Times New Roman"/>
                <w:spacing w:val="-2"/>
                <w:sz w:val="21"/>
              </w:rPr>
              <w:t>161,110.59</w:t>
            </w:r>
          </w:p>
        </w:tc>
        <w:tc>
          <w:tcPr>
            <w:tcW w:w="206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98"/>
              <w:jc w:val="right"/>
              <w:rPr>
                <w:rFonts w:ascii="Times New Roman" w:hAnsi="Times New Roman" w:cs="Times New Roman" w:eastAsia="Times New Roman" w:hint="default"/>
                <w:sz w:val="21"/>
                <w:szCs w:val="21"/>
              </w:rPr>
            </w:pPr>
            <w:r>
              <w:rPr>
                <w:rFonts w:ascii="Times New Roman"/>
                <w:spacing w:val="-1"/>
                <w:sz w:val="21"/>
              </w:rPr>
              <w:t>-2,052,208.67</w:t>
            </w:r>
          </w:p>
        </w:tc>
      </w:tr>
      <w:tr>
        <w:trPr>
          <w:trHeight w:val="385"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6"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444"/>
              <w:jc w:val="right"/>
              <w:rPr>
                <w:rFonts w:ascii="Times New Roman" w:hAnsi="Times New Roman" w:cs="Times New Roman" w:eastAsia="Times New Roman" w:hint="default"/>
                <w:sz w:val="21"/>
                <w:szCs w:val="21"/>
              </w:rPr>
            </w:pPr>
            <w:r>
              <w:rPr>
                <w:rFonts w:ascii="Times New Roman"/>
                <w:spacing w:val="-1"/>
                <w:sz w:val="21"/>
              </w:rPr>
              <w:t>352,256.38</w:t>
            </w:r>
          </w:p>
        </w:tc>
        <w:tc>
          <w:tcPr>
            <w:tcW w:w="206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98"/>
              <w:jc w:val="right"/>
              <w:rPr>
                <w:rFonts w:ascii="Times New Roman" w:hAnsi="Times New Roman" w:cs="Times New Roman" w:eastAsia="Times New Roman" w:hint="default"/>
                <w:sz w:val="21"/>
                <w:szCs w:val="21"/>
              </w:rPr>
            </w:pPr>
            <w:r>
              <w:rPr>
                <w:rFonts w:ascii="Times New Roman"/>
                <w:spacing w:val="-1"/>
                <w:sz w:val="21"/>
              </w:rPr>
              <w:t>545,539.00</w:t>
            </w:r>
          </w:p>
        </w:tc>
      </w:tr>
      <w:tr>
        <w:trPr>
          <w:trHeight w:val="390" w:hRule="exact"/>
        </w:trPr>
        <w:tc>
          <w:tcPr>
            <w:tcW w:w="3850"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right="314"/>
              <w:jc w:val="center"/>
              <w:rPr>
                <w:rFonts w:ascii="宋体" w:hAnsi="宋体" w:cs="宋体" w:eastAsia="宋体" w:hint="default"/>
                <w:sz w:val="21"/>
                <w:szCs w:val="21"/>
              </w:rPr>
            </w:pPr>
            <w:r>
              <w:rPr>
                <w:rFonts w:ascii="宋体" w:hAnsi="宋体" w:cs="宋体" w:eastAsia="宋体" w:hint="default"/>
                <w:sz w:val="21"/>
                <w:szCs w:val="21"/>
              </w:rPr>
              <w:t>合计</w:t>
            </w:r>
          </w:p>
        </w:tc>
        <w:tc>
          <w:tcPr>
            <w:tcW w:w="2259"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444"/>
              <w:jc w:val="right"/>
              <w:rPr>
                <w:rFonts w:ascii="Times New Roman" w:hAnsi="Times New Roman" w:cs="Times New Roman" w:eastAsia="Times New Roman" w:hint="default"/>
                <w:sz w:val="21"/>
                <w:szCs w:val="21"/>
              </w:rPr>
            </w:pPr>
            <w:r>
              <w:rPr>
                <w:rFonts w:ascii="Times New Roman"/>
                <w:spacing w:val="-1"/>
                <w:sz w:val="21"/>
              </w:rPr>
              <w:t>28,993,688.35</w:t>
            </w:r>
          </w:p>
        </w:tc>
        <w:tc>
          <w:tcPr>
            <w:tcW w:w="2063"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1"/>
                <w:sz w:val="21"/>
              </w:rPr>
              <w:t>19,086,321.57</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spacing w:before="35"/>
        <w:ind w:left="123" w:right="312" w:firstLine="0"/>
        <w:jc w:val="left"/>
        <w:rPr>
          <w:rFonts w:ascii="宋体" w:hAnsi="宋体" w:cs="宋体" w:eastAsia="宋体" w:hint="default"/>
          <w:sz w:val="21"/>
          <w:szCs w:val="21"/>
        </w:rPr>
      </w:pPr>
      <w:r>
        <w:rPr/>
        <w:pict>
          <v:group style="position:absolute;margin-left:119.399994pt;margin-top:37.593964pt;width:417.75pt;height:100.8pt;mso-position-horizontal-relative:page;mso-position-vertical-relative:paragraph;z-index:-707632" coordorigin="2388,752" coordsize="8355,2016">
            <v:shape style="position:absolute;left:5920;top:752;width:2423;height:413" type="#_x0000_t75" stroked="false">
              <v:imagedata r:id="rId212" o:title=""/>
            </v:shape>
            <v:shape style="position:absolute;left:2388;top:1126;width:8354;height:1642" type="#_x0000_t75" stroked="false">
              <v:imagedata r:id="rId213" o:title=""/>
            </v:shape>
            <v:shape style="position:absolute;left:8294;top:1981;width:48;height:787" type="#_x0000_t75" stroked="false">
              <v:imagedata r:id="rId214"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50"/>
          <w:sz w:val="21"/>
          <w:szCs w:val="21"/>
        </w:rPr>
        <w:t> </w:t>
      </w:r>
      <w:r>
        <w:rPr>
          <w:rFonts w:ascii="宋体" w:hAnsi="宋体" w:cs="宋体" w:eastAsia="宋体" w:hint="default"/>
          <w:b/>
          <w:bCs/>
          <w:sz w:val="21"/>
          <w:szCs w:val="21"/>
        </w:rPr>
        <w:t>管理费用</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747" w:type="dxa"/>
        <w:tblLayout w:type="fixed"/>
        <w:tblCellMar>
          <w:top w:w="0" w:type="dxa"/>
          <w:left w:w="0" w:type="dxa"/>
          <w:bottom w:w="0" w:type="dxa"/>
          <w:right w:w="0" w:type="dxa"/>
        </w:tblCellMar>
        <w:tblLook w:val="01E0"/>
      </w:tblPr>
      <w:tblGrid>
        <w:gridCol w:w="3885"/>
        <w:gridCol w:w="2365"/>
        <w:gridCol w:w="2065"/>
      </w:tblGrid>
      <w:tr>
        <w:trPr>
          <w:trHeight w:val="412" w:hRule="exact"/>
        </w:trPr>
        <w:tc>
          <w:tcPr>
            <w:tcW w:w="3885"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right="350"/>
              <w:jc w:val="center"/>
              <w:rPr>
                <w:rFonts w:ascii="宋体" w:hAnsi="宋体" w:cs="宋体" w:eastAsia="宋体" w:hint="default"/>
                <w:sz w:val="21"/>
                <w:szCs w:val="21"/>
              </w:rPr>
            </w:pPr>
            <w:r>
              <w:rPr>
                <w:rFonts w:ascii="宋体" w:hAnsi="宋体" w:cs="宋体" w:eastAsia="宋体" w:hint="default"/>
                <w:sz w:val="21"/>
                <w:szCs w:val="21"/>
              </w:rPr>
              <w:t>项目</w:t>
            </w:r>
          </w:p>
        </w:tc>
        <w:tc>
          <w:tcPr>
            <w:tcW w:w="2365"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418"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2065"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445"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428" w:hRule="exact"/>
        </w:trPr>
        <w:tc>
          <w:tcPr>
            <w:tcW w:w="388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6" w:right="0"/>
              <w:jc w:val="left"/>
              <w:rPr>
                <w:rFonts w:ascii="宋体" w:hAnsi="宋体" w:cs="宋体" w:eastAsia="宋体" w:hint="default"/>
                <w:sz w:val="21"/>
                <w:szCs w:val="21"/>
              </w:rPr>
            </w:pPr>
            <w:r>
              <w:rPr>
                <w:rFonts w:ascii="宋体" w:hAnsi="宋体" w:cs="宋体" w:eastAsia="宋体" w:hint="default"/>
                <w:sz w:val="21"/>
                <w:szCs w:val="21"/>
              </w:rPr>
              <w:t>职工薪酬</w:t>
            </w:r>
          </w:p>
        </w:tc>
        <w:tc>
          <w:tcPr>
            <w:tcW w:w="2365"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443"/>
              <w:jc w:val="right"/>
              <w:rPr>
                <w:rFonts w:ascii="Times New Roman" w:hAnsi="Times New Roman" w:cs="Times New Roman" w:eastAsia="Times New Roman" w:hint="default"/>
                <w:sz w:val="21"/>
                <w:szCs w:val="21"/>
              </w:rPr>
            </w:pPr>
            <w:r>
              <w:rPr>
                <w:rFonts w:ascii="Times New Roman"/>
                <w:spacing w:val="-1"/>
                <w:sz w:val="21"/>
              </w:rPr>
              <w:t>185,377,837.64</w:t>
            </w:r>
          </w:p>
        </w:tc>
        <w:tc>
          <w:tcPr>
            <w:tcW w:w="2065"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98"/>
              <w:jc w:val="right"/>
              <w:rPr>
                <w:rFonts w:ascii="Times New Roman" w:hAnsi="Times New Roman" w:cs="Times New Roman" w:eastAsia="Times New Roman" w:hint="default"/>
                <w:sz w:val="21"/>
                <w:szCs w:val="21"/>
              </w:rPr>
            </w:pPr>
            <w:r>
              <w:rPr>
                <w:rFonts w:ascii="Times New Roman"/>
                <w:spacing w:val="-1"/>
                <w:sz w:val="21"/>
              </w:rPr>
              <w:t>160,898,088.46</w:t>
            </w:r>
          </w:p>
        </w:tc>
      </w:tr>
      <w:tr>
        <w:trPr>
          <w:trHeight w:val="404" w:hRule="exact"/>
        </w:trPr>
        <w:tc>
          <w:tcPr>
            <w:tcW w:w="3885"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06" w:right="0"/>
              <w:jc w:val="left"/>
              <w:rPr>
                <w:rFonts w:ascii="宋体" w:hAnsi="宋体" w:cs="宋体" w:eastAsia="宋体" w:hint="default"/>
                <w:sz w:val="21"/>
                <w:szCs w:val="21"/>
              </w:rPr>
            </w:pPr>
            <w:r>
              <w:rPr>
                <w:rFonts w:ascii="宋体" w:hAnsi="宋体" w:cs="宋体" w:eastAsia="宋体" w:hint="default"/>
                <w:sz w:val="21"/>
                <w:szCs w:val="21"/>
              </w:rPr>
              <w:t>折旧费</w:t>
            </w:r>
          </w:p>
        </w:tc>
        <w:tc>
          <w:tcPr>
            <w:tcW w:w="2365"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445"/>
              <w:jc w:val="right"/>
              <w:rPr>
                <w:rFonts w:ascii="Times New Roman" w:hAnsi="Times New Roman" w:cs="Times New Roman" w:eastAsia="Times New Roman" w:hint="default"/>
                <w:sz w:val="21"/>
                <w:szCs w:val="21"/>
              </w:rPr>
            </w:pPr>
            <w:r>
              <w:rPr>
                <w:rFonts w:ascii="Times New Roman"/>
                <w:spacing w:val="-2"/>
                <w:sz w:val="21"/>
              </w:rPr>
              <w:t>8,999,019.11</w:t>
            </w:r>
          </w:p>
        </w:tc>
        <w:tc>
          <w:tcPr>
            <w:tcW w:w="2065"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98"/>
              <w:jc w:val="right"/>
              <w:rPr>
                <w:rFonts w:ascii="Times New Roman" w:hAnsi="Times New Roman" w:cs="Times New Roman" w:eastAsia="Times New Roman" w:hint="default"/>
                <w:sz w:val="21"/>
                <w:szCs w:val="21"/>
              </w:rPr>
            </w:pPr>
            <w:r>
              <w:rPr>
                <w:rFonts w:ascii="Times New Roman"/>
                <w:spacing w:val="-1"/>
                <w:sz w:val="21"/>
              </w:rPr>
              <w:t>4,640,053.92</w:t>
            </w:r>
          </w:p>
        </w:tc>
      </w:tr>
      <w:tr>
        <w:trPr>
          <w:trHeight w:val="764" w:hRule="exact"/>
        </w:trPr>
        <w:tc>
          <w:tcPr>
            <w:tcW w:w="3885" w:type="dxa"/>
            <w:tcBorders>
              <w:top w:val="nil" w:sz="6" w:space="0" w:color="auto"/>
              <w:left w:val="nil" w:sz="6" w:space="0" w:color="auto"/>
              <w:bottom w:val="single" w:sz="12" w:space="0" w:color="000000"/>
              <w:right w:val="nil" w:sz="6" w:space="0" w:color="auto"/>
            </w:tcBorders>
          </w:tcPr>
          <w:p>
            <w:pPr>
              <w:pStyle w:val="TableParagraph"/>
              <w:spacing w:line="326" w:lineRule="auto" w:before="16"/>
              <w:ind w:left="106" w:right="416"/>
              <w:jc w:val="left"/>
              <w:rPr>
                <w:rFonts w:ascii="宋体" w:hAnsi="宋体" w:cs="宋体" w:eastAsia="宋体" w:hint="default"/>
                <w:sz w:val="21"/>
                <w:szCs w:val="21"/>
              </w:rPr>
            </w:pPr>
            <w:r>
              <w:rPr>
                <w:rFonts w:ascii="宋体" w:hAnsi="宋体" w:cs="宋体" w:eastAsia="宋体" w:hint="default"/>
                <w:sz w:val="21"/>
                <w:szCs w:val="21"/>
              </w:rPr>
              <w:t>办公费、电信费、水电费、通讯费、 会务费、董事会费</w:t>
            </w:r>
          </w:p>
        </w:tc>
        <w:tc>
          <w:tcPr>
            <w:tcW w:w="2365"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443"/>
              <w:jc w:val="right"/>
              <w:rPr>
                <w:rFonts w:ascii="Times New Roman" w:hAnsi="Times New Roman" w:cs="Times New Roman" w:eastAsia="Times New Roman" w:hint="default"/>
                <w:sz w:val="21"/>
                <w:szCs w:val="21"/>
              </w:rPr>
            </w:pPr>
            <w:r>
              <w:rPr>
                <w:rFonts w:ascii="Times New Roman"/>
                <w:spacing w:val="-1"/>
                <w:sz w:val="21"/>
              </w:rPr>
              <w:t>10,474,272.03</w:t>
            </w:r>
          </w:p>
        </w:tc>
        <w:tc>
          <w:tcPr>
            <w:tcW w:w="2065"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9,021,632.00</w:t>
            </w:r>
          </w:p>
        </w:tc>
      </w:tr>
    </w:tbl>
    <w:p>
      <w:pPr>
        <w:spacing w:after="0" w:line="240" w:lineRule="auto"/>
        <w:jc w:val="right"/>
        <w:rPr>
          <w:rFonts w:ascii="Times New Roman" w:hAnsi="Times New Roman" w:cs="Times New Roman" w:eastAsia="Times New Roman" w:hint="default"/>
          <w:sz w:val="21"/>
          <w:szCs w:val="21"/>
        </w:rPr>
        <w:sectPr>
          <w:pgSz w:w="11910" w:h="16840"/>
          <w:pgMar w:header="851" w:footer="982" w:top="1360" w:bottom="1180" w:left="1660" w:right="1060"/>
        </w:sectPr>
      </w:pPr>
    </w:p>
    <w:p>
      <w:pPr>
        <w:spacing w:line="240" w:lineRule="auto" w:before="3"/>
        <w:rPr>
          <w:rFonts w:ascii="宋体" w:hAnsi="宋体" w:cs="宋体" w:eastAsia="宋体" w:hint="default"/>
          <w:b/>
          <w:bCs/>
          <w:sz w:val="2"/>
          <w:szCs w:val="2"/>
        </w:rPr>
      </w:pPr>
      <w:r>
        <w:rPr/>
        <w:pict>
          <v:group style="position:absolute;margin-left:88.379997pt;margin-top:67.680pt;width:443.85pt;height:.1pt;mso-position-horizontal-relative:page;mso-position-vertical-relative:page;z-index:-707608" coordorigin="1768,1354" coordsize="8877,2">
            <v:shape style="position:absolute;left:1768;top:1354;width:8877;height:2" coordorigin="1768,1354" coordsize="8877,0" path="m1768,1354l10644,1354e" filled="false" stroked="true" strokeweight=".72pt" strokecolor="#000000">
              <v:path arrowok="t"/>
            </v:shape>
            <w10:wrap type="none"/>
          </v:group>
        </w:pict>
      </w:r>
    </w:p>
    <w:tbl>
      <w:tblPr>
        <w:tblW w:w="0" w:type="auto"/>
        <w:jc w:val="left"/>
        <w:tblInd w:w="747" w:type="dxa"/>
        <w:tblLayout w:type="fixed"/>
        <w:tblCellMar>
          <w:top w:w="0" w:type="dxa"/>
          <w:left w:w="0" w:type="dxa"/>
          <w:bottom w:w="0" w:type="dxa"/>
          <w:right w:w="0" w:type="dxa"/>
        </w:tblCellMar>
        <w:tblLook w:val="01E0"/>
      </w:tblPr>
      <w:tblGrid>
        <w:gridCol w:w="3454"/>
        <w:gridCol w:w="2899"/>
        <w:gridCol w:w="1963"/>
      </w:tblGrid>
      <w:tr>
        <w:trPr>
          <w:trHeight w:val="500" w:hRule="exact"/>
        </w:trPr>
        <w:tc>
          <w:tcPr>
            <w:tcW w:w="3454"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106"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2899" w:type="dxa"/>
            <w:tcBorders>
              <w:top w:val="single" w:sz="12" w:space="0" w:color="000000"/>
              <w:left w:val="nil" w:sz="6" w:space="0" w:color="auto"/>
              <w:bottom w:val="nil" w:sz="6" w:space="0" w:color="auto"/>
              <w:right w:val="nil" w:sz="6" w:space="0" w:color="auto"/>
            </w:tcBorders>
          </w:tcPr>
          <w:p>
            <w:pPr>
              <w:pStyle w:val="TableParagraph"/>
              <w:spacing w:line="240" w:lineRule="auto" w:before="65"/>
              <w:ind w:right="545"/>
              <w:jc w:val="right"/>
              <w:rPr>
                <w:rFonts w:ascii="Times New Roman" w:hAnsi="Times New Roman" w:cs="Times New Roman" w:eastAsia="Times New Roman" w:hint="default"/>
                <w:sz w:val="21"/>
                <w:szCs w:val="21"/>
              </w:rPr>
            </w:pPr>
            <w:r>
              <w:rPr>
                <w:rFonts w:ascii="Times New Roman"/>
                <w:spacing w:val="-1"/>
                <w:sz w:val="21"/>
              </w:rPr>
              <w:t>7,665,512.07</w:t>
            </w:r>
          </w:p>
        </w:tc>
        <w:tc>
          <w:tcPr>
            <w:tcW w:w="1963" w:type="dxa"/>
            <w:tcBorders>
              <w:top w:val="single" w:sz="12" w:space="0" w:color="000000"/>
              <w:left w:val="nil" w:sz="6" w:space="0" w:color="auto"/>
              <w:bottom w:val="nil" w:sz="6" w:space="0" w:color="auto"/>
              <w:right w:val="nil" w:sz="6" w:space="0" w:color="auto"/>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1"/>
                <w:sz w:val="21"/>
              </w:rPr>
              <w:t>5,419,073.83</w:t>
            </w:r>
          </w:p>
        </w:tc>
      </w:tr>
      <w:tr>
        <w:trPr>
          <w:trHeight w:val="384"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6" w:right="0"/>
              <w:jc w:val="left"/>
              <w:rPr>
                <w:rFonts w:ascii="宋体" w:hAnsi="宋体" w:cs="宋体" w:eastAsia="宋体" w:hint="default"/>
                <w:sz w:val="21"/>
                <w:szCs w:val="21"/>
              </w:rPr>
            </w:pPr>
            <w:r>
              <w:rPr>
                <w:rFonts w:ascii="宋体" w:hAnsi="宋体" w:cs="宋体" w:eastAsia="宋体" w:hint="default"/>
                <w:sz w:val="21"/>
                <w:szCs w:val="21"/>
              </w:rPr>
              <w:t>运输费、汽车车辆使用费</w:t>
            </w:r>
          </w:p>
        </w:tc>
        <w:tc>
          <w:tcPr>
            <w:tcW w:w="289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545"/>
              <w:jc w:val="right"/>
              <w:rPr>
                <w:rFonts w:ascii="Times New Roman" w:hAnsi="Times New Roman" w:cs="Times New Roman" w:eastAsia="Times New Roman" w:hint="default"/>
                <w:sz w:val="21"/>
                <w:szCs w:val="21"/>
              </w:rPr>
            </w:pPr>
            <w:r>
              <w:rPr>
                <w:rFonts w:ascii="Times New Roman"/>
                <w:spacing w:val="-1"/>
                <w:sz w:val="21"/>
              </w:rPr>
              <w:t>2,837,788.68</w:t>
            </w:r>
          </w:p>
        </w:tc>
        <w:tc>
          <w:tcPr>
            <w:tcW w:w="19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1"/>
                <w:sz w:val="21"/>
              </w:rPr>
              <w:t>2,534,830.49</w:t>
            </w:r>
          </w:p>
        </w:tc>
      </w:tr>
      <w:tr>
        <w:trPr>
          <w:trHeight w:val="385"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6" w:right="0"/>
              <w:jc w:val="left"/>
              <w:rPr>
                <w:rFonts w:ascii="宋体" w:hAnsi="宋体" w:cs="宋体" w:eastAsia="宋体" w:hint="default"/>
                <w:sz w:val="21"/>
                <w:szCs w:val="21"/>
              </w:rPr>
            </w:pPr>
            <w:r>
              <w:rPr>
                <w:rFonts w:ascii="宋体" w:hAnsi="宋体" w:cs="宋体" w:eastAsia="宋体" w:hint="default"/>
                <w:sz w:val="21"/>
                <w:szCs w:val="21"/>
              </w:rPr>
              <w:t>中介机构费用</w:t>
            </w:r>
          </w:p>
        </w:tc>
        <w:tc>
          <w:tcPr>
            <w:tcW w:w="289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545"/>
              <w:jc w:val="right"/>
              <w:rPr>
                <w:rFonts w:ascii="Times New Roman" w:hAnsi="Times New Roman" w:cs="Times New Roman" w:eastAsia="Times New Roman" w:hint="default"/>
                <w:sz w:val="21"/>
                <w:szCs w:val="21"/>
              </w:rPr>
            </w:pPr>
            <w:r>
              <w:rPr>
                <w:rFonts w:ascii="Times New Roman"/>
                <w:spacing w:val="-1"/>
                <w:sz w:val="21"/>
              </w:rPr>
              <w:t>1,752,521.20</w:t>
            </w:r>
          </w:p>
        </w:tc>
        <w:tc>
          <w:tcPr>
            <w:tcW w:w="19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9"/>
              <w:jc w:val="right"/>
              <w:rPr>
                <w:rFonts w:ascii="Times New Roman" w:hAnsi="Times New Roman" w:cs="Times New Roman" w:eastAsia="Times New Roman" w:hint="default"/>
                <w:sz w:val="21"/>
                <w:szCs w:val="21"/>
              </w:rPr>
            </w:pPr>
            <w:r>
              <w:rPr>
                <w:rFonts w:ascii="Times New Roman"/>
                <w:spacing w:val="-1"/>
                <w:sz w:val="21"/>
              </w:rPr>
              <w:t>147,655.35</w:t>
            </w:r>
          </w:p>
        </w:tc>
      </w:tr>
      <w:tr>
        <w:trPr>
          <w:trHeight w:val="385"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6" w:right="0"/>
              <w:jc w:val="left"/>
              <w:rPr>
                <w:rFonts w:ascii="宋体" w:hAnsi="宋体" w:cs="宋体" w:eastAsia="宋体" w:hint="default"/>
                <w:sz w:val="21"/>
                <w:szCs w:val="21"/>
              </w:rPr>
            </w:pPr>
            <w:r>
              <w:rPr>
                <w:rFonts w:ascii="宋体" w:hAnsi="宋体" w:cs="宋体" w:eastAsia="宋体" w:hint="default"/>
                <w:sz w:val="21"/>
                <w:szCs w:val="21"/>
              </w:rPr>
              <w:t>租赁费、仓储费</w:t>
            </w:r>
          </w:p>
        </w:tc>
        <w:tc>
          <w:tcPr>
            <w:tcW w:w="289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546"/>
              <w:jc w:val="right"/>
              <w:rPr>
                <w:rFonts w:ascii="Times New Roman" w:hAnsi="Times New Roman" w:cs="Times New Roman" w:eastAsia="Times New Roman" w:hint="default"/>
                <w:sz w:val="21"/>
                <w:szCs w:val="21"/>
              </w:rPr>
            </w:pPr>
            <w:r>
              <w:rPr>
                <w:rFonts w:ascii="Times New Roman"/>
                <w:spacing w:val="-1"/>
                <w:sz w:val="21"/>
              </w:rPr>
              <w:t>11,586,085.89</w:t>
            </w:r>
          </w:p>
        </w:tc>
        <w:tc>
          <w:tcPr>
            <w:tcW w:w="196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99"/>
              <w:jc w:val="right"/>
              <w:rPr>
                <w:rFonts w:ascii="Times New Roman" w:hAnsi="Times New Roman" w:cs="Times New Roman" w:eastAsia="Times New Roman" w:hint="default"/>
                <w:sz w:val="21"/>
                <w:szCs w:val="21"/>
              </w:rPr>
            </w:pPr>
            <w:r>
              <w:rPr>
                <w:rFonts w:ascii="Times New Roman"/>
                <w:spacing w:val="-1"/>
                <w:sz w:val="21"/>
              </w:rPr>
              <w:t>11,512,199.51</w:t>
            </w:r>
          </w:p>
        </w:tc>
      </w:tr>
      <w:tr>
        <w:trPr>
          <w:trHeight w:val="384"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6" w:right="0"/>
              <w:jc w:val="left"/>
              <w:rPr>
                <w:rFonts w:ascii="宋体" w:hAnsi="宋体" w:cs="宋体" w:eastAsia="宋体" w:hint="default"/>
                <w:sz w:val="21"/>
                <w:szCs w:val="21"/>
              </w:rPr>
            </w:pPr>
            <w:r>
              <w:rPr>
                <w:rFonts w:ascii="宋体" w:hAnsi="宋体" w:cs="宋体" w:eastAsia="宋体" w:hint="default"/>
                <w:sz w:val="21"/>
                <w:szCs w:val="21"/>
              </w:rPr>
              <w:t>装修费</w:t>
            </w:r>
          </w:p>
        </w:tc>
        <w:tc>
          <w:tcPr>
            <w:tcW w:w="289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545"/>
              <w:jc w:val="right"/>
              <w:rPr>
                <w:rFonts w:ascii="Times New Roman" w:hAnsi="Times New Roman" w:cs="Times New Roman" w:eastAsia="Times New Roman" w:hint="default"/>
                <w:sz w:val="21"/>
                <w:szCs w:val="21"/>
              </w:rPr>
            </w:pPr>
            <w:r>
              <w:rPr>
                <w:rFonts w:ascii="Times New Roman"/>
                <w:spacing w:val="-1"/>
                <w:sz w:val="21"/>
              </w:rPr>
              <w:t>1,267,856.08</w:t>
            </w:r>
          </w:p>
        </w:tc>
        <w:tc>
          <w:tcPr>
            <w:tcW w:w="19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1"/>
                <w:sz w:val="21"/>
              </w:rPr>
              <w:t>3,112,868.16</w:t>
            </w:r>
          </w:p>
        </w:tc>
      </w:tr>
      <w:tr>
        <w:trPr>
          <w:trHeight w:val="385"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6" w:right="0"/>
              <w:jc w:val="left"/>
              <w:rPr>
                <w:rFonts w:ascii="宋体" w:hAnsi="宋体" w:cs="宋体" w:eastAsia="宋体" w:hint="default"/>
                <w:sz w:val="21"/>
                <w:szCs w:val="21"/>
              </w:rPr>
            </w:pPr>
            <w:r>
              <w:rPr>
                <w:rFonts w:ascii="宋体" w:hAnsi="宋体" w:cs="宋体" w:eastAsia="宋体" w:hint="default"/>
                <w:sz w:val="21"/>
                <w:szCs w:val="21"/>
              </w:rPr>
              <w:t>税金</w:t>
            </w:r>
          </w:p>
        </w:tc>
        <w:tc>
          <w:tcPr>
            <w:tcW w:w="289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546"/>
              <w:jc w:val="right"/>
              <w:rPr>
                <w:rFonts w:ascii="Times New Roman" w:hAnsi="Times New Roman" w:cs="Times New Roman" w:eastAsia="Times New Roman" w:hint="default"/>
                <w:sz w:val="21"/>
                <w:szCs w:val="21"/>
              </w:rPr>
            </w:pPr>
            <w:r>
              <w:rPr>
                <w:rFonts w:ascii="Times New Roman"/>
                <w:spacing w:val="-1"/>
                <w:sz w:val="21"/>
              </w:rPr>
              <w:t>860,673.25</w:t>
            </w:r>
          </w:p>
        </w:tc>
        <w:tc>
          <w:tcPr>
            <w:tcW w:w="19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9"/>
              <w:jc w:val="right"/>
              <w:rPr>
                <w:rFonts w:ascii="Times New Roman" w:hAnsi="Times New Roman" w:cs="Times New Roman" w:eastAsia="Times New Roman" w:hint="default"/>
                <w:sz w:val="21"/>
                <w:szCs w:val="21"/>
              </w:rPr>
            </w:pPr>
            <w:r>
              <w:rPr>
                <w:rFonts w:ascii="Times New Roman"/>
                <w:spacing w:val="-1"/>
                <w:sz w:val="21"/>
              </w:rPr>
              <w:t>302,781.84</w:t>
            </w:r>
          </w:p>
        </w:tc>
      </w:tr>
      <w:tr>
        <w:trPr>
          <w:trHeight w:val="385"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6" w:right="0"/>
              <w:jc w:val="left"/>
              <w:rPr>
                <w:rFonts w:ascii="宋体" w:hAnsi="宋体" w:cs="宋体" w:eastAsia="宋体" w:hint="default"/>
                <w:sz w:val="21"/>
                <w:szCs w:val="21"/>
              </w:rPr>
            </w:pPr>
            <w:r>
              <w:rPr>
                <w:rFonts w:ascii="宋体" w:hAnsi="宋体" w:cs="宋体" w:eastAsia="宋体" w:hint="default"/>
                <w:sz w:val="21"/>
                <w:szCs w:val="21"/>
              </w:rPr>
              <w:t>业务招待费</w:t>
            </w:r>
          </w:p>
        </w:tc>
        <w:tc>
          <w:tcPr>
            <w:tcW w:w="289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545"/>
              <w:jc w:val="right"/>
              <w:rPr>
                <w:rFonts w:ascii="Times New Roman" w:hAnsi="Times New Roman" w:cs="Times New Roman" w:eastAsia="Times New Roman" w:hint="default"/>
                <w:sz w:val="21"/>
                <w:szCs w:val="21"/>
              </w:rPr>
            </w:pPr>
            <w:r>
              <w:rPr>
                <w:rFonts w:ascii="Times New Roman"/>
                <w:spacing w:val="-1"/>
                <w:sz w:val="21"/>
              </w:rPr>
              <w:t>4,477,250.21</w:t>
            </w:r>
          </w:p>
        </w:tc>
        <w:tc>
          <w:tcPr>
            <w:tcW w:w="196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98"/>
              <w:jc w:val="right"/>
              <w:rPr>
                <w:rFonts w:ascii="Times New Roman" w:hAnsi="Times New Roman" w:cs="Times New Roman" w:eastAsia="Times New Roman" w:hint="default"/>
                <w:sz w:val="21"/>
                <w:szCs w:val="21"/>
              </w:rPr>
            </w:pPr>
            <w:r>
              <w:rPr>
                <w:rFonts w:ascii="Times New Roman"/>
                <w:spacing w:val="-1"/>
                <w:sz w:val="21"/>
              </w:rPr>
              <w:t>2,898,382.23</w:t>
            </w:r>
          </w:p>
        </w:tc>
      </w:tr>
      <w:tr>
        <w:trPr>
          <w:trHeight w:val="384"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6" w:right="0"/>
              <w:jc w:val="left"/>
              <w:rPr>
                <w:rFonts w:ascii="宋体" w:hAnsi="宋体" w:cs="宋体" w:eastAsia="宋体" w:hint="default"/>
                <w:sz w:val="21"/>
                <w:szCs w:val="21"/>
              </w:rPr>
            </w:pPr>
            <w:r>
              <w:rPr>
                <w:rFonts w:ascii="宋体" w:hAnsi="宋体" w:cs="宋体" w:eastAsia="宋体" w:hint="default"/>
                <w:sz w:val="21"/>
                <w:szCs w:val="21"/>
              </w:rPr>
              <w:t>修理费、维修费</w:t>
            </w:r>
          </w:p>
        </w:tc>
        <w:tc>
          <w:tcPr>
            <w:tcW w:w="289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545"/>
              <w:jc w:val="right"/>
              <w:rPr>
                <w:rFonts w:ascii="Times New Roman" w:hAnsi="Times New Roman" w:cs="Times New Roman" w:eastAsia="Times New Roman" w:hint="default"/>
                <w:sz w:val="21"/>
                <w:szCs w:val="21"/>
              </w:rPr>
            </w:pPr>
            <w:r>
              <w:rPr>
                <w:rFonts w:ascii="Times New Roman"/>
                <w:spacing w:val="-1"/>
                <w:sz w:val="21"/>
              </w:rPr>
              <w:t>18,337.00</w:t>
            </w:r>
          </w:p>
        </w:tc>
        <w:tc>
          <w:tcPr>
            <w:tcW w:w="19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1"/>
                <w:sz w:val="21"/>
              </w:rPr>
              <w:t>14,218.00</w:t>
            </w:r>
          </w:p>
        </w:tc>
      </w:tr>
      <w:tr>
        <w:trPr>
          <w:trHeight w:val="385"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6" w:right="0"/>
              <w:jc w:val="left"/>
              <w:rPr>
                <w:rFonts w:ascii="宋体" w:hAnsi="宋体" w:cs="宋体" w:eastAsia="宋体" w:hint="default"/>
                <w:sz w:val="21"/>
                <w:szCs w:val="21"/>
              </w:rPr>
            </w:pPr>
            <w:r>
              <w:rPr>
                <w:rFonts w:ascii="宋体" w:hAnsi="宋体" w:cs="宋体" w:eastAsia="宋体" w:hint="default"/>
                <w:sz w:val="21"/>
                <w:szCs w:val="21"/>
              </w:rPr>
              <w:t>研发费用</w:t>
            </w:r>
          </w:p>
        </w:tc>
        <w:tc>
          <w:tcPr>
            <w:tcW w:w="289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545"/>
              <w:jc w:val="right"/>
              <w:rPr>
                <w:rFonts w:ascii="Times New Roman" w:hAnsi="Times New Roman" w:cs="Times New Roman" w:eastAsia="Times New Roman" w:hint="default"/>
                <w:sz w:val="21"/>
                <w:szCs w:val="21"/>
              </w:rPr>
            </w:pPr>
            <w:r>
              <w:rPr>
                <w:rFonts w:ascii="Times New Roman"/>
                <w:spacing w:val="-1"/>
                <w:sz w:val="21"/>
              </w:rPr>
              <w:t>5,563,117.20</w:t>
            </w:r>
          </w:p>
        </w:tc>
        <w:tc>
          <w:tcPr>
            <w:tcW w:w="19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1"/>
                <w:sz w:val="21"/>
              </w:rPr>
              <w:t>6,093,740.08</w:t>
            </w:r>
          </w:p>
        </w:tc>
      </w:tr>
      <w:tr>
        <w:trPr>
          <w:trHeight w:val="385"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6" w:right="0"/>
              <w:jc w:val="left"/>
              <w:rPr>
                <w:rFonts w:ascii="宋体" w:hAnsi="宋体" w:cs="宋体" w:eastAsia="宋体" w:hint="default"/>
                <w:sz w:val="21"/>
                <w:szCs w:val="21"/>
              </w:rPr>
            </w:pPr>
            <w:r>
              <w:rPr>
                <w:rFonts w:ascii="宋体" w:hAnsi="宋体" w:cs="宋体" w:eastAsia="宋体" w:hint="default"/>
                <w:sz w:val="21"/>
                <w:szCs w:val="21"/>
              </w:rPr>
              <w:t>检验费</w:t>
            </w:r>
          </w:p>
        </w:tc>
        <w:tc>
          <w:tcPr>
            <w:tcW w:w="289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546"/>
              <w:jc w:val="right"/>
              <w:rPr>
                <w:rFonts w:ascii="Times New Roman" w:hAnsi="Times New Roman" w:cs="Times New Roman" w:eastAsia="Times New Roman" w:hint="default"/>
                <w:sz w:val="21"/>
                <w:szCs w:val="21"/>
              </w:rPr>
            </w:pPr>
            <w:r>
              <w:rPr>
                <w:rFonts w:ascii="Times New Roman"/>
                <w:spacing w:val="-1"/>
                <w:sz w:val="21"/>
              </w:rPr>
              <w:t>8,449.80</w:t>
            </w:r>
          </w:p>
        </w:tc>
        <w:tc>
          <w:tcPr>
            <w:tcW w:w="196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99"/>
              <w:jc w:val="right"/>
              <w:rPr>
                <w:rFonts w:ascii="Times New Roman" w:hAnsi="Times New Roman" w:cs="Times New Roman" w:eastAsia="Times New Roman" w:hint="default"/>
                <w:sz w:val="21"/>
                <w:szCs w:val="21"/>
              </w:rPr>
            </w:pPr>
            <w:r>
              <w:rPr>
                <w:rFonts w:ascii="Times New Roman"/>
                <w:spacing w:val="-1"/>
                <w:sz w:val="21"/>
              </w:rPr>
              <w:t>36,973.64</w:t>
            </w:r>
          </w:p>
        </w:tc>
      </w:tr>
      <w:tr>
        <w:trPr>
          <w:trHeight w:val="384"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6" w:right="0"/>
              <w:jc w:val="left"/>
              <w:rPr>
                <w:rFonts w:ascii="宋体" w:hAnsi="宋体" w:cs="宋体" w:eastAsia="宋体" w:hint="default"/>
                <w:sz w:val="21"/>
                <w:szCs w:val="21"/>
              </w:rPr>
            </w:pPr>
            <w:r>
              <w:rPr>
                <w:rFonts w:ascii="宋体" w:hAnsi="宋体" w:cs="宋体" w:eastAsia="宋体" w:hint="default"/>
                <w:sz w:val="21"/>
                <w:szCs w:val="21"/>
              </w:rPr>
              <w:t>咨询及服务费</w:t>
            </w:r>
          </w:p>
        </w:tc>
        <w:tc>
          <w:tcPr>
            <w:tcW w:w="289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545"/>
              <w:jc w:val="right"/>
              <w:rPr>
                <w:rFonts w:ascii="Times New Roman" w:hAnsi="Times New Roman" w:cs="Times New Roman" w:eastAsia="Times New Roman" w:hint="default"/>
                <w:sz w:val="21"/>
                <w:szCs w:val="21"/>
              </w:rPr>
            </w:pPr>
            <w:r>
              <w:rPr>
                <w:rFonts w:ascii="Times New Roman"/>
                <w:spacing w:val="-1"/>
                <w:sz w:val="21"/>
              </w:rPr>
              <w:t>4,940,226.03</w:t>
            </w:r>
          </w:p>
        </w:tc>
        <w:tc>
          <w:tcPr>
            <w:tcW w:w="19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1"/>
                <w:sz w:val="21"/>
              </w:rPr>
              <w:t>9,456,850.00</w:t>
            </w:r>
          </w:p>
        </w:tc>
      </w:tr>
      <w:tr>
        <w:trPr>
          <w:trHeight w:val="385"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6" w:right="0"/>
              <w:jc w:val="left"/>
              <w:rPr>
                <w:rFonts w:ascii="宋体" w:hAnsi="宋体" w:cs="宋体" w:eastAsia="宋体" w:hint="default"/>
                <w:sz w:val="21"/>
                <w:szCs w:val="21"/>
              </w:rPr>
            </w:pPr>
            <w:r>
              <w:rPr>
                <w:rFonts w:ascii="宋体" w:hAnsi="宋体" w:cs="宋体" w:eastAsia="宋体" w:hint="default"/>
                <w:sz w:val="21"/>
                <w:szCs w:val="21"/>
              </w:rPr>
              <w:t>低值易耗品摊销</w:t>
            </w:r>
          </w:p>
        </w:tc>
        <w:tc>
          <w:tcPr>
            <w:tcW w:w="289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545"/>
              <w:jc w:val="right"/>
              <w:rPr>
                <w:rFonts w:ascii="Times New Roman" w:hAnsi="Times New Roman" w:cs="Times New Roman" w:eastAsia="Times New Roman" w:hint="default"/>
                <w:sz w:val="21"/>
                <w:szCs w:val="21"/>
              </w:rPr>
            </w:pPr>
            <w:r>
              <w:rPr>
                <w:rFonts w:ascii="Times New Roman"/>
                <w:spacing w:val="-1"/>
                <w:sz w:val="21"/>
              </w:rPr>
              <w:t>2,538,160.22</w:t>
            </w:r>
          </w:p>
        </w:tc>
        <w:tc>
          <w:tcPr>
            <w:tcW w:w="19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1"/>
                <w:sz w:val="21"/>
              </w:rPr>
              <w:t>1,568,436.64</w:t>
            </w:r>
          </w:p>
        </w:tc>
      </w:tr>
      <w:tr>
        <w:trPr>
          <w:trHeight w:val="385"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6"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89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545"/>
              <w:jc w:val="right"/>
              <w:rPr>
                <w:rFonts w:ascii="Times New Roman" w:hAnsi="Times New Roman" w:cs="Times New Roman" w:eastAsia="Times New Roman" w:hint="default"/>
                <w:sz w:val="21"/>
                <w:szCs w:val="21"/>
              </w:rPr>
            </w:pPr>
            <w:r>
              <w:rPr>
                <w:rFonts w:ascii="Times New Roman"/>
                <w:spacing w:val="-1"/>
                <w:sz w:val="21"/>
              </w:rPr>
              <w:t>4,373,827.30</w:t>
            </w:r>
          </w:p>
        </w:tc>
        <w:tc>
          <w:tcPr>
            <w:tcW w:w="196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98"/>
              <w:jc w:val="right"/>
              <w:rPr>
                <w:rFonts w:ascii="Times New Roman" w:hAnsi="Times New Roman" w:cs="Times New Roman" w:eastAsia="Times New Roman" w:hint="default"/>
                <w:sz w:val="21"/>
                <w:szCs w:val="21"/>
              </w:rPr>
            </w:pPr>
            <w:r>
              <w:rPr>
                <w:rFonts w:ascii="Times New Roman"/>
                <w:spacing w:val="-1"/>
                <w:sz w:val="21"/>
              </w:rPr>
              <w:t>5,959,596.91</w:t>
            </w:r>
          </w:p>
        </w:tc>
      </w:tr>
      <w:tr>
        <w:trPr>
          <w:trHeight w:val="390" w:hRule="exact"/>
        </w:trPr>
        <w:tc>
          <w:tcPr>
            <w:tcW w:w="3454"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left="7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899"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547"/>
              <w:jc w:val="right"/>
              <w:rPr>
                <w:rFonts w:ascii="Times New Roman" w:hAnsi="Times New Roman" w:cs="Times New Roman" w:eastAsia="Times New Roman" w:hint="default"/>
                <w:sz w:val="21"/>
                <w:szCs w:val="21"/>
              </w:rPr>
            </w:pPr>
            <w:r>
              <w:rPr>
                <w:rFonts w:ascii="Times New Roman"/>
                <w:spacing w:val="-1"/>
                <w:sz w:val="21"/>
              </w:rPr>
              <w:t>252,740,933.71</w:t>
            </w:r>
          </w:p>
        </w:tc>
        <w:tc>
          <w:tcPr>
            <w:tcW w:w="1963"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100"/>
              <w:jc w:val="right"/>
              <w:rPr>
                <w:rFonts w:ascii="Times New Roman" w:hAnsi="Times New Roman" w:cs="Times New Roman" w:eastAsia="Times New Roman" w:hint="default"/>
                <w:sz w:val="21"/>
                <w:szCs w:val="21"/>
              </w:rPr>
            </w:pPr>
            <w:r>
              <w:rPr>
                <w:rFonts w:ascii="Times New Roman"/>
                <w:spacing w:val="-1"/>
                <w:sz w:val="21"/>
              </w:rPr>
              <w:t>223,617,381.06</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spacing w:before="35"/>
        <w:ind w:left="123" w:right="312" w:firstLine="0"/>
        <w:jc w:val="left"/>
        <w:rPr>
          <w:rFonts w:ascii="宋体" w:hAnsi="宋体" w:cs="宋体" w:eastAsia="宋体" w:hint="default"/>
          <w:sz w:val="21"/>
          <w:szCs w:val="21"/>
        </w:rPr>
      </w:pPr>
      <w:r>
        <w:rPr/>
        <w:pict>
          <v:group style="position:absolute;margin-left:119.399994pt;margin-top:-293.966034pt;width:417.75pt;height:269.55pt;mso-position-horizontal-relative:page;mso-position-vertical-relative:paragraph;z-index:-707584" coordorigin="2388,-5879" coordsize="8355,5391">
            <v:shape style="position:absolute;left:5920;top:-5879;width:2423;height:413" type="#_x0000_t75" stroked="false">
              <v:imagedata r:id="rId215" o:title=""/>
            </v:shape>
            <v:shape style="position:absolute;left:2388;top:-5505;width:8354;height:5016" type="#_x0000_t75" stroked="false">
              <v:imagedata r:id="rId216" o:title=""/>
            </v:shape>
            <w10:wrap type="none"/>
          </v:group>
        </w:pict>
      </w:r>
      <w:r>
        <w:rPr/>
        <w:pict>
          <v:group style="position:absolute;margin-left:119.399994pt;margin-top:37.593964pt;width:417.75pt;height:96.6pt;mso-position-horizontal-relative:page;mso-position-vertical-relative:paragraph;z-index:-707560" coordorigin="2388,752" coordsize="8355,1932">
            <v:shape style="position:absolute;left:5920;top:752;width:2423;height:413" type="#_x0000_t75" stroked="false">
              <v:imagedata r:id="rId217" o:title=""/>
            </v:shape>
            <v:shape style="position:absolute;left:2388;top:1133;width:8354;height:1551" type="#_x0000_t75" stroked="false">
              <v:imagedata r:id="rId218"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三十一</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财务费用</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747" w:type="dxa"/>
        <w:tblLayout w:type="fixed"/>
        <w:tblCellMar>
          <w:top w:w="0" w:type="dxa"/>
          <w:left w:w="0" w:type="dxa"/>
          <w:bottom w:w="0" w:type="dxa"/>
          <w:right w:w="0" w:type="dxa"/>
        </w:tblCellMar>
        <w:tblLook w:val="01E0"/>
      </w:tblPr>
      <w:tblGrid>
        <w:gridCol w:w="3140"/>
        <w:gridCol w:w="3110"/>
        <w:gridCol w:w="2065"/>
      </w:tblGrid>
      <w:tr>
        <w:trPr>
          <w:trHeight w:val="393" w:hRule="exact"/>
        </w:trPr>
        <w:tc>
          <w:tcPr>
            <w:tcW w:w="3140"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right="1161"/>
              <w:jc w:val="right"/>
              <w:rPr>
                <w:rFonts w:ascii="宋体" w:hAnsi="宋体" w:cs="宋体" w:eastAsia="宋体" w:hint="default"/>
                <w:sz w:val="21"/>
                <w:szCs w:val="21"/>
              </w:rPr>
            </w:pPr>
            <w:r>
              <w:rPr>
                <w:rFonts w:ascii="宋体" w:hAnsi="宋体" w:cs="宋体" w:eastAsia="宋体" w:hint="default"/>
                <w:sz w:val="21"/>
                <w:szCs w:val="21"/>
              </w:rPr>
              <w:t>类别</w:t>
            </w:r>
          </w:p>
        </w:tc>
        <w:tc>
          <w:tcPr>
            <w:tcW w:w="3110"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56"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2065"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446"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90" w:hRule="exact"/>
        </w:trPr>
        <w:tc>
          <w:tcPr>
            <w:tcW w:w="314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3110" w:type="dxa"/>
            <w:tcBorders>
              <w:top w:val="nil" w:sz="6" w:space="0" w:color="auto"/>
              <w:left w:val="nil" w:sz="6" w:space="0" w:color="auto"/>
              <w:bottom w:val="nil" w:sz="6" w:space="0" w:color="auto"/>
              <w:right w:val="nil" w:sz="6" w:space="0" w:color="auto"/>
            </w:tcBorders>
          </w:tcPr>
          <w:p>
            <w:pPr/>
          </w:p>
        </w:tc>
        <w:tc>
          <w:tcPr>
            <w:tcW w:w="2065"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1"/>
              <w:jc w:val="right"/>
              <w:rPr>
                <w:rFonts w:ascii="Times New Roman" w:hAnsi="Times New Roman" w:cs="Times New Roman" w:eastAsia="Times New Roman" w:hint="default"/>
                <w:sz w:val="21"/>
                <w:szCs w:val="21"/>
              </w:rPr>
            </w:pPr>
            <w:r>
              <w:rPr>
                <w:rFonts w:ascii="Times New Roman"/>
                <w:spacing w:val="-1"/>
                <w:sz w:val="21"/>
              </w:rPr>
              <w:t>4,425.00</w:t>
            </w:r>
            <w:r>
              <w:rPr>
                <w:rFonts w:ascii="Times New Roman"/>
                <w:sz w:val="21"/>
              </w:rPr>
            </w:r>
          </w:p>
        </w:tc>
      </w:tr>
      <w:tr>
        <w:trPr>
          <w:trHeight w:val="385" w:hRule="exact"/>
        </w:trPr>
        <w:tc>
          <w:tcPr>
            <w:tcW w:w="3140" w:type="dxa"/>
            <w:tcBorders>
              <w:top w:val="nil" w:sz="6" w:space="0" w:color="auto"/>
              <w:left w:val="nil" w:sz="6" w:space="0" w:color="auto"/>
              <w:bottom w:val="nil" w:sz="6" w:space="0" w:color="auto"/>
              <w:right w:val="nil" w:sz="6" w:space="0" w:color="auto"/>
            </w:tcBorders>
          </w:tcPr>
          <w:p>
            <w:pPr>
              <w:pStyle w:val="TableParagraph"/>
              <w:spacing w:line="240" w:lineRule="auto" w:before="17"/>
              <w:ind w:left="318" w:right="0"/>
              <w:jc w:val="left"/>
              <w:rPr>
                <w:rFonts w:ascii="宋体" w:hAnsi="宋体" w:cs="宋体" w:eastAsia="宋体" w:hint="default"/>
                <w:sz w:val="21"/>
                <w:szCs w:val="21"/>
              </w:rPr>
            </w:pPr>
            <w:r>
              <w:rPr>
                <w:rFonts w:ascii="宋体" w:hAnsi="宋体" w:cs="宋体" w:eastAsia="宋体" w:hint="default"/>
                <w:sz w:val="21"/>
                <w:szCs w:val="21"/>
              </w:rPr>
              <w:t>减：利息收入</w:t>
            </w:r>
          </w:p>
        </w:tc>
        <w:tc>
          <w:tcPr>
            <w:tcW w:w="3110"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444"/>
              <w:jc w:val="right"/>
              <w:rPr>
                <w:rFonts w:ascii="Times New Roman" w:hAnsi="Times New Roman" w:cs="Times New Roman" w:eastAsia="Times New Roman" w:hint="default"/>
                <w:sz w:val="21"/>
                <w:szCs w:val="21"/>
              </w:rPr>
            </w:pPr>
            <w:r>
              <w:rPr>
                <w:rFonts w:ascii="Times New Roman"/>
                <w:spacing w:val="-1"/>
                <w:sz w:val="21"/>
              </w:rPr>
              <w:t>32,792,976.98</w:t>
            </w:r>
          </w:p>
        </w:tc>
        <w:tc>
          <w:tcPr>
            <w:tcW w:w="2065"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98"/>
              <w:jc w:val="right"/>
              <w:rPr>
                <w:rFonts w:ascii="Times New Roman" w:hAnsi="Times New Roman" w:cs="Times New Roman" w:eastAsia="Times New Roman" w:hint="default"/>
                <w:sz w:val="21"/>
                <w:szCs w:val="21"/>
              </w:rPr>
            </w:pPr>
            <w:r>
              <w:rPr>
                <w:rFonts w:ascii="Times New Roman"/>
                <w:spacing w:val="-1"/>
                <w:sz w:val="21"/>
              </w:rPr>
              <w:t>4,407,544.97</w:t>
            </w:r>
          </w:p>
        </w:tc>
      </w:tr>
      <w:tr>
        <w:trPr>
          <w:trHeight w:val="384" w:hRule="exact"/>
        </w:trPr>
        <w:tc>
          <w:tcPr>
            <w:tcW w:w="3140"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6"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110"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445"/>
              <w:jc w:val="right"/>
              <w:rPr>
                <w:rFonts w:ascii="Times New Roman" w:hAnsi="Times New Roman" w:cs="Times New Roman" w:eastAsia="Times New Roman" w:hint="default"/>
                <w:sz w:val="21"/>
                <w:szCs w:val="21"/>
              </w:rPr>
            </w:pPr>
            <w:r>
              <w:rPr>
                <w:rFonts w:ascii="Times New Roman"/>
                <w:spacing w:val="-1"/>
                <w:sz w:val="21"/>
              </w:rPr>
              <w:t>81,915.35</w:t>
            </w:r>
          </w:p>
        </w:tc>
        <w:tc>
          <w:tcPr>
            <w:tcW w:w="206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0"/>
              <w:jc w:val="right"/>
              <w:rPr>
                <w:rFonts w:ascii="Times New Roman" w:hAnsi="Times New Roman" w:cs="Times New Roman" w:eastAsia="Times New Roman" w:hint="default"/>
                <w:sz w:val="21"/>
                <w:szCs w:val="21"/>
              </w:rPr>
            </w:pPr>
            <w:r>
              <w:rPr>
                <w:rFonts w:ascii="Times New Roman"/>
                <w:spacing w:val="-1"/>
                <w:sz w:val="21"/>
              </w:rPr>
              <w:t>-94,601.06</w:t>
            </w:r>
          </w:p>
        </w:tc>
      </w:tr>
      <w:tr>
        <w:trPr>
          <w:trHeight w:val="391" w:hRule="exact"/>
        </w:trPr>
        <w:tc>
          <w:tcPr>
            <w:tcW w:w="3140"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right="1161"/>
              <w:jc w:val="right"/>
              <w:rPr>
                <w:rFonts w:ascii="宋体" w:hAnsi="宋体" w:cs="宋体" w:eastAsia="宋体" w:hint="default"/>
                <w:sz w:val="21"/>
                <w:szCs w:val="21"/>
              </w:rPr>
            </w:pPr>
            <w:r>
              <w:rPr>
                <w:rFonts w:ascii="宋体" w:hAnsi="宋体" w:cs="宋体" w:eastAsia="宋体" w:hint="default"/>
                <w:sz w:val="21"/>
                <w:szCs w:val="21"/>
              </w:rPr>
              <w:t>合计</w:t>
            </w:r>
          </w:p>
        </w:tc>
        <w:tc>
          <w:tcPr>
            <w:tcW w:w="3110"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445"/>
              <w:jc w:val="right"/>
              <w:rPr>
                <w:rFonts w:ascii="Times New Roman" w:hAnsi="Times New Roman" w:cs="Times New Roman" w:eastAsia="Times New Roman" w:hint="default"/>
                <w:sz w:val="21"/>
                <w:szCs w:val="21"/>
              </w:rPr>
            </w:pPr>
            <w:r>
              <w:rPr>
                <w:rFonts w:ascii="Times New Roman"/>
                <w:spacing w:val="-1"/>
                <w:sz w:val="21"/>
              </w:rPr>
              <w:t>-32,711,061.63</w:t>
            </w:r>
          </w:p>
        </w:tc>
        <w:tc>
          <w:tcPr>
            <w:tcW w:w="2065"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1"/>
                <w:sz w:val="21"/>
              </w:rPr>
              <w:t>-4,497,721.03</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before="35"/>
        <w:ind w:left="123" w:right="31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三十二</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投资收益</w:t>
      </w:r>
      <w:r>
        <w:rPr>
          <w:rFonts w:ascii="宋体" w:hAnsi="宋体" w:cs="宋体" w:eastAsia="宋体" w:hint="default"/>
          <w:sz w:val="21"/>
          <w:szCs w:val="21"/>
        </w:rPr>
      </w:r>
    </w:p>
    <w:p>
      <w:pPr>
        <w:tabs>
          <w:tab w:pos="1393" w:val="left" w:leader="none"/>
        </w:tabs>
        <w:spacing w:before="109"/>
        <w:ind w:left="854" w:right="312" w:firstLine="0"/>
        <w:jc w:val="left"/>
        <w:rPr>
          <w:rFonts w:ascii="宋体" w:hAnsi="宋体" w:cs="宋体" w:eastAsia="宋体" w:hint="default"/>
          <w:sz w:val="21"/>
          <w:szCs w:val="21"/>
        </w:rPr>
      </w:pPr>
      <w:r>
        <w:rPr/>
        <w:pict>
          <v:group style="position:absolute;margin-left:146.009995pt;margin-top:45.787979pt;width:388.8pt;height:60.2pt;mso-position-horizontal-relative:page;mso-position-vertical-relative:paragraph;z-index:-707536" coordorigin="2920,916" coordsize="7776,1204">
            <v:group style="position:absolute;left:2950;top:931;width:7725;height:2" coordorigin="2950,931" coordsize="7725,2">
              <v:shape style="position:absolute;left:2950;top:931;width:7725;height:2" coordorigin="2950,931" coordsize="7725,0" path="m2950,931l10674,931e" filled="false" stroked="true" strokeweight="1.5pt" strokecolor="#000000">
                <v:path arrowok="t"/>
              </v:shape>
              <v:shape style="position:absolute;left:6877;top:927;width:1938;height:413" type="#_x0000_t75" stroked="false">
                <v:imagedata r:id="rId219" o:title=""/>
              </v:shape>
            </v:group>
            <v:group style="position:absolute;left:2935;top:2104;width:3962;height:2" coordorigin="2935,2104" coordsize="3962,2">
              <v:shape style="position:absolute;left:2935;top:2104;width:3962;height:2" coordorigin="2935,2104" coordsize="3962,0" path="m2935,2104l6896,2104e" filled="false" stroked="true" strokeweight="1.5pt" strokecolor="#000000">
                <v:path arrowok="t"/>
              </v:shape>
            </v:group>
            <v:group style="position:absolute;left:6896;top:2104;width:1890;height:2" coordorigin="6896,2104" coordsize="1890,2">
              <v:shape style="position:absolute;left:6896;top:2104;width:1890;height:2" coordorigin="6896,2104" coordsize="1890,0" path="m6896,2104l8786,2104e" filled="false" stroked="true" strokeweight="1.5pt" strokecolor="#000000">
                <v:path arrowok="t"/>
              </v:shape>
              <v:shape style="position:absolute;left:2930;top:1307;width:7760;height:782" type="#_x0000_t75" stroked="false">
                <v:imagedata r:id="rId220" o:title=""/>
              </v:shape>
            </v:group>
            <v:group style="position:absolute;left:8786;top:2104;width:1895;height:2" coordorigin="8786,2104" coordsize="1895,2">
              <v:shape style="position:absolute;left:8786;top:2104;width:1895;height:2" coordorigin="8786,2104" coordsize="1895,0" path="m8786,2104l10681,2104e" filled="false" stroked="true" strokeweight="1.5pt" strokecolor="#000000">
                <v:path arrowok="t"/>
              </v:shape>
            </v:group>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投资收益明细情况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0"/>
          <w:szCs w:val="20"/>
        </w:rPr>
      </w:pPr>
    </w:p>
    <w:tbl>
      <w:tblPr>
        <w:tblW w:w="0" w:type="auto"/>
        <w:jc w:val="left"/>
        <w:tblInd w:w="1289" w:type="dxa"/>
        <w:tblLayout w:type="fixed"/>
        <w:tblCellMar>
          <w:top w:w="0" w:type="dxa"/>
          <w:left w:w="0" w:type="dxa"/>
          <w:bottom w:w="0" w:type="dxa"/>
          <w:right w:w="0" w:type="dxa"/>
        </w:tblCellMar>
        <w:tblLook w:val="01E0"/>
      </w:tblPr>
      <w:tblGrid>
        <w:gridCol w:w="3762"/>
        <w:gridCol w:w="2079"/>
        <w:gridCol w:w="1565"/>
      </w:tblGrid>
      <w:tr>
        <w:trPr>
          <w:trHeight w:val="393" w:hRule="exact"/>
        </w:trPr>
        <w:tc>
          <w:tcPr>
            <w:tcW w:w="3762"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88"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079" w:type="dxa"/>
            <w:tcBorders>
              <w:top w:val="nil" w:sz="6" w:space="0" w:color="auto"/>
              <w:left w:val="nil" w:sz="6" w:space="0" w:color="auto"/>
              <w:bottom w:val="nil" w:sz="6" w:space="0" w:color="auto"/>
              <w:right w:val="nil" w:sz="6" w:space="0" w:color="auto"/>
            </w:tcBorders>
          </w:tcPr>
          <w:p>
            <w:pPr>
              <w:pStyle w:val="TableParagraph"/>
              <w:spacing w:line="240" w:lineRule="auto" w:before="31"/>
              <w:ind w:left="714"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524"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90" w:hRule="exact"/>
        </w:trPr>
        <w:tc>
          <w:tcPr>
            <w:tcW w:w="376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宋体" w:hAnsi="宋体" w:cs="宋体" w:eastAsia="宋体" w:hint="default"/>
                <w:sz w:val="21"/>
                <w:szCs w:val="21"/>
              </w:rPr>
              <w:t>权益法核算的长期股权投资收益</w:t>
            </w:r>
          </w:p>
        </w:tc>
        <w:tc>
          <w:tcPr>
            <w:tcW w:w="207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4"/>
              <w:jc w:val="right"/>
              <w:rPr>
                <w:rFonts w:ascii="Times New Roman" w:hAnsi="Times New Roman" w:cs="Times New Roman" w:eastAsia="Times New Roman" w:hint="default"/>
                <w:sz w:val="21"/>
                <w:szCs w:val="21"/>
              </w:rPr>
            </w:pPr>
            <w:r>
              <w:rPr>
                <w:rFonts w:ascii="Times New Roman"/>
                <w:spacing w:val="-1"/>
                <w:sz w:val="21"/>
              </w:rPr>
              <w:t>3,530,842.18</w:t>
            </w:r>
          </w:p>
        </w:tc>
        <w:tc>
          <w:tcPr>
            <w:tcW w:w="1565" w:type="dxa"/>
            <w:tcBorders>
              <w:top w:val="nil" w:sz="6" w:space="0" w:color="auto"/>
              <w:left w:val="nil" w:sz="6" w:space="0" w:color="auto"/>
              <w:bottom w:val="nil" w:sz="6" w:space="0" w:color="auto"/>
              <w:right w:val="nil" w:sz="6" w:space="0" w:color="auto"/>
            </w:tcBorders>
          </w:tcPr>
          <w:p>
            <w:pPr/>
          </w:p>
        </w:tc>
      </w:tr>
      <w:tr>
        <w:trPr>
          <w:trHeight w:val="390" w:hRule="exact"/>
        </w:trPr>
        <w:tc>
          <w:tcPr>
            <w:tcW w:w="3762" w:type="dxa"/>
            <w:tcBorders>
              <w:top w:val="nil" w:sz="6" w:space="0" w:color="auto"/>
              <w:left w:val="nil" w:sz="6" w:space="0" w:color="auto"/>
              <w:bottom w:val="nil" w:sz="6" w:space="0" w:color="auto"/>
              <w:right w:val="nil" w:sz="6" w:space="0" w:color="auto"/>
            </w:tcBorders>
          </w:tcPr>
          <w:p>
            <w:pPr>
              <w:pStyle w:val="TableParagraph"/>
              <w:tabs>
                <w:tab w:pos="818" w:val="left" w:leader="none"/>
              </w:tabs>
              <w:spacing w:line="240" w:lineRule="auto" w:before="17"/>
              <w:ind w:left="188"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07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4"/>
              <w:jc w:val="right"/>
              <w:rPr>
                <w:rFonts w:ascii="Times New Roman" w:hAnsi="Times New Roman" w:cs="Times New Roman" w:eastAsia="Times New Roman" w:hint="default"/>
                <w:sz w:val="21"/>
                <w:szCs w:val="21"/>
              </w:rPr>
            </w:pPr>
            <w:r>
              <w:rPr>
                <w:rFonts w:ascii="Times New Roman"/>
                <w:spacing w:val="-1"/>
                <w:sz w:val="21"/>
              </w:rPr>
              <w:t>3,530,842.18</w:t>
            </w:r>
          </w:p>
        </w:tc>
        <w:tc>
          <w:tcPr>
            <w:tcW w:w="1565"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3"/>
          <w:szCs w:val="23"/>
        </w:rPr>
      </w:pPr>
    </w:p>
    <w:p>
      <w:pPr>
        <w:tabs>
          <w:tab w:pos="1393" w:val="left" w:leader="none"/>
        </w:tabs>
        <w:spacing w:before="35"/>
        <w:ind w:left="855" w:right="312" w:firstLine="0"/>
        <w:jc w:val="left"/>
        <w:rPr>
          <w:rFonts w:ascii="宋体" w:hAnsi="宋体" w:cs="宋体" w:eastAsia="宋体" w:hint="default"/>
          <w:sz w:val="21"/>
          <w:szCs w:val="21"/>
        </w:rPr>
      </w:pPr>
      <w:r>
        <w:rPr/>
        <w:pict>
          <v:group style="position:absolute;margin-left:146.009995pt;margin-top:42.098465pt;width:389.3pt;height:40.450pt;mso-position-horizontal-relative:page;mso-position-vertical-relative:paragraph;z-index:-707512" coordorigin="2920,842" coordsize="7786,809">
            <v:group style="position:absolute;left:2950;top:857;width:7734;height:2" coordorigin="2950,857" coordsize="7734,2">
              <v:shape style="position:absolute;left:2950;top:857;width:7734;height:2" coordorigin="2950,857" coordsize="7734,0" path="m2950,857l10684,857e" filled="false" stroked="true" strokeweight="1.5pt" strokecolor="#000000">
                <v:path arrowok="t"/>
              </v:shape>
            </v:group>
            <v:group style="position:absolute;left:2935;top:1636;width:2544;height:2" coordorigin="2935,1636" coordsize="2544,2">
              <v:shape style="position:absolute;left:2935;top:1636;width:2544;height:2" coordorigin="2935,1636" coordsize="2544,0" path="m2935,1636l5479,1636e" filled="false" stroked="true" strokeweight="1.5pt" strokecolor="#000000">
                <v:path arrowok="t"/>
              </v:shape>
              <v:shape style="position:absolute;left:5460;top:853;width:48;height:787" type="#_x0000_t75" stroked="false">
                <v:imagedata r:id="rId221" o:title=""/>
              </v:shape>
            </v:group>
            <v:group style="position:absolute;left:5479;top:1636;width:1620;height:2" coordorigin="5479,1636" coordsize="1620,2">
              <v:shape style="position:absolute;left:5479;top:1636;width:1620;height:2" coordorigin="5479,1636" coordsize="1620,0" path="m5479,1636l7099,1636e" filled="false" stroked="true" strokeweight="1.5pt" strokecolor="#000000">
                <v:path arrowok="t"/>
              </v:shape>
              <v:shape style="position:absolute;left:7080;top:853;width:48;height:787" type="#_x0000_t75" stroked="false">
                <v:imagedata r:id="rId221" o:title=""/>
              </v:shape>
            </v:group>
            <v:group style="position:absolute;left:7099;top:1636;width:1358;height:2" coordorigin="7099,1636" coordsize="1358,2">
              <v:shape style="position:absolute;left:7099;top:1636;width:1358;height:2" coordorigin="7099,1636" coordsize="1358,0" path="m7099,1636l8456,1636e" filled="false" stroked="true" strokeweight="1.5pt" strokecolor="#000000">
                <v:path arrowok="t"/>
              </v:shape>
              <v:shape style="position:absolute;left:8437;top:853;width:48;height:787" type="#_x0000_t75" stroked="false">
                <v:imagedata r:id="rId221" o:title=""/>
              </v:shape>
            </v:group>
            <v:group style="position:absolute;left:8456;top:1636;width:2235;height:2" coordorigin="8456,1636" coordsize="2235,2">
              <v:shape style="position:absolute;left:8456;top:1636;width:2235;height:2" coordorigin="8456,1636" coordsize="2235,0" path="m8456,1636l10691,1636e" filled="false" stroked="true" strokeweight="1.5pt" strokecolor="#000000">
                <v:path arrowok="t"/>
              </v:shape>
            </v:group>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按权益法核算的长期股权投资收益：</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0"/>
          <w:szCs w:val="20"/>
        </w:rPr>
      </w:pPr>
    </w:p>
    <w:tbl>
      <w:tblPr>
        <w:tblW w:w="0" w:type="auto"/>
        <w:jc w:val="left"/>
        <w:tblInd w:w="1831" w:type="dxa"/>
        <w:tblLayout w:type="fixed"/>
        <w:tblCellMar>
          <w:top w:w="0" w:type="dxa"/>
          <w:left w:w="0" w:type="dxa"/>
          <w:bottom w:w="0" w:type="dxa"/>
          <w:right w:w="0" w:type="dxa"/>
        </w:tblCellMar>
        <w:tblLook w:val="01E0"/>
      </w:tblPr>
      <w:tblGrid>
        <w:gridCol w:w="1816"/>
        <w:gridCol w:w="1730"/>
        <w:gridCol w:w="1378"/>
        <w:gridCol w:w="2267"/>
      </w:tblGrid>
      <w:tr>
        <w:trPr>
          <w:trHeight w:val="779" w:hRule="exact"/>
        </w:trPr>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left="200" w:right="0"/>
              <w:jc w:val="left"/>
              <w:rPr>
                <w:rFonts w:ascii="宋体" w:hAnsi="宋体" w:cs="宋体" w:eastAsia="宋体" w:hint="default"/>
                <w:sz w:val="21"/>
                <w:szCs w:val="21"/>
              </w:rPr>
            </w:pPr>
            <w:r>
              <w:rPr>
                <w:rFonts w:ascii="宋体" w:hAnsi="宋体" w:cs="宋体" w:eastAsia="宋体" w:hint="default"/>
                <w:sz w:val="21"/>
                <w:szCs w:val="21"/>
              </w:rPr>
              <w:t>被投资单位</w:t>
            </w:r>
          </w:p>
        </w:tc>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left="566"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left="324" w:right="0"/>
              <w:jc w:val="left"/>
              <w:rPr>
                <w:rFonts w:ascii="宋体" w:hAnsi="宋体" w:cs="宋体" w:eastAsia="宋体" w:hint="default"/>
                <w:sz w:val="21"/>
                <w:szCs w:val="21"/>
              </w:rPr>
            </w:pPr>
            <w:r>
              <w:rPr>
                <w:rFonts w:ascii="宋体" w:hAnsi="宋体" w:cs="宋体" w:eastAsia="宋体" w:hint="default"/>
                <w:sz w:val="21"/>
                <w:szCs w:val="21"/>
              </w:rPr>
              <w:t>上期金额</w:t>
            </w:r>
          </w:p>
        </w:tc>
        <w:tc>
          <w:tcPr>
            <w:tcW w:w="2267" w:type="dxa"/>
            <w:tcBorders>
              <w:top w:val="nil" w:sz="6" w:space="0" w:color="auto"/>
              <w:left w:val="nil" w:sz="6" w:space="0" w:color="auto"/>
              <w:bottom w:val="nil" w:sz="6" w:space="0" w:color="auto"/>
              <w:right w:val="nil" w:sz="6" w:space="0" w:color="auto"/>
            </w:tcBorders>
          </w:tcPr>
          <w:p>
            <w:pPr>
              <w:pStyle w:val="TableParagraph"/>
              <w:spacing w:line="326" w:lineRule="auto" w:before="31"/>
              <w:ind w:left="844" w:right="161" w:hanging="630"/>
              <w:jc w:val="left"/>
              <w:rPr>
                <w:rFonts w:ascii="宋体" w:hAnsi="宋体" w:cs="宋体" w:eastAsia="宋体" w:hint="default"/>
                <w:sz w:val="21"/>
                <w:szCs w:val="21"/>
              </w:rPr>
            </w:pPr>
            <w:r>
              <w:rPr>
                <w:rFonts w:ascii="宋体" w:hAnsi="宋体" w:cs="宋体" w:eastAsia="宋体" w:hint="default"/>
                <w:sz w:val="21"/>
                <w:szCs w:val="21"/>
              </w:rPr>
              <w:t>本期比上期增减变动 的原因</w:t>
            </w:r>
          </w:p>
        </w:tc>
      </w:tr>
    </w:tbl>
    <w:p>
      <w:pPr>
        <w:spacing w:after="0" w:line="326" w:lineRule="auto"/>
        <w:jc w:val="left"/>
        <w:rPr>
          <w:rFonts w:ascii="宋体" w:hAnsi="宋体" w:cs="宋体" w:eastAsia="宋体" w:hint="default"/>
          <w:sz w:val="21"/>
          <w:szCs w:val="21"/>
        </w:rPr>
        <w:sectPr>
          <w:pgSz w:w="11910" w:h="16840"/>
          <w:pgMar w:header="851" w:footer="982" w:top="1300" w:bottom="1180" w:left="1660" w:right="1060"/>
        </w:sectPr>
      </w:pPr>
    </w:p>
    <w:p>
      <w:pPr>
        <w:spacing w:line="240" w:lineRule="auto" w:before="3"/>
        <w:rPr>
          <w:rFonts w:ascii="宋体" w:hAnsi="宋体" w:cs="宋体" w:eastAsia="宋体" w:hint="default"/>
          <w:b/>
          <w:bCs/>
          <w:sz w:val="2"/>
          <w:szCs w:val="2"/>
        </w:rPr>
      </w:pPr>
    </w:p>
    <w:tbl>
      <w:tblPr>
        <w:tblW w:w="0" w:type="auto"/>
        <w:jc w:val="left"/>
        <w:tblInd w:w="1289" w:type="dxa"/>
        <w:tblLayout w:type="fixed"/>
        <w:tblCellMar>
          <w:top w:w="0" w:type="dxa"/>
          <w:left w:w="0" w:type="dxa"/>
          <w:bottom w:w="0" w:type="dxa"/>
          <w:right w:w="0" w:type="dxa"/>
        </w:tblCellMar>
        <w:tblLook w:val="01E0"/>
      </w:tblPr>
      <w:tblGrid>
        <w:gridCol w:w="2684"/>
        <w:gridCol w:w="2149"/>
        <w:gridCol w:w="2900"/>
      </w:tblGrid>
      <w:tr>
        <w:trPr>
          <w:trHeight w:val="869" w:hRule="exact"/>
        </w:trPr>
        <w:tc>
          <w:tcPr>
            <w:tcW w:w="2684" w:type="dxa"/>
            <w:tcBorders>
              <w:top w:val="single" w:sz="12" w:space="0" w:color="000000"/>
              <w:left w:val="nil" w:sz="6" w:space="0" w:color="auto"/>
              <w:bottom w:val="nil" w:sz="6" w:space="0" w:color="auto"/>
              <w:right w:val="nil" w:sz="6" w:space="0" w:color="auto"/>
            </w:tcBorders>
          </w:tcPr>
          <w:p>
            <w:pPr>
              <w:pStyle w:val="TableParagraph"/>
              <w:spacing w:line="326" w:lineRule="auto" w:before="16"/>
              <w:ind w:left="108" w:right="257"/>
              <w:jc w:val="left"/>
              <w:rPr>
                <w:rFonts w:ascii="宋体" w:hAnsi="宋体" w:cs="宋体" w:eastAsia="宋体" w:hint="default"/>
                <w:sz w:val="21"/>
                <w:szCs w:val="21"/>
              </w:rPr>
            </w:pPr>
            <w:r>
              <w:rPr>
                <w:rFonts w:ascii="宋体" w:hAnsi="宋体" w:cs="宋体" w:eastAsia="宋体" w:hint="default"/>
                <w:sz w:val="21"/>
                <w:szCs w:val="21"/>
              </w:rPr>
              <w:t>大连华信计算机技术股份 有限公司</w:t>
            </w:r>
          </w:p>
        </w:tc>
        <w:tc>
          <w:tcPr>
            <w:tcW w:w="2149" w:type="dxa"/>
            <w:tcBorders>
              <w:top w:val="single" w:sz="12"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259" w:right="0"/>
              <w:jc w:val="left"/>
              <w:rPr>
                <w:rFonts w:ascii="Times New Roman" w:hAnsi="Times New Roman" w:cs="Times New Roman" w:eastAsia="Times New Roman" w:hint="default"/>
                <w:sz w:val="21"/>
                <w:szCs w:val="21"/>
              </w:rPr>
            </w:pPr>
            <w:r>
              <w:rPr>
                <w:rFonts w:ascii="Times New Roman"/>
                <w:sz w:val="21"/>
              </w:rPr>
              <w:t>3,530,842.18</w:t>
            </w:r>
          </w:p>
        </w:tc>
        <w:tc>
          <w:tcPr>
            <w:tcW w:w="2900" w:type="dxa"/>
            <w:tcBorders>
              <w:top w:val="single" w:sz="12" w:space="0" w:color="000000"/>
              <w:left w:val="nil" w:sz="6" w:space="0" w:color="auto"/>
              <w:bottom w:val="nil" w:sz="6" w:space="0" w:color="auto"/>
              <w:right w:val="nil" w:sz="6" w:space="0" w:color="auto"/>
            </w:tcBorders>
          </w:tcPr>
          <w:p>
            <w:pPr>
              <w:pStyle w:val="TableParagraph"/>
              <w:spacing w:line="326" w:lineRule="auto" w:before="16"/>
              <w:ind w:left="786" w:right="222"/>
              <w:jc w:val="left"/>
              <w:rPr>
                <w:rFonts w:ascii="宋体" w:hAnsi="宋体" w:cs="宋体" w:eastAsia="宋体" w:hint="default"/>
                <w:sz w:val="21"/>
                <w:szCs w:val="21"/>
              </w:rPr>
            </w:pPr>
            <w:r>
              <w:rPr>
                <w:rFonts w:ascii="宋体" w:hAnsi="宋体" w:cs="宋体" w:eastAsia="宋体" w:hint="default"/>
                <w:sz w:val="21"/>
                <w:szCs w:val="21"/>
              </w:rPr>
              <w:t>本年新增投资项目产 生收益</w:t>
            </w:r>
          </w:p>
        </w:tc>
      </w:tr>
      <w:tr>
        <w:trPr>
          <w:trHeight w:val="395" w:hRule="exact"/>
        </w:trPr>
        <w:tc>
          <w:tcPr>
            <w:tcW w:w="2684" w:type="dxa"/>
            <w:tcBorders>
              <w:top w:val="nil" w:sz="6" w:space="0" w:color="auto"/>
              <w:left w:val="nil" w:sz="6" w:space="0" w:color="auto"/>
              <w:bottom w:val="single" w:sz="12" w:space="0" w:color="000000"/>
              <w:right w:val="nil" w:sz="6" w:space="0" w:color="auto"/>
            </w:tcBorders>
          </w:tcPr>
          <w:p>
            <w:pPr>
              <w:pStyle w:val="TableParagraph"/>
              <w:tabs>
                <w:tab w:pos="1477" w:val="left" w:leader="none"/>
              </w:tabs>
              <w:spacing w:line="240" w:lineRule="auto" w:before="22"/>
              <w:ind w:left="847"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149" w:type="dxa"/>
            <w:tcBorders>
              <w:top w:val="nil" w:sz="6" w:space="0" w:color="auto"/>
              <w:left w:val="nil" w:sz="6" w:space="0" w:color="auto"/>
              <w:bottom w:val="single" w:sz="12" w:space="0" w:color="000000"/>
              <w:right w:val="nil" w:sz="6" w:space="0" w:color="auto"/>
            </w:tcBorders>
          </w:tcPr>
          <w:p>
            <w:pPr>
              <w:pStyle w:val="TableParagraph"/>
              <w:spacing w:line="240" w:lineRule="auto" w:before="71"/>
              <w:ind w:left="259" w:right="0"/>
              <w:jc w:val="left"/>
              <w:rPr>
                <w:rFonts w:ascii="Times New Roman" w:hAnsi="Times New Roman" w:cs="Times New Roman" w:eastAsia="Times New Roman" w:hint="default"/>
                <w:sz w:val="21"/>
                <w:szCs w:val="21"/>
              </w:rPr>
            </w:pPr>
            <w:r>
              <w:rPr>
                <w:rFonts w:ascii="Times New Roman"/>
                <w:sz w:val="21"/>
              </w:rPr>
              <w:t>3,530,842.18</w:t>
            </w:r>
          </w:p>
        </w:tc>
        <w:tc>
          <w:tcPr>
            <w:tcW w:w="2900"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spacing w:before="35"/>
        <w:ind w:left="123" w:right="224" w:firstLine="0"/>
        <w:jc w:val="left"/>
        <w:rPr>
          <w:rFonts w:ascii="宋体" w:hAnsi="宋体" w:cs="宋体" w:eastAsia="宋体" w:hint="default"/>
          <w:sz w:val="21"/>
          <w:szCs w:val="21"/>
        </w:rPr>
      </w:pPr>
      <w:r>
        <w:rPr/>
        <w:pict>
          <v:group style="position:absolute;margin-left:88.379997pt;margin-top:-91.881523pt;width:443.85pt;height:.1pt;mso-position-horizontal-relative:page;mso-position-vertical-relative:paragraph;z-index:-707488" coordorigin="1768,-1838" coordsize="8877,2">
            <v:shape style="position:absolute;left:1768;top:-1838;width:8877;height:2" coordorigin="1768,-1838" coordsize="8877,0" path="m1768,-1838l10644,-1838e" filled="false" stroked="true" strokeweight=".72pt" strokecolor="#000000">
              <v:path arrowok="t"/>
            </v:shape>
            <w10:wrap type="none"/>
          </v:group>
        </w:pict>
      </w:r>
      <w:r>
        <w:rPr/>
        <w:pict>
          <v:shape style="position:absolute;margin-left:146.520004pt;margin-top:-87.02153pt;width:385.714084pt;height:57.24pt;mso-position-horizontal-relative:page;mso-position-vertical-relative:paragraph;z-index:-707464" type="#_x0000_t75" stroked="false">
            <v:imagedata r:id="rId222" o:title=""/>
          </v:shape>
        </w:pict>
      </w:r>
      <w:r>
        <w:rPr/>
        <w:pict>
          <v:group style="position:absolute;margin-left:119.399994pt;margin-top:42.638474pt;width:414.1pt;height:58.15pt;mso-position-horizontal-relative:page;mso-position-vertical-relative:paragraph;z-index:-707440" coordorigin="2388,853" coordsize="8282,1163">
            <v:shape style="position:absolute;left:5885;top:853;width:2423;height:413" type="#_x0000_t75" stroked="false">
              <v:imagedata r:id="rId223" o:title=""/>
            </v:shape>
            <v:shape style="position:absolute;left:2388;top:1234;width:8281;height:782" type="#_x0000_t75" stroked="false">
              <v:imagedata r:id="rId224"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三十三</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4"/>
          <w:sz w:val="21"/>
          <w:szCs w:val="21"/>
        </w:rPr>
        <w:t> </w:t>
      </w:r>
      <w:r>
        <w:rPr>
          <w:rFonts w:ascii="宋体" w:hAnsi="宋体" w:cs="宋体" w:eastAsia="宋体" w:hint="default"/>
          <w:b/>
          <w:bCs/>
          <w:sz w:val="21"/>
          <w:szCs w:val="21"/>
        </w:rPr>
        <w:t>资产减值损失</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747" w:type="dxa"/>
        <w:tblLayout w:type="fixed"/>
        <w:tblCellMar>
          <w:top w:w="0" w:type="dxa"/>
          <w:left w:w="0" w:type="dxa"/>
          <w:bottom w:w="0" w:type="dxa"/>
          <w:right w:w="0" w:type="dxa"/>
        </w:tblCellMar>
        <w:tblLook w:val="01E0"/>
      </w:tblPr>
      <w:tblGrid>
        <w:gridCol w:w="3114"/>
        <w:gridCol w:w="3093"/>
        <w:gridCol w:w="2038"/>
      </w:tblGrid>
      <w:tr>
        <w:trPr>
          <w:trHeight w:val="393" w:hRule="exact"/>
        </w:trPr>
        <w:tc>
          <w:tcPr>
            <w:tcW w:w="3114"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right="1152"/>
              <w:jc w:val="right"/>
              <w:rPr>
                <w:rFonts w:ascii="宋体" w:hAnsi="宋体" w:cs="宋体" w:eastAsia="宋体" w:hint="default"/>
                <w:sz w:val="21"/>
                <w:szCs w:val="21"/>
              </w:rPr>
            </w:pPr>
            <w:r>
              <w:rPr>
                <w:rFonts w:ascii="宋体" w:hAnsi="宋体" w:cs="宋体" w:eastAsia="宋体" w:hint="default"/>
                <w:sz w:val="21"/>
                <w:szCs w:val="21"/>
              </w:rPr>
              <w:t>项目</w:t>
            </w:r>
          </w:p>
        </w:tc>
        <w:tc>
          <w:tcPr>
            <w:tcW w:w="3093"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56"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2038"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436"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90" w:hRule="exact"/>
        </w:trPr>
        <w:tc>
          <w:tcPr>
            <w:tcW w:w="3114"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坏账损失</w:t>
            </w:r>
          </w:p>
        </w:tc>
        <w:tc>
          <w:tcPr>
            <w:tcW w:w="309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34"/>
              <w:jc w:val="right"/>
              <w:rPr>
                <w:rFonts w:ascii="Times New Roman" w:hAnsi="Times New Roman" w:cs="Times New Roman" w:eastAsia="Times New Roman" w:hint="default"/>
                <w:sz w:val="21"/>
                <w:szCs w:val="21"/>
              </w:rPr>
            </w:pPr>
            <w:r>
              <w:rPr>
                <w:rFonts w:ascii="Times New Roman"/>
                <w:spacing w:val="-1"/>
                <w:sz w:val="21"/>
              </w:rPr>
              <w:t>11,056,005.77</w:t>
            </w:r>
          </w:p>
        </w:tc>
        <w:tc>
          <w:tcPr>
            <w:tcW w:w="2038"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97"/>
              <w:jc w:val="right"/>
              <w:rPr>
                <w:rFonts w:ascii="Times New Roman" w:hAnsi="Times New Roman" w:cs="Times New Roman" w:eastAsia="Times New Roman" w:hint="default"/>
                <w:sz w:val="21"/>
                <w:szCs w:val="21"/>
              </w:rPr>
            </w:pPr>
            <w:r>
              <w:rPr>
                <w:rFonts w:ascii="Times New Roman"/>
                <w:spacing w:val="-1"/>
                <w:sz w:val="21"/>
              </w:rPr>
              <w:t>2,446,098.14</w:t>
            </w:r>
          </w:p>
        </w:tc>
      </w:tr>
      <w:tr>
        <w:trPr>
          <w:trHeight w:val="391" w:hRule="exact"/>
        </w:trPr>
        <w:tc>
          <w:tcPr>
            <w:tcW w:w="3114"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right="1152"/>
              <w:jc w:val="right"/>
              <w:rPr>
                <w:rFonts w:ascii="宋体" w:hAnsi="宋体" w:cs="宋体" w:eastAsia="宋体" w:hint="default"/>
                <w:sz w:val="21"/>
                <w:szCs w:val="21"/>
              </w:rPr>
            </w:pPr>
            <w:r>
              <w:rPr>
                <w:rFonts w:ascii="宋体" w:hAnsi="宋体" w:cs="宋体" w:eastAsia="宋体" w:hint="default"/>
                <w:sz w:val="21"/>
                <w:szCs w:val="21"/>
              </w:rPr>
              <w:t>合计</w:t>
            </w:r>
          </w:p>
        </w:tc>
        <w:tc>
          <w:tcPr>
            <w:tcW w:w="3093"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434"/>
              <w:jc w:val="right"/>
              <w:rPr>
                <w:rFonts w:ascii="Times New Roman" w:hAnsi="Times New Roman" w:cs="Times New Roman" w:eastAsia="Times New Roman" w:hint="default"/>
                <w:sz w:val="21"/>
                <w:szCs w:val="21"/>
              </w:rPr>
            </w:pPr>
            <w:r>
              <w:rPr>
                <w:rFonts w:ascii="Times New Roman"/>
                <w:spacing w:val="-1"/>
                <w:sz w:val="21"/>
              </w:rPr>
              <w:t>11,056,005.77</w:t>
            </w:r>
          </w:p>
        </w:tc>
        <w:tc>
          <w:tcPr>
            <w:tcW w:w="2038"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97"/>
              <w:jc w:val="right"/>
              <w:rPr>
                <w:rFonts w:ascii="Times New Roman" w:hAnsi="Times New Roman" w:cs="Times New Roman" w:eastAsia="Times New Roman" w:hint="default"/>
                <w:sz w:val="21"/>
                <w:szCs w:val="21"/>
              </w:rPr>
            </w:pPr>
            <w:r>
              <w:rPr>
                <w:rFonts w:ascii="Times New Roman"/>
                <w:spacing w:val="-1"/>
                <w:sz w:val="21"/>
              </w:rPr>
              <w:t>2,446,098.14</w:t>
            </w:r>
          </w:p>
        </w:tc>
      </w:tr>
    </w:tbl>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2"/>
          <w:szCs w:val="22"/>
        </w:rPr>
      </w:pPr>
    </w:p>
    <w:p>
      <w:pPr>
        <w:spacing w:before="35"/>
        <w:ind w:left="106" w:right="7154" w:firstLine="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三十四</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5"/>
          <w:sz w:val="21"/>
          <w:szCs w:val="21"/>
        </w:rPr>
        <w:t> </w:t>
      </w:r>
      <w:r>
        <w:rPr>
          <w:rFonts w:ascii="宋体" w:hAnsi="宋体" w:cs="宋体" w:eastAsia="宋体" w:hint="default"/>
          <w:b/>
          <w:bCs/>
          <w:sz w:val="21"/>
          <w:szCs w:val="21"/>
        </w:rPr>
        <w:t>营业外收入</w:t>
      </w:r>
      <w:r>
        <w:rPr>
          <w:rFonts w:ascii="宋体" w:hAnsi="宋体" w:cs="宋体" w:eastAsia="宋体" w:hint="default"/>
          <w:sz w:val="21"/>
          <w:szCs w:val="21"/>
        </w:rPr>
      </w:r>
    </w:p>
    <w:p>
      <w:pPr>
        <w:spacing w:before="110"/>
        <w:ind w:left="106" w:right="7282" w:firstLine="0"/>
        <w:jc w:val="center"/>
        <w:rPr>
          <w:rFonts w:ascii="宋体" w:hAnsi="宋体" w:cs="宋体" w:eastAsia="宋体" w:hint="default"/>
          <w:sz w:val="21"/>
          <w:szCs w:val="21"/>
        </w:rPr>
      </w:pPr>
      <w:r>
        <w:rPr/>
        <w:pict>
          <v:group style="position:absolute;margin-left:146.520004pt;margin-top:41.336456pt;width:387.8pt;height:153.75pt;mso-position-horizontal-relative:page;mso-position-vertical-relative:paragraph;z-index:-707416" coordorigin="2930,827" coordsize="7756,3075">
            <v:shape style="position:absolute;left:5460;top:827;width:3450;height:787" type="#_x0000_t75" stroked="false">
              <v:imagedata r:id="rId225" o:title=""/>
            </v:shape>
            <v:shape style="position:absolute;left:2930;top:1582;width:7756;height:2319" type="#_x0000_t75" stroked="false">
              <v:imagedata r:id="rId226" o:title=""/>
            </v:shape>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1289" w:type="dxa"/>
        <w:tblLayout w:type="fixed"/>
        <w:tblCellMar>
          <w:top w:w="0" w:type="dxa"/>
          <w:left w:w="0" w:type="dxa"/>
          <w:bottom w:w="0" w:type="dxa"/>
          <w:right w:w="0" w:type="dxa"/>
        </w:tblCellMar>
        <w:tblLook w:val="01E0"/>
      </w:tblPr>
      <w:tblGrid>
        <w:gridCol w:w="2716"/>
        <w:gridCol w:w="1708"/>
        <w:gridCol w:w="1537"/>
        <w:gridCol w:w="1754"/>
      </w:tblGrid>
      <w:tr>
        <w:trPr>
          <w:trHeight w:val="768" w:hRule="exact"/>
        </w:trPr>
        <w:tc>
          <w:tcPr>
            <w:tcW w:w="2716"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179"/>
              <w:jc w:val="center"/>
              <w:rPr>
                <w:rFonts w:ascii="宋体" w:hAnsi="宋体" w:cs="宋体" w:eastAsia="宋体" w:hint="default"/>
                <w:sz w:val="21"/>
                <w:szCs w:val="21"/>
              </w:rPr>
            </w:pPr>
            <w:r>
              <w:rPr>
                <w:rFonts w:ascii="宋体" w:hAnsi="宋体" w:cs="宋体" w:eastAsia="宋体" w:hint="default"/>
                <w:sz w:val="21"/>
                <w:szCs w:val="21"/>
              </w:rPr>
              <w:t>项目</w:t>
            </w:r>
          </w:p>
        </w:tc>
        <w:tc>
          <w:tcPr>
            <w:tcW w:w="1708"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298"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537"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290" w:right="0"/>
              <w:jc w:val="left"/>
              <w:rPr>
                <w:rFonts w:ascii="宋体" w:hAnsi="宋体" w:cs="宋体" w:eastAsia="宋体" w:hint="default"/>
                <w:sz w:val="21"/>
                <w:szCs w:val="21"/>
              </w:rPr>
            </w:pPr>
            <w:r>
              <w:rPr>
                <w:rFonts w:ascii="宋体" w:hAnsi="宋体" w:cs="宋体" w:eastAsia="宋体" w:hint="default"/>
                <w:sz w:val="21"/>
                <w:szCs w:val="21"/>
              </w:rPr>
              <w:t>上期金额</w:t>
            </w:r>
          </w:p>
        </w:tc>
        <w:tc>
          <w:tcPr>
            <w:tcW w:w="1754" w:type="dxa"/>
            <w:tcBorders>
              <w:top w:val="single" w:sz="12" w:space="0" w:color="000000"/>
              <w:left w:val="nil" w:sz="6" w:space="0" w:color="auto"/>
              <w:bottom w:val="nil" w:sz="6" w:space="0" w:color="auto"/>
              <w:right w:val="nil" w:sz="6" w:space="0" w:color="auto"/>
            </w:tcBorders>
          </w:tcPr>
          <w:p>
            <w:pPr>
              <w:pStyle w:val="TableParagraph"/>
              <w:spacing w:line="326" w:lineRule="auto" w:before="16"/>
              <w:ind w:left="237" w:right="149" w:hanging="106"/>
              <w:jc w:val="left"/>
              <w:rPr>
                <w:rFonts w:ascii="宋体" w:hAnsi="宋体" w:cs="宋体" w:eastAsia="宋体" w:hint="default"/>
                <w:sz w:val="21"/>
                <w:szCs w:val="21"/>
              </w:rPr>
            </w:pPr>
            <w:r>
              <w:rPr>
                <w:rFonts w:ascii="宋体" w:hAnsi="宋体" w:cs="宋体" w:eastAsia="宋体" w:hint="default"/>
                <w:sz w:val="21"/>
                <w:szCs w:val="21"/>
              </w:rPr>
              <w:t>计入当期非经常 性损益的金额</w:t>
            </w:r>
          </w:p>
        </w:tc>
      </w:tr>
      <w:tr>
        <w:trPr>
          <w:trHeight w:val="390" w:hRule="exact"/>
        </w:trPr>
        <w:tc>
          <w:tcPr>
            <w:tcW w:w="271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宋体" w:hAnsi="宋体" w:cs="宋体" w:eastAsia="宋体" w:hint="default"/>
                <w:sz w:val="21"/>
                <w:szCs w:val="21"/>
              </w:rPr>
              <w:t>非流动资产处置利得合计</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95"/>
              <w:jc w:val="right"/>
              <w:rPr>
                <w:rFonts w:ascii="Times New Roman" w:hAnsi="Times New Roman" w:cs="Times New Roman" w:eastAsia="Times New Roman" w:hint="default"/>
                <w:sz w:val="21"/>
                <w:szCs w:val="21"/>
              </w:rPr>
            </w:pPr>
            <w:r>
              <w:rPr>
                <w:rFonts w:ascii="Times New Roman"/>
                <w:spacing w:val="-1"/>
                <w:sz w:val="21"/>
              </w:rPr>
              <w:t>34,501.67</w:t>
            </w:r>
          </w:p>
        </w:tc>
        <w:tc>
          <w:tcPr>
            <w:tcW w:w="1537" w:type="dxa"/>
            <w:tcBorders>
              <w:top w:val="nil" w:sz="6" w:space="0" w:color="auto"/>
              <w:left w:val="nil" w:sz="6" w:space="0" w:color="auto"/>
              <w:bottom w:val="nil" w:sz="6" w:space="0" w:color="auto"/>
              <w:right w:val="nil" w:sz="6" w:space="0" w:color="auto"/>
            </w:tcBorders>
          </w:tcPr>
          <w:p>
            <w:pPr/>
          </w:p>
        </w:tc>
        <w:tc>
          <w:tcPr>
            <w:tcW w:w="175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98"/>
              <w:jc w:val="right"/>
              <w:rPr>
                <w:rFonts w:ascii="Times New Roman" w:hAnsi="Times New Roman" w:cs="Times New Roman" w:eastAsia="Times New Roman" w:hint="default"/>
                <w:sz w:val="21"/>
                <w:szCs w:val="21"/>
              </w:rPr>
            </w:pPr>
            <w:r>
              <w:rPr>
                <w:rFonts w:ascii="Times New Roman"/>
                <w:spacing w:val="-1"/>
                <w:sz w:val="21"/>
              </w:rPr>
              <w:t>34,501.67</w:t>
            </w:r>
          </w:p>
        </w:tc>
      </w:tr>
      <w:tr>
        <w:trPr>
          <w:trHeight w:val="385" w:hRule="exact"/>
        </w:trPr>
        <w:tc>
          <w:tcPr>
            <w:tcW w:w="2716"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8" w:right="0"/>
              <w:jc w:val="left"/>
              <w:rPr>
                <w:rFonts w:ascii="宋体" w:hAnsi="宋体" w:cs="宋体" w:eastAsia="宋体" w:hint="default"/>
                <w:sz w:val="21"/>
                <w:szCs w:val="21"/>
              </w:rPr>
            </w:pPr>
            <w:r>
              <w:rPr>
                <w:rFonts w:ascii="宋体" w:hAnsi="宋体" w:cs="宋体" w:eastAsia="宋体" w:hint="default"/>
                <w:sz w:val="21"/>
                <w:szCs w:val="21"/>
              </w:rPr>
              <w:t>其中：处置固定资产利得</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95"/>
              <w:jc w:val="right"/>
              <w:rPr>
                <w:rFonts w:ascii="Times New Roman" w:hAnsi="Times New Roman" w:cs="Times New Roman" w:eastAsia="Times New Roman" w:hint="default"/>
                <w:sz w:val="21"/>
                <w:szCs w:val="21"/>
              </w:rPr>
            </w:pPr>
            <w:r>
              <w:rPr>
                <w:rFonts w:ascii="Times New Roman"/>
                <w:spacing w:val="-1"/>
                <w:sz w:val="21"/>
              </w:rPr>
              <w:t>34,501.67</w:t>
            </w:r>
          </w:p>
        </w:tc>
        <w:tc>
          <w:tcPr>
            <w:tcW w:w="1537" w:type="dxa"/>
            <w:tcBorders>
              <w:top w:val="nil" w:sz="6" w:space="0" w:color="auto"/>
              <w:left w:val="nil" w:sz="6" w:space="0" w:color="auto"/>
              <w:bottom w:val="nil" w:sz="6" w:space="0" w:color="auto"/>
              <w:right w:val="nil" w:sz="6" w:space="0" w:color="auto"/>
            </w:tcBorders>
          </w:tcPr>
          <w:p>
            <w:pPr/>
          </w:p>
        </w:tc>
        <w:tc>
          <w:tcPr>
            <w:tcW w:w="1754"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98"/>
              <w:jc w:val="right"/>
              <w:rPr>
                <w:rFonts w:ascii="Times New Roman" w:hAnsi="Times New Roman" w:cs="Times New Roman" w:eastAsia="Times New Roman" w:hint="default"/>
                <w:sz w:val="21"/>
                <w:szCs w:val="21"/>
              </w:rPr>
            </w:pPr>
            <w:r>
              <w:rPr>
                <w:rFonts w:ascii="Times New Roman"/>
                <w:spacing w:val="-1"/>
                <w:sz w:val="21"/>
              </w:rPr>
              <w:t>34,501.67</w:t>
            </w:r>
          </w:p>
        </w:tc>
      </w:tr>
      <w:tr>
        <w:trPr>
          <w:trHeight w:val="384" w:hRule="exact"/>
        </w:trPr>
        <w:tc>
          <w:tcPr>
            <w:tcW w:w="2716"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罚款收入</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96"/>
              <w:jc w:val="right"/>
              <w:rPr>
                <w:rFonts w:ascii="Times New Roman" w:hAnsi="Times New Roman" w:cs="Times New Roman" w:eastAsia="Times New Roman" w:hint="default"/>
                <w:sz w:val="21"/>
                <w:szCs w:val="21"/>
              </w:rPr>
            </w:pPr>
            <w:r>
              <w:rPr>
                <w:rFonts w:ascii="Times New Roman"/>
                <w:spacing w:val="-1"/>
                <w:sz w:val="21"/>
              </w:rPr>
              <w:t>400.00</w:t>
            </w:r>
          </w:p>
        </w:tc>
        <w:tc>
          <w:tcPr>
            <w:tcW w:w="1537" w:type="dxa"/>
            <w:tcBorders>
              <w:top w:val="nil" w:sz="6" w:space="0" w:color="auto"/>
              <w:left w:val="nil" w:sz="6" w:space="0" w:color="auto"/>
              <w:bottom w:val="nil" w:sz="6" w:space="0" w:color="auto"/>
              <w:right w:val="nil" w:sz="6" w:space="0" w:color="auto"/>
            </w:tcBorders>
          </w:tcPr>
          <w:p>
            <w:pPr/>
          </w:p>
        </w:tc>
        <w:tc>
          <w:tcPr>
            <w:tcW w:w="175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9"/>
              <w:jc w:val="right"/>
              <w:rPr>
                <w:rFonts w:ascii="Times New Roman" w:hAnsi="Times New Roman" w:cs="Times New Roman" w:eastAsia="Times New Roman" w:hint="default"/>
                <w:sz w:val="21"/>
                <w:szCs w:val="21"/>
              </w:rPr>
            </w:pPr>
            <w:r>
              <w:rPr>
                <w:rFonts w:ascii="Times New Roman"/>
                <w:spacing w:val="-1"/>
                <w:sz w:val="21"/>
              </w:rPr>
              <w:t>400.00</w:t>
            </w:r>
          </w:p>
        </w:tc>
      </w:tr>
      <w:tr>
        <w:trPr>
          <w:trHeight w:val="385" w:hRule="exact"/>
        </w:trPr>
        <w:tc>
          <w:tcPr>
            <w:tcW w:w="2716"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95"/>
              <w:jc w:val="right"/>
              <w:rPr>
                <w:rFonts w:ascii="Times New Roman" w:hAnsi="Times New Roman" w:cs="Times New Roman" w:eastAsia="Times New Roman" w:hint="default"/>
                <w:sz w:val="21"/>
                <w:szCs w:val="21"/>
              </w:rPr>
            </w:pPr>
            <w:r>
              <w:rPr>
                <w:rFonts w:ascii="Times New Roman"/>
                <w:spacing w:val="-1"/>
                <w:sz w:val="21"/>
              </w:rPr>
              <w:t>13,179,786.05</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30"/>
              <w:jc w:val="right"/>
              <w:rPr>
                <w:rFonts w:ascii="Times New Roman" w:hAnsi="Times New Roman" w:cs="Times New Roman" w:eastAsia="Times New Roman" w:hint="default"/>
                <w:sz w:val="21"/>
                <w:szCs w:val="21"/>
              </w:rPr>
            </w:pPr>
            <w:r>
              <w:rPr>
                <w:rFonts w:ascii="Times New Roman"/>
                <w:spacing w:val="-1"/>
                <w:sz w:val="21"/>
              </w:rPr>
              <w:t>16,785,385.92</w:t>
            </w:r>
          </w:p>
        </w:tc>
        <w:tc>
          <w:tcPr>
            <w:tcW w:w="175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9"/>
              <w:jc w:val="right"/>
              <w:rPr>
                <w:rFonts w:ascii="Times New Roman" w:hAnsi="Times New Roman" w:cs="Times New Roman" w:eastAsia="Times New Roman" w:hint="default"/>
                <w:sz w:val="21"/>
                <w:szCs w:val="21"/>
              </w:rPr>
            </w:pPr>
            <w:r>
              <w:rPr>
                <w:rFonts w:ascii="Times New Roman"/>
                <w:spacing w:val="-1"/>
                <w:sz w:val="21"/>
              </w:rPr>
              <w:t>6,563,117.20</w:t>
            </w:r>
          </w:p>
        </w:tc>
      </w:tr>
      <w:tr>
        <w:trPr>
          <w:trHeight w:val="385" w:hRule="exact"/>
        </w:trPr>
        <w:tc>
          <w:tcPr>
            <w:tcW w:w="2716"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8"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95"/>
              <w:jc w:val="right"/>
              <w:rPr>
                <w:rFonts w:ascii="Times New Roman" w:hAnsi="Times New Roman" w:cs="Times New Roman" w:eastAsia="Times New Roman" w:hint="default"/>
                <w:sz w:val="21"/>
                <w:szCs w:val="21"/>
              </w:rPr>
            </w:pPr>
            <w:r>
              <w:rPr>
                <w:rFonts w:ascii="Times New Roman"/>
                <w:spacing w:val="-1"/>
                <w:sz w:val="21"/>
              </w:rPr>
              <w:t>36,000.00</w:t>
            </w:r>
          </w:p>
        </w:tc>
        <w:tc>
          <w:tcPr>
            <w:tcW w:w="1537" w:type="dxa"/>
            <w:tcBorders>
              <w:top w:val="nil" w:sz="6" w:space="0" w:color="auto"/>
              <w:left w:val="nil" w:sz="6" w:space="0" w:color="auto"/>
              <w:bottom w:val="nil" w:sz="6" w:space="0" w:color="auto"/>
              <w:right w:val="nil" w:sz="6" w:space="0" w:color="auto"/>
            </w:tcBorders>
          </w:tcPr>
          <w:p>
            <w:pPr/>
          </w:p>
        </w:tc>
        <w:tc>
          <w:tcPr>
            <w:tcW w:w="1754"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98"/>
              <w:jc w:val="right"/>
              <w:rPr>
                <w:rFonts w:ascii="Times New Roman" w:hAnsi="Times New Roman" w:cs="Times New Roman" w:eastAsia="Times New Roman" w:hint="default"/>
                <w:sz w:val="21"/>
                <w:szCs w:val="21"/>
              </w:rPr>
            </w:pPr>
            <w:r>
              <w:rPr>
                <w:rFonts w:ascii="Times New Roman"/>
                <w:spacing w:val="-1"/>
                <w:sz w:val="21"/>
              </w:rPr>
              <w:t>36,000.00</w:t>
            </w:r>
          </w:p>
        </w:tc>
      </w:tr>
      <w:tr>
        <w:trPr>
          <w:trHeight w:val="390" w:hRule="exact"/>
        </w:trPr>
        <w:tc>
          <w:tcPr>
            <w:tcW w:w="2716"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right="179"/>
              <w:jc w:val="center"/>
              <w:rPr>
                <w:rFonts w:ascii="宋体" w:hAnsi="宋体" w:cs="宋体" w:eastAsia="宋体" w:hint="default"/>
                <w:sz w:val="21"/>
                <w:szCs w:val="21"/>
              </w:rPr>
            </w:pPr>
            <w:r>
              <w:rPr>
                <w:rFonts w:ascii="宋体" w:hAnsi="宋体" w:cs="宋体" w:eastAsia="宋体" w:hint="default"/>
                <w:sz w:val="21"/>
                <w:szCs w:val="21"/>
              </w:rPr>
              <w:t>合计</w:t>
            </w:r>
          </w:p>
        </w:tc>
        <w:tc>
          <w:tcPr>
            <w:tcW w:w="1708"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195"/>
              <w:jc w:val="right"/>
              <w:rPr>
                <w:rFonts w:ascii="Times New Roman" w:hAnsi="Times New Roman" w:cs="Times New Roman" w:eastAsia="Times New Roman" w:hint="default"/>
                <w:sz w:val="21"/>
                <w:szCs w:val="21"/>
              </w:rPr>
            </w:pPr>
            <w:r>
              <w:rPr>
                <w:rFonts w:ascii="Times New Roman"/>
                <w:spacing w:val="-1"/>
                <w:sz w:val="21"/>
              </w:rPr>
              <w:t>13,250,687.72</w:t>
            </w:r>
          </w:p>
        </w:tc>
        <w:tc>
          <w:tcPr>
            <w:tcW w:w="1537"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130"/>
              <w:jc w:val="right"/>
              <w:rPr>
                <w:rFonts w:ascii="Times New Roman" w:hAnsi="Times New Roman" w:cs="Times New Roman" w:eastAsia="Times New Roman" w:hint="default"/>
                <w:sz w:val="21"/>
                <w:szCs w:val="21"/>
              </w:rPr>
            </w:pPr>
            <w:r>
              <w:rPr>
                <w:rFonts w:ascii="Times New Roman"/>
                <w:spacing w:val="-1"/>
                <w:sz w:val="21"/>
              </w:rPr>
              <w:t>16,785,385.92</w:t>
            </w:r>
          </w:p>
        </w:tc>
        <w:tc>
          <w:tcPr>
            <w:tcW w:w="1754"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97"/>
              <w:jc w:val="right"/>
              <w:rPr>
                <w:rFonts w:ascii="Times New Roman" w:hAnsi="Times New Roman" w:cs="Times New Roman" w:eastAsia="Times New Roman" w:hint="default"/>
                <w:sz w:val="21"/>
                <w:szCs w:val="21"/>
              </w:rPr>
            </w:pPr>
            <w:r>
              <w:rPr>
                <w:rFonts w:ascii="Times New Roman"/>
                <w:spacing w:val="-1"/>
                <w:sz w:val="21"/>
              </w:rPr>
              <w:t>6,634,018.87</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tabs>
          <w:tab w:pos="1393" w:val="left" w:leader="none"/>
        </w:tabs>
        <w:spacing w:before="35"/>
        <w:ind w:left="855" w:right="224" w:firstLine="0"/>
        <w:jc w:val="left"/>
        <w:rPr>
          <w:rFonts w:ascii="宋体" w:hAnsi="宋体" w:cs="宋体" w:eastAsia="宋体" w:hint="default"/>
          <w:sz w:val="21"/>
          <w:szCs w:val="21"/>
        </w:rPr>
      </w:pPr>
      <w:r>
        <w:rPr/>
        <w:pict>
          <v:group style="position:absolute;margin-left:146.520004pt;margin-top:37.594086pt;width:390.75pt;height:77.350pt;mso-position-horizontal-relative:page;mso-position-vertical-relative:paragraph;z-index:-707392" coordorigin="2930,752" coordsize="7815,1547">
            <v:shape style="position:absolute;left:6736;top:752;width:2032;height:413" type="#_x0000_t75" stroked="false">
              <v:imagedata r:id="rId227" o:title=""/>
            </v:shape>
            <v:shape style="position:absolute;left:2930;top:1133;width:7814;height:1166" type="#_x0000_t75" stroked="false">
              <v:imagedata r:id="rId228" o:title=""/>
            </v:shape>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政府补助明细</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1289" w:type="dxa"/>
        <w:tblLayout w:type="fixed"/>
        <w:tblCellMar>
          <w:top w:w="0" w:type="dxa"/>
          <w:left w:w="0" w:type="dxa"/>
          <w:bottom w:w="0" w:type="dxa"/>
          <w:right w:w="0" w:type="dxa"/>
        </w:tblCellMar>
        <w:tblLook w:val="01E0"/>
      </w:tblPr>
      <w:tblGrid>
        <w:gridCol w:w="3820"/>
        <w:gridCol w:w="2207"/>
        <w:gridCol w:w="1746"/>
      </w:tblGrid>
      <w:tr>
        <w:trPr>
          <w:trHeight w:val="393" w:hRule="exact"/>
        </w:trPr>
        <w:tc>
          <w:tcPr>
            <w:tcW w:w="3820"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right="8"/>
              <w:jc w:val="center"/>
              <w:rPr>
                <w:rFonts w:ascii="宋体" w:hAnsi="宋体" w:cs="宋体" w:eastAsia="宋体" w:hint="default"/>
                <w:sz w:val="21"/>
                <w:szCs w:val="21"/>
              </w:rPr>
            </w:pPr>
            <w:r>
              <w:rPr>
                <w:rFonts w:ascii="宋体" w:hAnsi="宋体" w:cs="宋体" w:eastAsia="宋体" w:hint="default"/>
                <w:sz w:val="21"/>
                <w:szCs w:val="21"/>
              </w:rPr>
              <w:t>项目</w:t>
            </w:r>
          </w:p>
        </w:tc>
        <w:tc>
          <w:tcPr>
            <w:tcW w:w="2207"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561"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746"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339"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90" w:hRule="exact"/>
        </w:trPr>
        <w:tc>
          <w:tcPr>
            <w:tcW w:w="382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宋体" w:hAnsi="宋体" w:cs="宋体" w:eastAsia="宋体" w:hint="default"/>
                <w:sz w:val="21"/>
                <w:szCs w:val="21"/>
              </w:rPr>
              <w:t>收到增值税超税负返还</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7"/>
              <w:jc w:val="right"/>
              <w:rPr>
                <w:rFonts w:ascii="Times New Roman" w:hAnsi="Times New Roman" w:cs="Times New Roman" w:eastAsia="Times New Roman" w:hint="default"/>
                <w:sz w:val="21"/>
                <w:szCs w:val="21"/>
              </w:rPr>
            </w:pPr>
            <w:r>
              <w:rPr>
                <w:rFonts w:ascii="Times New Roman"/>
                <w:spacing w:val="-1"/>
                <w:sz w:val="21"/>
              </w:rPr>
              <w:t>6,616,668.85</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99"/>
              <w:jc w:val="right"/>
              <w:rPr>
                <w:rFonts w:ascii="Times New Roman" w:hAnsi="Times New Roman" w:cs="Times New Roman" w:eastAsia="Times New Roman" w:hint="default"/>
                <w:sz w:val="21"/>
                <w:szCs w:val="21"/>
              </w:rPr>
            </w:pPr>
            <w:r>
              <w:rPr>
                <w:rFonts w:ascii="Times New Roman"/>
                <w:spacing w:val="-1"/>
                <w:sz w:val="21"/>
              </w:rPr>
              <w:t>10,218,539.44</w:t>
            </w:r>
          </w:p>
        </w:tc>
      </w:tr>
      <w:tr>
        <w:trPr>
          <w:trHeight w:val="385" w:hRule="exact"/>
        </w:trPr>
        <w:tc>
          <w:tcPr>
            <w:tcW w:w="3820"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8" w:right="0"/>
              <w:jc w:val="left"/>
              <w:rPr>
                <w:rFonts w:ascii="宋体" w:hAnsi="宋体" w:cs="宋体" w:eastAsia="宋体" w:hint="default"/>
                <w:sz w:val="21"/>
                <w:szCs w:val="21"/>
              </w:rPr>
            </w:pPr>
            <w:r>
              <w:rPr>
                <w:rFonts w:ascii="宋体" w:hAnsi="宋体" w:cs="宋体" w:eastAsia="宋体" w:hint="default"/>
                <w:sz w:val="21"/>
                <w:szCs w:val="21"/>
              </w:rPr>
              <w:t>收到的其他与收益相关的政府补助</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7"/>
              <w:jc w:val="right"/>
              <w:rPr>
                <w:rFonts w:ascii="Times New Roman" w:hAnsi="Times New Roman" w:cs="Times New Roman" w:eastAsia="Times New Roman" w:hint="default"/>
                <w:sz w:val="21"/>
                <w:szCs w:val="21"/>
              </w:rPr>
            </w:pPr>
            <w:r>
              <w:rPr>
                <w:rFonts w:ascii="Times New Roman"/>
                <w:spacing w:val="-2"/>
                <w:sz w:val="21"/>
              </w:rPr>
              <w:t>6,563,117.20</w:t>
            </w:r>
            <w:r>
              <w:rPr>
                <w:rFonts w:ascii="Times New Roman"/>
                <w:sz w:val="21"/>
              </w:rPr>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99"/>
              <w:jc w:val="right"/>
              <w:rPr>
                <w:rFonts w:ascii="Times New Roman" w:hAnsi="Times New Roman" w:cs="Times New Roman" w:eastAsia="Times New Roman" w:hint="default"/>
                <w:sz w:val="21"/>
                <w:szCs w:val="21"/>
              </w:rPr>
            </w:pPr>
            <w:r>
              <w:rPr>
                <w:rFonts w:ascii="Times New Roman"/>
                <w:spacing w:val="-1"/>
                <w:sz w:val="21"/>
              </w:rPr>
              <w:t>6,566,846.48</w:t>
            </w:r>
          </w:p>
        </w:tc>
      </w:tr>
      <w:tr>
        <w:trPr>
          <w:trHeight w:val="390" w:hRule="exact"/>
        </w:trPr>
        <w:tc>
          <w:tcPr>
            <w:tcW w:w="3820"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right="8"/>
              <w:jc w:val="center"/>
              <w:rPr>
                <w:rFonts w:ascii="宋体" w:hAnsi="宋体" w:cs="宋体" w:eastAsia="宋体" w:hint="default"/>
                <w:sz w:val="21"/>
                <w:szCs w:val="21"/>
              </w:rPr>
            </w:pPr>
            <w:r>
              <w:rPr>
                <w:rFonts w:ascii="宋体" w:hAnsi="宋体" w:cs="宋体" w:eastAsia="宋体" w:hint="default"/>
                <w:sz w:val="21"/>
                <w:szCs w:val="21"/>
              </w:rPr>
              <w:t>合计</w:t>
            </w:r>
          </w:p>
        </w:tc>
        <w:tc>
          <w:tcPr>
            <w:tcW w:w="2207"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337"/>
              <w:jc w:val="right"/>
              <w:rPr>
                <w:rFonts w:ascii="Times New Roman" w:hAnsi="Times New Roman" w:cs="Times New Roman" w:eastAsia="Times New Roman" w:hint="default"/>
                <w:sz w:val="21"/>
                <w:szCs w:val="21"/>
              </w:rPr>
            </w:pPr>
            <w:r>
              <w:rPr>
                <w:rFonts w:ascii="Times New Roman"/>
                <w:spacing w:val="-1"/>
                <w:sz w:val="21"/>
              </w:rPr>
              <w:t>13,179,786.05</w:t>
            </w:r>
          </w:p>
        </w:tc>
        <w:tc>
          <w:tcPr>
            <w:tcW w:w="1746"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99"/>
              <w:jc w:val="right"/>
              <w:rPr>
                <w:rFonts w:ascii="Times New Roman" w:hAnsi="Times New Roman" w:cs="Times New Roman" w:eastAsia="Times New Roman" w:hint="default"/>
                <w:sz w:val="21"/>
                <w:szCs w:val="21"/>
              </w:rPr>
            </w:pPr>
            <w:r>
              <w:rPr>
                <w:rFonts w:ascii="Times New Roman"/>
                <w:spacing w:val="-1"/>
                <w:sz w:val="21"/>
              </w:rPr>
              <w:t>16,785,385.92</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spacing w:before="35"/>
        <w:ind w:left="757" w:right="224" w:firstLine="0"/>
        <w:jc w:val="left"/>
        <w:rPr>
          <w:rFonts w:ascii="宋体" w:hAnsi="宋体" w:cs="宋体" w:eastAsia="宋体" w:hint="default"/>
          <w:sz w:val="21"/>
          <w:szCs w:val="21"/>
        </w:rPr>
      </w:pPr>
      <w:r>
        <w:rPr/>
        <w:pict>
          <v:group style="position:absolute;margin-left:146.520004pt;margin-top:37.593964pt;width:389.8pt;height:58.65pt;mso-position-horizontal-relative:page;mso-position-vertical-relative:paragraph;z-index:-707368" coordorigin="2930,752" coordsize="7796,1173">
            <v:shape style="position:absolute;left:2930;top:752;width:7795;height:1172" type="#_x0000_t75" stroked="false">
              <v:imagedata r:id="rId229" o:title=""/>
            </v:shape>
            <v:shape style="position:absolute;left:6877;top:1136;width:48;height:788" type="#_x0000_t75" stroked="false">
              <v:imagedata r:id="rId230" o:title=""/>
            </v:shape>
            <v:shape style="position:absolute;left:8154;top:1136;width:48;height:788" type="#_x0000_t75" stroked="false">
              <v:imagedata r:id="rId230" o:title=""/>
            </v:shape>
            <v:shape style="position:absolute;left:9430;top:1136;width:48;height:788" type="#_x0000_t75" stroked="false">
              <v:imagedata r:id="rId230" o:title=""/>
            </v:shape>
            <w10:wrap type="none"/>
          </v:group>
        </w:pict>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年度计入递延收益的政府补助</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1289" w:type="dxa"/>
        <w:tblLayout w:type="fixed"/>
        <w:tblCellMar>
          <w:top w:w="0" w:type="dxa"/>
          <w:left w:w="0" w:type="dxa"/>
          <w:bottom w:w="0" w:type="dxa"/>
          <w:right w:w="0" w:type="dxa"/>
        </w:tblCellMar>
        <w:tblLook w:val="01E0"/>
      </w:tblPr>
      <w:tblGrid>
        <w:gridCol w:w="2791"/>
        <w:gridCol w:w="1246"/>
        <w:gridCol w:w="1190"/>
        <w:gridCol w:w="1276"/>
        <w:gridCol w:w="1268"/>
      </w:tblGrid>
      <w:tr>
        <w:trPr>
          <w:trHeight w:val="394" w:hRule="exact"/>
        </w:trPr>
        <w:tc>
          <w:tcPr>
            <w:tcW w:w="2791"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46"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82"/>
              <w:jc w:val="center"/>
              <w:rPr>
                <w:rFonts w:ascii="宋体" w:hAnsi="宋体" w:cs="宋体" w:eastAsia="宋体" w:hint="default"/>
                <w:sz w:val="18"/>
                <w:szCs w:val="18"/>
              </w:rPr>
            </w:pPr>
            <w:r>
              <w:rPr>
                <w:rFonts w:ascii="宋体" w:hAnsi="宋体" w:cs="宋体" w:eastAsia="宋体" w:hint="default"/>
                <w:sz w:val="18"/>
                <w:szCs w:val="18"/>
              </w:rPr>
              <w:t>年初余额</w:t>
            </w:r>
          </w:p>
        </w:tc>
        <w:tc>
          <w:tcPr>
            <w:tcW w:w="119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92" w:right="0"/>
              <w:jc w:val="left"/>
              <w:rPr>
                <w:rFonts w:ascii="宋体" w:hAnsi="宋体" w:cs="宋体" w:eastAsia="宋体" w:hint="default"/>
                <w:sz w:val="18"/>
                <w:szCs w:val="18"/>
              </w:rPr>
            </w:pPr>
            <w:r>
              <w:rPr>
                <w:rFonts w:ascii="宋体" w:hAnsi="宋体" w:cs="宋体" w:eastAsia="宋体" w:hint="default"/>
                <w:sz w:val="18"/>
                <w:szCs w:val="18"/>
              </w:rPr>
              <w:t>当期增加</w:t>
            </w:r>
          </w:p>
        </w:tc>
        <w:tc>
          <w:tcPr>
            <w:tcW w:w="1276"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78" w:right="0"/>
              <w:jc w:val="left"/>
              <w:rPr>
                <w:rFonts w:ascii="宋体" w:hAnsi="宋体" w:cs="宋体" w:eastAsia="宋体" w:hint="default"/>
                <w:sz w:val="18"/>
                <w:szCs w:val="18"/>
              </w:rPr>
            </w:pPr>
            <w:r>
              <w:rPr>
                <w:rFonts w:ascii="宋体" w:hAnsi="宋体" w:cs="宋体" w:eastAsia="宋体" w:hint="default"/>
                <w:sz w:val="18"/>
                <w:szCs w:val="18"/>
              </w:rPr>
              <w:t>当期减少</w:t>
            </w:r>
          </w:p>
        </w:tc>
        <w:tc>
          <w:tcPr>
            <w:tcW w:w="126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7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70" w:hRule="exact"/>
        </w:trPr>
        <w:tc>
          <w:tcPr>
            <w:tcW w:w="2791" w:type="dxa"/>
            <w:tcBorders>
              <w:top w:val="nil" w:sz="6" w:space="0" w:color="auto"/>
              <w:left w:val="nil" w:sz="6" w:space="0" w:color="auto"/>
              <w:bottom w:val="single" w:sz="12" w:space="0" w:color="000000"/>
              <w:right w:val="nil" w:sz="6" w:space="0" w:color="auto"/>
            </w:tcBorders>
          </w:tcPr>
          <w:p>
            <w:pPr>
              <w:pStyle w:val="TableParagraph"/>
              <w:spacing w:line="360" w:lineRule="auto" w:before="46"/>
              <w:ind w:left="108" w:right="107"/>
              <w:jc w:val="left"/>
              <w:rPr>
                <w:rFonts w:ascii="宋体" w:hAnsi="宋体" w:cs="宋体" w:eastAsia="宋体" w:hint="default"/>
                <w:sz w:val="18"/>
                <w:szCs w:val="18"/>
              </w:rPr>
            </w:pPr>
            <w:r>
              <w:rPr>
                <w:rFonts w:ascii="宋体" w:hAnsi="宋体" w:cs="宋体" w:eastAsia="宋体" w:hint="default"/>
                <w:sz w:val="18"/>
                <w:szCs w:val="18"/>
              </w:rPr>
              <w:t>基于</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IAM</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技术的统一身份及访问 安全管理平台软件</w:t>
            </w:r>
          </w:p>
        </w:tc>
        <w:tc>
          <w:tcPr>
            <w:tcW w:w="1246"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82"/>
              <w:jc w:val="center"/>
              <w:rPr>
                <w:rFonts w:ascii="Times New Roman" w:hAnsi="Times New Roman" w:cs="Times New Roman" w:eastAsia="Times New Roman" w:hint="default"/>
                <w:sz w:val="18"/>
                <w:szCs w:val="18"/>
              </w:rPr>
            </w:pPr>
            <w:r>
              <w:rPr>
                <w:rFonts w:ascii="Times New Roman"/>
                <w:sz w:val="18"/>
              </w:rPr>
              <w:t>1,178,895.42</w:t>
            </w:r>
          </w:p>
        </w:tc>
        <w:tc>
          <w:tcPr>
            <w:tcW w:w="1190" w:type="dxa"/>
            <w:tcBorders>
              <w:top w:val="nil" w:sz="6" w:space="0" w:color="auto"/>
              <w:left w:val="nil" w:sz="6" w:space="0" w:color="auto"/>
              <w:bottom w:val="single" w:sz="12" w:space="0" w:color="000000"/>
              <w:right w:val="nil" w:sz="6" w:space="0" w:color="auto"/>
            </w:tcBorders>
          </w:tcPr>
          <w:p>
            <w:pPr/>
          </w:p>
        </w:tc>
        <w:tc>
          <w:tcPr>
            <w:tcW w:w="1276"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left="223" w:right="0"/>
              <w:jc w:val="left"/>
              <w:rPr>
                <w:rFonts w:ascii="Times New Roman" w:hAnsi="Times New Roman" w:cs="Times New Roman" w:eastAsia="Times New Roman" w:hint="default"/>
                <w:sz w:val="18"/>
                <w:szCs w:val="18"/>
              </w:rPr>
            </w:pPr>
            <w:r>
              <w:rPr>
                <w:rFonts w:ascii="Times New Roman"/>
                <w:sz w:val="18"/>
              </w:rPr>
              <w:t>1,178,895.42</w:t>
            </w:r>
          </w:p>
        </w:tc>
        <w:tc>
          <w:tcPr>
            <w:tcW w:w="1268" w:type="dxa"/>
            <w:tcBorders>
              <w:top w:val="nil" w:sz="6" w:space="0" w:color="auto"/>
              <w:left w:val="nil" w:sz="6" w:space="0" w:color="auto"/>
              <w:bottom w:val="single" w:sz="12" w:space="0" w:color="000000"/>
              <w:right w:val="nil" w:sz="6" w:space="0" w:color="auto"/>
            </w:tcBorders>
          </w:tcPr>
          <w:p>
            <w:pPr/>
          </w:p>
        </w:tc>
      </w:tr>
    </w:tbl>
    <w:p>
      <w:pPr>
        <w:spacing w:after="0"/>
        <w:sectPr>
          <w:pgSz w:w="11910" w:h="16840"/>
          <w:pgMar w:header="851" w:footer="982" w:top="1300" w:bottom="1180" w:left="1660" w:right="1040"/>
        </w:sectPr>
      </w:pPr>
    </w:p>
    <w:p>
      <w:pPr>
        <w:spacing w:line="240" w:lineRule="auto" w:before="3"/>
        <w:rPr>
          <w:rFonts w:ascii="宋体" w:hAnsi="宋体" w:cs="宋体" w:eastAsia="宋体" w:hint="default"/>
          <w:b/>
          <w:bCs/>
          <w:sz w:val="2"/>
          <w:szCs w:val="2"/>
        </w:rPr>
      </w:pPr>
      <w:r>
        <w:rPr/>
        <w:pict>
          <v:group style="position:absolute;margin-left:88.379997pt;margin-top:67.680pt;width:443.85pt;height:.1pt;mso-position-horizontal-relative:page;mso-position-vertical-relative:page;z-index:-707344" coordorigin="1768,1354" coordsize="8877,2">
            <v:shape style="position:absolute;left:1768;top:1354;width:8877;height:2" coordorigin="1768,1354" coordsize="8877,0" path="m1768,1354l10644,1354e" filled="false" stroked="true" strokeweight=".72pt" strokecolor="#000000">
              <v:path arrowok="t"/>
            </v:shape>
            <w10:wrap type="none"/>
          </v:group>
        </w:pict>
      </w:r>
    </w:p>
    <w:tbl>
      <w:tblPr>
        <w:tblW w:w="0" w:type="auto"/>
        <w:jc w:val="left"/>
        <w:tblInd w:w="1289" w:type="dxa"/>
        <w:tblLayout w:type="fixed"/>
        <w:tblCellMar>
          <w:top w:w="0" w:type="dxa"/>
          <w:left w:w="0" w:type="dxa"/>
          <w:bottom w:w="0" w:type="dxa"/>
          <w:right w:w="0" w:type="dxa"/>
        </w:tblCellMar>
        <w:tblLook w:val="01E0"/>
      </w:tblPr>
      <w:tblGrid>
        <w:gridCol w:w="2791"/>
        <w:gridCol w:w="1173"/>
        <w:gridCol w:w="1321"/>
        <w:gridCol w:w="1230"/>
        <w:gridCol w:w="1256"/>
      </w:tblGrid>
      <w:tr>
        <w:trPr>
          <w:trHeight w:val="499" w:hRule="exact"/>
        </w:trPr>
        <w:tc>
          <w:tcPr>
            <w:tcW w:w="2791"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用户身份及访问行为管控系统</w:t>
            </w:r>
          </w:p>
        </w:tc>
        <w:tc>
          <w:tcPr>
            <w:tcW w:w="1173" w:type="dxa"/>
            <w:tcBorders>
              <w:top w:val="single" w:sz="12" w:space="0" w:color="000000"/>
              <w:left w:val="nil" w:sz="6" w:space="0" w:color="auto"/>
              <w:bottom w:val="nil" w:sz="6" w:space="0" w:color="auto"/>
              <w:right w:val="nil" w:sz="6" w:space="0" w:color="auto"/>
            </w:tcBorders>
          </w:tcPr>
          <w:p>
            <w:pPr>
              <w:pStyle w:val="TableParagraph"/>
              <w:spacing w:line="240" w:lineRule="auto" w:before="81"/>
              <w:ind w:left="123" w:right="0"/>
              <w:jc w:val="center"/>
              <w:rPr>
                <w:rFonts w:ascii="Times New Roman" w:hAnsi="Times New Roman" w:cs="Times New Roman" w:eastAsia="Times New Roman" w:hint="default"/>
                <w:sz w:val="18"/>
                <w:szCs w:val="18"/>
              </w:rPr>
            </w:pPr>
            <w:r>
              <w:rPr>
                <w:rFonts w:ascii="Times New Roman"/>
                <w:sz w:val="18"/>
              </w:rPr>
              <w:t>332,599.13</w:t>
            </w:r>
          </w:p>
        </w:tc>
        <w:tc>
          <w:tcPr>
            <w:tcW w:w="1321" w:type="dxa"/>
            <w:tcBorders>
              <w:top w:val="single" w:sz="12" w:space="0" w:color="000000"/>
              <w:left w:val="nil" w:sz="6" w:space="0" w:color="auto"/>
              <w:bottom w:val="nil" w:sz="6" w:space="0" w:color="auto"/>
              <w:right w:val="nil" w:sz="6" w:space="0" w:color="auto"/>
            </w:tcBorders>
          </w:tcPr>
          <w:p>
            <w:pPr/>
          </w:p>
        </w:tc>
        <w:tc>
          <w:tcPr>
            <w:tcW w:w="1230" w:type="dxa"/>
            <w:tcBorders>
              <w:top w:val="single" w:sz="12" w:space="0" w:color="000000"/>
              <w:left w:val="nil" w:sz="6" w:space="0" w:color="auto"/>
              <w:bottom w:val="nil" w:sz="6" w:space="0" w:color="auto"/>
              <w:right w:val="nil" w:sz="6" w:space="0" w:color="auto"/>
            </w:tcBorders>
          </w:tcPr>
          <w:p>
            <w:pPr>
              <w:pStyle w:val="TableParagraph"/>
              <w:spacing w:line="240" w:lineRule="auto" w:before="81"/>
              <w:ind w:right="117"/>
              <w:jc w:val="right"/>
              <w:rPr>
                <w:rFonts w:ascii="Times New Roman" w:hAnsi="Times New Roman" w:cs="Times New Roman" w:eastAsia="Times New Roman" w:hint="default"/>
                <w:sz w:val="18"/>
                <w:szCs w:val="18"/>
              </w:rPr>
            </w:pPr>
            <w:r>
              <w:rPr>
                <w:rFonts w:ascii="Times New Roman"/>
                <w:sz w:val="18"/>
              </w:rPr>
              <w:t>332,599.13</w:t>
            </w:r>
          </w:p>
        </w:tc>
        <w:tc>
          <w:tcPr>
            <w:tcW w:w="1256" w:type="dxa"/>
            <w:tcBorders>
              <w:top w:val="single" w:sz="12" w:space="0" w:color="000000"/>
              <w:left w:val="nil" w:sz="6" w:space="0" w:color="auto"/>
              <w:bottom w:val="nil" w:sz="6" w:space="0" w:color="auto"/>
              <w:right w:val="nil" w:sz="6" w:space="0" w:color="auto"/>
            </w:tcBorders>
          </w:tcPr>
          <w:p>
            <w:pPr/>
          </w:p>
        </w:tc>
      </w:tr>
      <w:tr>
        <w:trPr>
          <w:trHeight w:val="760" w:hRule="exact"/>
        </w:trPr>
        <w:tc>
          <w:tcPr>
            <w:tcW w:w="2791"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8" w:right="0"/>
              <w:jc w:val="left"/>
              <w:rPr>
                <w:rFonts w:ascii="宋体" w:hAnsi="宋体" w:cs="宋体" w:eastAsia="宋体" w:hint="default"/>
                <w:sz w:val="18"/>
                <w:szCs w:val="18"/>
              </w:rPr>
            </w:pPr>
            <w:r>
              <w:rPr>
                <w:rFonts w:ascii="宋体" w:hAnsi="宋体" w:cs="宋体" w:eastAsia="宋体" w:hint="default"/>
                <w:sz w:val="18"/>
                <w:szCs w:val="18"/>
              </w:rPr>
              <w:t>信息安全一体化集中管理系统</w:t>
            </w:r>
          </w:p>
          <w:p>
            <w:pPr>
              <w:pStyle w:val="TableParagraph"/>
              <w:spacing w:line="240" w:lineRule="auto" w:before="139"/>
              <w:ind w:left="10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SOC</w:t>
            </w:r>
            <w:r>
              <w:rPr>
                <w:rFonts w:ascii="宋体" w:hAnsi="宋体" w:cs="宋体" w:eastAsia="宋体" w:hint="default"/>
                <w:sz w:val="18"/>
                <w:szCs w:val="18"/>
              </w:rPr>
              <w:t>）</w:t>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0"/>
                <w:szCs w:val="20"/>
              </w:rPr>
            </w:pPr>
          </w:p>
          <w:p>
            <w:pPr>
              <w:pStyle w:val="TableParagraph"/>
              <w:spacing w:line="240" w:lineRule="auto"/>
              <w:ind w:right="9"/>
              <w:jc w:val="center"/>
              <w:rPr>
                <w:rFonts w:ascii="Times New Roman" w:hAnsi="Times New Roman" w:cs="Times New Roman" w:eastAsia="Times New Roman" w:hint="default"/>
                <w:sz w:val="18"/>
                <w:szCs w:val="18"/>
              </w:rPr>
            </w:pPr>
            <w:r>
              <w:rPr>
                <w:rFonts w:ascii="Times New Roman"/>
                <w:sz w:val="18"/>
              </w:rPr>
              <w:t>1,624,054.66</w:t>
            </w:r>
          </w:p>
        </w:tc>
        <w:tc>
          <w:tcPr>
            <w:tcW w:w="1321"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0"/>
                <w:szCs w:val="20"/>
              </w:rPr>
            </w:pPr>
          </w:p>
          <w:p>
            <w:pPr>
              <w:pStyle w:val="TableParagraph"/>
              <w:spacing w:line="240" w:lineRule="auto"/>
              <w:ind w:right="117"/>
              <w:jc w:val="right"/>
              <w:rPr>
                <w:rFonts w:ascii="Times New Roman" w:hAnsi="Times New Roman" w:cs="Times New Roman" w:eastAsia="Times New Roman" w:hint="default"/>
                <w:sz w:val="18"/>
                <w:szCs w:val="18"/>
              </w:rPr>
            </w:pPr>
            <w:r>
              <w:rPr>
                <w:rFonts w:ascii="Times New Roman"/>
                <w:spacing w:val="-1"/>
                <w:sz w:val="18"/>
              </w:rPr>
              <w:t>1,159,435.41</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0"/>
                <w:szCs w:val="20"/>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464,619.25</w:t>
            </w:r>
          </w:p>
        </w:tc>
      </w:tr>
      <w:tr>
        <w:trPr>
          <w:trHeight w:val="754" w:hRule="exact"/>
        </w:trPr>
        <w:tc>
          <w:tcPr>
            <w:tcW w:w="2791" w:type="dxa"/>
            <w:tcBorders>
              <w:top w:val="nil" w:sz="6" w:space="0" w:color="auto"/>
              <w:left w:val="nil" w:sz="6" w:space="0" w:color="auto"/>
              <w:bottom w:val="nil" w:sz="6" w:space="0" w:color="auto"/>
              <w:right w:val="nil" w:sz="6" w:space="0" w:color="auto"/>
            </w:tcBorders>
          </w:tcPr>
          <w:p>
            <w:pPr>
              <w:pStyle w:val="TableParagraph"/>
              <w:spacing w:line="381" w:lineRule="auto" w:before="41"/>
              <w:ind w:left="108" w:right="161"/>
              <w:jc w:val="left"/>
              <w:rPr>
                <w:rFonts w:ascii="宋体" w:hAnsi="宋体" w:cs="宋体" w:eastAsia="宋体" w:hint="default"/>
                <w:sz w:val="18"/>
                <w:szCs w:val="18"/>
              </w:rPr>
            </w:pPr>
            <w:r>
              <w:rPr>
                <w:rFonts w:ascii="宋体" w:hAnsi="宋体" w:cs="宋体" w:eastAsia="宋体" w:hint="default"/>
                <w:sz w:val="18"/>
                <w:szCs w:val="18"/>
              </w:rPr>
              <w:t>电信级统一身份认证与访问控制 网关项目</w:t>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0"/>
                <w:szCs w:val="20"/>
              </w:rPr>
            </w:pPr>
          </w:p>
          <w:p>
            <w:pPr>
              <w:pStyle w:val="TableParagraph"/>
              <w:spacing w:line="240" w:lineRule="auto"/>
              <w:ind w:left="123" w:right="0"/>
              <w:jc w:val="center"/>
              <w:rPr>
                <w:rFonts w:ascii="Times New Roman" w:hAnsi="Times New Roman" w:cs="Times New Roman" w:eastAsia="Times New Roman" w:hint="default"/>
                <w:sz w:val="18"/>
                <w:szCs w:val="18"/>
              </w:rPr>
            </w:pPr>
            <w:r>
              <w:rPr>
                <w:rFonts w:ascii="Times New Roman"/>
                <w:sz w:val="18"/>
              </w:rPr>
              <w:t>789,177.04</w:t>
            </w:r>
          </w:p>
        </w:tc>
        <w:tc>
          <w:tcPr>
            <w:tcW w:w="1321"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0"/>
                <w:szCs w:val="20"/>
              </w:rPr>
            </w:pPr>
          </w:p>
          <w:p>
            <w:pPr>
              <w:pStyle w:val="TableParagraph"/>
              <w:spacing w:line="240" w:lineRule="auto"/>
              <w:ind w:right="117"/>
              <w:jc w:val="right"/>
              <w:rPr>
                <w:rFonts w:ascii="Times New Roman" w:hAnsi="Times New Roman" w:cs="Times New Roman" w:eastAsia="Times New Roman" w:hint="default"/>
                <w:sz w:val="18"/>
                <w:szCs w:val="18"/>
              </w:rPr>
            </w:pPr>
            <w:r>
              <w:rPr>
                <w:rFonts w:ascii="Times New Roman"/>
                <w:sz w:val="18"/>
              </w:rPr>
              <w:t>608,752.93</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0"/>
                <w:szCs w:val="20"/>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180,424.11</w:t>
            </w:r>
          </w:p>
        </w:tc>
      </w:tr>
      <w:tr>
        <w:trPr>
          <w:trHeight w:val="388" w:hRule="exact"/>
        </w:trPr>
        <w:tc>
          <w:tcPr>
            <w:tcW w:w="2791"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8" w:right="0"/>
              <w:jc w:val="left"/>
              <w:rPr>
                <w:rFonts w:ascii="宋体" w:hAnsi="宋体" w:cs="宋体" w:eastAsia="宋体" w:hint="default"/>
                <w:sz w:val="18"/>
                <w:szCs w:val="18"/>
              </w:rPr>
            </w:pPr>
            <w:r>
              <w:rPr>
                <w:rFonts w:ascii="宋体" w:hAnsi="宋体" w:cs="宋体" w:eastAsia="宋体" w:hint="default"/>
                <w:sz w:val="18"/>
                <w:szCs w:val="18"/>
              </w:rPr>
              <w:t>移动互联生活增值服务平台研发</w:t>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87"/>
              <w:ind w:left="123" w:right="0"/>
              <w:jc w:val="center"/>
              <w:rPr>
                <w:rFonts w:ascii="Times New Roman" w:hAnsi="Times New Roman" w:cs="Times New Roman" w:eastAsia="Times New Roman" w:hint="default"/>
                <w:sz w:val="18"/>
                <w:szCs w:val="18"/>
              </w:rPr>
            </w:pPr>
            <w:r>
              <w:rPr>
                <w:rFonts w:ascii="Times New Roman"/>
                <w:sz w:val="18"/>
              </w:rPr>
              <w:t>897,911.85</w:t>
            </w:r>
          </w:p>
        </w:tc>
        <w:tc>
          <w:tcPr>
            <w:tcW w:w="1321"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17"/>
              <w:jc w:val="right"/>
              <w:rPr>
                <w:rFonts w:ascii="Times New Roman" w:hAnsi="Times New Roman" w:cs="Times New Roman" w:eastAsia="Times New Roman" w:hint="default"/>
                <w:sz w:val="18"/>
                <w:szCs w:val="18"/>
              </w:rPr>
            </w:pPr>
            <w:r>
              <w:rPr>
                <w:rFonts w:ascii="Times New Roman"/>
                <w:sz w:val="18"/>
              </w:rPr>
              <w:t>897,911.85</w:t>
            </w:r>
          </w:p>
        </w:tc>
        <w:tc>
          <w:tcPr>
            <w:tcW w:w="1256" w:type="dxa"/>
            <w:tcBorders>
              <w:top w:val="nil" w:sz="6" w:space="0" w:color="auto"/>
              <w:left w:val="nil" w:sz="6" w:space="0" w:color="auto"/>
              <w:bottom w:val="nil" w:sz="6" w:space="0" w:color="auto"/>
              <w:right w:val="nil" w:sz="6" w:space="0" w:color="auto"/>
            </w:tcBorders>
          </w:tcPr>
          <w:p>
            <w:pPr/>
          </w:p>
        </w:tc>
      </w:tr>
      <w:tr>
        <w:trPr>
          <w:trHeight w:val="384" w:hRule="exact"/>
        </w:trPr>
        <w:tc>
          <w:tcPr>
            <w:tcW w:w="2791"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8" w:right="0"/>
              <w:jc w:val="left"/>
              <w:rPr>
                <w:rFonts w:ascii="宋体" w:hAnsi="宋体" w:cs="宋体" w:eastAsia="宋体" w:hint="default"/>
                <w:sz w:val="18"/>
                <w:szCs w:val="18"/>
              </w:rPr>
            </w:pPr>
            <w:r>
              <w:rPr>
                <w:rFonts w:ascii="宋体" w:hAnsi="宋体" w:cs="宋体" w:eastAsia="宋体" w:hint="default"/>
                <w:sz w:val="18"/>
                <w:szCs w:val="18"/>
              </w:rPr>
              <w:t>企业综合安全审计系统</w:t>
            </w:r>
          </w:p>
        </w:tc>
        <w:tc>
          <w:tcPr>
            <w:tcW w:w="1173" w:type="dxa"/>
            <w:tcBorders>
              <w:top w:val="nil" w:sz="6" w:space="0" w:color="auto"/>
              <w:left w:val="nil" w:sz="6" w:space="0" w:color="auto"/>
              <w:bottom w:val="nil" w:sz="6" w:space="0" w:color="auto"/>
              <w:right w:val="nil" w:sz="6" w:space="0" w:color="auto"/>
            </w:tcBorders>
          </w:tcPr>
          <w:p>
            <w:pP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63"/>
              <w:jc w:val="right"/>
              <w:rPr>
                <w:rFonts w:ascii="Times New Roman" w:hAnsi="Times New Roman" w:cs="Times New Roman" w:eastAsia="Times New Roman" w:hint="default"/>
                <w:sz w:val="18"/>
                <w:szCs w:val="18"/>
              </w:rPr>
            </w:pPr>
            <w:r>
              <w:rPr>
                <w:rFonts w:ascii="Times New Roman"/>
                <w:sz w:val="18"/>
              </w:rPr>
              <w:t>800,000.00</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7"/>
              <w:jc w:val="right"/>
              <w:rPr>
                <w:rFonts w:ascii="Times New Roman" w:hAnsi="Times New Roman" w:cs="Times New Roman" w:eastAsia="Times New Roman" w:hint="default"/>
                <w:sz w:val="18"/>
                <w:szCs w:val="18"/>
              </w:rPr>
            </w:pPr>
            <w:r>
              <w:rPr>
                <w:rFonts w:ascii="Times New Roman"/>
                <w:sz w:val="18"/>
              </w:rPr>
              <w:t>800,000.00</w:t>
            </w:r>
          </w:p>
        </w:tc>
        <w:tc>
          <w:tcPr>
            <w:tcW w:w="1256" w:type="dxa"/>
            <w:tcBorders>
              <w:top w:val="nil" w:sz="6" w:space="0" w:color="auto"/>
              <w:left w:val="nil" w:sz="6" w:space="0" w:color="auto"/>
              <w:bottom w:val="nil" w:sz="6" w:space="0" w:color="auto"/>
              <w:right w:val="nil" w:sz="6" w:space="0" w:color="auto"/>
            </w:tcBorders>
          </w:tcPr>
          <w:p>
            <w:pPr/>
          </w:p>
        </w:tc>
      </w:tr>
      <w:tr>
        <w:trPr>
          <w:trHeight w:val="1130" w:hRule="exact"/>
        </w:trPr>
        <w:tc>
          <w:tcPr>
            <w:tcW w:w="2791" w:type="dxa"/>
            <w:tcBorders>
              <w:top w:val="nil" w:sz="6" w:space="0" w:color="auto"/>
              <w:left w:val="nil" w:sz="6" w:space="0" w:color="auto"/>
              <w:bottom w:val="nil" w:sz="6" w:space="0" w:color="auto"/>
              <w:right w:val="nil" w:sz="6" w:space="0" w:color="auto"/>
            </w:tcBorders>
          </w:tcPr>
          <w:p>
            <w:pPr>
              <w:pStyle w:val="TableParagraph"/>
              <w:spacing w:line="372" w:lineRule="auto" w:before="42"/>
              <w:ind w:left="108" w:right="105"/>
              <w:jc w:val="both"/>
              <w:rPr>
                <w:rFonts w:ascii="宋体" w:hAnsi="宋体" w:cs="宋体" w:eastAsia="宋体" w:hint="default"/>
                <w:sz w:val="18"/>
                <w:szCs w:val="18"/>
              </w:rPr>
            </w:pPr>
            <w:r>
              <w:rPr>
                <w:rFonts w:ascii="宋体" w:hAnsi="宋体" w:cs="宋体" w:eastAsia="宋体" w:hint="default"/>
                <w:sz w:val="18"/>
                <w:szCs w:val="18"/>
              </w:rPr>
              <w:t>基于国产中间件的面向</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IT</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服务管 理领域的业务运维管理平台的研 发与应用</w:t>
            </w:r>
          </w:p>
        </w:tc>
        <w:tc>
          <w:tcPr>
            <w:tcW w:w="1173" w:type="dxa"/>
            <w:tcBorders>
              <w:top w:val="nil" w:sz="6" w:space="0" w:color="auto"/>
              <w:left w:val="nil" w:sz="6" w:space="0" w:color="auto"/>
              <w:bottom w:val="nil" w:sz="6" w:space="0" w:color="auto"/>
              <w:right w:val="nil" w:sz="6" w:space="0" w:color="auto"/>
            </w:tcBorders>
          </w:tcPr>
          <w:p>
            <w:pP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right="163"/>
              <w:jc w:val="right"/>
              <w:rPr>
                <w:rFonts w:ascii="Times New Roman" w:hAnsi="Times New Roman" w:cs="Times New Roman" w:eastAsia="Times New Roman" w:hint="default"/>
                <w:sz w:val="18"/>
                <w:szCs w:val="18"/>
              </w:rPr>
            </w:pPr>
            <w:r>
              <w:rPr>
                <w:rFonts w:ascii="Times New Roman"/>
                <w:spacing w:val="-1"/>
                <w:sz w:val="18"/>
              </w:rPr>
              <w:t>6,810,000.00</w:t>
            </w:r>
          </w:p>
        </w:tc>
        <w:tc>
          <w:tcPr>
            <w:tcW w:w="1230" w:type="dxa"/>
            <w:tcBorders>
              <w:top w:val="nil" w:sz="6" w:space="0" w:color="auto"/>
              <w:left w:val="nil" w:sz="6" w:space="0" w:color="auto"/>
              <w:bottom w:val="nil" w:sz="6" w:space="0" w:color="auto"/>
              <w:right w:val="nil" w:sz="6" w:space="0" w:color="auto"/>
            </w:tcBorders>
          </w:tcPr>
          <w:p>
            <w:pP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6,810,000.00</w:t>
            </w:r>
          </w:p>
        </w:tc>
      </w:tr>
      <w:tr>
        <w:trPr>
          <w:trHeight w:val="759" w:hRule="exact"/>
        </w:trPr>
        <w:tc>
          <w:tcPr>
            <w:tcW w:w="2791" w:type="dxa"/>
            <w:tcBorders>
              <w:top w:val="nil" w:sz="6" w:space="0" w:color="auto"/>
              <w:left w:val="nil" w:sz="6" w:space="0" w:color="auto"/>
              <w:bottom w:val="nil" w:sz="6" w:space="0" w:color="auto"/>
              <w:right w:val="nil" w:sz="6" w:space="0" w:color="auto"/>
            </w:tcBorders>
          </w:tcPr>
          <w:p>
            <w:pPr>
              <w:pStyle w:val="TableParagraph"/>
              <w:spacing w:line="381" w:lineRule="auto" w:before="47"/>
              <w:ind w:left="108" w:right="161"/>
              <w:jc w:val="left"/>
              <w:rPr>
                <w:rFonts w:ascii="宋体" w:hAnsi="宋体" w:cs="宋体" w:eastAsia="宋体" w:hint="default"/>
                <w:sz w:val="18"/>
                <w:szCs w:val="18"/>
              </w:rPr>
            </w:pPr>
            <w:r>
              <w:rPr>
                <w:rFonts w:ascii="宋体" w:hAnsi="宋体" w:cs="宋体" w:eastAsia="宋体" w:hint="default"/>
                <w:sz w:val="18"/>
                <w:szCs w:val="18"/>
              </w:rPr>
              <w:t>面向电信领域的大型商业智能软 件</w:t>
            </w:r>
          </w:p>
        </w:tc>
        <w:tc>
          <w:tcPr>
            <w:tcW w:w="1173" w:type="dxa"/>
            <w:tcBorders>
              <w:top w:val="nil" w:sz="6" w:space="0" w:color="auto"/>
              <w:left w:val="nil" w:sz="6" w:space="0" w:color="auto"/>
              <w:bottom w:val="nil" w:sz="6" w:space="0" w:color="auto"/>
              <w:right w:val="nil" w:sz="6" w:space="0" w:color="auto"/>
            </w:tcBorders>
          </w:tcPr>
          <w:p>
            <w:pP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163"/>
              <w:jc w:val="right"/>
              <w:rPr>
                <w:rFonts w:ascii="Times New Roman" w:hAnsi="Times New Roman" w:cs="Times New Roman" w:eastAsia="Times New Roman" w:hint="default"/>
                <w:sz w:val="18"/>
                <w:szCs w:val="18"/>
              </w:rPr>
            </w:pPr>
            <w:r>
              <w:rPr>
                <w:rFonts w:ascii="Times New Roman"/>
                <w:spacing w:val="-1"/>
                <w:sz w:val="18"/>
              </w:rPr>
              <w:t>2,000,000.00</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117"/>
              <w:jc w:val="right"/>
              <w:rPr>
                <w:rFonts w:ascii="Times New Roman" w:hAnsi="Times New Roman" w:cs="Times New Roman" w:eastAsia="Times New Roman" w:hint="default"/>
                <w:sz w:val="18"/>
                <w:szCs w:val="18"/>
              </w:rPr>
            </w:pPr>
            <w:r>
              <w:rPr>
                <w:rFonts w:ascii="Times New Roman"/>
                <w:sz w:val="18"/>
              </w:rPr>
              <w:t>585,522.46</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1,414,477.54</w:t>
            </w:r>
          </w:p>
        </w:tc>
      </w:tr>
      <w:tr>
        <w:trPr>
          <w:trHeight w:val="758" w:hRule="exact"/>
        </w:trPr>
        <w:tc>
          <w:tcPr>
            <w:tcW w:w="2791" w:type="dxa"/>
            <w:tcBorders>
              <w:top w:val="nil" w:sz="6" w:space="0" w:color="auto"/>
              <w:left w:val="nil" w:sz="6" w:space="0" w:color="auto"/>
              <w:bottom w:val="nil" w:sz="6" w:space="0" w:color="auto"/>
              <w:right w:val="nil" w:sz="6" w:space="0" w:color="auto"/>
            </w:tcBorders>
          </w:tcPr>
          <w:p>
            <w:pPr>
              <w:pStyle w:val="TableParagraph"/>
              <w:spacing w:line="381" w:lineRule="auto" w:before="46"/>
              <w:ind w:left="108" w:right="161"/>
              <w:jc w:val="left"/>
              <w:rPr>
                <w:rFonts w:ascii="宋体" w:hAnsi="宋体" w:cs="宋体" w:eastAsia="宋体" w:hint="default"/>
                <w:sz w:val="18"/>
                <w:szCs w:val="18"/>
              </w:rPr>
            </w:pPr>
            <w:r>
              <w:rPr>
                <w:rFonts w:ascii="宋体" w:hAnsi="宋体" w:cs="宋体" w:eastAsia="宋体" w:hint="default"/>
                <w:sz w:val="18"/>
                <w:szCs w:val="18"/>
              </w:rPr>
              <w:t>信息网络业务端到端质量诊断与 响应时间测量系统</w:t>
            </w:r>
          </w:p>
        </w:tc>
        <w:tc>
          <w:tcPr>
            <w:tcW w:w="1173" w:type="dxa"/>
            <w:tcBorders>
              <w:top w:val="nil" w:sz="6" w:space="0" w:color="auto"/>
              <w:left w:val="nil" w:sz="6" w:space="0" w:color="auto"/>
              <w:bottom w:val="nil" w:sz="6" w:space="0" w:color="auto"/>
              <w:right w:val="nil" w:sz="6" w:space="0" w:color="auto"/>
            </w:tcBorders>
          </w:tcPr>
          <w:p>
            <w:pP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163"/>
              <w:jc w:val="right"/>
              <w:rPr>
                <w:rFonts w:ascii="Times New Roman" w:hAnsi="Times New Roman" w:cs="Times New Roman" w:eastAsia="Times New Roman" w:hint="default"/>
                <w:sz w:val="18"/>
                <w:szCs w:val="18"/>
              </w:rPr>
            </w:pPr>
            <w:r>
              <w:rPr>
                <w:rFonts w:ascii="Times New Roman"/>
                <w:spacing w:val="-1"/>
                <w:sz w:val="18"/>
              </w:rPr>
              <w:t>3,000,000.00</w:t>
            </w:r>
          </w:p>
        </w:tc>
        <w:tc>
          <w:tcPr>
            <w:tcW w:w="1230" w:type="dxa"/>
            <w:tcBorders>
              <w:top w:val="nil" w:sz="6" w:space="0" w:color="auto"/>
              <w:left w:val="nil" w:sz="6" w:space="0" w:color="auto"/>
              <w:bottom w:val="nil" w:sz="6" w:space="0" w:color="auto"/>
              <w:right w:val="nil" w:sz="6" w:space="0" w:color="auto"/>
            </w:tcBorders>
          </w:tcPr>
          <w:p>
            <w:pP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3,000,000.00</w:t>
            </w:r>
          </w:p>
        </w:tc>
      </w:tr>
      <w:tr>
        <w:trPr>
          <w:trHeight w:val="759" w:hRule="exact"/>
        </w:trPr>
        <w:tc>
          <w:tcPr>
            <w:tcW w:w="2791" w:type="dxa"/>
            <w:tcBorders>
              <w:top w:val="nil" w:sz="6" w:space="0" w:color="auto"/>
              <w:left w:val="nil" w:sz="6" w:space="0" w:color="auto"/>
              <w:bottom w:val="nil" w:sz="6" w:space="0" w:color="auto"/>
              <w:right w:val="nil" w:sz="6" w:space="0" w:color="auto"/>
            </w:tcBorders>
          </w:tcPr>
          <w:p>
            <w:pPr>
              <w:pStyle w:val="TableParagraph"/>
              <w:spacing w:line="381" w:lineRule="auto" w:before="46"/>
              <w:ind w:left="108" w:right="161"/>
              <w:jc w:val="left"/>
              <w:rPr>
                <w:rFonts w:ascii="宋体" w:hAnsi="宋体" w:cs="宋体" w:eastAsia="宋体" w:hint="default"/>
                <w:sz w:val="18"/>
                <w:szCs w:val="18"/>
              </w:rPr>
            </w:pPr>
            <w:r>
              <w:rPr>
                <w:rFonts w:ascii="宋体" w:hAnsi="宋体" w:cs="宋体" w:eastAsia="宋体" w:hint="default"/>
                <w:sz w:val="18"/>
                <w:szCs w:val="18"/>
              </w:rPr>
              <w:t>新一代宽带无线移动通信网科技 重大专项</w:t>
            </w:r>
          </w:p>
        </w:tc>
        <w:tc>
          <w:tcPr>
            <w:tcW w:w="1173" w:type="dxa"/>
            <w:tcBorders>
              <w:top w:val="nil" w:sz="6" w:space="0" w:color="auto"/>
              <w:left w:val="nil" w:sz="6" w:space="0" w:color="auto"/>
              <w:bottom w:val="nil" w:sz="6" w:space="0" w:color="auto"/>
              <w:right w:val="nil" w:sz="6" w:space="0" w:color="auto"/>
            </w:tcBorders>
          </w:tcPr>
          <w:p>
            <w:pP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163"/>
              <w:jc w:val="right"/>
              <w:rPr>
                <w:rFonts w:ascii="Times New Roman" w:hAnsi="Times New Roman" w:cs="Times New Roman" w:eastAsia="Times New Roman" w:hint="default"/>
                <w:sz w:val="18"/>
                <w:szCs w:val="18"/>
              </w:rPr>
            </w:pPr>
            <w:r>
              <w:rPr>
                <w:rFonts w:ascii="Times New Roman"/>
                <w:sz w:val="18"/>
              </w:rPr>
              <w:t>550,000.00</w:t>
            </w:r>
          </w:p>
        </w:tc>
        <w:tc>
          <w:tcPr>
            <w:tcW w:w="1230" w:type="dxa"/>
            <w:tcBorders>
              <w:top w:val="nil" w:sz="6" w:space="0" w:color="auto"/>
              <w:left w:val="nil" w:sz="6" w:space="0" w:color="auto"/>
              <w:bottom w:val="nil" w:sz="6" w:space="0" w:color="auto"/>
              <w:right w:val="nil" w:sz="6" w:space="0" w:color="auto"/>
            </w:tcBorders>
          </w:tcPr>
          <w:p>
            <w:pP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550,000.00</w:t>
            </w:r>
          </w:p>
        </w:tc>
      </w:tr>
      <w:tr>
        <w:trPr>
          <w:trHeight w:val="759" w:hRule="exact"/>
        </w:trPr>
        <w:tc>
          <w:tcPr>
            <w:tcW w:w="2791" w:type="dxa"/>
            <w:tcBorders>
              <w:top w:val="nil" w:sz="6" w:space="0" w:color="auto"/>
              <w:left w:val="nil" w:sz="6" w:space="0" w:color="auto"/>
              <w:bottom w:val="nil" w:sz="6" w:space="0" w:color="auto"/>
              <w:right w:val="nil" w:sz="6" w:space="0" w:color="auto"/>
            </w:tcBorders>
          </w:tcPr>
          <w:p>
            <w:pPr>
              <w:pStyle w:val="TableParagraph"/>
              <w:spacing w:line="360" w:lineRule="auto" w:before="47"/>
              <w:ind w:left="108" w:right="255"/>
              <w:jc w:val="left"/>
              <w:rPr>
                <w:rFonts w:ascii="宋体" w:hAnsi="宋体" w:cs="宋体" w:eastAsia="宋体" w:hint="default"/>
                <w:sz w:val="18"/>
                <w:szCs w:val="18"/>
              </w:rPr>
            </w:pPr>
            <w:r>
              <w:rPr>
                <w:rFonts w:ascii="Times New Roman" w:hAnsi="Times New Roman" w:cs="Times New Roman" w:eastAsia="Times New Roman" w:hint="default"/>
                <w:sz w:val="18"/>
                <w:szCs w:val="18"/>
              </w:rPr>
              <w:t>TD-SCDMA</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农村信息化应用方 案开发及示范验证项目</w:t>
            </w:r>
          </w:p>
        </w:tc>
        <w:tc>
          <w:tcPr>
            <w:tcW w:w="1173" w:type="dxa"/>
            <w:tcBorders>
              <w:top w:val="nil" w:sz="6" w:space="0" w:color="auto"/>
              <w:left w:val="nil" w:sz="6" w:space="0" w:color="auto"/>
              <w:bottom w:val="nil" w:sz="6" w:space="0" w:color="auto"/>
              <w:right w:val="nil" w:sz="6" w:space="0" w:color="auto"/>
            </w:tcBorders>
          </w:tcPr>
          <w:p>
            <w:pP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163"/>
              <w:jc w:val="right"/>
              <w:rPr>
                <w:rFonts w:ascii="Times New Roman" w:hAnsi="Times New Roman" w:cs="Times New Roman" w:eastAsia="Times New Roman" w:hint="default"/>
                <w:sz w:val="18"/>
                <w:szCs w:val="18"/>
              </w:rPr>
            </w:pPr>
            <w:r>
              <w:rPr>
                <w:rFonts w:ascii="Times New Roman"/>
                <w:spacing w:val="-1"/>
                <w:sz w:val="18"/>
              </w:rPr>
              <w:t>1,805,000.00</w:t>
            </w:r>
          </w:p>
        </w:tc>
        <w:tc>
          <w:tcPr>
            <w:tcW w:w="1230" w:type="dxa"/>
            <w:tcBorders>
              <w:top w:val="nil" w:sz="6" w:space="0" w:color="auto"/>
              <w:left w:val="nil" w:sz="6" w:space="0" w:color="auto"/>
              <w:bottom w:val="nil" w:sz="6" w:space="0" w:color="auto"/>
              <w:right w:val="nil" w:sz="6" w:space="0" w:color="auto"/>
            </w:tcBorders>
          </w:tcPr>
          <w:p>
            <w:pP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1,805,000.00</w:t>
            </w:r>
          </w:p>
        </w:tc>
      </w:tr>
      <w:tr>
        <w:trPr>
          <w:trHeight w:val="758" w:hRule="exact"/>
        </w:trPr>
        <w:tc>
          <w:tcPr>
            <w:tcW w:w="2791" w:type="dxa"/>
            <w:tcBorders>
              <w:top w:val="nil" w:sz="6" w:space="0" w:color="auto"/>
              <w:left w:val="nil" w:sz="6" w:space="0" w:color="auto"/>
              <w:bottom w:val="nil" w:sz="6" w:space="0" w:color="auto"/>
              <w:right w:val="nil" w:sz="6" w:space="0" w:color="auto"/>
            </w:tcBorders>
          </w:tcPr>
          <w:p>
            <w:pPr>
              <w:pStyle w:val="TableParagraph"/>
              <w:spacing w:line="381" w:lineRule="auto" w:before="46"/>
              <w:ind w:left="108" w:right="161"/>
              <w:jc w:val="left"/>
              <w:rPr>
                <w:rFonts w:ascii="宋体" w:hAnsi="宋体" w:cs="宋体" w:eastAsia="宋体" w:hint="default"/>
                <w:sz w:val="18"/>
                <w:szCs w:val="18"/>
              </w:rPr>
            </w:pPr>
            <w:r>
              <w:rPr>
                <w:rFonts w:ascii="宋体" w:hAnsi="宋体" w:cs="宋体" w:eastAsia="宋体" w:hint="default"/>
                <w:sz w:val="18"/>
                <w:szCs w:val="18"/>
              </w:rPr>
              <w:t>农村综合信息服务平台开发及应 用推广</w:t>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9"/>
              <w:jc w:val="center"/>
              <w:rPr>
                <w:rFonts w:ascii="Times New Roman" w:hAnsi="Times New Roman" w:cs="Times New Roman" w:eastAsia="Times New Roman" w:hint="default"/>
                <w:sz w:val="18"/>
                <w:szCs w:val="18"/>
              </w:rPr>
            </w:pPr>
            <w:r>
              <w:rPr>
                <w:rFonts w:ascii="Times New Roman"/>
                <w:sz w:val="18"/>
              </w:rPr>
              <w:t>1,000,000.00</w:t>
            </w:r>
          </w:p>
        </w:tc>
        <w:tc>
          <w:tcPr>
            <w:tcW w:w="1321"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117"/>
              <w:jc w:val="right"/>
              <w:rPr>
                <w:rFonts w:ascii="Times New Roman" w:hAnsi="Times New Roman" w:cs="Times New Roman" w:eastAsia="Times New Roman" w:hint="default"/>
                <w:sz w:val="18"/>
                <w:szCs w:val="18"/>
              </w:rPr>
            </w:pPr>
            <w:r>
              <w:rPr>
                <w:rFonts w:ascii="Times New Roman"/>
                <w:spacing w:val="-1"/>
                <w:sz w:val="18"/>
              </w:rPr>
              <w:t>1,000,000.00</w:t>
            </w:r>
          </w:p>
        </w:tc>
        <w:tc>
          <w:tcPr>
            <w:tcW w:w="1256" w:type="dxa"/>
            <w:tcBorders>
              <w:top w:val="nil" w:sz="6" w:space="0" w:color="auto"/>
              <w:left w:val="nil" w:sz="6" w:space="0" w:color="auto"/>
              <w:bottom w:val="nil" w:sz="6" w:space="0" w:color="auto"/>
              <w:right w:val="nil" w:sz="6" w:space="0" w:color="auto"/>
            </w:tcBorders>
          </w:tcPr>
          <w:p>
            <w:pPr/>
          </w:p>
        </w:tc>
      </w:tr>
      <w:tr>
        <w:trPr>
          <w:trHeight w:val="395" w:hRule="exact"/>
        </w:trPr>
        <w:tc>
          <w:tcPr>
            <w:tcW w:w="2791" w:type="dxa"/>
            <w:tcBorders>
              <w:top w:val="nil" w:sz="6" w:space="0" w:color="auto"/>
              <w:left w:val="nil" w:sz="6" w:space="0" w:color="auto"/>
              <w:bottom w:val="single" w:sz="12" w:space="0" w:color="000000"/>
              <w:right w:val="nil" w:sz="6" w:space="0" w:color="auto"/>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173"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9"/>
              <w:jc w:val="center"/>
              <w:rPr>
                <w:rFonts w:ascii="Times New Roman" w:hAnsi="Times New Roman" w:cs="Times New Roman" w:eastAsia="Times New Roman" w:hint="default"/>
                <w:sz w:val="18"/>
                <w:szCs w:val="18"/>
              </w:rPr>
            </w:pPr>
            <w:r>
              <w:rPr>
                <w:rFonts w:ascii="Times New Roman"/>
                <w:sz w:val="18"/>
              </w:rPr>
              <w:t>5,822,638.10</w:t>
            </w:r>
          </w:p>
        </w:tc>
        <w:tc>
          <w:tcPr>
            <w:tcW w:w="1321"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163"/>
              <w:jc w:val="right"/>
              <w:rPr>
                <w:rFonts w:ascii="Times New Roman" w:hAnsi="Times New Roman" w:cs="Times New Roman" w:eastAsia="Times New Roman" w:hint="default"/>
                <w:sz w:val="18"/>
                <w:szCs w:val="18"/>
              </w:rPr>
            </w:pPr>
            <w:r>
              <w:rPr>
                <w:rFonts w:ascii="Times New Roman"/>
                <w:spacing w:val="-1"/>
                <w:sz w:val="18"/>
              </w:rPr>
              <w:t>14,965,000.00</w:t>
            </w:r>
          </w:p>
        </w:tc>
        <w:tc>
          <w:tcPr>
            <w:tcW w:w="1230"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117"/>
              <w:jc w:val="right"/>
              <w:rPr>
                <w:rFonts w:ascii="Times New Roman" w:hAnsi="Times New Roman" w:cs="Times New Roman" w:eastAsia="Times New Roman" w:hint="default"/>
                <w:sz w:val="18"/>
                <w:szCs w:val="18"/>
              </w:rPr>
            </w:pPr>
            <w:r>
              <w:rPr>
                <w:rFonts w:ascii="Times New Roman"/>
                <w:spacing w:val="-1"/>
                <w:sz w:val="18"/>
              </w:rPr>
              <w:t>6,563,117.20</w:t>
            </w:r>
          </w:p>
        </w:tc>
        <w:tc>
          <w:tcPr>
            <w:tcW w:w="1256"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99"/>
              <w:jc w:val="right"/>
              <w:rPr>
                <w:rFonts w:ascii="Times New Roman" w:hAnsi="Times New Roman" w:cs="Times New Roman" w:eastAsia="Times New Roman" w:hint="default"/>
                <w:sz w:val="18"/>
                <w:szCs w:val="18"/>
              </w:rPr>
            </w:pPr>
            <w:r>
              <w:rPr>
                <w:rFonts w:ascii="Times New Roman"/>
                <w:spacing w:val="-1"/>
                <w:sz w:val="18"/>
              </w:rPr>
              <w:t>14,224,520.90</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5"/>
          <w:szCs w:val="25"/>
        </w:rPr>
      </w:pPr>
    </w:p>
    <w:p>
      <w:pPr>
        <w:spacing w:before="35"/>
        <w:ind w:left="855" w:right="224" w:firstLine="0"/>
        <w:jc w:val="left"/>
        <w:rPr>
          <w:rFonts w:ascii="宋体" w:hAnsi="宋体" w:cs="宋体" w:eastAsia="宋体" w:hint="default"/>
          <w:sz w:val="21"/>
          <w:szCs w:val="21"/>
        </w:rPr>
      </w:pPr>
      <w:r>
        <w:rPr/>
        <w:pict>
          <v:group style="position:absolute;margin-left:146.520004pt;margin-top:-443.972015pt;width:390.75pt;height:399.6pt;mso-position-horizontal-relative:page;mso-position-vertical-relative:paragraph;z-index:-707320" coordorigin="2930,-8879" coordsize="7815,7992">
            <v:shape style="position:absolute;left:5717;top:-8879;width:3761;height:413" type="#_x0000_t75" stroked="false">
              <v:imagedata r:id="rId231" o:title=""/>
            </v:shape>
            <v:shape style="position:absolute;left:2930;top:-8505;width:7814;height:7618" type="#_x0000_t75" stroked="false">
              <v:imagedata r:id="rId232" o:title=""/>
            </v:shape>
            <w10:wrap type="none"/>
          </v:group>
        </w:pict>
      </w:r>
      <w:r>
        <w:rPr/>
        <w:pict>
          <v:group style="position:absolute;margin-left:146.520004pt;margin-top:37.647980pt;width:385pt;height:213.7pt;mso-position-horizontal-relative:page;mso-position-vertical-relative:paragraph;z-index:-707296" coordorigin="2930,753" coordsize="7700,4274">
            <v:shape style="position:absolute;left:5719;top:753;width:3758;height:413" type="#_x0000_t75" stroked="false">
              <v:imagedata r:id="rId233" o:title=""/>
            </v:shape>
            <v:shape style="position:absolute;left:2930;top:1127;width:7699;height:3899" type="#_x0000_t75" stroked="false">
              <v:imagedata r:id="rId234" o:title=""/>
            </v:shape>
            <w10:wrap type="none"/>
          </v:group>
        </w:pict>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2009</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年度计入递延收益的政府补助</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1"/>
          <w:szCs w:val="11"/>
        </w:rPr>
      </w:pPr>
    </w:p>
    <w:tbl>
      <w:tblPr>
        <w:tblW w:w="0" w:type="auto"/>
        <w:jc w:val="left"/>
        <w:tblInd w:w="1289" w:type="dxa"/>
        <w:tblLayout w:type="fixed"/>
        <w:tblCellMar>
          <w:top w:w="0" w:type="dxa"/>
          <w:left w:w="0" w:type="dxa"/>
          <w:bottom w:w="0" w:type="dxa"/>
          <w:right w:w="0" w:type="dxa"/>
        </w:tblCellMar>
        <w:tblLook w:val="01E0"/>
      </w:tblPr>
      <w:tblGrid>
        <w:gridCol w:w="2793"/>
        <w:gridCol w:w="1246"/>
        <w:gridCol w:w="1246"/>
        <w:gridCol w:w="1219"/>
        <w:gridCol w:w="1154"/>
      </w:tblGrid>
      <w:tr>
        <w:trPr>
          <w:trHeight w:val="394" w:hRule="exact"/>
        </w:trPr>
        <w:tc>
          <w:tcPr>
            <w:tcW w:w="279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46"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21"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246"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91" w:right="0"/>
              <w:jc w:val="left"/>
              <w:rPr>
                <w:rFonts w:ascii="宋体" w:hAnsi="宋体" w:cs="宋体" w:eastAsia="宋体" w:hint="default"/>
                <w:sz w:val="18"/>
                <w:szCs w:val="18"/>
              </w:rPr>
            </w:pPr>
            <w:r>
              <w:rPr>
                <w:rFonts w:ascii="宋体" w:hAnsi="宋体" w:cs="宋体" w:eastAsia="宋体" w:hint="default"/>
                <w:sz w:val="18"/>
                <w:szCs w:val="18"/>
              </w:rPr>
              <w:t>当期增加</w:t>
            </w:r>
          </w:p>
        </w:tc>
        <w:tc>
          <w:tcPr>
            <w:tcW w:w="121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21" w:right="0"/>
              <w:jc w:val="left"/>
              <w:rPr>
                <w:rFonts w:ascii="宋体" w:hAnsi="宋体" w:cs="宋体" w:eastAsia="宋体" w:hint="default"/>
                <w:sz w:val="18"/>
                <w:szCs w:val="18"/>
              </w:rPr>
            </w:pPr>
            <w:r>
              <w:rPr>
                <w:rFonts w:ascii="宋体" w:hAnsi="宋体" w:cs="宋体" w:eastAsia="宋体" w:hint="default"/>
                <w:sz w:val="18"/>
                <w:szCs w:val="18"/>
              </w:rPr>
              <w:t>当期减少</w:t>
            </w:r>
          </w:p>
        </w:tc>
        <w:tc>
          <w:tcPr>
            <w:tcW w:w="115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20"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58" w:hRule="exact"/>
        </w:trPr>
        <w:tc>
          <w:tcPr>
            <w:tcW w:w="2793" w:type="dxa"/>
            <w:tcBorders>
              <w:top w:val="nil" w:sz="6" w:space="0" w:color="auto"/>
              <w:left w:val="nil" w:sz="6" w:space="0" w:color="auto"/>
              <w:bottom w:val="nil" w:sz="6" w:space="0" w:color="auto"/>
              <w:right w:val="nil" w:sz="6" w:space="0" w:color="auto"/>
            </w:tcBorders>
          </w:tcPr>
          <w:p>
            <w:pPr>
              <w:pStyle w:val="TableParagraph"/>
              <w:spacing w:line="381" w:lineRule="auto" w:before="46"/>
              <w:ind w:left="108" w:right="163"/>
              <w:jc w:val="left"/>
              <w:rPr>
                <w:rFonts w:ascii="宋体" w:hAnsi="宋体" w:cs="宋体" w:eastAsia="宋体" w:hint="default"/>
                <w:sz w:val="18"/>
                <w:szCs w:val="18"/>
              </w:rPr>
            </w:pPr>
            <w:r>
              <w:rPr>
                <w:rFonts w:ascii="宋体" w:hAnsi="宋体" w:cs="宋体" w:eastAsia="宋体" w:hint="default"/>
                <w:sz w:val="18"/>
                <w:szCs w:val="18"/>
              </w:rPr>
              <w:t>面向业务的网络系统管理平台软 件</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190"/>
              <w:jc w:val="right"/>
              <w:rPr>
                <w:rFonts w:ascii="Times New Roman" w:hAnsi="Times New Roman" w:cs="Times New Roman" w:eastAsia="Times New Roman" w:hint="default"/>
                <w:sz w:val="18"/>
                <w:szCs w:val="18"/>
              </w:rPr>
            </w:pPr>
            <w:r>
              <w:rPr>
                <w:rFonts w:ascii="Times New Roman"/>
                <w:spacing w:val="-1"/>
                <w:sz w:val="18"/>
              </w:rPr>
              <w:t>1,684,456.96</w:t>
            </w:r>
          </w:p>
        </w:tc>
        <w:tc>
          <w:tcPr>
            <w:tcW w:w="1246" w:type="dxa"/>
            <w:tcBorders>
              <w:top w:val="nil" w:sz="6" w:space="0" w:color="auto"/>
              <w:left w:val="nil" w:sz="6" w:space="0" w:color="auto"/>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1,684,456.96</w:t>
            </w:r>
          </w:p>
        </w:tc>
        <w:tc>
          <w:tcPr>
            <w:tcW w:w="1154" w:type="dxa"/>
            <w:tcBorders>
              <w:top w:val="nil" w:sz="6" w:space="0" w:color="auto"/>
              <w:left w:val="nil" w:sz="6" w:space="0" w:color="auto"/>
              <w:bottom w:val="nil" w:sz="6" w:space="0" w:color="auto"/>
              <w:right w:val="nil" w:sz="6" w:space="0" w:color="auto"/>
            </w:tcBorders>
          </w:tcPr>
          <w:p>
            <w:pPr/>
          </w:p>
        </w:tc>
      </w:tr>
      <w:tr>
        <w:trPr>
          <w:trHeight w:val="759" w:hRule="exact"/>
        </w:trPr>
        <w:tc>
          <w:tcPr>
            <w:tcW w:w="2793" w:type="dxa"/>
            <w:tcBorders>
              <w:top w:val="nil" w:sz="6" w:space="0" w:color="auto"/>
              <w:left w:val="nil" w:sz="6" w:space="0" w:color="auto"/>
              <w:bottom w:val="nil" w:sz="6" w:space="0" w:color="auto"/>
              <w:right w:val="nil" w:sz="6" w:space="0" w:color="auto"/>
            </w:tcBorders>
          </w:tcPr>
          <w:p>
            <w:pPr>
              <w:pStyle w:val="TableParagraph"/>
              <w:spacing w:line="360" w:lineRule="auto" w:before="46"/>
              <w:ind w:left="108" w:right="106"/>
              <w:jc w:val="left"/>
              <w:rPr>
                <w:rFonts w:ascii="宋体" w:hAnsi="宋体" w:cs="宋体" w:eastAsia="宋体" w:hint="default"/>
                <w:sz w:val="18"/>
                <w:szCs w:val="18"/>
              </w:rPr>
            </w:pPr>
            <w:r>
              <w:rPr>
                <w:rFonts w:ascii="宋体" w:hAnsi="宋体" w:cs="宋体" w:eastAsia="宋体" w:hint="default"/>
                <w:sz w:val="18"/>
                <w:szCs w:val="18"/>
              </w:rPr>
              <w:t>基于</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ITIL</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的业务服务管理平台软 件</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190"/>
              <w:jc w:val="right"/>
              <w:rPr>
                <w:rFonts w:ascii="Times New Roman" w:hAnsi="Times New Roman" w:cs="Times New Roman" w:eastAsia="Times New Roman" w:hint="default"/>
                <w:sz w:val="18"/>
                <w:szCs w:val="18"/>
              </w:rPr>
            </w:pPr>
            <w:r>
              <w:rPr>
                <w:rFonts w:ascii="Times New Roman"/>
                <w:spacing w:val="-1"/>
                <w:sz w:val="18"/>
              </w:rPr>
              <w:t>1,201,033.17</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162"/>
              <w:jc w:val="right"/>
              <w:rPr>
                <w:rFonts w:ascii="Times New Roman" w:hAnsi="Times New Roman" w:cs="Times New Roman" w:eastAsia="Times New Roman" w:hint="default"/>
                <w:sz w:val="18"/>
                <w:szCs w:val="18"/>
              </w:rPr>
            </w:pPr>
            <w:r>
              <w:rPr>
                <w:rFonts w:ascii="Times New Roman"/>
                <w:sz w:val="18"/>
              </w:rPr>
              <w:t>400,000.00</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1,601,033.17</w:t>
            </w:r>
          </w:p>
        </w:tc>
        <w:tc>
          <w:tcPr>
            <w:tcW w:w="1154" w:type="dxa"/>
            <w:tcBorders>
              <w:top w:val="nil" w:sz="6" w:space="0" w:color="auto"/>
              <w:left w:val="nil" w:sz="6" w:space="0" w:color="auto"/>
              <w:bottom w:val="nil" w:sz="6" w:space="0" w:color="auto"/>
              <w:right w:val="nil" w:sz="6" w:space="0" w:color="auto"/>
            </w:tcBorders>
          </w:tcPr>
          <w:p>
            <w:pPr/>
          </w:p>
        </w:tc>
      </w:tr>
      <w:tr>
        <w:trPr>
          <w:trHeight w:val="759" w:hRule="exact"/>
        </w:trPr>
        <w:tc>
          <w:tcPr>
            <w:tcW w:w="2793" w:type="dxa"/>
            <w:tcBorders>
              <w:top w:val="nil" w:sz="6" w:space="0" w:color="auto"/>
              <w:left w:val="nil" w:sz="6" w:space="0" w:color="auto"/>
              <w:bottom w:val="nil" w:sz="6" w:space="0" w:color="auto"/>
              <w:right w:val="nil" w:sz="6" w:space="0" w:color="auto"/>
            </w:tcBorders>
          </w:tcPr>
          <w:p>
            <w:pPr>
              <w:pStyle w:val="TableParagraph"/>
              <w:spacing w:line="360" w:lineRule="auto" w:before="47"/>
              <w:ind w:left="108" w:right="192" w:hanging="1"/>
              <w:jc w:val="left"/>
              <w:rPr>
                <w:rFonts w:ascii="宋体" w:hAnsi="宋体" w:cs="宋体" w:eastAsia="宋体" w:hint="default"/>
                <w:sz w:val="18"/>
                <w:szCs w:val="18"/>
              </w:rPr>
            </w:pPr>
            <w:r>
              <w:rPr>
                <w:rFonts w:ascii="宋体" w:hAnsi="宋体" w:cs="宋体" w:eastAsia="宋体" w:hint="default"/>
                <w:sz w:val="18"/>
                <w:szCs w:val="18"/>
              </w:rPr>
              <w:t>基于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ITIL</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IT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网络系统与服务 管理平台软件</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189"/>
              <w:jc w:val="right"/>
              <w:rPr>
                <w:rFonts w:ascii="Times New Roman" w:hAnsi="Times New Roman" w:cs="Times New Roman" w:eastAsia="Times New Roman" w:hint="default"/>
                <w:sz w:val="18"/>
                <w:szCs w:val="18"/>
              </w:rPr>
            </w:pPr>
            <w:r>
              <w:rPr>
                <w:rFonts w:ascii="Times New Roman"/>
                <w:sz w:val="18"/>
              </w:rPr>
              <w:t>543,994.45</w:t>
            </w:r>
          </w:p>
        </w:tc>
        <w:tc>
          <w:tcPr>
            <w:tcW w:w="1246" w:type="dxa"/>
            <w:tcBorders>
              <w:top w:val="nil" w:sz="6" w:space="0" w:color="auto"/>
              <w:left w:val="nil" w:sz="6" w:space="0" w:color="auto"/>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543,994.45</w:t>
            </w:r>
          </w:p>
        </w:tc>
        <w:tc>
          <w:tcPr>
            <w:tcW w:w="1154" w:type="dxa"/>
            <w:tcBorders>
              <w:top w:val="nil" w:sz="6" w:space="0" w:color="auto"/>
              <w:left w:val="nil" w:sz="6" w:space="0" w:color="auto"/>
              <w:bottom w:val="nil" w:sz="6" w:space="0" w:color="auto"/>
              <w:right w:val="nil" w:sz="6" w:space="0" w:color="auto"/>
            </w:tcBorders>
          </w:tcPr>
          <w:p>
            <w:pPr/>
          </w:p>
        </w:tc>
      </w:tr>
      <w:tr>
        <w:trPr>
          <w:trHeight w:val="758" w:hRule="exact"/>
        </w:trPr>
        <w:tc>
          <w:tcPr>
            <w:tcW w:w="2793" w:type="dxa"/>
            <w:tcBorders>
              <w:top w:val="nil" w:sz="6" w:space="0" w:color="auto"/>
              <w:left w:val="nil" w:sz="6" w:space="0" w:color="auto"/>
              <w:bottom w:val="nil" w:sz="6" w:space="0" w:color="auto"/>
              <w:right w:val="nil" w:sz="6" w:space="0" w:color="auto"/>
            </w:tcBorders>
          </w:tcPr>
          <w:p>
            <w:pPr>
              <w:pStyle w:val="TableParagraph"/>
              <w:spacing w:line="360" w:lineRule="auto" w:before="46"/>
              <w:ind w:left="108" w:right="106" w:hanging="1"/>
              <w:jc w:val="left"/>
              <w:rPr>
                <w:rFonts w:ascii="宋体" w:hAnsi="宋体" w:cs="宋体" w:eastAsia="宋体" w:hint="default"/>
                <w:sz w:val="18"/>
                <w:szCs w:val="18"/>
              </w:rPr>
            </w:pPr>
            <w:r>
              <w:rPr>
                <w:rFonts w:ascii="宋体" w:hAnsi="宋体" w:cs="宋体" w:eastAsia="宋体" w:hint="default"/>
                <w:sz w:val="18"/>
                <w:szCs w:val="18"/>
              </w:rPr>
              <w:t>基于</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IAM</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技术的统一身份及访问 安全管理平台软件</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190"/>
              <w:jc w:val="right"/>
              <w:rPr>
                <w:rFonts w:ascii="Times New Roman" w:hAnsi="Times New Roman" w:cs="Times New Roman" w:eastAsia="Times New Roman" w:hint="default"/>
                <w:sz w:val="18"/>
                <w:szCs w:val="18"/>
              </w:rPr>
            </w:pPr>
            <w:r>
              <w:rPr>
                <w:rFonts w:ascii="Times New Roman"/>
                <w:spacing w:val="-1"/>
                <w:sz w:val="18"/>
              </w:rPr>
              <w:t>1,700,000.00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163"/>
              <w:jc w:val="right"/>
              <w:rPr>
                <w:rFonts w:ascii="Times New Roman" w:hAnsi="Times New Roman" w:cs="Times New Roman" w:eastAsia="Times New Roman" w:hint="default"/>
                <w:sz w:val="18"/>
                <w:szCs w:val="18"/>
              </w:rPr>
            </w:pPr>
            <w:r>
              <w:rPr>
                <w:rFonts w:ascii="Times New Roman"/>
                <w:sz w:val="18"/>
              </w:rPr>
              <w:t>800,000.00</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1,321,104.58</w:t>
            </w: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1,178,895.42</w:t>
            </w:r>
          </w:p>
        </w:tc>
      </w:tr>
      <w:tr>
        <w:trPr>
          <w:trHeight w:val="407" w:hRule="exact"/>
        </w:trPr>
        <w:tc>
          <w:tcPr>
            <w:tcW w:w="279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8" w:right="0"/>
              <w:jc w:val="left"/>
              <w:rPr>
                <w:rFonts w:ascii="宋体" w:hAnsi="宋体" w:cs="宋体" w:eastAsia="宋体" w:hint="default"/>
                <w:sz w:val="18"/>
                <w:szCs w:val="18"/>
              </w:rPr>
            </w:pPr>
            <w:r>
              <w:rPr>
                <w:rFonts w:ascii="宋体" w:hAnsi="宋体" w:cs="宋体" w:eastAsia="宋体" w:hint="default"/>
                <w:sz w:val="18"/>
                <w:szCs w:val="18"/>
              </w:rPr>
              <w:t>用户身份及访问行为管控系统</w:t>
            </w:r>
          </w:p>
        </w:tc>
        <w:tc>
          <w:tcPr>
            <w:tcW w:w="1246" w:type="dxa"/>
            <w:tcBorders>
              <w:top w:val="nil" w:sz="6" w:space="0" w:color="auto"/>
              <w:left w:val="nil" w:sz="6" w:space="0" w:color="auto"/>
              <w:bottom w:val="nil" w:sz="6" w:space="0" w:color="auto"/>
              <w:right w:val="nil" w:sz="6" w:space="0" w:color="auto"/>
            </w:tcBorders>
          </w:tcPr>
          <w:p>
            <w:pP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62"/>
              <w:jc w:val="right"/>
              <w:rPr>
                <w:rFonts w:ascii="Times New Roman" w:hAnsi="Times New Roman" w:cs="Times New Roman" w:eastAsia="Times New Roman" w:hint="default"/>
                <w:sz w:val="18"/>
                <w:szCs w:val="18"/>
              </w:rPr>
            </w:pPr>
            <w:r>
              <w:rPr>
                <w:rFonts w:ascii="Times New Roman"/>
                <w:sz w:val="18"/>
              </w:rPr>
              <w:t>560,000.00</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sz w:val="18"/>
              </w:rPr>
              <w:t>227,400.87</w:t>
            </w: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99"/>
              <w:jc w:val="right"/>
              <w:rPr>
                <w:rFonts w:ascii="Times New Roman" w:hAnsi="Times New Roman" w:cs="Times New Roman" w:eastAsia="Times New Roman" w:hint="default"/>
                <w:sz w:val="18"/>
                <w:szCs w:val="18"/>
              </w:rPr>
            </w:pPr>
            <w:r>
              <w:rPr>
                <w:rFonts w:ascii="Times New Roman"/>
                <w:sz w:val="18"/>
              </w:rPr>
              <w:t>332,599.13</w:t>
            </w:r>
          </w:p>
        </w:tc>
      </w:tr>
      <w:tr>
        <w:trPr>
          <w:trHeight w:val="448" w:hRule="exact"/>
        </w:trPr>
        <w:tc>
          <w:tcPr>
            <w:tcW w:w="2793" w:type="dxa"/>
            <w:tcBorders>
              <w:top w:val="nil" w:sz="6" w:space="0" w:color="auto"/>
              <w:left w:val="nil" w:sz="6" w:space="0" w:color="auto"/>
              <w:bottom w:val="single" w:sz="12" w:space="0" w:color="000000"/>
              <w:right w:val="nil" w:sz="6" w:space="0" w:color="auto"/>
            </w:tcBorders>
          </w:tcPr>
          <w:p>
            <w:pPr>
              <w:pStyle w:val="TableParagraph"/>
              <w:spacing w:line="240" w:lineRule="auto" w:before="62"/>
              <w:ind w:left="108" w:right="0"/>
              <w:jc w:val="left"/>
              <w:rPr>
                <w:rFonts w:ascii="宋体" w:hAnsi="宋体" w:cs="宋体" w:eastAsia="宋体" w:hint="default"/>
                <w:sz w:val="18"/>
                <w:szCs w:val="18"/>
              </w:rPr>
            </w:pPr>
            <w:r>
              <w:rPr>
                <w:rFonts w:ascii="宋体" w:hAnsi="宋体" w:cs="宋体" w:eastAsia="宋体" w:hint="default"/>
                <w:sz w:val="18"/>
                <w:szCs w:val="18"/>
              </w:rPr>
              <w:t>信息安全一体化集中管理系统</w:t>
            </w:r>
          </w:p>
        </w:tc>
        <w:tc>
          <w:tcPr>
            <w:tcW w:w="1246" w:type="dxa"/>
            <w:tcBorders>
              <w:top w:val="nil" w:sz="6" w:space="0" w:color="auto"/>
              <w:left w:val="nil" w:sz="6" w:space="0" w:color="auto"/>
              <w:bottom w:val="single" w:sz="12" w:space="0" w:color="000000"/>
              <w:right w:val="nil" w:sz="6" w:space="0" w:color="auto"/>
            </w:tcBorders>
          </w:tcPr>
          <w:p>
            <w:pPr/>
          </w:p>
        </w:tc>
        <w:tc>
          <w:tcPr>
            <w:tcW w:w="1246"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left="135" w:right="0"/>
              <w:jc w:val="left"/>
              <w:rPr>
                <w:rFonts w:ascii="Times New Roman" w:hAnsi="Times New Roman" w:cs="Times New Roman" w:eastAsia="Times New Roman" w:hint="default"/>
                <w:sz w:val="18"/>
                <w:szCs w:val="18"/>
              </w:rPr>
            </w:pPr>
            <w:r>
              <w:rPr>
                <w:rFonts w:ascii="Times New Roman"/>
                <w:sz w:val="18"/>
              </w:rPr>
              <w:t>2,000,000.00</w:t>
            </w:r>
          </w:p>
        </w:tc>
        <w:tc>
          <w:tcPr>
            <w:tcW w:w="1219"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375,945.34</w:t>
            </w:r>
          </w:p>
        </w:tc>
        <w:tc>
          <w:tcPr>
            <w:tcW w:w="1154"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99"/>
              <w:jc w:val="right"/>
              <w:rPr>
                <w:rFonts w:ascii="Times New Roman" w:hAnsi="Times New Roman" w:cs="Times New Roman" w:eastAsia="Times New Roman" w:hint="default"/>
                <w:sz w:val="18"/>
                <w:szCs w:val="18"/>
              </w:rPr>
            </w:pPr>
            <w:r>
              <w:rPr>
                <w:rFonts w:ascii="Times New Roman"/>
                <w:spacing w:val="-1"/>
                <w:sz w:val="18"/>
              </w:rPr>
              <w:t>1,624,054.66</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82" w:top="1300" w:bottom="1180" w:left="1660" w:right="1040"/>
        </w:sectPr>
      </w:pPr>
    </w:p>
    <w:p>
      <w:pPr>
        <w:spacing w:line="240" w:lineRule="auto" w:before="11"/>
        <w:rPr>
          <w:rFonts w:ascii="宋体" w:hAnsi="宋体" w:cs="宋体" w:eastAsia="宋体" w:hint="default"/>
          <w:b/>
          <w:bCs/>
          <w:sz w:val="2"/>
          <w:szCs w:val="2"/>
        </w:rPr>
      </w:pPr>
    </w:p>
    <w:p>
      <w:pPr>
        <w:spacing w:line="20" w:lineRule="exact"/>
        <w:ind w:left="100" w:right="0" w:firstLine="0"/>
        <w:rPr>
          <w:rFonts w:ascii="宋体" w:hAnsi="宋体" w:cs="宋体" w:eastAsia="宋体" w:hint="default"/>
          <w:sz w:val="2"/>
          <w:szCs w:val="2"/>
        </w:rPr>
      </w:pPr>
      <w:r>
        <w:rPr>
          <w:rFonts w:ascii="宋体" w:hAnsi="宋体" w:cs="宋体" w:eastAsia="宋体" w:hint="default"/>
          <w:sz w:val="2"/>
          <w:szCs w:val="2"/>
        </w:rPr>
        <w:pict>
          <v:group style="width:444.55pt;height:.75pt;mso-position-horizontal-relative:char;mso-position-vertical-relative:line" coordorigin="0,0" coordsize="8891,15">
            <v:group style="position:absolute;left:7;top:7;width:8877;height:2" coordorigin="7,7" coordsize="8877,2">
              <v:shape style="position:absolute;left:7;top:7;width:8877;height:2" coordorigin="7,7" coordsize="8877,0" path="m7,7l8884,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9"/>
          <w:szCs w:val="19"/>
        </w:rPr>
      </w:pPr>
    </w:p>
    <w:tbl>
      <w:tblPr>
        <w:tblW w:w="0" w:type="auto"/>
        <w:jc w:val="left"/>
        <w:tblInd w:w="1275" w:type="dxa"/>
        <w:tblLayout w:type="fixed"/>
        <w:tblCellMar>
          <w:top w:w="0" w:type="dxa"/>
          <w:left w:w="0" w:type="dxa"/>
          <w:bottom w:w="0" w:type="dxa"/>
          <w:right w:w="0" w:type="dxa"/>
        </w:tblCellMar>
        <w:tblLook w:val="01E0"/>
      </w:tblPr>
      <w:tblGrid>
        <w:gridCol w:w="2779"/>
        <w:gridCol w:w="1246"/>
        <w:gridCol w:w="1274"/>
        <w:gridCol w:w="1219"/>
        <w:gridCol w:w="1162"/>
      </w:tblGrid>
      <w:tr>
        <w:trPr>
          <w:trHeight w:val="657" w:hRule="exact"/>
        </w:trPr>
        <w:tc>
          <w:tcPr>
            <w:tcW w:w="2779"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电信级统一身份认证与访问控制</w:t>
            </w:r>
          </w:p>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网关项目</w:t>
            </w:r>
          </w:p>
        </w:tc>
        <w:tc>
          <w:tcPr>
            <w:tcW w:w="1246" w:type="dxa"/>
            <w:tcBorders>
              <w:top w:val="nil" w:sz="6" w:space="0" w:color="auto"/>
              <w:left w:val="nil" w:sz="6" w:space="0" w:color="auto"/>
              <w:bottom w:val="nil" w:sz="6" w:space="0" w:color="auto"/>
              <w:right w:val="nil" w:sz="6" w:space="0" w:color="auto"/>
            </w:tcBorders>
          </w:tcPr>
          <w:p>
            <w:pP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163"/>
              <w:jc w:val="right"/>
              <w:rPr>
                <w:rFonts w:ascii="Times New Roman" w:hAnsi="Times New Roman" w:cs="Times New Roman" w:eastAsia="Times New Roman" w:hint="default"/>
                <w:sz w:val="18"/>
                <w:szCs w:val="18"/>
              </w:rPr>
            </w:pPr>
            <w:r>
              <w:rPr>
                <w:rFonts w:ascii="Times New Roman"/>
                <w:spacing w:val="-1"/>
                <w:sz w:val="18"/>
              </w:rPr>
              <w:t>1,000,000.00</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210,822.96</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789,177.04</w:t>
            </w:r>
          </w:p>
        </w:tc>
      </w:tr>
      <w:tr>
        <w:trPr>
          <w:trHeight w:val="759" w:hRule="exact"/>
        </w:trPr>
        <w:tc>
          <w:tcPr>
            <w:tcW w:w="2779" w:type="dxa"/>
            <w:tcBorders>
              <w:top w:val="nil" w:sz="6" w:space="0" w:color="auto"/>
              <w:left w:val="nil" w:sz="6" w:space="0" w:color="auto"/>
              <w:bottom w:val="nil" w:sz="6" w:space="0" w:color="auto"/>
              <w:right w:val="nil" w:sz="6" w:space="0" w:color="auto"/>
            </w:tcBorders>
          </w:tcPr>
          <w:p>
            <w:pPr>
              <w:pStyle w:val="TableParagraph"/>
              <w:spacing w:line="381" w:lineRule="auto" w:before="47"/>
              <w:ind w:left="122" w:right="134"/>
              <w:jc w:val="left"/>
              <w:rPr>
                <w:rFonts w:ascii="宋体" w:hAnsi="宋体" w:cs="宋体" w:eastAsia="宋体" w:hint="default"/>
                <w:sz w:val="18"/>
                <w:szCs w:val="18"/>
              </w:rPr>
            </w:pPr>
            <w:r>
              <w:rPr>
                <w:rFonts w:ascii="宋体" w:hAnsi="宋体" w:cs="宋体" w:eastAsia="宋体" w:hint="default"/>
                <w:sz w:val="18"/>
                <w:szCs w:val="18"/>
              </w:rPr>
              <w:t>农村综合信息服务平台开发及应 用推广</w:t>
            </w:r>
          </w:p>
        </w:tc>
        <w:tc>
          <w:tcPr>
            <w:tcW w:w="1246" w:type="dxa"/>
            <w:tcBorders>
              <w:top w:val="nil" w:sz="6" w:space="0" w:color="auto"/>
              <w:left w:val="nil" w:sz="6" w:space="0" w:color="auto"/>
              <w:bottom w:val="nil" w:sz="6" w:space="0" w:color="auto"/>
              <w:right w:val="nil" w:sz="6" w:space="0" w:color="auto"/>
            </w:tcBorders>
          </w:tcPr>
          <w:p>
            <w:pP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162"/>
              <w:jc w:val="right"/>
              <w:rPr>
                <w:rFonts w:ascii="Times New Roman" w:hAnsi="Times New Roman" w:cs="Times New Roman" w:eastAsia="Times New Roman" w:hint="default"/>
                <w:sz w:val="18"/>
                <w:szCs w:val="18"/>
              </w:rPr>
            </w:pPr>
            <w:r>
              <w:rPr>
                <w:rFonts w:ascii="Times New Roman"/>
                <w:spacing w:val="-1"/>
                <w:sz w:val="18"/>
              </w:rPr>
              <w:t>1,000,000.00</w:t>
            </w:r>
          </w:p>
        </w:tc>
        <w:tc>
          <w:tcPr>
            <w:tcW w:w="1219"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1,000,000.00</w:t>
            </w:r>
          </w:p>
        </w:tc>
      </w:tr>
      <w:tr>
        <w:trPr>
          <w:trHeight w:val="388" w:hRule="exact"/>
        </w:trPr>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2"/>
              <w:jc w:val="center"/>
              <w:rPr>
                <w:rFonts w:ascii="宋体" w:hAnsi="宋体" w:cs="宋体" w:eastAsia="宋体" w:hint="default"/>
                <w:sz w:val="18"/>
                <w:szCs w:val="18"/>
              </w:rPr>
            </w:pPr>
            <w:r>
              <w:rPr>
                <w:rFonts w:ascii="宋体" w:hAnsi="宋体" w:cs="宋体" w:eastAsia="宋体" w:hint="default"/>
                <w:sz w:val="18"/>
                <w:szCs w:val="18"/>
              </w:rPr>
              <w:t>移动互联生活增值服务平台研发</w:t>
            </w:r>
          </w:p>
        </w:tc>
        <w:tc>
          <w:tcPr>
            <w:tcW w:w="1246" w:type="dxa"/>
            <w:tcBorders>
              <w:top w:val="nil" w:sz="6" w:space="0" w:color="auto"/>
              <w:left w:val="nil" w:sz="6" w:space="0" w:color="auto"/>
              <w:bottom w:val="nil" w:sz="6" w:space="0" w:color="auto"/>
              <w:right w:val="nil" w:sz="6" w:space="0" w:color="auto"/>
            </w:tcBorders>
          </w:tcPr>
          <w:p>
            <w:pP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63"/>
              <w:jc w:val="right"/>
              <w:rPr>
                <w:rFonts w:ascii="Times New Roman" w:hAnsi="Times New Roman" w:cs="Times New Roman" w:eastAsia="Times New Roman" w:hint="default"/>
                <w:sz w:val="18"/>
                <w:szCs w:val="18"/>
              </w:rPr>
            </w:pPr>
            <w:r>
              <w:rPr>
                <w:rFonts w:ascii="Times New Roman"/>
                <w:spacing w:val="-1"/>
                <w:sz w:val="18"/>
              </w:rPr>
              <w:t>1,000,000.00</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sz w:val="18"/>
              </w:rPr>
              <w:t>102,088.15</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sz w:val="18"/>
              </w:rPr>
              <w:t>897,911.85</w:t>
            </w:r>
          </w:p>
        </w:tc>
      </w:tr>
      <w:tr>
        <w:trPr>
          <w:trHeight w:val="755" w:hRule="exact"/>
        </w:trPr>
        <w:tc>
          <w:tcPr>
            <w:tcW w:w="2779" w:type="dxa"/>
            <w:tcBorders>
              <w:top w:val="nil" w:sz="6" w:space="0" w:color="auto"/>
              <w:left w:val="nil" w:sz="6" w:space="0" w:color="auto"/>
              <w:bottom w:val="nil" w:sz="6" w:space="0" w:color="auto"/>
              <w:right w:val="nil" w:sz="6" w:space="0" w:color="auto"/>
            </w:tcBorders>
          </w:tcPr>
          <w:p>
            <w:pPr>
              <w:pStyle w:val="TableParagraph"/>
              <w:spacing w:line="381" w:lineRule="auto" w:before="42"/>
              <w:ind w:left="122" w:right="134"/>
              <w:jc w:val="left"/>
              <w:rPr>
                <w:rFonts w:ascii="宋体" w:hAnsi="宋体" w:cs="宋体" w:eastAsia="宋体" w:hint="default"/>
                <w:sz w:val="18"/>
                <w:szCs w:val="18"/>
              </w:rPr>
            </w:pPr>
            <w:r>
              <w:rPr>
                <w:rFonts w:ascii="宋体" w:hAnsi="宋体" w:cs="宋体" w:eastAsia="宋体" w:hint="default"/>
                <w:sz w:val="18"/>
                <w:szCs w:val="18"/>
              </w:rPr>
              <w:t>海淀区鼓励企业提升自主创新能 力专项补贴</w:t>
            </w:r>
          </w:p>
        </w:tc>
        <w:tc>
          <w:tcPr>
            <w:tcW w:w="1246" w:type="dxa"/>
            <w:tcBorders>
              <w:top w:val="nil" w:sz="6" w:space="0" w:color="auto"/>
              <w:left w:val="nil" w:sz="6" w:space="0" w:color="auto"/>
              <w:bottom w:val="nil" w:sz="6" w:space="0" w:color="auto"/>
              <w:right w:val="nil" w:sz="6" w:space="0" w:color="auto"/>
            </w:tcBorders>
          </w:tcPr>
          <w:p>
            <w:pP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0"/>
                <w:szCs w:val="20"/>
              </w:rPr>
            </w:pPr>
          </w:p>
          <w:p>
            <w:pPr>
              <w:pStyle w:val="TableParagraph"/>
              <w:spacing w:line="240" w:lineRule="auto"/>
              <w:ind w:right="162"/>
              <w:jc w:val="right"/>
              <w:rPr>
                <w:rFonts w:ascii="Times New Roman" w:hAnsi="Times New Roman" w:cs="Times New Roman" w:eastAsia="Times New Roman" w:hint="default"/>
                <w:sz w:val="18"/>
                <w:szCs w:val="18"/>
              </w:rPr>
            </w:pPr>
            <w:r>
              <w:rPr>
                <w:rFonts w:ascii="Times New Roman"/>
                <w:sz w:val="18"/>
              </w:rPr>
              <w:t>500,000.00</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500,000.00</w:t>
            </w:r>
          </w:p>
        </w:tc>
        <w:tc>
          <w:tcPr>
            <w:tcW w:w="1162" w:type="dxa"/>
            <w:tcBorders>
              <w:top w:val="nil" w:sz="6" w:space="0" w:color="auto"/>
              <w:left w:val="nil" w:sz="6" w:space="0" w:color="auto"/>
              <w:bottom w:val="nil" w:sz="6" w:space="0" w:color="auto"/>
              <w:right w:val="nil" w:sz="6" w:space="0" w:color="auto"/>
            </w:tcBorders>
          </w:tcPr>
          <w:p>
            <w:pPr/>
          </w:p>
        </w:tc>
      </w:tr>
      <w:tr>
        <w:trPr>
          <w:trHeight w:val="395" w:hRule="exact"/>
        </w:trPr>
        <w:tc>
          <w:tcPr>
            <w:tcW w:w="2779"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left="43"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246"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left="136" w:right="0"/>
              <w:jc w:val="left"/>
              <w:rPr>
                <w:rFonts w:ascii="Times New Roman" w:hAnsi="Times New Roman" w:cs="Times New Roman" w:eastAsia="Times New Roman" w:hint="default"/>
                <w:sz w:val="18"/>
                <w:szCs w:val="18"/>
              </w:rPr>
            </w:pPr>
            <w:r>
              <w:rPr>
                <w:rFonts w:ascii="Times New Roman"/>
                <w:sz w:val="18"/>
              </w:rPr>
              <w:t>5,129,484.58</w:t>
            </w:r>
          </w:p>
        </w:tc>
        <w:tc>
          <w:tcPr>
            <w:tcW w:w="1274"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163"/>
              <w:jc w:val="right"/>
              <w:rPr>
                <w:rFonts w:ascii="Times New Roman" w:hAnsi="Times New Roman" w:cs="Times New Roman" w:eastAsia="Times New Roman" w:hint="default"/>
                <w:sz w:val="18"/>
                <w:szCs w:val="18"/>
              </w:rPr>
            </w:pPr>
            <w:r>
              <w:rPr>
                <w:rFonts w:ascii="Times New Roman"/>
                <w:spacing w:val="-1"/>
                <w:sz w:val="18"/>
              </w:rPr>
              <w:t>7,260,000.00</w:t>
            </w:r>
          </w:p>
        </w:tc>
        <w:tc>
          <w:tcPr>
            <w:tcW w:w="1219"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106"/>
              <w:jc w:val="right"/>
              <w:rPr>
                <w:rFonts w:ascii="Times New Roman" w:hAnsi="Times New Roman" w:cs="Times New Roman" w:eastAsia="Times New Roman" w:hint="default"/>
                <w:sz w:val="18"/>
                <w:szCs w:val="18"/>
              </w:rPr>
            </w:pPr>
            <w:r>
              <w:rPr>
                <w:rFonts w:ascii="Times New Roman"/>
                <w:spacing w:val="-1"/>
                <w:sz w:val="18"/>
              </w:rPr>
              <w:t>6,566,846.48</w:t>
            </w:r>
          </w:p>
        </w:tc>
        <w:tc>
          <w:tcPr>
            <w:tcW w:w="1162"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106"/>
              <w:jc w:val="right"/>
              <w:rPr>
                <w:rFonts w:ascii="Times New Roman" w:hAnsi="Times New Roman" w:cs="Times New Roman" w:eastAsia="Times New Roman" w:hint="default"/>
                <w:sz w:val="18"/>
                <w:szCs w:val="18"/>
              </w:rPr>
            </w:pPr>
            <w:r>
              <w:rPr>
                <w:rFonts w:ascii="Times New Roman"/>
                <w:spacing w:val="-1"/>
                <w:sz w:val="18"/>
              </w:rPr>
              <w:t>5,822,638.10</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before="35"/>
        <w:ind w:left="123" w:right="312" w:firstLine="0"/>
        <w:jc w:val="left"/>
        <w:rPr>
          <w:rFonts w:ascii="宋体" w:hAnsi="宋体" w:cs="宋体" w:eastAsia="宋体" w:hint="default"/>
          <w:sz w:val="21"/>
          <w:szCs w:val="21"/>
        </w:rPr>
      </w:pPr>
      <w:r>
        <w:rPr/>
        <w:pict>
          <v:group style="position:absolute;margin-left:146.520004pt;margin-top:-219.870544pt;width:385pt;height:195.5pt;mso-position-horizontal-relative:page;mso-position-vertical-relative:paragraph;z-index:-707104" coordorigin="2930,-4397" coordsize="7700,3910">
            <v:group style="position:absolute;left:2950;top:-4382;width:7659;height:2" coordorigin="2950,-4382" coordsize="7659,2">
              <v:shape style="position:absolute;left:2950;top:-4382;width:7659;height:2" coordorigin="2950,-4382" coordsize="7659,0" path="m2950,-4382l10608,-4382e" filled="false" stroked="true" strokeweight="1.5pt" strokecolor="#000000">
                <v:path arrowok="t"/>
              </v:shape>
              <v:shape style="position:absolute;left:5719;top:-4387;width:3758;height:413" type="#_x0000_t75" stroked="false">
                <v:imagedata r:id="rId231" o:title=""/>
              </v:shape>
              <v:shape style="position:absolute;left:2930;top:-4012;width:7699;height:3524" type="#_x0000_t75" stroked="false">
                <v:imagedata r:id="rId235" o:title=""/>
              </v:shape>
              <v:shape style="position:absolute;left:4166;top:-427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5964;top:-427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7181;top:-427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当期增加</w:t>
                      </w:r>
                    </w:p>
                  </w:txbxContent>
                </v:textbox>
                <w10:wrap type="none"/>
              </v:shape>
              <v:shape style="position:absolute;left:8457;top:-427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当期减少</w:t>
                      </w:r>
                    </w:p>
                  </w:txbxContent>
                </v:textbox>
                <w10:wrap type="none"/>
              </v:shape>
              <v:shape style="position:absolute;left:9675;top:-427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3058;top:-3886;width:71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SOC</w:t>
                      </w:r>
                      <w:r>
                        <w:rPr>
                          <w:rFonts w:ascii="宋体" w:hAnsi="宋体" w:cs="宋体" w:eastAsia="宋体" w:hint="default"/>
                          <w:spacing w:val="-1"/>
                          <w:sz w:val="18"/>
                          <w:szCs w:val="18"/>
                        </w:rPr>
                        <w:t>）</w:t>
                      </w:r>
                    </w:p>
                  </w:txbxContent>
                </v:textbox>
                <w10:wrap type="none"/>
              </v:shape>
            </v:group>
            <w10:wrap type="none"/>
          </v:group>
        </w:pict>
      </w:r>
      <w:r>
        <w:rPr/>
        <w:pict>
          <v:group style="position:absolute;margin-left:119.399994pt;margin-top:42.629456pt;width:410.85pt;height:115.35pt;mso-position-horizontal-relative:page;mso-position-vertical-relative:paragraph;z-index:-707080" coordorigin="2388,853" coordsize="8217,2307">
            <v:shape style="position:absolute;left:5317;top:853;width:3358;height:787" type="#_x0000_t75" stroked="false">
              <v:imagedata r:id="rId236" o:title=""/>
            </v:shape>
            <v:shape style="position:absolute;left:2388;top:1608;width:8216;height:1551" type="#_x0000_t75" stroked="false">
              <v:imagedata r:id="rId237"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三十五</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5"/>
          <w:sz w:val="21"/>
          <w:szCs w:val="21"/>
        </w:rPr>
        <w:t> </w:t>
      </w:r>
      <w:r>
        <w:rPr>
          <w:rFonts w:ascii="宋体" w:hAnsi="宋体" w:cs="宋体" w:eastAsia="宋体" w:hint="default"/>
          <w:b/>
          <w:bCs/>
          <w:sz w:val="21"/>
          <w:szCs w:val="21"/>
        </w:rPr>
        <w:t>营业外支出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747" w:type="dxa"/>
        <w:tblLayout w:type="fixed"/>
        <w:tblCellMar>
          <w:top w:w="0" w:type="dxa"/>
          <w:left w:w="0" w:type="dxa"/>
          <w:bottom w:w="0" w:type="dxa"/>
          <w:right w:w="0" w:type="dxa"/>
        </w:tblCellMar>
        <w:tblLook w:val="01E0"/>
      </w:tblPr>
      <w:tblGrid>
        <w:gridCol w:w="2867"/>
        <w:gridCol w:w="1837"/>
        <w:gridCol w:w="1549"/>
        <w:gridCol w:w="1919"/>
      </w:tblGrid>
      <w:tr>
        <w:trPr>
          <w:trHeight w:val="768" w:hRule="exact"/>
        </w:trPr>
        <w:tc>
          <w:tcPr>
            <w:tcW w:w="2867"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62"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837"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450"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549"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268" w:right="0"/>
              <w:jc w:val="left"/>
              <w:rPr>
                <w:rFonts w:ascii="宋体" w:hAnsi="宋体" w:cs="宋体" w:eastAsia="宋体" w:hint="default"/>
                <w:sz w:val="21"/>
                <w:szCs w:val="21"/>
              </w:rPr>
            </w:pPr>
            <w:r>
              <w:rPr>
                <w:rFonts w:ascii="宋体" w:hAnsi="宋体" w:cs="宋体" w:eastAsia="宋体" w:hint="default"/>
                <w:sz w:val="21"/>
                <w:szCs w:val="21"/>
              </w:rPr>
              <w:t>上期金额</w:t>
            </w:r>
          </w:p>
        </w:tc>
        <w:tc>
          <w:tcPr>
            <w:tcW w:w="1919" w:type="dxa"/>
            <w:tcBorders>
              <w:top w:val="single" w:sz="12" w:space="0" w:color="000000"/>
              <w:left w:val="nil" w:sz="6" w:space="0" w:color="auto"/>
              <w:bottom w:val="nil" w:sz="6" w:space="0" w:color="auto"/>
              <w:right w:val="nil" w:sz="6" w:space="0" w:color="auto"/>
            </w:tcBorders>
          </w:tcPr>
          <w:p>
            <w:pPr>
              <w:pStyle w:val="TableParagraph"/>
              <w:spacing w:line="326" w:lineRule="auto" w:before="16"/>
              <w:ind w:left="433" w:right="119" w:hanging="316"/>
              <w:jc w:val="left"/>
              <w:rPr>
                <w:rFonts w:ascii="宋体" w:hAnsi="宋体" w:cs="宋体" w:eastAsia="宋体" w:hint="default"/>
                <w:sz w:val="21"/>
                <w:szCs w:val="21"/>
              </w:rPr>
            </w:pPr>
            <w:r>
              <w:rPr>
                <w:rFonts w:ascii="宋体" w:hAnsi="宋体" w:cs="宋体" w:eastAsia="宋体" w:hint="default"/>
                <w:sz w:val="21"/>
                <w:szCs w:val="21"/>
              </w:rPr>
              <w:t>计入当期非经常性 损益的金额</w:t>
            </w:r>
          </w:p>
        </w:tc>
      </w:tr>
      <w:tr>
        <w:trPr>
          <w:trHeight w:val="390" w:hRule="exact"/>
        </w:trPr>
        <w:tc>
          <w:tcPr>
            <w:tcW w:w="2867"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非流动资产处置损失合计</w:t>
            </w:r>
          </w:p>
        </w:tc>
        <w:tc>
          <w:tcPr>
            <w:tcW w:w="183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68"/>
              <w:jc w:val="right"/>
              <w:rPr>
                <w:rFonts w:ascii="Times New Roman" w:hAnsi="Times New Roman" w:cs="Times New Roman" w:eastAsia="Times New Roman" w:hint="default"/>
                <w:sz w:val="21"/>
                <w:szCs w:val="21"/>
              </w:rPr>
            </w:pPr>
            <w:r>
              <w:rPr>
                <w:rFonts w:ascii="Times New Roman"/>
                <w:spacing w:val="-1"/>
                <w:sz w:val="21"/>
              </w:rPr>
              <w:t>927,659.01</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15"/>
              <w:jc w:val="right"/>
              <w:rPr>
                <w:rFonts w:ascii="Times New Roman" w:hAnsi="Times New Roman" w:cs="Times New Roman" w:eastAsia="Times New Roman" w:hint="default"/>
                <w:sz w:val="21"/>
                <w:szCs w:val="21"/>
              </w:rPr>
            </w:pPr>
            <w:r>
              <w:rPr>
                <w:rFonts w:ascii="Times New Roman"/>
                <w:spacing w:val="-1"/>
                <w:sz w:val="21"/>
              </w:rPr>
              <w:t>37,422.00</w:t>
            </w:r>
          </w:p>
        </w:tc>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99"/>
              <w:jc w:val="right"/>
              <w:rPr>
                <w:rFonts w:ascii="Times New Roman" w:hAnsi="Times New Roman" w:cs="Times New Roman" w:eastAsia="Times New Roman" w:hint="default"/>
                <w:sz w:val="21"/>
                <w:szCs w:val="21"/>
              </w:rPr>
            </w:pPr>
            <w:r>
              <w:rPr>
                <w:rFonts w:ascii="Times New Roman"/>
                <w:spacing w:val="-1"/>
                <w:sz w:val="21"/>
              </w:rPr>
              <w:t>927,659.01</w:t>
            </w:r>
          </w:p>
        </w:tc>
      </w:tr>
      <w:tr>
        <w:trPr>
          <w:trHeight w:val="385" w:hRule="exact"/>
        </w:trPr>
        <w:tc>
          <w:tcPr>
            <w:tcW w:w="2867"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6" w:right="0"/>
              <w:jc w:val="left"/>
              <w:rPr>
                <w:rFonts w:ascii="宋体" w:hAnsi="宋体" w:cs="宋体" w:eastAsia="宋体" w:hint="default"/>
                <w:sz w:val="21"/>
                <w:szCs w:val="21"/>
              </w:rPr>
            </w:pPr>
            <w:r>
              <w:rPr>
                <w:rFonts w:ascii="宋体" w:hAnsi="宋体" w:cs="宋体" w:eastAsia="宋体" w:hint="default"/>
                <w:sz w:val="21"/>
                <w:szCs w:val="21"/>
              </w:rPr>
              <w:t>其中：固定资产处置损失</w:t>
            </w:r>
          </w:p>
        </w:tc>
        <w:tc>
          <w:tcPr>
            <w:tcW w:w="183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268"/>
              <w:jc w:val="right"/>
              <w:rPr>
                <w:rFonts w:ascii="Times New Roman" w:hAnsi="Times New Roman" w:cs="Times New Roman" w:eastAsia="Times New Roman" w:hint="default"/>
                <w:sz w:val="21"/>
                <w:szCs w:val="21"/>
              </w:rPr>
            </w:pPr>
            <w:r>
              <w:rPr>
                <w:rFonts w:ascii="Times New Roman"/>
                <w:spacing w:val="-1"/>
                <w:sz w:val="21"/>
              </w:rPr>
              <w:t>927,659.01</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15"/>
              <w:jc w:val="right"/>
              <w:rPr>
                <w:rFonts w:ascii="Times New Roman" w:hAnsi="Times New Roman" w:cs="Times New Roman" w:eastAsia="Times New Roman" w:hint="default"/>
                <w:sz w:val="21"/>
                <w:szCs w:val="21"/>
              </w:rPr>
            </w:pPr>
            <w:r>
              <w:rPr>
                <w:rFonts w:ascii="Times New Roman"/>
                <w:spacing w:val="-1"/>
                <w:sz w:val="21"/>
              </w:rPr>
              <w:t>37,422.00</w:t>
            </w:r>
          </w:p>
        </w:tc>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99"/>
              <w:jc w:val="right"/>
              <w:rPr>
                <w:rFonts w:ascii="Times New Roman" w:hAnsi="Times New Roman" w:cs="Times New Roman" w:eastAsia="Times New Roman" w:hint="default"/>
                <w:sz w:val="21"/>
                <w:szCs w:val="21"/>
              </w:rPr>
            </w:pPr>
            <w:r>
              <w:rPr>
                <w:rFonts w:ascii="Times New Roman"/>
                <w:spacing w:val="-1"/>
                <w:sz w:val="21"/>
              </w:rPr>
              <w:t>927,659.01</w:t>
            </w:r>
          </w:p>
        </w:tc>
      </w:tr>
      <w:tr>
        <w:trPr>
          <w:trHeight w:val="384" w:hRule="exact"/>
        </w:trPr>
        <w:tc>
          <w:tcPr>
            <w:tcW w:w="2867"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6"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837"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69"/>
              <w:jc w:val="right"/>
              <w:rPr>
                <w:rFonts w:ascii="Times New Roman" w:hAnsi="Times New Roman" w:cs="Times New Roman" w:eastAsia="Times New Roman" w:hint="default"/>
                <w:sz w:val="21"/>
                <w:szCs w:val="21"/>
              </w:rPr>
            </w:pPr>
            <w:r>
              <w:rPr>
                <w:rFonts w:ascii="Times New Roman"/>
                <w:spacing w:val="-1"/>
                <w:sz w:val="21"/>
              </w:rPr>
              <w:t>817,883.00</w:t>
            </w:r>
            <w:r>
              <w:rPr>
                <w:rFonts w:ascii="Times New Roman"/>
                <w:sz w:val="21"/>
              </w:rPr>
            </w:r>
          </w:p>
        </w:tc>
        <w:tc>
          <w:tcPr>
            <w:tcW w:w="1549" w:type="dxa"/>
            <w:tcBorders>
              <w:top w:val="nil" w:sz="6" w:space="0" w:color="auto"/>
              <w:left w:val="nil" w:sz="6" w:space="0" w:color="auto"/>
              <w:bottom w:val="nil" w:sz="6" w:space="0" w:color="auto"/>
              <w:right w:val="nil" w:sz="6" w:space="0" w:color="auto"/>
            </w:tcBorders>
          </w:tcPr>
          <w:p>
            <w:pPr/>
          </w:p>
        </w:tc>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0"/>
              <w:jc w:val="right"/>
              <w:rPr>
                <w:rFonts w:ascii="Times New Roman" w:hAnsi="Times New Roman" w:cs="Times New Roman" w:eastAsia="Times New Roman" w:hint="default"/>
                <w:sz w:val="21"/>
                <w:szCs w:val="21"/>
              </w:rPr>
            </w:pPr>
            <w:r>
              <w:rPr>
                <w:rFonts w:ascii="Times New Roman"/>
                <w:spacing w:val="-1"/>
                <w:sz w:val="21"/>
              </w:rPr>
              <w:t>817,883.00</w:t>
            </w:r>
            <w:r>
              <w:rPr>
                <w:rFonts w:ascii="Times New Roman"/>
                <w:sz w:val="21"/>
              </w:rPr>
            </w:r>
          </w:p>
        </w:tc>
      </w:tr>
      <w:tr>
        <w:trPr>
          <w:trHeight w:val="391" w:hRule="exact"/>
        </w:trPr>
        <w:tc>
          <w:tcPr>
            <w:tcW w:w="2867"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left="6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37"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266"/>
              <w:jc w:val="right"/>
              <w:rPr>
                <w:rFonts w:ascii="Times New Roman" w:hAnsi="Times New Roman" w:cs="Times New Roman" w:eastAsia="Times New Roman" w:hint="default"/>
                <w:sz w:val="21"/>
                <w:szCs w:val="21"/>
              </w:rPr>
            </w:pPr>
            <w:r>
              <w:rPr>
                <w:rFonts w:ascii="Times New Roman"/>
                <w:spacing w:val="-1"/>
                <w:sz w:val="21"/>
              </w:rPr>
              <w:t>1,745,542.01</w:t>
            </w:r>
          </w:p>
        </w:tc>
        <w:tc>
          <w:tcPr>
            <w:tcW w:w="1549"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115"/>
              <w:jc w:val="right"/>
              <w:rPr>
                <w:rFonts w:ascii="Times New Roman" w:hAnsi="Times New Roman" w:cs="Times New Roman" w:eastAsia="Times New Roman" w:hint="default"/>
                <w:sz w:val="21"/>
                <w:szCs w:val="21"/>
              </w:rPr>
            </w:pPr>
            <w:r>
              <w:rPr>
                <w:rFonts w:ascii="Times New Roman"/>
                <w:spacing w:val="-1"/>
                <w:sz w:val="21"/>
              </w:rPr>
              <w:t>37,422.00</w:t>
            </w:r>
          </w:p>
        </w:tc>
        <w:tc>
          <w:tcPr>
            <w:tcW w:w="1919"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97"/>
              <w:jc w:val="right"/>
              <w:rPr>
                <w:rFonts w:ascii="Times New Roman" w:hAnsi="Times New Roman" w:cs="Times New Roman" w:eastAsia="Times New Roman" w:hint="default"/>
                <w:sz w:val="21"/>
                <w:szCs w:val="21"/>
              </w:rPr>
            </w:pPr>
            <w:r>
              <w:rPr>
                <w:rFonts w:ascii="Times New Roman"/>
                <w:spacing w:val="-1"/>
                <w:sz w:val="21"/>
              </w:rPr>
              <w:t>1,745,542.01</w:t>
            </w:r>
          </w:p>
        </w:tc>
      </w:tr>
    </w:tbl>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2"/>
          <w:szCs w:val="22"/>
        </w:rPr>
      </w:pPr>
    </w:p>
    <w:p>
      <w:pPr>
        <w:spacing w:before="35"/>
        <w:ind w:left="123" w:right="312" w:firstLine="0"/>
        <w:jc w:val="left"/>
        <w:rPr>
          <w:rFonts w:ascii="宋体" w:hAnsi="宋体" w:cs="宋体" w:eastAsia="宋体" w:hint="default"/>
          <w:sz w:val="21"/>
          <w:szCs w:val="21"/>
        </w:rPr>
      </w:pPr>
      <w:r>
        <w:rPr/>
        <w:pict>
          <v:group style="position:absolute;margin-left:119.720001pt;margin-top:42.630981pt;width:417.15pt;height:77.350pt;mso-position-horizontal-relative:page;mso-position-vertical-relative:paragraph;z-index:-707056" coordorigin="2394,853" coordsize="8343,1547">
            <v:shape style="position:absolute;left:6594;top:853;width:2105;height:413" type="#_x0000_t75" stroked="false">
              <v:imagedata r:id="rId238" o:title=""/>
            </v:shape>
            <v:shape style="position:absolute;left:2394;top:1233;width:8343;height:1166" type="#_x0000_t75" stroked="false">
              <v:imagedata r:id="rId239"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三十六</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5"/>
          <w:sz w:val="21"/>
          <w:szCs w:val="21"/>
        </w:rPr>
        <w:t> </w:t>
      </w:r>
      <w:r>
        <w:rPr>
          <w:rFonts w:ascii="宋体" w:hAnsi="宋体" w:cs="宋体" w:eastAsia="宋体" w:hint="default"/>
          <w:b/>
          <w:bCs/>
          <w:sz w:val="21"/>
          <w:szCs w:val="21"/>
        </w:rPr>
        <w:t>所得税费用</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747" w:type="dxa"/>
        <w:tblLayout w:type="fixed"/>
        <w:tblCellMar>
          <w:top w:w="0" w:type="dxa"/>
          <w:left w:w="0" w:type="dxa"/>
          <w:bottom w:w="0" w:type="dxa"/>
          <w:right w:w="0" w:type="dxa"/>
        </w:tblCellMar>
        <w:tblLook w:val="01E0"/>
      </w:tblPr>
      <w:tblGrid>
        <w:gridCol w:w="4143"/>
        <w:gridCol w:w="2375"/>
        <w:gridCol w:w="1799"/>
      </w:tblGrid>
      <w:tr>
        <w:trPr>
          <w:trHeight w:val="393" w:hRule="exact"/>
        </w:trPr>
        <w:tc>
          <w:tcPr>
            <w:tcW w:w="4143"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64"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375"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676"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799"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357"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90" w:hRule="exact"/>
        </w:trPr>
        <w:tc>
          <w:tcPr>
            <w:tcW w:w="414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按税法及相关规定计算的当期所得税</w:t>
            </w:r>
          </w:p>
        </w:tc>
        <w:tc>
          <w:tcPr>
            <w:tcW w:w="2375"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55"/>
              <w:jc w:val="right"/>
              <w:rPr>
                <w:rFonts w:ascii="Times New Roman" w:hAnsi="Times New Roman" w:cs="Times New Roman" w:eastAsia="Times New Roman" w:hint="default"/>
                <w:sz w:val="21"/>
                <w:szCs w:val="21"/>
              </w:rPr>
            </w:pPr>
            <w:r>
              <w:rPr>
                <w:rFonts w:ascii="Times New Roman"/>
                <w:spacing w:val="-1"/>
                <w:sz w:val="21"/>
              </w:rPr>
              <w:t>40,034,328.94</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97"/>
              <w:jc w:val="right"/>
              <w:rPr>
                <w:rFonts w:ascii="Times New Roman" w:hAnsi="Times New Roman" w:cs="Times New Roman" w:eastAsia="Times New Roman" w:hint="default"/>
                <w:sz w:val="21"/>
                <w:szCs w:val="21"/>
              </w:rPr>
            </w:pPr>
            <w:r>
              <w:rPr>
                <w:rFonts w:ascii="Times New Roman"/>
                <w:spacing w:val="-1"/>
                <w:sz w:val="21"/>
              </w:rPr>
              <w:t>32,347,080.97</w:t>
            </w:r>
          </w:p>
        </w:tc>
      </w:tr>
      <w:tr>
        <w:trPr>
          <w:trHeight w:val="385" w:hRule="exact"/>
        </w:trPr>
        <w:tc>
          <w:tcPr>
            <w:tcW w:w="4143"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6" w:right="0"/>
              <w:jc w:val="left"/>
              <w:rPr>
                <w:rFonts w:ascii="宋体" w:hAnsi="宋体" w:cs="宋体" w:eastAsia="宋体" w:hint="default"/>
                <w:sz w:val="21"/>
                <w:szCs w:val="21"/>
              </w:rPr>
            </w:pPr>
            <w:r>
              <w:rPr>
                <w:rFonts w:ascii="宋体" w:hAnsi="宋体" w:cs="宋体" w:eastAsia="宋体" w:hint="default"/>
                <w:sz w:val="21"/>
                <w:szCs w:val="21"/>
              </w:rPr>
              <w:t>递延所得税调整</w:t>
            </w:r>
          </w:p>
        </w:tc>
        <w:tc>
          <w:tcPr>
            <w:tcW w:w="2375"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56"/>
              <w:jc w:val="right"/>
              <w:rPr>
                <w:rFonts w:ascii="Times New Roman" w:hAnsi="Times New Roman" w:cs="Times New Roman" w:eastAsia="Times New Roman" w:hint="default"/>
                <w:sz w:val="21"/>
                <w:szCs w:val="21"/>
              </w:rPr>
            </w:pPr>
            <w:r>
              <w:rPr>
                <w:rFonts w:ascii="Times New Roman"/>
                <w:spacing w:val="-1"/>
                <w:sz w:val="21"/>
              </w:rPr>
              <w:t>-1,804,201.41</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98"/>
              <w:jc w:val="right"/>
              <w:rPr>
                <w:rFonts w:ascii="Times New Roman" w:hAnsi="Times New Roman" w:cs="Times New Roman" w:eastAsia="Times New Roman" w:hint="default"/>
                <w:sz w:val="21"/>
                <w:szCs w:val="21"/>
              </w:rPr>
            </w:pPr>
            <w:r>
              <w:rPr>
                <w:rFonts w:ascii="Times New Roman"/>
                <w:spacing w:val="-1"/>
                <w:sz w:val="21"/>
              </w:rPr>
              <w:t>-2,413,040.26</w:t>
            </w:r>
          </w:p>
        </w:tc>
      </w:tr>
      <w:tr>
        <w:trPr>
          <w:trHeight w:val="390" w:hRule="exact"/>
        </w:trPr>
        <w:tc>
          <w:tcPr>
            <w:tcW w:w="4143"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left="64"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375"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355"/>
              <w:jc w:val="right"/>
              <w:rPr>
                <w:rFonts w:ascii="Times New Roman" w:hAnsi="Times New Roman" w:cs="Times New Roman" w:eastAsia="Times New Roman" w:hint="default"/>
                <w:sz w:val="21"/>
                <w:szCs w:val="21"/>
              </w:rPr>
            </w:pPr>
            <w:r>
              <w:rPr>
                <w:rFonts w:ascii="Times New Roman"/>
                <w:spacing w:val="-1"/>
                <w:sz w:val="21"/>
              </w:rPr>
              <w:t>38,230,127.53</w:t>
            </w:r>
          </w:p>
        </w:tc>
        <w:tc>
          <w:tcPr>
            <w:tcW w:w="1799"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97"/>
              <w:jc w:val="right"/>
              <w:rPr>
                <w:rFonts w:ascii="Times New Roman" w:hAnsi="Times New Roman" w:cs="Times New Roman" w:eastAsia="Times New Roman" w:hint="default"/>
                <w:sz w:val="21"/>
                <w:szCs w:val="21"/>
              </w:rPr>
            </w:pPr>
            <w:r>
              <w:rPr>
                <w:rFonts w:ascii="Times New Roman"/>
                <w:spacing w:val="-1"/>
                <w:sz w:val="21"/>
              </w:rPr>
              <w:t>29,934,040.71</w:t>
            </w:r>
          </w:p>
        </w:tc>
      </w:tr>
    </w:tbl>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spacing w:before="35"/>
        <w:ind w:left="123" w:right="31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三十七</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19"/>
          <w:sz w:val="21"/>
          <w:szCs w:val="21"/>
        </w:rPr>
        <w:t> </w:t>
      </w:r>
      <w:r>
        <w:rPr>
          <w:rFonts w:ascii="宋体" w:hAnsi="宋体" w:cs="宋体" w:eastAsia="宋体" w:hint="default"/>
          <w:b/>
          <w:bCs/>
          <w:sz w:val="21"/>
          <w:szCs w:val="21"/>
        </w:rPr>
        <w:t>基本每股收益和稀释每股收益的计算过程</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7"/>
        <w:rPr>
          <w:rFonts w:ascii="宋体" w:hAnsi="宋体" w:cs="宋体" w:eastAsia="宋体" w:hint="default"/>
          <w:b/>
          <w:bCs/>
          <w:sz w:val="24"/>
          <w:szCs w:val="24"/>
        </w:rPr>
      </w:pPr>
    </w:p>
    <w:p>
      <w:pPr>
        <w:tabs>
          <w:tab w:pos="1393" w:val="left" w:leader="none"/>
        </w:tabs>
        <w:spacing w:before="0"/>
        <w:ind w:left="855" w:right="312"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基本每股收益</w:t>
      </w:r>
      <w:r>
        <w:rPr>
          <w:rFonts w:ascii="宋体" w:hAnsi="宋体" w:cs="宋体" w:eastAsia="宋体" w:hint="default"/>
          <w:sz w:val="21"/>
          <w:szCs w:val="21"/>
        </w:rPr>
      </w:r>
    </w:p>
    <w:p>
      <w:pPr>
        <w:pStyle w:val="BodyText"/>
        <w:spacing w:line="240" w:lineRule="auto" w:before="125"/>
        <w:ind w:left="1397" w:right="312"/>
        <w:jc w:val="left"/>
      </w:pPr>
      <w:r>
        <w:rPr/>
        <w:t>基本每股收益=P0÷S</w:t>
      </w:r>
    </w:p>
    <w:p>
      <w:pPr>
        <w:pStyle w:val="BodyText"/>
        <w:spacing w:line="240" w:lineRule="auto" w:before="126"/>
        <w:ind w:left="1397" w:right="312"/>
        <w:jc w:val="left"/>
      </w:pPr>
      <w:r>
        <w:rPr/>
        <w:t>S= S0＋S1＋Si×Mi÷M0–</w:t>
      </w:r>
      <w:r>
        <w:rPr>
          <w:spacing w:val="-14"/>
        </w:rPr>
        <w:t> </w:t>
      </w:r>
      <w:r>
        <w:rPr/>
        <w:t>Sj×Mj÷M0-Sk</w:t>
      </w:r>
    </w:p>
    <w:p>
      <w:pPr>
        <w:pStyle w:val="BodyText"/>
        <w:spacing w:line="240" w:lineRule="auto" w:before="125"/>
        <w:ind w:left="1397" w:right="312"/>
        <w:jc w:val="left"/>
      </w:pPr>
      <w:r>
        <w:rPr/>
        <w:t>（1）基本每股收益</w:t>
      </w:r>
      <w:r>
        <w:rPr>
          <w:spacing w:val="-7"/>
        </w:rPr>
        <w:t> </w:t>
      </w:r>
      <w:r>
        <w:rPr/>
        <w:t>=</w:t>
      </w:r>
      <w:r>
        <w:rPr>
          <w:spacing w:val="-7"/>
        </w:rPr>
        <w:t> </w:t>
      </w:r>
      <w:r>
        <w:rPr/>
        <w:t>327,915,598.64</w:t>
      </w:r>
      <w:r>
        <w:rPr>
          <w:spacing w:val="-7"/>
        </w:rPr>
        <w:t> </w:t>
      </w:r>
      <w:r>
        <w:rPr/>
        <w:t>÷</w:t>
      </w:r>
      <w:r>
        <w:rPr>
          <w:spacing w:val="-8"/>
        </w:rPr>
        <w:t> </w:t>
      </w:r>
      <w:r>
        <w:rPr/>
        <w:t>31,600,000</w:t>
      </w:r>
      <w:r>
        <w:rPr>
          <w:spacing w:val="-7"/>
        </w:rPr>
        <w:t> </w:t>
      </w:r>
      <w:r>
        <w:rPr/>
        <w:t>=</w:t>
      </w:r>
      <w:r>
        <w:rPr>
          <w:spacing w:val="-7"/>
        </w:rPr>
        <w:t> </w:t>
      </w:r>
      <w:r>
        <w:rPr/>
        <w:t>1.04</w:t>
      </w:r>
      <w:r>
        <w:rPr>
          <w:spacing w:val="-56"/>
        </w:rPr>
        <w:t> </w:t>
      </w:r>
      <w:r>
        <w:rPr/>
        <w:t>元/股</w:t>
      </w:r>
    </w:p>
    <w:p>
      <w:pPr>
        <w:spacing w:after="0" w:line="240" w:lineRule="auto"/>
        <w:jc w:val="left"/>
        <w:sectPr>
          <w:pgSz w:w="11910" w:h="16840"/>
          <w:pgMar w:header="851" w:footer="982" w:top="1300" w:bottom="1180" w:left="1660" w:right="1060"/>
        </w:sectPr>
      </w:pPr>
    </w:p>
    <w:p>
      <w:pPr>
        <w:spacing w:line="240" w:lineRule="auto" w:before="5"/>
        <w:rPr>
          <w:rFonts w:ascii="宋体" w:hAnsi="宋体" w:cs="宋体" w:eastAsia="宋体" w:hint="default"/>
          <w:sz w:val="14"/>
          <w:szCs w:val="14"/>
        </w:rPr>
      </w:pPr>
    </w:p>
    <w:p>
      <w:pPr>
        <w:pStyle w:val="BodyText"/>
        <w:spacing w:line="240" w:lineRule="auto" w:before="35"/>
        <w:ind w:left="1397" w:right="0"/>
        <w:jc w:val="both"/>
      </w:pPr>
      <w:r>
        <w:rPr/>
        <w:t>（2）基本每股收益（扣除非经常性损益后） = 324,132,842.94 ÷ 31,600,000</w:t>
      </w:r>
      <w:r>
        <w:rPr>
          <w:spacing w:val="-8"/>
        </w:rPr>
        <w:t> </w:t>
      </w:r>
      <w:r>
        <w:rPr/>
        <w:t>=</w:t>
      </w:r>
    </w:p>
    <w:p>
      <w:pPr>
        <w:pStyle w:val="BodyText"/>
        <w:spacing w:line="240" w:lineRule="auto" w:before="125"/>
        <w:ind w:left="1397" w:right="0"/>
        <w:jc w:val="both"/>
      </w:pPr>
      <w:r>
        <w:rPr/>
        <w:t>1.03</w:t>
      </w:r>
      <w:r>
        <w:rPr>
          <w:spacing w:val="-55"/>
        </w:rPr>
        <w:t> </w:t>
      </w:r>
      <w:r>
        <w:rPr/>
        <w:t>元/股</w:t>
      </w:r>
    </w:p>
    <w:p>
      <w:pPr>
        <w:pStyle w:val="BodyText"/>
        <w:spacing w:line="350" w:lineRule="auto" w:before="126"/>
        <w:ind w:left="1397" w:right="246"/>
        <w:jc w:val="both"/>
      </w:pPr>
      <w:r>
        <w:rPr>
          <w:spacing w:val="-12"/>
        </w:rPr>
        <w:t>其中：P0</w:t>
      </w:r>
      <w:r>
        <w:rPr>
          <w:spacing w:val="-52"/>
        </w:rPr>
        <w:t> </w:t>
      </w:r>
      <w:r>
        <w:rPr/>
        <w:t>为归属于公司普通股股东的净利润或扣除非经常性损益后归属于普通股股</w:t>
      </w:r>
      <w:r>
        <w:rPr/>
        <w:t> </w:t>
      </w:r>
      <w:r>
        <w:rPr>
          <w:spacing w:val="-3"/>
        </w:rPr>
        <w:t>东的净利润；S</w:t>
      </w:r>
      <w:r>
        <w:rPr>
          <w:spacing w:val="-56"/>
        </w:rPr>
        <w:t> </w:t>
      </w:r>
      <w:r>
        <w:rPr/>
        <w:t>为发行在外的普通股加权平均数；S0</w:t>
      </w:r>
      <w:r>
        <w:rPr>
          <w:spacing w:val="-56"/>
        </w:rPr>
        <w:t> </w:t>
      </w:r>
      <w:r>
        <w:rPr>
          <w:spacing w:val="-3"/>
        </w:rPr>
        <w:t>为期初股份总数；S1</w:t>
      </w:r>
      <w:r>
        <w:rPr>
          <w:spacing w:val="-56"/>
        </w:rPr>
        <w:t> </w:t>
      </w:r>
      <w:r>
        <w:rPr/>
        <w:t>为报告期</w:t>
      </w:r>
      <w:r>
        <w:rPr/>
        <w:t> </w:t>
      </w:r>
      <w:r>
        <w:rPr>
          <w:spacing w:val="-3"/>
        </w:rPr>
        <w:t>因公积金转增股本或股票股利分配等增加股份数；Si</w:t>
      </w:r>
      <w:r>
        <w:rPr>
          <w:spacing w:val="-42"/>
        </w:rPr>
        <w:t> </w:t>
      </w:r>
      <w:r>
        <w:rPr/>
        <w:t>为报告期因发行新股或债转股</w:t>
      </w:r>
      <w:r>
        <w:rPr>
          <w:spacing w:val="-103"/>
        </w:rPr>
        <w:t> </w:t>
      </w:r>
      <w:r>
        <w:rPr>
          <w:spacing w:val="-103"/>
        </w:rPr>
      </w:r>
      <w:r>
        <w:rPr/>
        <w:t>等增加股份数；Sj</w:t>
      </w:r>
      <w:r>
        <w:rPr>
          <w:spacing w:val="-39"/>
        </w:rPr>
        <w:t> </w:t>
      </w:r>
      <w:r>
        <w:rPr/>
        <w:t>为报告期因回购等减少股份数；Sk</w:t>
      </w:r>
      <w:r>
        <w:rPr>
          <w:spacing w:val="-39"/>
        </w:rPr>
        <w:t> </w:t>
      </w:r>
      <w:r>
        <w:rPr/>
        <w:t>为报告期缩股数；M0</w:t>
      </w:r>
      <w:r>
        <w:rPr>
          <w:spacing w:val="-39"/>
        </w:rPr>
        <w:t> </w:t>
      </w:r>
      <w:r>
        <w:rPr/>
        <w:t>报告期</w:t>
      </w:r>
      <w:r>
        <w:rPr/>
        <w:t> 月份数；Mi 为增加股份次月起至报告期期末的累计月数；Mj</w:t>
      </w:r>
      <w:r>
        <w:rPr>
          <w:spacing w:val="-7"/>
        </w:rPr>
        <w:t> </w:t>
      </w:r>
      <w:r>
        <w:rPr/>
        <w:t>为减少股份次月起至</w:t>
      </w:r>
      <w:r>
        <w:rPr/>
        <w:t> 报告期期末的累计月数。</w:t>
      </w:r>
    </w:p>
    <w:p>
      <w:pPr>
        <w:spacing w:line="240" w:lineRule="auto" w:before="0"/>
        <w:rPr>
          <w:rFonts w:ascii="宋体" w:hAnsi="宋体" w:cs="宋体" w:eastAsia="宋体" w:hint="default"/>
          <w:sz w:val="20"/>
          <w:szCs w:val="20"/>
        </w:rPr>
      </w:pPr>
    </w:p>
    <w:p>
      <w:pPr>
        <w:pStyle w:val="Heading2"/>
        <w:tabs>
          <w:tab w:pos="1393" w:val="left" w:leader="none"/>
        </w:tabs>
        <w:spacing w:line="240" w:lineRule="auto" w:before="167"/>
        <w:ind w:left="855" w:right="224"/>
        <w:jc w:val="left"/>
        <w:rPr>
          <w:b w:val="0"/>
          <w:bCs w:val="0"/>
        </w:rPr>
      </w:pPr>
      <w:r>
        <w:rPr>
          <w:w w:val="95"/>
        </w:rPr>
        <w:t>2、</w:t>
        <w:tab/>
      </w:r>
      <w:r>
        <w:rPr/>
        <w:t>稀释每股收益</w:t>
      </w:r>
      <w:r>
        <w:rPr>
          <w:b w:val="0"/>
          <w:bCs w:val="0"/>
        </w:rPr>
      </w:r>
    </w:p>
    <w:p>
      <w:pPr>
        <w:pStyle w:val="BodyText"/>
        <w:spacing w:line="350" w:lineRule="auto" w:before="125"/>
        <w:ind w:left="1397" w:right="122"/>
        <w:jc w:val="left"/>
      </w:pPr>
      <w:r>
        <w:rPr/>
        <w:t>稀释每股收益=P1/（S0＋S1＋Si×Mi÷M0–Sj×Mj÷M0–Sk+认股权证、股份期权、 可转换债券等增加的普通股加权平均数）</w:t>
      </w:r>
    </w:p>
    <w:p>
      <w:pPr>
        <w:pStyle w:val="BodyText"/>
        <w:spacing w:line="240" w:lineRule="auto" w:before="28"/>
        <w:ind w:left="1397" w:right="0"/>
        <w:jc w:val="both"/>
      </w:pPr>
      <w:r>
        <w:rPr/>
        <w:t>（1）稀释每股收益</w:t>
      </w:r>
      <w:r>
        <w:rPr>
          <w:spacing w:val="-7"/>
        </w:rPr>
        <w:t> </w:t>
      </w:r>
      <w:r>
        <w:rPr/>
        <w:t>=</w:t>
      </w:r>
      <w:r>
        <w:rPr>
          <w:spacing w:val="-7"/>
        </w:rPr>
        <w:t> </w:t>
      </w:r>
      <w:r>
        <w:rPr/>
        <w:t>327,915,598.64</w:t>
      </w:r>
      <w:r>
        <w:rPr>
          <w:spacing w:val="-7"/>
        </w:rPr>
        <w:t> </w:t>
      </w:r>
      <w:r>
        <w:rPr/>
        <w:t>÷</w:t>
      </w:r>
      <w:r>
        <w:rPr>
          <w:spacing w:val="-8"/>
        </w:rPr>
        <w:t> </w:t>
      </w:r>
      <w:r>
        <w:rPr/>
        <w:t>31,600,000</w:t>
      </w:r>
      <w:r>
        <w:rPr>
          <w:spacing w:val="-7"/>
        </w:rPr>
        <w:t> </w:t>
      </w:r>
      <w:r>
        <w:rPr/>
        <w:t>=</w:t>
      </w:r>
      <w:r>
        <w:rPr>
          <w:spacing w:val="-7"/>
        </w:rPr>
        <w:t> </w:t>
      </w:r>
      <w:r>
        <w:rPr/>
        <w:t>1.04</w:t>
      </w:r>
      <w:r>
        <w:rPr>
          <w:spacing w:val="-56"/>
        </w:rPr>
        <w:t> </w:t>
      </w:r>
      <w:r>
        <w:rPr/>
        <w:t>元/股</w:t>
      </w:r>
    </w:p>
    <w:p>
      <w:pPr>
        <w:pStyle w:val="BodyText"/>
        <w:spacing w:line="240" w:lineRule="auto" w:before="125"/>
        <w:ind w:left="1397" w:right="0"/>
        <w:jc w:val="both"/>
      </w:pPr>
      <w:r>
        <w:rPr/>
        <w:t>（2）稀释每股收益（扣除非经常性损益后） = 324,132,842.94 ÷ 31,600,000</w:t>
      </w:r>
      <w:r>
        <w:rPr>
          <w:spacing w:val="-8"/>
        </w:rPr>
        <w:t> </w:t>
      </w:r>
      <w:r>
        <w:rPr/>
        <w:t>=</w:t>
      </w:r>
    </w:p>
    <w:p>
      <w:pPr>
        <w:pStyle w:val="BodyText"/>
        <w:spacing w:line="240" w:lineRule="auto" w:before="126"/>
        <w:ind w:left="1397" w:right="0"/>
        <w:jc w:val="both"/>
      </w:pPr>
      <w:r>
        <w:rPr/>
        <w:t>1.03</w:t>
      </w:r>
      <w:r>
        <w:rPr>
          <w:spacing w:val="-55"/>
        </w:rPr>
        <w:t> </w:t>
      </w:r>
      <w:r>
        <w:rPr/>
        <w:t>元/股</w:t>
      </w:r>
    </w:p>
    <w:p>
      <w:pPr>
        <w:pStyle w:val="BodyText"/>
        <w:spacing w:line="350" w:lineRule="auto" w:before="125"/>
        <w:ind w:left="1397" w:right="247"/>
        <w:jc w:val="both"/>
      </w:pPr>
      <w:r>
        <w:rPr>
          <w:spacing w:val="-12"/>
        </w:rPr>
        <w:t>其中，P1</w:t>
      </w:r>
      <w:r>
        <w:rPr>
          <w:spacing w:val="-52"/>
        </w:rPr>
        <w:t> </w:t>
      </w:r>
      <w:r>
        <w:rPr/>
        <w:t>为归属于公司普通股股东的净利润或扣除非经常性损益后归属于公司普通</w:t>
      </w:r>
      <w:r>
        <w:rPr/>
        <w:t> 股股东的净利润，并考虑稀释性潜在普通股对其影响，按《企业会计准则》及有关 规定进行调整。公司在计算稀释每股收益时，应考虑所有稀释性潜在普通股对归属 </w:t>
      </w:r>
      <w:r>
        <w:rPr>
          <w:spacing w:val="5"/>
        </w:rPr>
        <w:t>于公司普通股股东的净利润或扣除非经常性损益后归属于公司普通股股东的净利</w:t>
      </w:r>
      <w:r>
        <w:rPr>
          <w:spacing w:val="-76"/>
        </w:rPr>
        <w:t> </w:t>
      </w:r>
      <w:r>
        <w:rPr>
          <w:spacing w:val="-76"/>
        </w:rPr>
      </w:r>
      <w:r>
        <w:rPr/>
        <w:t>润和加权平均股数的影响，按照其稀释程度从大到小的顺序计入稀释每股收益，直</w:t>
      </w:r>
      <w:r>
        <w:rPr/>
        <w:t> 至稀释每股收益达到最小值。</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0"/>
          <w:szCs w:val="20"/>
        </w:rPr>
      </w:pPr>
    </w:p>
    <w:p>
      <w:pPr>
        <w:pStyle w:val="Heading2"/>
        <w:spacing w:line="240" w:lineRule="auto"/>
        <w:ind w:left="123" w:right="224"/>
        <w:jc w:val="left"/>
        <w:rPr>
          <w:b w:val="0"/>
          <w:bCs w:val="0"/>
        </w:rPr>
      </w:pPr>
      <w:r>
        <w:rPr/>
        <w:pict>
          <v:group style="position:absolute;margin-left:119.399994pt;margin-top:35.800491pt;width:417.9pt;height:191.7pt;mso-position-horizontal-relative:page;mso-position-vertical-relative:paragraph;z-index:-707032" coordorigin="2388,716" coordsize="8358,3834">
            <v:shape style="position:absolute;left:7891;top:716;width:1444;height:413" type="#_x0000_t75" stroked="false">
              <v:imagedata r:id="rId240" o:title=""/>
            </v:shape>
            <v:shape style="position:absolute;left:2388;top:1090;width:8358;height:3460" type="#_x0000_t75" stroked="false">
              <v:imagedata r:id="rId241" o:title=""/>
            </v:shape>
            <w10:wrap type="none"/>
          </v:group>
        </w:pict>
      </w:r>
      <w:r>
        <w:rPr>
          <w:rFonts w:ascii="Times New Roman" w:hAnsi="Times New Roman" w:cs="Times New Roman" w:eastAsia="Times New Roman" w:hint="default"/>
        </w:rPr>
        <w:t>(</w:t>
      </w:r>
      <w:r>
        <w:rPr/>
        <w:t>三十八</w:t>
      </w:r>
      <w:r>
        <w:rPr>
          <w:rFonts w:ascii="Times New Roman" w:hAnsi="Times New Roman" w:cs="Times New Roman" w:eastAsia="Times New Roman" w:hint="default"/>
        </w:rPr>
        <w:t>)</w:t>
      </w:r>
      <w:r>
        <w:rPr>
          <w:rFonts w:ascii="Times New Roman" w:hAnsi="Times New Roman" w:cs="Times New Roman" w:eastAsia="Times New Roman" w:hint="default"/>
          <w:spacing w:val="24"/>
        </w:rPr>
        <w:t> </w:t>
      </w:r>
      <w:r>
        <w:rPr/>
        <w:t>其他综合收益</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1"/>
          <w:szCs w:val="11"/>
        </w:rPr>
      </w:pPr>
    </w:p>
    <w:tbl>
      <w:tblPr>
        <w:tblW w:w="0" w:type="auto"/>
        <w:jc w:val="left"/>
        <w:tblInd w:w="747" w:type="dxa"/>
        <w:tblLayout w:type="fixed"/>
        <w:tblCellMar>
          <w:top w:w="0" w:type="dxa"/>
          <w:left w:w="0" w:type="dxa"/>
          <w:bottom w:w="0" w:type="dxa"/>
          <w:right w:w="0" w:type="dxa"/>
        </w:tblCellMar>
        <w:tblLook w:val="01E0"/>
      </w:tblPr>
      <w:tblGrid>
        <w:gridCol w:w="5619"/>
        <w:gridCol w:w="1333"/>
        <w:gridCol w:w="1363"/>
      </w:tblGrid>
      <w:tr>
        <w:trPr>
          <w:trHeight w:val="393" w:hRule="exact"/>
        </w:trPr>
        <w:tc>
          <w:tcPr>
            <w:tcW w:w="5619"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right="111"/>
              <w:jc w:val="center"/>
              <w:rPr>
                <w:rFonts w:ascii="宋体" w:hAnsi="宋体" w:cs="宋体" w:eastAsia="宋体" w:hint="default"/>
                <w:sz w:val="21"/>
                <w:szCs w:val="21"/>
              </w:rPr>
            </w:pPr>
            <w:r>
              <w:rPr>
                <w:rFonts w:ascii="宋体" w:hAnsi="宋体" w:cs="宋体" w:eastAsia="宋体" w:hint="default"/>
                <w:sz w:val="21"/>
                <w:szCs w:val="21"/>
              </w:rPr>
              <w:t>项目</w:t>
            </w:r>
          </w:p>
        </w:tc>
        <w:tc>
          <w:tcPr>
            <w:tcW w:w="1333"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218"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363"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64" w:right="0"/>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759" w:hRule="exact"/>
        </w:trPr>
        <w:tc>
          <w:tcPr>
            <w:tcW w:w="5619" w:type="dxa"/>
            <w:tcBorders>
              <w:top w:val="nil" w:sz="6" w:space="0" w:color="auto"/>
              <w:left w:val="nil" w:sz="6" w:space="0" w:color="auto"/>
              <w:bottom w:val="nil" w:sz="6" w:space="0" w:color="auto"/>
              <w:right w:val="nil" w:sz="6" w:space="0" w:color="auto"/>
            </w:tcBorders>
          </w:tcPr>
          <w:p>
            <w:pPr>
              <w:pStyle w:val="TableParagraph"/>
              <w:spacing w:line="309" w:lineRule="auto" w:before="22"/>
              <w:ind w:left="106" w:right="218"/>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1.</w:t>
            </w:r>
            <w:r>
              <w:rPr>
                <w:rFonts w:ascii="宋体" w:hAnsi="宋体" w:cs="宋体" w:eastAsia="宋体" w:hint="default"/>
                <w:spacing w:val="3"/>
                <w:sz w:val="21"/>
                <w:szCs w:val="21"/>
              </w:rPr>
              <w:t>按照权益法核算的在被投资单位其他综合收益中所享有 </w:t>
            </w:r>
            <w:r>
              <w:rPr>
                <w:rFonts w:ascii="宋体" w:hAnsi="宋体" w:cs="宋体" w:eastAsia="宋体" w:hint="default"/>
                <w:sz w:val="21"/>
                <w:szCs w:val="21"/>
              </w:rPr>
              <w:t>的份额</w:t>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right="155"/>
              <w:jc w:val="right"/>
              <w:rPr>
                <w:rFonts w:ascii="Times New Roman" w:hAnsi="Times New Roman" w:cs="Times New Roman" w:eastAsia="Times New Roman" w:hint="default"/>
                <w:sz w:val="21"/>
                <w:szCs w:val="21"/>
              </w:rPr>
            </w:pPr>
            <w:r>
              <w:rPr>
                <w:rFonts w:ascii="Times New Roman"/>
                <w:spacing w:val="-1"/>
                <w:sz w:val="21"/>
              </w:rPr>
              <w:t>40,169.10</w:t>
            </w:r>
          </w:p>
        </w:tc>
        <w:tc>
          <w:tcPr>
            <w:tcW w:w="1363" w:type="dxa"/>
            <w:tcBorders>
              <w:top w:val="nil" w:sz="6" w:space="0" w:color="auto"/>
              <w:left w:val="nil" w:sz="6" w:space="0" w:color="auto"/>
              <w:bottom w:val="nil" w:sz="6" w:space="0" w:color="auto"/>
              <w:right w:val="nil" w:sz="6" w:space="0" w:color="auto"/>
            </w:tcBorders>
          </w:tcPr>
          <w:p>
            <w:pPr/>
          </w:p>
        </w:tc>
      </w:tr>
      <w:tr>
        <w:trPr>
          <w:trHeight w:val="759" w:hRule="exact"/>
        </w:trPr>
        <w:tc>
          <w:tcPr>
            <w:tcW w:w="5619" w:type="dxa"/>
            <w:tcBorders>
              <w:top w:val="nil" w:sz="6" w:space="0" w:color="auto"/>
              <w:left w:val="nil" w:sz="6" w:space="0" w:color="auto"/>
              <w:bottom w:val="nil" w:sz="6" w:space="0" w:color="auto"/>
              <w:right w:val="nil" w:sz="6" w:space="0" w:color="auto"/>
            </w:tcBorders>
          </w:tcPr>
          <w:p>
            <w:pPr>
              <w:pStyle w:val="TableParagraph"/>
              <w:spacing w:line="326" w:lineRule="auto" w:before="22"/>
              <w:ind w:left="106" w:right="218" w:firstLine="315"/>
              <w:jc w:val="left"/>
              <w:rPr>
                <w:rFonts w:ascii="宋体" w:hAnsi="宋体" w:cs="宋体" w:eastAsia="宋体" w:hint="default"/>
                <w:sz w:val="21"/>
                <w:szCs w:val="21"/>
              </w:rPr>
            </w:pPr>
            <w:r>
              <w:rPr>
                <w:rFonts w:ascii="宋体" w:hAnsi="宋体" w:cs="宋体" w:eastAsia="宋体" w:hint="default"/>
                <w:spacing w:val="-3"/>
                <w:sz w:val="21"/>
                <w:szCs w:val="21"/>
              </w:rPr>
              <w:t>减：按照权益法核算的在被投资单位其他综合收益中所</w:t>
            </w:r>
            <w:r>
              <w:rPr>
                <w:rFonts w:ascii="宋体" w:hAnsi="宋体" w:cs="宋体" w:eastAsia="宋体" w:hint="default"/>
                <w:sz w:val="21"/>
                <w:szCs w:val="21"/>
              </w:rPr>
              <w:t> 享有的份额产生的所得税影响</w:t>
            </w:r>
          </w:p>
        </w:tc>
        <w:tc>
          <w:tcPr>
            <w:tcW w:w="1333" w:type="dxa"/>
            <w:tcBorders>
              <w:top w:val="nil" w:sz="6" w:space="0" w:color="auto"/>
              <w:left w:val="nil" w:sz="6" w:space="0" w:color="auto"/>
              <w:bottom w:val="nil" w:sz="6" w:space="0" w:color="auto"/>
              <w:right w:val="nil" w:sz="6" w:space="0" w:color="auto"/>
            </w:tcBorders>
          </w:tcPr>
          <w:p>
            <w:pPr/>
          </w:p>
        </w:tc>
        <w:tc>
          <w:tcPr>
            <w:tcW w:w="1363" w:type="dxa"/>
            <w:tcBorders>
              <w:top w:val="nil" w:sz="6" w:space="0" w:color="auto"/>
              <w:left w:val="nil" w:sz="6" w:space="0" w:color="auto"/>
              <w:bottom w:val="nil" w:sz="6" w:space="0" w:color="auto"/>
              <w:right w:val="nil" w:sz="6" w:space="0" w:color="auto"/>
            </w:tcBorders>
          </w:tcPr>
          <w:p>
            <w:pPr/>
          </w:p>
        </w:tc>
      </w:tr>
      <w:tr>
        <w:trPr>
          <w:trHeight w:val="384" w:hRule="exact"/>
        </w:trPr>
        <w:tc>
          <w:tcPr>
            <w:tcW w:w="561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737" w:right="0"/>
              <w:jc w:val="left"/>
              <w:rPr>
                <w:rFonts w:ascii="宋体" w:hAnsi="宋体" w:cs="宋体" w:eastAsia="宋体" w:hint="default"/>
                <w:sz w:val="21"/>
                <w:szCs w:val="21"/>
              </w:rPr>
            </w:pPr>
            <w:r>
              <w:rPr>
                <w:rFonts w:ascii="宋体" w:hAnsi="宋体" w:cs="宋体" w:eastAsia="宋体" w:hint="default"/>
                <w:sz w:val="21"/>
                <w:szCs w:val="21"/>
              </w:rPr>
              <w:t>前期计入其他综合收益当期转入损益的净额</w:t>
            </w:r>
          </w:p>
        </w:tc>
        <w:tc>
          <w:tcPr>
            <w:tcW w:w="1333" w:type="dxa"/>
            <w:tcBorders>
              <w:top w:val="nil" w:sz="6" w:space="0" w:color="auto"/>
              <w:left w:val="nil" w:sz="6" w:space="0" w:color="auto"/>
              <w:bottom w:val="nil" w:sz="6" w:space="0" w:color="auto"/>
              <w:right w:val="nil" w:sz="6" w:space="0" w:color="auto"/>
            </w:tcBorders>
          </w:tcPr>
          <w:p>
            <w:pPr/>
          </w:p>
        </w:tc>
        <w:tc>
          <w:tcPr>
            <w:tcW w:w="1363" w:type="dxa"/>
            <w:tcBorders>
              <w:top w:val="nil" w:sz="6" w:space="0" w:color="auto"/>
              <w:left w:val="nil" w:sz="6" w:space="0" w:color="auto"/>
              <w:bottom w:val="nil" w:sz="6" w:space="0" w:color="auto"/>
              <w:right w:val="nil" w:sz="6" w:space="0" w:color="auto"/>
            </w:tcBorders>
          </w:tcPr>
          <w:p>
            <w:pPr/>
          </w:p>
        </w:tc>
      </w:tr>
      <w:tr>
        <w:trPr>
          <w:trHeight w:val="390" w:hRule="exact"/>
        </w:trPr>
        <w:tc>
          <w:tcPr>
            <w:tcW w:w="561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5"/>
              <w:jc w:val="right"/>
              <w:rPr>
                <w:rFonts w:ascii="Times New Roman" w:hAnsi="Times New Roman" w:cs="Times New Roman" w:eastAsia="Times New Roman" w:hint="default"/>
                <w:sz w:val="21"/>
                <w:szCs w:val="21"/>
              </w:rPr>
            </w:pPr>
            <w:r>
              <w:rPr>
                <w:rFonts w:ascii="Times New Roman"/>
                <w:spacing w:val="-1"/>
                <w:sz w:val="21"/>
              </w:rPr>
              <w:t>40,169.10</w:t>
            </w:r>
          </w:p>
        </w:tc>
        <w:tc>
          <w:tcPr>
            <w:tcW w:w="1363" w:type="dxa"/>
            <w:tcBorders>
              <w:top w:val="nil" w:sz="6" w:space="0" w:color="auto"/>
              <w:left w:val="nil" w:sz="6" w:space="0" w:color="auto"/>
              <w:bottom w:val="nil" w:sz="6" w:space="0" w:color="auto"/>
              <w:right w:val="nil" w:sz="6" w:space="0" w:color="auto"/>
            </w:tcBorders>
          </w:tcPr>
          <w:p>
            <w:pPr/>
          </w:p>
        </w:tc>
      </w:tr>
      <w:tr>
        <w:trPr>
          <w:trHeight w:val="385" w:hRule="exact"/>
        </w:trPr>
        <w:tc>
          <w:tcPr>
            <w:tcW w:w="5619"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其他</w:t>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57"/>
              <w:jc w:val="right"/>
              <w:rPr>
                <w:rFonts w:ascii="Times New Roman" w:hAnsi="Times New Roman" w:cs="Times New Roman" w:eastAsia="Times New Roman" w:hint="default"/>
                <w:sz w:val="21"/>
                <w:szCs w:val="21"/>
              </w:rPr>
            </w:pPr>
            <w:r>
              <w:rPr>
                <w:rFonts w:ascii="Times New Roman"/>
                <w:spacing w:val="-1"/>
                <w:sz w:val="21"/>
              </w:rPr>
              <w:t>699,400.00</w:t>
            </w:r>
            <w:r>
              <w:rPr>
                <w:rFonts w:ascii="Times New Roman"/>
                <w:sz w:val="21"/>
              </w:rPr>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66"/>
              <w:ind w:left="58" w:right="0"/>
              <w:jc w:val="center"/>
              <w:rPr>
                <w:rFonts w:ascii="Times New Roman" w:hAnsi="Times New Roman" w:cs="Times New Roman" w:eastAsia="Times New Roman" w:hint="default"/>
                <w:sz w:val="21"/>
                <w:szCs w:val="21"/>
              </w:rPr>
            </w:pPr>
            <w:r>
              <w:rPr>
                <w:rFonts w:ascii="Times New Roman"/>
                <w:sz w:val="21"/>
              </w:rPr>
              <w:t>1,440,500.00</w:t>
            </w:r>
          </w:p>
        </w:tc>
      </w:tr>
      <w:tr>
        <w:trPr>
          <w:trHeight w:val="378" w:hRule="exact"/>
        </w:trPr>
        <w:tc>
          <w:tcPr>
            <w:tcW w:w="561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422" w:right="0"/>
              <w:jc w:val="left"/>
              <w:rPr>
                <w:rFonts w:ascii="宋体" w:hAnsi="宋体" w:cs="宋体" w:eastAsia="宋体" w:hint="default"/>
                <w:sz w:val="21"/>
                <w:szCs w:val="21"/>
              </w:rPr>
            </w:pPr>
            <w:r>
              <w:rPr>
                <w:rFonts w:ascii="宋体" w:hAnsi="宋体" w:cs="宋体" w:eastAsia="宋体" w:hint="default"/>
                <w:sz w:val="21"/>
                <w:szCs w:val="21"/>
              </w:rPr>
              <w:t>减：由其他计入其他综合收益产生的所得税影响</w:t>
            </w:r>
          </w:p>
        </w:tc>
        <w:tc>
          <w:tcPr>
            <w:tcW w:w="1333" w:type="dxa"/>
            <w:tcBorders>
              <w:top w:val="nil" w:sz="6" w:space="0" w:color="auto"/>
              <w:left w:val="nil" w:sz="6" w:space="0" w:color="auto"/>
              <w:bottom w:val="nil" w:sz="6" w:space="0" w:color="auto"/>
              <w:right w:val="nil" w:sz="6" w:space="0" w:color="auto"/>
            </w:tcBorders>
          </w:tcPr>
          <w:p>
            <w:pPr/>
          </w:p>
        </w:tc>
        <w:tc>
          <w:tcPr>
            <w:tcW w:w="1363" w:type="dxa"/>
            <w:tcBorders>
              <w:top w:val="nil" w:sz="6" w:space="0" w:color="auto"/>
              <w:left w:val="nil" w:sz="6" w:space="0" w:color="auto"/>
              <w:bottom w:val="nil" w:sz="6" w:space="0" w:color="auto"/>
              <w:right w:val="nil" w:sz="6" w:space="0" w:color="auto"/>
            </w:tcBorders>
          </w:tcPr>
          <w:p>
            <w:pPr/>
          </w:p>
        </w:tc>
      </w:tr>
      <w:tr>
        <w:trPr>
          <w:trHeight w:val="396" w:hRule="exact"/>
        </w:trPr>
        <w:tc>
          <w:tcPr>
            <w:tcW w:w="5619"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left="842" w:right="0"/>
              <w:jc w:val="left"/>
              <w:rPr>
                <w:rFonts w:ascii="宋体" w:hAnsi="宋体" w:cs="宋体" w:eastAsia="宋体" w:hint="default"/>
                <w:sz w:val="21"/>
                <w:szCs w:val="21"/>
              </w:rPr>
            </w:pPr>
            <w:r>
              <w:rPr>
                <w:rFonts w:ascii="宋体" w:hAnsi="宋体" w:cs="宋体" w:eastAsia="宋体" w:hint="default"/>
                <w:sz w:val="21"/>
                <w:szCs w:val="21"/>
              </w:rPr>
              <w:t>前期其他计入其他综合收益当期转入损益的净额</w:t>
            </w:r>
          </w:p>
        </w:tc>
        <w:tc>
          <w:tcPr>
            <w:tcW w:w="1333" w:type="dxa"/>
            <w:tcBorders>
              <w:top w:val="nil" w:sz="6" w:space="0" w:color="auto"/>
              <w:left w:val="nil" w:sz="6" w:space="0" w:color="auto"/>
              <w:bottom w:val="single" w:sz="12" w:space="0" w:color="000000"/>
              <w:right w:val="nil" w:sz="6" w:space="0" w:color="auto"/>
            </w:tcBorders>
          </w:tcPr>
          <w:p>
            <w:pPr/>
          </w:p>
        </w:tc>
        <w:tc>
          <w:tcPr>
            <w:tcW w:w="1363" w:type="dxa"/>
            <w:tcBorders>
              <w:top w:val="nil" w:sz="6" w:space="0" w:color="auto"/>
              <w:left w:val="nil" w:sz="6" w:space="0" w:color="auto"/>
              <w:bottom w:val="single" w:sz="12" w:space="0" w:color="000000"/>
              <w:right w:val="nil" w:sz="6" w:space="0" w:color="auto"/>
            </w:tcBorders>
          </w:tcPr>
          <w:p>
            <w:pPr/>
          </w:p>
        </w:tc>
      </w:tr>
    </w:tbl>
    <w:p>
      <w:pPr>
        <w:spacing w:after="0"/>
        <w:sectPr>
          <w:pgSz w:w="11910" w:h="16840"/>
          <w:pgMar w:header="851" w:footer="982" w:top="1300" w:bottom="1180" w:left="1660" w:right="1040"/>
        </w:sectPr>
      </w:pPr>
    </w:p>
    <w:p>
      <w:pPr>
        <w:spacing w:line="240" w:lineRule="auto" w:before="3"/>
        <w:rPr>
          <w:rFonts w:ascii="宋体" w:hAnsi="宋体" w:cs="宋体" w:eastAsia="宋体" w:hint="default"/>
          <w:b/>
          <w:bCs/>
          <w:sz w:val="2"/>
          <w:szCs w:val="2"/>
        </w:rPr>
      </w:pPr>
    </w:p>
    <w:tbl>
      <w:tblPr>
        <w:tblW w:w="0" w:type="auto"/>
        <w:jc w:val="left"/>
        <w:tblInd w:w="747" w:type="dxa"/>
        <w:tblLayout w:type="fixed"/>
        <w:tblCellMar>
          <w:top w:w="0" w:type="dxa"/>
          <w:left w:w="0" w:type="dxa"/>
          <w:bottom w:w="0" w:type="dxa"/>
          <w:right w:w="0" w:type="dxa"/>
        </w:tblCellMar>
        <w:tblLook w:val="01E0"/>
      </w:tblPr>
      <w:tblGrid>
        <w:gridCol w:w="4406"/>
        <w:gridCol w:w="2546"/>
        <w:gridCol w:w="1363"/>
      </w:tblGrid>
      <w:tr>
        <w:trPr>
          <w:trHeight w:val="500" w:hRule="exact"/>
        </w:trPr>
        <w:tc>
          <w:tcPr>
            <w:tcW w:w="4406"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106"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2546" w:type="dxa"/>
            <w:tcBorders>
              <w:top w:val="single" w:sz="12" w:space="0" w:color="000000"/>
              <w:left w:val="nil" w:sz="6" w:space="0" w:color="auto"/>
              <w:bottom w:val="nil" w:sz="6" w:space="0" w:color="auto"/>
              <w:right w:val="nil" w:sz="6" w:space="0" w:color="auto"/>
            </w:tcBorders>
          </w:tcPr>
          <w:p>
            <w:pPr>
              <w:pStyle w:val="TableParagraph"/>
              <w:spacing w:line="240" w:lineRule="auto" w:before="65"/>
              <w:ind w:right="158"/>
              <w:jc w:val="right"/>
              <w:rPr>
                <w:rFonts w:ascii="Times New Roman" w:hAnsi="Times New Roman" w:cs="Times New Roman" w:eastAsia="Times New Roman" w:hint="default"/>
                <w:sz w:val="21"/>
                <w:szCs w:val="21"/>
              </w:rPr>
            </w:pPr>
            <w:r>
              <w:rPr>
                <w:rFonts w:ascii="Times New Roman"/>
                <w:spacing w:val="-1"/>
                <w:sz w:val="21"/>
              </w:rPr>
              <w:t>699,400.00</w:t>
            </w:r>
            <w:r>
              <w:rPr>
                <w:rFonts w:ascii="Times New Roman"/>
                <w:sz w:val="21"/>
              </w:rPr>
            </w:r>
          </w:p>
        </w:tc>
        <w:tc>
          <w:tcPr>
            <w:tcW w:w="1363" w:type="dxa"/>
            <w:tcBorders>
              <w:top w:val="single" w:sz="12" w:space="0" w:color="000000"/>
              <w:left w:val="nil" w:sz="6" w:space="0" w:color="auto"/>
              <w:bottom w:val="nil" w:sz="6" w:space="0" w:color="auto"/>
              <w:right w:val="nil" w:sz="6" w:space="0" w:color="auto"/>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1"/>
                <w:sz w:val="21"/>
              </w:rPr>
              <w:t>1,440,500.00</w:t>
            </w:r>
          </w:p>
        </w:tc>
      </w:tr>
      <w:tr>
        <w:trPr>
          <w:trHeight w:val="390" w:hRule="exact"/>
        </w:trPr>
        <w:tc>
          <w:tcPr>
            <w:tcW w:w="4406"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left="254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546"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158"/>
              <w:jc w:val="right"/>
              <w:rPr>
                <w:rFonts w:ascii="Times New Roman" w:hAnsi="Times New Roman" w:cs="Times New Roman" w:eastAsia="Times New Roman" w:hint="default"/>
                <w:sz w:val="21"/>
                <w:szCs w:val="21"/>
              </w:rPr>
            </w:pPr>
            <w:r>
              <w:rPr>
                <w:rFonts w:ascii="Times New Roman"/>
                <w:spacing w:val="-1"/>
                <w:sz w:val="21"/>
              </w:rPr>
              <w:t>739,569.10</w:t>
            </w:r>
            <w:r>
              <w:rPr>
                <w:rFonts w:ascii="Times New Roman"/>
                <w:sz w:val="21"/>
              </w:rPr>
            </w:r>
          </w:p>
        </w:tc>
        <w:tc>
          <w:tcPr>
            <w:tcW w:w="1363"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1"/>
                <w:sz w:val="21"/>
              </w:rPr>
              <w:t>1,440,500.00</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spacing w:before="35"/>
        <w:ind w:left="123" w:right="224" w:firstLine="0"/>
        <w:jc w:val="left"/>
        <w:rPr>
          <w:rFonts w:ascii="宋体" w:hAnsi="宋体" w:cs="宋体" w:eastAsia="宋体" w:hint="default"/>
          <w:sz w:val="21"/>
          <w:szCs w:val="21"/>
        </w:rPr>
      </w:pPr>
      <w:r>
        <w:rPr/>
        <w:pict>
          <v:group style="position:absolute;margin-left:88.379997pt;margin-top:-68.183037pt;width:443.85pt;height:.1pt;mso-position-horizontal-relative:page;mso-position-vertical-relative:paragraph;z-index:-707008" coordorigin="1768,-1364" coordsize="8877,2">
            <v:shape style="position:absolute;left:1768;top:-1364;width:8877;height:2" coordorigin="1768,-1364" coordsize="8877,0" path="m1768,-1364l10644,-1364e" filled="false" stroked="true" strokeweight=".72pt" strokecolor="#000000">
              <v:path arrowok="t"/>
            </v:shape>
            <w10:wrap type="none"/>
          </v:group>
        </w:pict>
      </w:r>
      <w:r>
        <w:rPr/>
        <w:pict>
          <v:shape style="position:absolute;margin-left:119.399994pt;margin-top:-63.323044pt;width:413.95755pt;height:38.5575pt;mso-position-horizontal-relative:page;mso-position-vertical-relative:paragraph;z-index:-706984" type="#_x0000_t75" stroked="false">
            <v:imagedata r:id="rId242" o:title=""/>
          </v:shape>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三十九</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6"/>
          <w:sz w:val="21"/>
          <w:szCs w:val="21"/>
        </w:rPr>
        <w:t> </w:t>
      </w:r>
      <w:r>
        <w:rPr>
          <w:rFonts w:ascii="宋体" w:hAnsi="宋体" w:cs="宋体" w:eastAsia="宋体" w:hint="default"/>
          <w:b/>
          <w:bCs/>
          <w:sz w:val="21"/>
          <w:szCs w:val="21"/>
        </w:rPr>
        <w:t>现金流量表附注</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393" w:val="left" w:leader="none"/>
        </w:tabs>
        <w:spacing w:before="0"/>
        <w:ind w:left="855" w:right="224" w:firstLine="0"/>
        <w:jc w:val="left"/>
        <w:rPr>
          <w:rFonts w:ascii="宋体" w:hAnsi="宋体" w:cs="宋体" w:eastAsia="宋体" w:hint="default"/>
          <w:sz w:val="21"/>
          <w:szCs w:val="21"/>
        </w:rPr>
      </w:pPr>
      <w:r>
        <w:rPr/>
        <w:pict>
          <v:group style="position:absolute;margin-left:146.520004pt;margin-top:41.843948pt;width:390.6pt;height:134.050pt;mso-position-horizontal-relative:page;mso-position-vertical-relative:paragraph;z-index:-706960" coordorigin="2930,837" coordsize="7812,2681">
            <v:shape style="position:absolute;left:8314;top:837;width:10;height:374" type="#_x0000_t75" stroked="false">
              <v:imagedata r:id="rId77" o:title=""/>
            </v:shape>
            <v:shape style="position:absolute;left:2930;top:1192;width:7812;height:2326" type="#_x0000_t75" stroked="false">
              <v:imagedata r:id="rId243" o:title=""/>
            </v:shape>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收到的其他与经营活动有关的现金</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1289" w:type="dxa"/>
        <w:tblLayout w:type="fixed"/>
        <w:tblCellMar>
          <w:top w:w="0" w:type="dxa"/>
          <w:left w:w="0" w:type="dxa"/>
          <w:bottom w:w="0" w:type="dxa"/>
          <w:right w:w="0" w:type="dxa"/>
        </w:tblCellMar>
        <w:tblLook w:val="01E0"/>
      </w:tblPr>
      <w:tblGrid>
        <w:gridCol w:w="5126"/>
        <w:gridCol w:w="2647"/>
      </w:tblGrid>
      <w:tr>
        <w:trPr>
          <w:trHeight w:val="393" w:hRule="exact"/>
        </w:trPr>
        <w:tc>
          <w:tcPr>
            <w:tcW w:w="5126" w:type="dxa"/>
            <w:tcBorders>
              <w:top w:val="single" w:sz="12" w:space="0" w:color="000000"/>
              <w:left w:val="nil" w:sz="6" w:space="0" w:color="auto"/>
              <w:bottom w:val="nil" w:sz="6" w:space="0" w:color="auto"/>
              <w:right w:val="nil" w:sz="6" w:space="0" w:color="auto"/>
            </w:tcBorders>
          </w:tcPr>
          <w:p>
            <w:pPr>
              <w:pStyle w:val="TableParagraph"/>
              <w:tabs>
                <w:tab w:pos="872" w:val="left" w:leader="none"/>
              </w:tabs>
              <w:spacing w:line="240" w:lineRule="auto" w:before="16"/>
              <w:ind w:left="242"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647"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1027" w:right="0"/>
              <w:jc w:val="left"/>
              <w:rPr>
                <w:rFonts w:ascii="宋体" w:hAnsi="宋体" w:cs="宋体" w:eastAsia="宋体" w:hint="default"/>
                <w:sz w:val="21"/>
                <w:szCs w:val="21"/>
              </w:rPr>
            </w:pPr>
            <w:r>
              <w:rPr>
                <w:rFonts w:ascii="宋体" w:hAnsi="宋体" w:cs="宋体" w:eastAsia="宋体" w:hint="default"/>
                <w:sz w:val="21"/>
                <w:szCs w:val="21"/>
              </w:rPr>
              <w:t>本期金额</w:t>
            </w:r>
          </w:p>
        </w:tc>
      </w:tr>
      <w:tr>
        <w:trPr>
          <w:trHeight w:val="390" w:hRule="exact"/>
        </w:trPr>
        <w:tc>
          <w:tcPr>
            <w:tcW w:w="512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宋体" w:hAnsi="宋体" w:cs="宋体" w:eastAsia="宋体" w:hint="default"/>
                <w:sz w:val="21"/>
                <w:szCs w:val="21"/>
              </w:rPr>
              <w:t>收到各项政府补助</w:t>
            </w:r>
          </w:p>
        </w:tc>
        <w:tc>
          <w:tcPr>
            <w:tcW w:w="264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99"/>
              <w:jc w:val="right"/>
              <w:rPr>
                <w:rFonts w:ascii="Times New Roman" w:hAnsi="Times New Roman" w:cs="Times New Roman" w:eastAsia="Times New Roman" w:hint="default"/>
                <w:sz w:val="21"/>
                <w:szCs w:val="21"/>
              </w:rPr>
            </w:pPr>
            <w:r>
              <w:rPr>
                <w:rFonts w:ascii="Times New Roman"/>
                <w:spacing w:val="-1"/>
                <w:sz w:val="21"/>
              </w:rPr>
              <w:t>22,105,000.00</w:t>
            </w:r>
          </w:p>
        </w:tc>
      </w:tr>
      <w:tr>
        <w:trPr>
          <w:trHeight w:val="385" w:hRule="exact"/>
        </w:trPr>
        <w:tc>
          <w:tcPr>
            <w:tcW w:w="5126"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8" w:right="0"/>
              <w:jc w:val="left"/>
              <w:rPr>
                <w:rFonts w:ascii="宋体" w:hAnsi="宋体" w:cs="宋体" w:eastAsia="宋体" w:hint="default"/>
                <w:sz w:val="21"/>
                <w:szCs w:val="21"/>
              </w:rPr>
            </w:pPr>
            <w:r>
              <w:rPr>
                <w:rFonts w:ascii="宋体" w:hAnsi="宋体" w:cs="宋体" w:eastAsia="宋体" w:hint="default"/>
                <w:sz w:val="21"/>
                <w:szCs w:val="21"/>
              </w:rPr>
              <w:t>收到利息收入</w:t>
            </w:r>
          </w:p>
        </w:tc>
        <w:tc>
          <w:tcPr>
            <w:tcW w:w="264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99"/>
              <w:jc w:val="right"/>
              <w:rPr>
                <w:rFonts w:ascii="Times New Roman" w:hAnsi="Times New Roman" w:cs="Times New Roman" w:eastAsia="Times New Roman" w:hint="default"/>
                <w:sz w:val="21"/>
                <w:szCs w:val="21"/>
              </w:rPr>
            </w:pPr>
            <w:r>
              <w:rPr>
                <w:rFonts w:ascii="Times New Roman"/>
                <w:spacing w:val="-1"/>
                <w:sz w:val="21"/>
              </w:rPr>
              <w:t>32,792,976.98</w:t>
            </w:r>
          </w:p>
        </w:tc>
      </w:tr>
      <w:tr>
        <w:trPr>
          <w:trHeight w:val="384" w:hRule="exact"/>
        </w:trPr>
        <w:tc>
          <w:tcPr>
            <w:tcW w:w="5126"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同一控制下合并企业合并日前收到往来款</w:t>
            </w:r>
          </w:p>
        </w:tc>
        <w:tc>
          <w:tcPr>
            <w:tcW w:w="2647"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9"/>
              <w:jc w:val="right"/>
              <w:rPr>
                <w:rFonts w:ascii="Times New Roman" w:hAnsi="Times New Roman" w:cs="Times New Roman" w:eastAsia="Times New Roman" w:hint="default"/>
                <w:sz w:val="21"/>
                <w:szCs w:val="21"/>
              </w:rPr>
            </w:pPr>
            <w:r>
              <w:rPr>
                <w:rFonts w:ascii="Times New Roman"/>
                <w:spacing w:val="-1"/>
                <w:sz w:val="21"/>
              </w:rPr>
              <w:t>10,800,000.00</w:t>
            </w:r>
          </w:p>
        </w:tc>
      </w:tr>
      <w:tr>
        <w:trPr>
          <w:trHeight w:val="385" w:hRule="exact"/>
        </w:trPr>
        <w:tc>
          <w:tcPr>
            <w:tcW w:w="5126"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非同一控制下合并企业合并日后收到往来款</w:t>
            </w:r>
          </w:p>
        </w:tc>
        <w:tc>
          <w:tcPr>
            <w:tcW w:w="2647"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9"/>
              <w:jc w:val="right"/>
              <w:rPr>
                <w:rFonts w:ascii="Times New Roman" w:hAnsi="Times New Roman" w:cs="Times New Roman" w:eastAsia="Times New Roman" w:hint="default"/>
                <w:sz w:val="21"/>
                <w:szCs w:val="21"/>
              </w:rPr>
            </w:pPr>
            <w:r>
              <w:rPr>
                <w:rFonts w:ascii="Times New Roman"/>
                <w:spacing w:val="-1"/>
                <w:sz w:val="21"/>
              </w:rPr>
              <w:t>18,391,817.86</w:t>
            </w:r>
          </w:p>
        </w:tc>
      </w:tr>
      <w:tr>
        <w:trPr>
          <w:trHeight w:val="385" w:hRule="exact"/>
        </w:trPr>
        <w:tc>
          <w:tcPr>
            <w:tcW w:w="5126"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8" w:right="0"/>
              <w:jc w:val="left"/>
              <w:rPr>
                <w:rFonts w:ascii="宋体" w:hAnsi="宋体" w:cs="宋体" w:eastAsia="宋体" w:hint="default"/>
                <w:sz w:val="21"/>
                <w:szCs w:val="21"/>
              </w:rPr>
            </w:pPr>
            <w:r>
              <w:rPr>
                <w:rFonts w:ascii="宋体" w:hAnsi="宋体" w:cs="宋体" w:eastAsia="宋体" w:hint="default"/>
                <w:sz w:val="21"/>
                <w:szCs w:val="21"/>
              </w:rPr>
              <w:t>收到其他零星现金</w:t>
            </w:r>
          </w:p>
        </w:tc>
        <w:tc>
          <w:tcPr>
            <w:tcW w:w="264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98"/>
              <w:jc w:val="right"/>
              <w:rPr>
                <w:rFonts w:ascii="Times New Roman" w:hAnsi="Times New Roman" w:cs="Times New Roman" w:eastAsia="Times New Roman" w:hint="default"/>
                <w:sz w:val="21"/>
                <w:szCs w:val="21"/>
              </w:rPr>
            </w:pPr>
            <w:r>
              <w:rPr>
                <w:rFonts w:ascii="Times New Roman"/>
                <w:spacing w:val="-1"/>
                <w:sz w:val="21"/>
              </w:rPr>
              <w:t>2,194,141.32</w:t>
            </w:r>
          </w:p>
        </w:tc>
      </w:tr>
      <w:tr>
        <w:trPr>
          <w:trHeight w:val="390" w:hRule="exact"/>
        </w:trPr>
        <w:tc>
          <w:tcPr>
            <w:tcW w:w="5126" w:type="dxa"/>
            <w:tcBorders>
              <w:top w:val="nil" w:sz="6" w:space="0" w:color="auto"/>
              <w:left w:val="nil" w:sz="6" w:space="0" w:color="auto"/>
              <w:bottom w:val="single" w:sz="12" w:space="0" w:color="000000"/>
              <w:right w:val="nil" w:sz="6" w:space="0" w:color="auto"/>
            </w:tcBorders>
          </w:tcPr>
          <w:p>
            <w:pPr>
              <w:pStyle w:val="TableParagraph"/>
              <w:tabs>
                <w:tab w:pos="661" w:val="left" w:leader="none"/>
              </w:tabs>
              <w:spacing w:line="240" w:lineRule="auto" w:before="16"/>
              <w:ind w:left="241"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647"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99"/>
              <w:jc w:val="right"/>
              <w:rPr>
                <w:rFonts w:ascii="Times New Roman" w:hAnsi="Times New Roman" w:cs="Times New Roman" w:eastAsia="Times New Roman" w:hint="default"/>
                <w:sz w:val="21"/>
                <w:szCs w:val="21"/>
              </w:rPr>
            </w:pPr>
            <w:r>
              <w:rPr>
                <w:rFonts w:ascii="Times New Roman"/>
                <w:spacing w:val="-1"/>
                <w:sz w:val="21"/>
              </w:rPr>
              <w:t>86,283,936.16</w:t>
            </w:r>
          </w:p>
        </w:tc>
      </w:tr>
    </w:tbl>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tabs>
          <w:tab w:pos="1393" w:val="left" w:leader="none"/>
        </w:tabs>
        <w:spacing w:before="35"/>
        <w:ind w:left="855" w:right="224" w:firstLine="0"/>
        <w:jc w:val="left"/>
        <w:rPr>
          <w:rFonts w:ascii="宋体" w:hAnsi="宋体" w:cs="宋体" w:eastAsia="宋体" w:hint="default"/>
          <w:sz w:val="21"/>
          <w:szCs w:val="21"/>
        </w:rPr>
      </w:pPr>
      <w:r>
        <w:rPr/>
        <w:pict>
          <v:group style="position:absolute;margin-left:146.520004pt;margin-top:43.598465pt;width:390.85pt;height:103.15pt;mso-position-horizontal-relative:page;mso-position-vertical-relative:paragraph;z-index:-706936" coordorigin="2930,872" coordsize="7817,2063">
            <v:shape style="position:absolute;left:8635;top:872;width:10;height:374" type="#_x0000_t75" stroked="false">
              <v:imagedata r:id="rId244" o:title=""/>
            </v:shape>
            <v:shape style="position:absolute;left:2930;top:1227;width:7817;height:1708" type="#_x0000_t75" stroked="false">
              <v:imagedata r:id="rId245" o:title=""/>
            </v:shape>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支付的其他与经营活动有关的现金</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1289" w:type="dxa"/>
        <w:tblLayout w:type="fixed"/>
        <w:tblCellMar>
          <w:top w:w="0" w:type="dxa"/>
          <w:left w:w="0" w:type="dxa"/>
          <w:bottom w:w="0" w:type="dxa"/>
          <w:right w:w="0" w:type="dxa"/>
        </w:tblCellMar>
        <w:tblLook w:val="01E0"/>
      </w:tblPr>
      <w:tblGrid>
        <w:gridCol w:w="5731"/>
        <w:gridCol w:w="2041"/>
      </w:tblGrid>
      <w:tr>
        <w:trPr>
          <w:trHeight w:val="423" w:hRule="exact"/>
        </w:trPr>
        <w:tc>
          <w:tcPr>
            <w:tcW w:w="5731" w:type="dxa"/>
            <w:tcBorders>
              <w:top w:val="single" w:sz="12" w:space="0" w:color="000000"/>
              <w:left w:val="nil" w:sz="6" w:space="0" w:color="auto"/>
              <w:bottom w:val="nil" w:sz="6" w:space="0" w:color="auto"/>
              <w:right w:val="nil" w:sz="6" w:space="0" w:color="auto"/>
            </w:tcBorders>
          </w:tcPr>
          <w:p>
            <w:pPr>
              <w:pStyle w:val="TableParagraph"/>
              <w:tabs>
                <w:tab w:pos="629" w:val="left" w:leader="none"/>
              </w:tabs>
              <w:spacing w:line="240" w:lineRule="auto" w:before="16"/>
              <w:ind w:right="38"/>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041"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583" w:right="0"/>
              <w:jc w:val="left"/>
              <w:rPr>
                <w:rFonts w:ascii="宋体" w:hAnsi="宋体" w:cs="宋体" w:eastAsia="宋体" w:hint="default"/>
                <w:sz w:val="21"/>
                <w:szCs w:val="21"/>
              </w:rPr>
            </w:pPr>
            <w:r>
              <w:rPr>
                <w:rFonts w:ascii="宋体" w:hAnsi="宋体" w:cs="宋体" w:eastAsia="宋体" w:hint="default"/>
                <w:sz w:val="21"/>
                <w:szCs w:val="21"/>
              </w:rPr>
              <w:t>本期金额</w:t>
            </w:r>
          </w:p>
        </w:tc>
      </w:tr>
      <w:tr>
        <w:trPr>
          <w:trHeight w:val="450" w:hRule="exact"/>
        </w:trPr>
        <w:tc>
          <w:tcPr>
            <w:tcW w:w="5731"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08" w:right="0"/>
              <w:jc w:val="left"/>
              <w:rPr>
                <w:rFonts w:ascii="宋体" w:hAnsi="宋体" w:cs="宋体" w:eastAsia="宋体" w:hint="default"/>
                <w:sz w:val="21"/>
                <w:szCs w:val="21"/>
              </w:rPr>
            </w:pPr>
            <w:r>
              <w:rPr>
                <w:rFonts w:ascii="宋体" w:hAnsi="宋体" w:cs="宋体" w:eastAsia="宋体" w:hint="default"/>
                <w:sz w:val="21"/>
                <w:szCs w:val="21"/>
              </w:rPr>
              <w:t>支付办公、差旅、房租、招待等营业费用及管理费用等</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21"/>
                <w:szCs w:val="21"/>
              </w:rPr>
            </w:pPr>
            <w:r>
              <w:rPr>
                <w:rFonts w:ascii="Times New Roman"/>
                <w:spacing w:val="-1"/>
                <w:sz w:val="21"/>
              </w:rPr>
              <w:t>64,233,016.31</w:t>
            </w:r>
          </w:p>
        </w:tc>
      </w:tr>
      <w:tr>
        <w:trPr>
          <w:trHeight w:val="422" w:hRule="exact"/>
        </w:trPr>
        <w:tc>
          <w:tcPr>
            <w:tcW w:w="5731"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8" w:right="0"/>
              <w:jc w:val="left"/>
              <w:rPr>
                <w:rFonts w:ascii="宋体" w:hAnsi="宋体" w:cs="宋体" w:eastAsia="宋体" w:hint="default"/>
                <w:sz w:val="21"/>
                <w:szCs w:val="21"/>
              </w:rPr>
            </w:pPr>
            <w:r>
              <w:rPr>
                <w:rFonts w:ascii="宋体" w:hAnsi="宋体" w:cs="宋体" w:eastAsia="宋体" w:hint="default"/>
                <w:sz w:val="21"/>
                <w:szCs w:val="21"/>
              </w:rPr>
              <w:t>同一控制下合并企业合并日前支付往来款</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7"/>
              <w:jc w:val="right"/>
              <w:rPr>
                <w:rFonts w:ascii="Times New Roman" w:hAnsi="Times New Roman" w:cs="Times New Roman" w:eastAsia="Times New Roman" w:hint="default"/>
                <w:sz w:val="21"/>
                <w:szCs w:val="21"/>
              </w:rPr>
            </w:pPr>
            <w:r>
              <w:rPr>
                <w:rFonts w:ascii="Times New Roman"/>
                <w:spacing w:val="-1"/>
                <w:sz w:val="21"/>
              </w:rPr>
              <w:t>4,569,288.10</w:t>
            </w:r>
          </w:p>
        </w:tc>
      </w:tr>
      <w:tr>
        <w:trPr>
          <w:trHeight w:val="400" w:hRule="exact"/>
        </w:trPr>
        <w:tc>
          <w:tcPr>
            <w:tcW w:w="573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8" w:right="0"/>
              <w:jc w:val="left"/>
              <w:rPr>
                <w:rFonts w:ascii="宋体" w:hAnsi="宋体" w:cs="宋体" w:eastAsia="宋体" w:hint="default"/>
                <w:sz w:val="21"/>
                <w:szCs w:val="21"/>
              </w:rPr>
            </w:pPr>
            <w:r>
              <w:rPr>
                <w:rFonts w:ascii="宋体" w:hAnsi="宋体" w:cs="宋体" w:eastAsia="宋体" w:hint="default"/>
                <w:sz w:val="21"/>
                <w:szCs w:val="21"/>
              </w:rPr>
              <w:t>向核高基项目联合科研单位转付专项资金</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97"/>
              <w:jc w:val="right"/>
              <w:rPr>
                <w:rFonts w:ascii="Times New Roman" w:hAnsi="Times New Roman" w:cs="Times New Roman" w:eastAsia="Times New Roman" w:hint="default"/>
                <w:sz w:val="21"/>
                <w:szCs w:val="21"/>
              </w:rPr>
            </w:pPr>
            <w:r>
              <w:rPr>
                <w:rFonts w:ascii="Times New Roman"/>
                <w:spacing w:val="-1"/>
                <w:sz w:val="21"/>
              </w:rPr>
              <w:t>5,280,000.00</w:t>
            </w:r>
          </w:p>
        </w:tc>
      </w:tr>
      <w:tr>
        <w:trPr>
          <w:trHeight w:val="397" w:hRule="exact"/>
        </w:trPr>
        <w:tc>
          <w:tcPr>
            <w:tcW w:w="5731" w:type="dxa"/>
            <w:tcBorders>
              <w:top w:val="nil" w:sz="6" w:space="0" w:color="auto"/>
              <w:left w:val="nil" w:sz="6" w:space="0" w:color="auto"/>
              <w:bottom w:val="single" w:sz="12" w:space="0" w:color="000000"/>
              <w:right w:val="nil" w:sz="6" w:space="0" w:color="auto"/>
            </w:tcBorders>
          </w:tcPr>
          <w:p>
            <w:pPr>
              <w:pStyle w:val="TableParagraph"/>
              <w:tabs>
                <w:tab w:pos="629" w:val="left" w:leader="none"/>
              </w:tabs>
              <w:spacing w:line="240" w:lineRule="auto" w:before="24"/>
              <w:ind w:right="38"/>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041" w:type="dxa"/>
            <w:tcBorders>
              <w:top w:val="nil" w:sz="6" w:space="0" w:color="auto"/>
              <w:left w:val="nil" w:sz="6" w:space="0" w:color="auto"/>
              <w:bottom w:val="single" w:sz="12" w:space="0" w:color="000000"/>
              <w:right w:val="nil" w:sz="6" w:space="0" w:color="auto"/>
            </w:tcBorders>
          </w:tcPr>
          <w:p>
            <w:pPr>
              <w:pStyle w:val="TableParagraph"/>
              <w:spacing w:line="240" w:lineRule="auto" w:before="73"/>
              <w:ind w:right="98"/>
              <w:jc w:val="right"/>
              <w:rPr>
                <w:rFonts w:ascii="Times New Roman" w:hAnsi="Times New Roman" w:cs="Times New Roman" w:eastAsia="Times New Roman" w:hint="default"/>
                <w:sz w:val="21"/>
                <w:szCs w:val="21"/>
              </w:rPr>
            </w:pPr>
            <w:r>
              <w:rPr>
                <w:rFonts w:ascii="Times New Roman"/>
                <w:spacing w:val="-1"/>
                <w:sz w:val="21"/>
              </w:rPr>
              <w:t>74,082,304.41</w:t>
            </w:r>
          </w:p>
        </w:tc>
      </w:tr>
    </w:tbl>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tabs>
          <w:tab w:pos="1393" w:val="left" w:leader="none"/>
        </w:tabs>
        <w:spacing w:before="35"/>
        <w:ind w:left="855" w:right="224" w:firstLine="0"/>
        <w:jc w:val="left"/>
        <w:rPr>
          <w:rFonts w:ascii="宋体" w:hAnsi="宋体" w:cs="宋体" w:eastAsia="宋体" w:hint="default"/>
          <w:sz w:val="21"/>
          <w:szCs w:val="21"/>
        </w:rPr>
      </w:pPr>
      <w:r>
        <w:rPr/>
        <w:pict>
          <v:group style="position:absolute;margin-left:146.520004pt;margin-top:43.598465pt;width:390.85pt;height:57.2pt;mso-position-horizontal-relative:page;mso-position-vertical-relative:paragraph;z-index:-706912" coordorigin="2930,872" coordsize="7817,1144">
            <v:shape style="position:absolute;left:8635;top:872;width:10;height:374" type="#_x0000_t75" stroked="false">
              <v:imagedata r:id="rId246" o:title=""/>
            </v:shape>
            <v:shape style="position:absolute;left:2930;top:1227;width:7817;height:788" type="#_x0000_t75" stroked="false">
              <v:imagedata r:id="rId247" o:title=""/>
            </v:shape>
            <w10:wrap type="none"/>
          </v:group>
        </w:pict>
      </w: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收到的其他与筹资活动有关的现金</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1289" w:type="dxa"/>
        <w:tblLayout w:type="fixed"/>
        <w:tblCellMar>
          <w:top w:w="0" w:type="dxa"/>
          <w:left w:w="0" w:type="dxa"/>
          <w:bottom w:w="0" w:type="dxa"/>
          <w:right w:w="0" w:type="dxa"/>
        </w:tblCellMar>
        <w:tblLook w:val="01E0"/>
      </w:tblPr>
      <w:tblGrid>
        <w:gridCol w:w="4790"/>
        <w:gridCol w:w="2983"/>
      </w:tblGrid>
      <w:tr>
        <w:trPr>
          <w:trHeight w:val="393" w:hRule="exact"/>
        </w:trPr>
        <w:tc>
          <w:tcPr>
            <w:tcW w:w="4790" w:type="dxa"/>
            <w:tcBorders>
              <w:top w:val="single" w:sz="12" w:space="0" w:color="000000"/>
              <w:left w:val="nil" w:sz="6" w:space="0" w:color="auto"/>
              <w:bottom w:val="nil" w:sz="6" w:space="0" w:color="auto"/>
              <w:right w:val="nil" w:sz="6" w:space="0" w:color="auto"/>
            </w:tcBorders>
          </w:tcPr>
          <w:p>
            <w:pPr>
              <w:pStyle w:val="TableParagraph"/>
              <w:tabs>
                <w:tab w:pos="3055" w:val="left" w:leader="none"/>
              </w:tabs>
              <w:spacing w:line="240" w:lineRule="auto" w:before="16"/>
              <w:ind w:left="2425"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983"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1524" w:right="0"/>
              <w:jc w:val="left"/>
              <w:rPr>
                <w:rFonts w:ascii="宋体" w:hAnsi="宋体" w:cs="宋体" w:eastAsia="宋体" w:hint="default"/>
                <w:sz w:val="21"/>
                <w:szCs w:val="21"/>
              </w:rPr>
            </w:pPr>
            <w:r>
              <w:rPr>
                <w:rFonts w:ascii="宋体" w:hAnsi="宋体" w:cs="宋体" w:eastAsia="宋体" w:hint="default"/>
                <w:sz w:val="21"/>
                <w:szCs w:val="21"/>
              </w:rPr>
              <w:t>本期金额</w:t>
            </w:r>
          </w:p>
        </w:tc>
      </w:tr>
      <w:tr>
        <w:trPr>
          <w:trHeight w:val="390" w:hRule="exact"/>
        </w:trPr>
        <w:tc>
          <w:tcPr>
            <w:tcW w:w="479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宋体" w:hAnsi="宋体" w:cs="宋体" w:eastAsia="宋体" w:hint="default"/>
                <w:sz w:val="21"/>
                <w:szCs w:val="21"/>
              </w:rPr>
              <w:t>政府补助记入资本公积项目</w:t>
            </w:r>
          </w:p>
        </w:tc>
        <w:tc>
          <w:tcPr>
            <w:tcW w:w="298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0"/>
              <w:jc w:val="right"/>
              <w:rPr>
                <w:rFonts w:ascii="Times New Roman" w:hAnsi="Times New Roman" w:cs="Times New Roman" w:eastAsia="Times New Roman" w:hint="default"/>
                <w:sz w:val="21"/>
                <w:szCs w:val="21"/>
              </w:rPr>
            </w:pPr>
            <w:r>
              <w:rPr>
                <w:rFonts w:ascii="Times New Roman"/>
                <w:spacing w:val="-1"/>
                <w:sz w:val="21"/>
              </w:rPr>
              <w:t>699,400.00</w:t>
            </w:r>
            <w:r>
              <w:rPr>
                <w:rFonts w:ascii="Times New Roman"/>
                <w:sz w:val="21"/>
              </w:rPr>
            </w:r>
          </w:p>
        </w:tc>
      </w:tr>
      <w:tr>
        <w:trPr>
          <w:trHeight w:val="391" w:hRule="exact"/>
        </w:trPr>
        <w:tc>
          <w:tcPr>
            <w:tcW w:w="4790" w:type="dxa"/>
            <w:tcBorders>
              <w:top w:val="nil" w:sz="6" w:space="0" w:color="auto"/>
              <w:left w:val="nil" w:sz="6" w:space="0" w:color="auto"/>
              <w:bottom w:val="single" w:sz="12" w:space="0" w:color="000000"/>
              <w:right w:val="nil" w:sz="6" w:space="0" w:color="auto"/>
            </w:tcBorders>
          </w:tcPr>
          <w:p>
            <w:pPr>
              <w:pStyle w:val="TableParagraph"/>
              <w:tabs>
                <w:tab w:pos="1319" w:val="left" w:leader="none"/>
              </w:tabs>
              <w:spacing w:line="240" w:lineRule="auto" w:before="16"/>
              <w:ind w:left="899"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983"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100"/>
              <w:jc w:val="right"/>
              <w:rPr>
                <w:rFonts w:ascii="Times New Roman" w:hAnsi="Times New Roman" w:cs="Times New Roman" w:eastAsia="Times New Roman" w:hint="default"/>
                <w:sz w:val="21"/>
                <w:szCs w:val="21"/>
              </w:rPr>
            </w:pPr>
            <w:r>
              <w:rPr>
                <w:rFonts w:ascii="Times New Roman"/>
                <w:spacing w:val="-1"/>
                <w:sz w:val="21"/>
              </w:rPr>
              <w:t>699,400.00</w:t>
            </w:r>
            <w:r>
              <w:rPr>
                <w:rFonts w:ascii="Times New Roman"/>
                <w:sz w:val="21"/>
              </w:rPr>
            </w:r>
          </w:p>
        </w:tc>
      </w:tr>
    </w:tbl>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2"/>
          <w:szCs w:val="22"/>
        </w:rPr>
      </w:pPr>
    </w:p>
    <w:p>
      <w:pPr>
        <w:tabs>
          <w:tab w:pos="1393" w:val="left" w:leader="none"/>
        </w:tabs>
        <w:spacing w:before="35"/>
        <w:ind w:left="855" w:right="224" w:firstLine="0"/>
        <w:jc w:val="left"/>
        <w:rPr>
          <w:rFonts w:ascii="宋体" w:hAnsi="宋体" w:cs="宋体" w:eastAsia="宋体" w:hint="default"/>
          <w:sz w:val="21"/>
          <w:szCs w:val="21"/>
        </w:rPr>
      </w:pPr>
      <w:r>
        <w:rPr/>
        <w:pict>
          <v:shape style="position:absolute;margin-left:146.520004pt;margin-top:38.610962pt;width:388.73851pt;height:37.7625pt;mso-position-horizontal-relative:page;mso-position-vertical-relative:paragraph;z-index:-706888" type="#_x0000_t75" stroked="false">
            <v:imagedata r:id="rId248" o:title=""/>
          </v:shape>
        </w:pict>
      </w: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支付的其他与筹资活动有关的现金</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1"/>
          <w:szCs w:val="11"/>
        </w:rPr>
      </w:pPr>
    </w:p>
    <w:tbl>
      <w:tblPr>
        <w:tblW w:w="0" w:type="auto"/>
        <w:jc w:val="left"/>
        <w:tblInd w:w="1289" w:type="dxa"/>
        <w:tblLayout w:type="fixed"/>
        <w:tblCellMar>
          <w:top w:w="0" w:type="dxa"/>
          <w:left w:w="0" w:type="dxa"/>
          <w:bottom w:w="0" w:type="dxa"/>
          <w:right w:w="0" w:type="dxa"/>
        </w:tblCellMar>
        <w:tblLook w:val="01E0"/>
      </w:tblPr>
      <w:tblGrid>
        <w:gridCol w:w="4790"/>
        <w:gridCol w:w="2983"/>
      </w:tblGrid>
      <w:tr>
        <w:trPr>
          <w:trHeight w:val="393" w:hRule="exact"/>
        </w:trPr>
        <w:tc>
          <w:tcPr>
            <w:tcW w:w="4790" w:type="dxa"/>
            <w:tcBorders>
              <w:top w:val="single" w:sz="12" w:space="0" w:color="000000"/>
              <w:left w:val="nil" w:sz="6" w:space="0" w:color="auto"/>
              <w:bottom w:val="nil" w:sz="6" w:space="0" w:color="auto"/>
              <w:right w:val="nil" w:sz="6" w:space="0" w:color="auto"/>
            </w:tcBorders>
          </w:tcPr>
          <w:p>
            <w:pPr>
              <w:pStyle w:val="TableParagraph"/>
              <w:tabs>
                <w:tab w:pos="3055" w:val="left" w:leader="none"/>
              </w:tabs>
              <w:spacing w:line="240" w:lineRule="auto" w:before="16"/>
              <w:ind w:left="2425"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983"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1524" w:right="0"/>
              <w:jc w:val="left"/>
              <w:rPr>
                <w:rFonts w:ascii="宋体" w:hAnsi="宋体" w:cs="宋体" w:eastAsia="宋体" w:hint="default"/>
                <w:sz w:val="21"/>
                <w:szCs w:val="21"/>
              </w:rPr>
            </w:pPr>
            <w:r>
              <w:rPr>
                <w:rFonts w:ascii="宋体" w:hAnsi="宋体" w:cs="宋体" w:eastAsia="宋体" w:hint="default"/>
                <w:sz w:val="21"/>
                <w:szCs w:val="21"/>
              </w:rPr>
              <w:t>本期金额</w:t>
            </w:r>
          </w:p>
        </w:tc>
      </w:tr>
      <w:tr>
        <w:trPr>
          <w:trHeight w:val="395" w:hRule="exact"/>
        </w:trPr>
        <w:tc>
          <w:tcPr>
            <w:tcW w:w="4790"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宋体" w:hAnsi="宋体" w:cs="宋体" w:eastAsia="宋体" w:hint="default"/>
                <w:sz w:val="21"/>
                <w:szCs w:val="21"/>
              </w:rPr>
              <w:t>支付的银行保函保证金</w:t>
            </w:r>
          </w:p>
        </w:tc>
        <w:tc>
          <w:tcPr>
            <w:tcW w:w="2983" w:type="dxa"/>
            <w:tcBorders>
              <w:top w:val="nil" w:sz="6" w:space="0" w:color="auto"/>
              <w:left w:val="nil" w:sz="6" w:space="0" w:color="auto"/>
              <w:bottom w:val="single" w:sz="12" w:space="0" w:color="000000"/>
              <w:right w:val="nil" w:sz="6" w:space="0" w:color="auto"/>
            </w:tcBorders>
          </w:tcPr>
          <w:p>
            <w:pPr>
              <w:pStyle w:val="TableParagraph"/>
              <w:spacing w:line="240" w:lineRule="auto" w:before="71"/>
              <w:ind w:left="1778" w:right="0"/>
              <w:jc w:val="left"/>
              <w:rPr>
                <w:rFonts w:ascii="Times New Roman" w:hAnsi="Times New Roman" w:cs="Times New Roman" w:eastAsia="Times New Roman" w:hint="default"/>
                <w:sz w:val="21"/>
                <w:szCs w:val="21"/>
              </w:rPr>
            </w:pPr>
            <w:r>
              <w:rPr>
                <w:rFonts w:ascii="Times New Roman"/>
                <w:sz w:val="21"/>
              </w:rPr>
              <w:t>1,302,834.01</w:t>
            </w:r>
          </w:p>
        </w:tc>
      </w:tr>
    </w:tbl>
    <w:p>
      <w:pPr>
        <w:spacing w:after="0" w:line="240" w:lineRule="auto"/>
        <w:jc w:val="left"/>
        <w:rPr>
          <w:rFonts w:ascii="Times New Roman" w:hAnsi="Times New Roman" w:cs="Times New Roman" w:eastAsia="Times New Roman" w:hint="default"/>
          <w:sz w:val="21"/>
          <w:szCs w:val="21"/>
        </w:rPr>
        <w:sectPr>
          <w:pgSz w:w="11910" w:h="16840"/>
          <w:pgMar w:header="851" w:footer="982" w:top="1300" w:bottom="1180" w:left="1660" w:right="1040"/>
        </w:sectPr>
      </w:pPr>
    </w:p>
    <w:p>
      <w:pPr>
        <w:spacing w:line="240" w:lineRule="auto" w:before="3"/>
        <w:rPr>
          <w:rFonts w:ascii="宋体" w:hAnsi="宋体" w:cs="宋体" w:eastAsia="宋体" w:hint="default"/>
          <w:b/>
          <w:bCs/>
          <w:sz w:val="2"/>
          <w:szCs w:val="2"/>
        </w:rPr>
      </w:pPr>
    </w:p>
    <w:tbl>
      <w:tblPr>
        <w:tblW w:w="0" w:type="auto"/>
        <w:jc w:val="left"/>
        <w:tblInd w:w="1289" w:type="dxa"/>
        <w:tblLayout w:type="fixed"/>
        <w:tblCellMar>
          <w:top w:w="0" w:type="dxa"/>
          <w:left w:w="0" w:type="dxa"/>
          <w:bottom w:w="0" w:type="dxa"/>
          <w:right w:w="0" w:type="dxa"/>
        </w:tblCellMar>
        <w:tblLook w:val="01E0"/>
      </w:tblPr>
      <w:tblGrid>
        <w:gridCol w:w="4864"/>
        <w:gridCol w:w="2908"/>
      </w:tblGrid>
      <w:tr>
        <w:trPr>
          <w:trHeight w:val="500" w:hRule="exact"/>
        </w:trPr>
        <w:tc>
          <w:tcPr>
            <w:tcW w:w="4864"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支付上市费用余款</w:t>
            </w:r>
          </w:p>
        </w:tc>
        <w:tc>
          <w:tcPr>
            <w:tcW w:w="2908" w:type="dxa"/>
            <w:tcBorders>
              <w:top w:val="single" w:sz="12" w:space="0" w:color="000000"/>
              <w:left w:val="nil" w:sz="6" w:space="0" w:color="auto"/>
              <w:bottom w:val="nil" w:sz="6" w:space="0" w:color="auto"/>
              <w:right w:val="nil" w:sz="6" w:space="0" w:color="auto"/>
            </w:tcBorders>
          </w:tcPr>
          <w:p>
            <w:pPr>
              <w:pStyle w:val="TableParagraph"/>
              <w:spacing w:line="240" w:lineRule="auto" w:before="65"/>
              <w:ind w:right="100"/>
              <w:jc w:val="right"/>
              <w:rPr>
                <w:rFonts w:ascii="Times New Roman" w:hAnsi="Times New Roman" w:cs="Times New Roman" w:eastAsia="Times New Roman" w:hint="default"/>
                <w:sz w:val="21"/>
                <w:szCs w:val="21"/>
              </w:rPr>
            </w:pPr>
            <w:r>
              <w:rPr>
                <w:rFonts w:ascii="Times New Roman"/>
                <w:spacing w:val="-1"/>
                <w:sz w:val="21"/>
              </w:rPr>
              <w:t>973,500.01</w:t>
            </w:r>
            <w:r>
              <w:rPr>
                <w:rFonts w:ascii="Times New Roman"/>
                <w:sz w:val="21"/>
              </w:rPr>
            </w:r>
          </w:p>
        </w:tc>
      </w:tr>
      <w:tr>
        <w:trPr>
          <w:trHeight w:val="390" w:hRule="exact"/>
        </w:trPr>
        <w:tc>
          <w:tcPr>
            <w:tcW w:w="4864" w:type="dxa"/>
            <w:tcBorders>
              <w:top w:val="nil" w:sz="6" w:space="0" w:color="auto"/>
              <w:left w:val="nil" w:sz="6" w:space="0" w:color="auto"/>
              <w:bottom w:val="single" w:sz="12" w:space="0" w:color="000000"/>
              <w:right w:val="nil" w:sz="6" w:space="0" w:color="auto"/>
            </w:tcBorders>
          </w:tcPr>
          <w:p>
            <w:pPr>
              <w:pStyle w:val="TableParagraph"/>
              <w:tabs>
                <w:tab w:pos="1244" w:val="left" w:leader="none"/>
              </w:tabs>
              <w:spacing w:line="240" w:lineRule="auto" w:before="16"/>
              <w:ind w:left="824"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908"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97"/>
              <w:jc w:val="right"/>
              <w:rPr>
                <w:rFonts w:ascii="Times New Roman" w:hAnsi="Times New Roman" w:cs="Times New Roman" w:eastAsia="Times New Roman" w:hint="default"/>
                <w:sz w:val="21"/>
                <w:szCs w:val="21"/>
              </w:rPr>
            </w:pPr>
            <w:r>
              <w:rPr>
                <w:rFonts w:ascii="Times New Roman"/>
                <w:spacing w:val="-1"/>
                <w:sz w:val="21"/>
              </w:rPr>
              <w:t>2,276,334.02</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spacing w:before="35"/>
        <w:ind w:left="123" w:right="1510" w:firstLine="0"/>
        <w:jc w:val="left"/>
        <w:rPr>
          <w:rFonts w:ascii="宋体" w:hAnsi="宋体" w:cs="宋体" w:eastAsia="宋体" w:hint="default"/>
          <w:sz w:val="21"/>
          <w:szCs w:val="21"/>
        </w:rPr>
      </w:pPr>
      <w:r>
        <w:rPr/>
        <w:pict>
          <v:group style="position:absolute;margin-left:88.379997pt;margin-top:-68.186028pt;width:443.85pt;height:.1pt;mso-position-horizontal-relative:page;mso-position-vertical-relative:paragraph;z-index:-706864" coordorigin="1768,-1364" coordsize="8877,2">
            <v:shape style="position:absolute;left:1768;top:-1364;width:8877;height:2" coordorigin="1768,-1364" coordsize="8877,0" path="m1768,-1364l10644,-1364e" filled="false" stroked="true" strokeweight=".72pt" strokecolor="#000000">
              <v:path arrowok="t"/>
            </v:shape>
            <w10:wrap type="none"/>
          </v:group>
        </w:pict>
      </w:r>
      <w:r>
        <w:rPr/>
        <w:pict>
          <v:shape style="position:absolute;margin-left:146.520004pt;margin-top:-62.366028pt;width:388.738666pt;height:37.7625pt;mso-position-horizontal-relative:page;mso-position-vertical-relative:paragraph;z-index:-706840" type="#_x0000_t75" stroked="false">
            <v:imagedata r:id="rId249" o:title=""/>
          </v:shape>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四十</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4"/>
          <w:sz w:val="21"/>
          <w:szCs w:val="21"/>
        </w:rPr>
        <w:t> </w:t>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tabs>
          <w:tab w:pos="1393" w:val="left" w:leader="none"/>
        </w:tabs>
        <w:spacing w:before="109"/>
        <w:ind w:left="854" w:right="1510" w:firstLine="0"/>
        <w:jc w:val="left"/>
        <w:rPr>
          <w:rFonts w:ascii="宋体" w:hAnsi="宋体" w:cs="宋体" w:eastAsia="宋体" w:hint="default"/>
          <w:sz w:val="21"/>
          <w:szCs w:val="21"/>
        </w:rPr>
      </w:pPr>
      <w:r>
        <w:rPr/>
        <w:pict>
          <v:group style="position:absolute;margin-left:146.839996pt;margin-top:46.332462pt;width:407.2pt;height:556.9pt;mso-position-horizontal-relative:page;mso-position-vertical-relative:paragraph;z-index:-706816" coordorigin="2937,927" coordsize="8144,11138">
            <v:shape style="position:absolute;left:7444;top:927;width:1848;height:413" type="#_x0000_t75" stroked="false">
              <v:imagedata r:id="rId250" o:title=""/>
            </v:shape>
            <v:shape style="position:absolute;left:2937;top:1307;width:8144;height:10756" type="#_x0000_t75" stroked="false">
              <v:imagedata r:id="rId251" o:title=""/>
            </v:shape>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1289" w:type="dxa"/>
        <w:tblLayout w:type="fixed"/>
        <w:tblCellMar>
          <w:top w:w="0" w:type="dxa"/>
          <w:left w:w="0" w:type="dxa"/>
          <w:bottom w:w="0" w:type="dxa"/>
          <w:right w:w="0" w:type="dxa"/>
        </w:tblCellMar>
        <w:tblLook w:val="01E0"/>
      </w:tblPr>
      <w:tblGrid>
        <w:gridCol w:w="4576"/>
        <w:gridCol w:w="1799"/>
        <w:gridCol w:w="1736"/>
      </w:tblGrid>
      <w:tr>
        <w:trPr>
          <w:trHeight w:val="393" w:hRule="exact"/>
        </w:trPr>
        <w:tc>
          <w:tcPr>
            <w:tcW w:w="4576" w:type="dxa"/>
            <w:tcBorders>
              <w:top w:val="single" w:sz="12" w:space="0" w:color="000000"/>
              <w:left w:val="nil" w:sz="6" w:space="0" w:color="auto"/>
              <w:bottom w:val="nil" w:sz="6" w:space="0" w:color="auto"/>
              <w:right w:val="nil" w:sz="6" w:space="0" w:color="auto"/>
            </w:tcBorders>
          </w:tcPr>
          <w:p>
            <w:pPr>
              <w:pStyle w:val="TableParagraph"/>
              <w:tabs>
                <w:tab w:pos="629" w:val="left" w:leader="none"/>
              </w:tabs>
              <w:spacing w:line="240" w:lineRule="auto" w:before="16"/>
              <w:ind w:right="57"/>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799"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422"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736"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422"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90" w:hRule="exact"/>
        </w:trPr>
        <w:tc>
          <w:tcPr>
            <w:tcW w:w="45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、将净利润调节为经营活动现金流量</w:t>
            </w:r>
          </w:p>
        </w:tc>
        <w:tc>
          <w:tcPr>
            <w:tcW w:w="1799"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nil" w:sz="6" w:space="0" w:color="auto"/>
            </w:tcBorders>
          </w:tcPr>
          <w:p>
            <w:pPr/>
          </w:p>
        </w:tc>
      </w:tr>
      <w:tr>
        <w:trPr>
          <w:trHeight w:val="385" w:hRule="exact"/>
        </w:trPr>
        <w:tc>
          <w:tcPr>
            <w:tcW w:w="4576"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65"/>
              <w:jc w:val="right"/>
              <w:rPr>
                <w:rFonts w:ascii="Times New Roman" w:hAnsi="Times New Roman" w:cs="Times New Roman" w:eastAsia="Times New Roman" w:hint="default"/>
                <w:sz w:val="21"/>
                <w:szCs w:val="21"/>
              </w:rPr>
            </w:pPr>
            <w:r>
              <w:rPr>
                <w:rFonts w:ascii="Times New Roman"/>
                <w:spacing w:val="-1"/>
                <w:sz w:val="21"/>
              </w:rPr>
              <w:t>327,177,576.37</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9"/>
              <w:jc w:val="right"/>
              <w:rPr>
                <w:rFonts w:ascii="Times New Roman" w:hAnsi="Times New Roman" w:cs="Times New Roman" w:eastAsia="Times New Roman" w:hint="default"/>
                <w:sz w:val="21"/>
                <w:szCs w:val="21"/>
              </w:rPr>
            </w:pPr>
            <w:r>
              <w:rPr>
                <w:rFonts w:ascii="Times New Roman"/>
                <w:spacing w:val="-1"/>
                <w:sz w:val="21"/>
              </w:rPr>
              <w:t>270,104,891.30</w:t>
            </w:r>
          </w:p>
        </w:tc>
      </w:tr>
      <w:tr>
        <w:trPr>
          <w:trHeight w:val="385" w:hRule="exact"/>
        </w:trPr>
        <w:tc>
          <w:tcPr>
            <w:tcW w:w="4576"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8"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61"/>
              <w:jc w:val="right"/>
              <w:rPr>
                <w:rFonts w:ascii="Times New Roman" w:hAnsi="Times New Roman" w:cs="Times New Roman" w:eastAsia="Times New Roman" w:hint="default"/>
                <w:sz w:val="21"/>
                <w:szCs w:val="21"/>
              </w:rPr>
            </w:pPr>
            <w:r>
              <w:rPr>
                <w:rFonts w:ascii="Times New Roman"/>
                <w:spacing w:val="-1"/>
                <w:sz w:val="21"/>
              </w:rPr>
              <w:t>11,056,005.77</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97"/>
              <w:jc w:val="right"/>
              <w:rPr>
                <w:rFonts w:ascii="Times New Roman" w:hAnsi="Times New Roman" w:cs="Times New Roman" w:eastAsia="Times New Roman" w:hint="default"/>
                <w:sz w:val="21"/>
                <w:szCs w:val="21"/>
              </w:rPr>
            </w:pPr>
            <w:r>
              <w:rPr>
                <w:rFonts w:ascii="Times New Roman"/>
                <w:spacing w:val="-1"/>
                <w:sz w:val="21"/>
              </w:rPr>
              <w:t>2,446,098.14</w:t>
            </w:r>
          </w:p>
        </w:tc>
      </w:tr>
      <w:tr>
        <w:trPr>
          <w:trHeight w:val="753" w:hRule="exact"/>
        </w:trPr>
        <w:tc>
          <w:tcPr>
            <w:tcW w:w="4576" w:type="dxa"/>
            <w:tcBorders>
              <w:top w:val="nil" w:sz="6" w:space="0" w:color="auto"/>
              <w:left w:val="nil" w:sz="6" w:space="0" w:color="auto"/>
              <w:bottom w:val="nil" w:sz="6" w:space="0" w:color="auto"/>
              <w:right w:val="nil" w:sz="6" w:space="0" w:color="auto"/>
            </w:tcBorders>
          </w:tcPr>
          <w:p>
            <w:pPr>
              <w:pStyle w:val="TableParagraph"/>
              <w:spacing w:line="326" w:lineRule="auto" w:before="16"/>
              <w:ind w:left="108" w:right="160"/>
              <w:jc w:val="left"/>
              <w:rPr>
                <w:rFonts w:ascii="宋体" w:hAnsi="宋体" w:cs="宋体" w:eastAsia="宋体" w:hint="default"/>
                <w:sz w:val="21"/>
                <w:szCs w:val="21"/>
              </w:rPr>
            </w:pPr>
            <w:r>
              <w:rPr>
                <w:rFonts w:ascii="宋体" w:hAnsi="宋体" w:cs="宋体" w:eastAsia="宋体" w:hint="default"/>
                <w:spacing w:val="4"/>
                <w:sz w:val="21"/>
                <w:szCs w:val="21"/>
              </w:rPr>
              <w:t>固定资产折旧、油气资产折耗、生产性生物资</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产折旧</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162"/>
              <w:jc w:val="right"/>
              <w:rPr>
                <w:rFonts w:ascii="Times New Roman" w:hAnsi="Times New Roman" w:cs="Times New Roman" w:eastAsia="Times New Roman" w:hint="default"/>
                <w:sz w:val="21"/>
                <w:szCs w:val="21"/>
              </w:rPr>
            </w:pPr>
            <w:r>
              <w:rPr>
                <w:rFonts w:ascii="Times New Roman"/>
                <w:spacing w:val="-2"/>
                <w:sz w:val="21"/>
              </w:rPr>
              <w:t>9,094,113.18</w:t>
            </w:r>
            <w:r>
              <w:rPr>
                <w:rFonts w:ascii="Times New Roman"/>
                <w:sz w:val="21"/>
              </w:rPr>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4,836,004.56</w:t>
            </w:r>
          </w:p>
        </w:tc>
      </w:tr>
      <w:tr>
        <w:trPr>
          <w:trHeight w:val="390" w:hRule="exact"/>
        </w:trPr>
        <w:tc>
          <w:tcPr>
            <w:tcW w:w="45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64"/>
              <w:jc w:val="right"/>
              <w:rPr>
                <w:rFonts w:ascii="Times New Roman" w:hAnsi="Times New Roman" w:cs="Times New Roman" w:eastAsia="Times New Roman" w:hint="default"/>
                <w:sz w:val="21"/>
                <w:szCs w:val="21"/>
              </w:rPr>
            </w:pPr>
            <w:r>
              <w:rPr>
                <w:rFonts w:ascii="Times New Roman"/>
                <w:spacing w:val="-1"/>
                <w:sz w:val="21"/>
              </w:rPr>
              <w:t>3,500.01</w:t>
            </w:r>
            <w:r>
              <w:rPr>
                <w:rFonts w:ascii="Times New Roman"/>
                <w:sz w:val="21"/>
              </w:rPr>
            </w:r>
          </w:p>
        </w:tc>
        <w:tc>
          <w:tcPr>
            <w:tcW w:w="1736" w:type="dxa"/>
            <w:tcBorders>
              <w:top w:val="nil" w:sz="6" w:space="0" w:color="auto"/>
              <w:left w:val="nil" w:sz="6" w:space="0" w:color="auto"/>
              <w:bottom w:val="nil" w:sz="6" w:space="0" w:color="auto"/>
              <w:right w:val="nil" w:sz="6" w:space="0" w:color="auto"/>
            </w:tcBorders>
          </w:tcPr>
          <w:p>
            <w:pPr/>
          </w:p>
        </w:tc>
      </w:tr>
      <w:tr>
        <w:trPr>
          <w:trHeight w:val="385" w:hRule="exact"/>
        </w:trPr>
        <w:tc>
          <w:tcPr>
            <w:tcW w:w="4576"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8"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63"/>
              <w:jc w:val="right"/>
              <w:rPr>
                <w:rFonts w:ascii="Times New Roman" w:hAnsi="Times New Roman" w:cs="Times New Roman" w:eastAsia="Times New Roman" w:hint="default"/>
                <w:sz w:val="21"/>
                <w:szCs w:val="21"/>
              </w:rPr>
            </w:pPr>
            <w:r>
              <w:rPr>
                <w:rFonts w:ascii="Times New Roman"/>
                <w:spacing w:val="-2"/>
                <w:sz w:val="21"/>
              </w:rPr>
              <w:t>801,117.66</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97"/>
              <w:jc w:val="right"/>
              <w:rPr>
                <w:rFonts w:ascii="Times New Roman" w:hAnsi="Times New Roman" w:cs="Times New Roman" w:eastAsia="Times New Roman" w:hint="default"/>
                <w:sz w:val="21"/>
                <w:szCs w:val="21"/>
              </w:rPr>
            </w:pPr>
            <w:r>
              <w:rPr>
                <w:rFonts w:ascii="Times New Roman"/>
                <w:spacing w:val="-1"/>
                <w:sz w:val="21"/>
              </w:rPr>
              <w:t>1,064,554.16</w:t>
            </w:r>
          </w:p>
        </w:tc>
      </w:tr>
      <w:tr>
        <w:trPr>
          <w:trHeight w:val="758" w:hRule="exact"/>
        </w:trPr>
        <w:tc>
          <w:tcPr>
            <w:tcW w:w="4576" w:type="dxa"/>
            <w:tcBorders>
              <w:top w:val="nil" w:sz="6" w:space="0" w:color="auto"/>
              <w:left w:val="nil" w:sz="6" w:space="0" w:color="auto"/>
              <w:bottom w:val="nil" w:sz="6" w:space="0" w:color="auto"/>
              <w:right w:val="nil" w:sz="6" w:space="0" w:color="auto"/>
            </w:tcBorders>
          </w:tcPr>
          <w:p>
            <w:pPr>
              <w:pStyle w:val="TableParagraph"/>
              <w:spacing w:line="326" w:lineRule="auto" w:before="16"/>
              <w:ind w:left="108" w:right="160"/>
              <w:jc w:val="left"/>
              <w:rPr>
                <w:rFonts w:ascii="宋体" w:hAnsi="宋体" w:cs="宋体" w:eastAsia="宋体" w:hint="default"/>
                <w:sz w:val="21"/>
                <w:szCs w:val="21"/>
              </w:rPr>
            </w:pPr>
            <w:r>
              <w:rPr>
                <w:rFonts w:ascii="宋体" w:hAnsi="宋体" w:cs="宋体" w:eastAsia="宋体" w:hint="default"/>
                <w:spacing w:val="4"/>
                <w:sz w:val="21"/>
                <w:szCs w:val="21"/>
              </w:rPr>
              <w:t>处置固定资产、无形资产和其他长期资产的损</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1"/>
                <w:sz w:val="21"/>
              </w:rPr>
              <w:t>893,157.34</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37,422.00</w:t>
            </w:r>
          </w:p>
        </w:tc>
      </w:tr>
      <w:tr>
        <w:trPr>
          <w:trHeight w:val="385" w:hRule="exact"/>
        </w:trPr>
        <w:tc>
          <w:tcPr>
            <w:tcW w:w="4576"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固定资产报废损失（收益以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799"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nil" w:sz="6" w:space="0" w:color="auto"/>
            </w:tcBorders>
          </w:tcPr>
          <w:p>
            <w:pPr/>
          </w:p>
        </w:tc>
      </w:tr>
      <w:tr>
        <w:trPr>
          <w:trHeight w:val="385" w:hRule="exact"/>
        </w:trPr>
        <w:tc>
          <w:tcPr>
            <w:tcW w:w="4576"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8" w:right="0"/>
              <w:jc w:val="left"/>
              <w:rPr>
                <w:rFonts w:ascii="宋体" w:hAnsi="宋体" w:cs="宋体" w:eastAsia="宋体" w:hint="default"/>
                <w:sz w:val="21"/>
                <w:szCs w:val="21"/>
              </w:rPr>
            </w:pPr>
            <w:r>
              <w:rPr>
                <w:rFonts w:ascii="宋体" w:hAnsi="宋体" w:cs="宋体" w:eastAsia="宋体" w:hint="default"/>
                <w:sz w:val="21"/>
                <w:szCs w:val="21"/>
              </w:rPr>
              <w:t>公允价值变动损失（收益以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799"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nil" w:sz="6" w:space="0" w:color="auto"/>
            </w:tcBorders>
          </w:tcPr>
          <w:p>
            <w:pPr/>
          </w:p>
        </w:tc>
      </w:tr>
      <w:tr>
        <w:trPr>
          <w:trHeight w:val="384" w:hRule="exact"/>
        </w:trPr>
        <w:tc>
          <w:tcPr>
            <w:tcW w:w="4576"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财务费用（收益以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799"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0"/>
              <w:jc w:val="right"/>
              <w:rPr>
                <w:rFonts w:ascii="Times New Roman" w:hAnsi="Times New Roman" w:cs="Times New Roman" w:eastAsia="Times New Roman" w:hint="default"/>
                <w:sz w:val="21"/>
                <w:szCs w:val="21"/>
              </w:rPr>
            </w:pPr>
            <w:r>
              <w:rPr>
                <w:rFonts w:ascii="Times New Roman"/>
                <w:spacing w:val="-1"/>
                <w:sz w:val="21"/>
              </w:rPr>
              <w:t>4,425.00</w:t>
            </w:r>
            <w:r>
              <w:rPr>
                <w:rFonts w:ascii="Times New Roman"/>
                <w:sz w:val="21"/>
              </w:rPr>
            </w:r>
          </w:p>
        </w:tc>
      </w:tr>
      <w:tr>
        <w:trPr>
          <w:trHeight w:val="385" w:hRule="exact"/>
        </w:trPr>
        <w:tc>
          <w:tcPr>
            <w:tcW w:w="4576"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投资损失（收益以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62"/>
              <w:jc w:val="right"/>
              <w:rPr>
                <w:rFonts w:ascii="Times New Roman" w:hAnsi="Times New Roman" w:cs="Times New Roman" w:eastAsia="Times New Roman" w:hint="default"/>
                <w:sz w:val="21"/>
                <w:szCs w:val="21"/>
              </w:rPr>
            </w:pPr>
            <w:r>
              <w:rPr>
                <w:rFonts w:ascii="Times New Roman"/>
                <w:spacing w:val="-1"/>
                <w:sz w:val="21"/>
              </w:rPr>
              <w:t>-3,530,842.18</w:t>
            </w:r>
          </w:p>
        </w:tc>
        <w:tc>
          <w:tcPr>
            <w:tcW w:w="1736" w:type="dxa"/>
            <w:tcBorders>
              <w:top w:val="nil" w:sz="6" w:space="0" w:color="auto"/>
              <w:left w:val="nil" w:sz="6" w:space="0" w:color="auto"/>
              <w:bottom w:val="nil" w:sz="6" w:space="0" w:color="auto"/>
              <w:right w:val="nil" w:sz="6" w:space="0" w:color="auto"/>
            </w:tcBorders>
          </w:tcPr>
          <w:p>
            <w:pPr/>
          </w:p>
        </w:tc>
      </w:tr>
      <w:tr>
        <w:trPr>
          <w:trHeight w:val="385" w:hRule="exact"/>
        </w:trPr>
        <w:tc>
          <w:tcPr>
            <w:tcW w:w="4576"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8" w:right="0"/>
              <w:jc w:val="left"/>
              <w:rPr>
                <w:rFonts w:ascii="宋体" w:hAnsi="宋体" w:cs="宋体" w:eastAsia="宋体" w:hint="default"/>
                <w:sz w:val="21"/>
                <w:szCs w:val="21"/>
              </w:rPr>
            </w:pPr>
            <w:r>
              <w:rPr>
                <w:rFonts w:ascii="宋体" w:hAnsi="宋体" w:cs="宋体" w:eastAsia="宋体" w:hint="default"/>
                <w:sz w:val="21"/>
                <w:szCs w:val="21"/>
              </w:rPr>
              <w:t>递延所得税资产减少（增加以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62"/>
              <w:jc w:val="right"/>
              <w:rPr>
                <w:rFonts w:ascii="Times New Roman" w:hAnsi="Times New Roman" w:cs="Times New Roman" w:eastAsia="Times New Roman" w:hint="default"/>
                <w:sz w:val="21"/>
                <w:szCs w:val="21"/>
              </w:rPr>
            </w:pPr>
            <w:r>
              <w:rPr>
                <w:rFonts w:ascii="Times New Roman"/>
                <w:spacing w:val="-1"/>
                <w:sz w:val="21"/>
              </w:rPr>
              <w:t>-1,804,201.41</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98"/>
              <w:jc w:val="right"/>
              <w:rPr>
                <w:rFonts w:ascii="Times New Roman" w:hAnsi="Times New Roman" w:cs="Times New Roman" w:eastAsia="Times New Roman" w:hint="default"/>
                <w:sz w:val="21"/>
                <w:szCs w:val="21"/>
              </w:rPr>
            </w:pPr>
            <w:r>
              <w:rPr>
                <w:rFonts w:ascii="Times New Roman"/>
                <w:spacing w:val="-1"/>
                <w:sz w:val="21"/>
              </w:rPr>
              <w:t>-2,413,040.26</w:t>
            </w:r>
          </w:p>
        </w:tc>
      </w:tr>
      <w:tr>
        <w:trPr>
          <w:trHeight w:val="384" w:hRule="exact"/>
        </w:trPr>
        <w:tc>
          <w:tcPr>
            <w:tcW w:w="4576"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递延所得税负债增加（减少以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799"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nil" w:sz="6" w:space="0" w:color="auto"/>
            </w:tcBorders>
          </w:tcPr>
          <w:p>
            <w:pPr/>
          </w:p>
        </w:tc>
      </w:tr>
      <w:tr>
        <w:trPr>
          <w:trHeight w:val="385" w:hRule="exact"/>
        </w:trPr>
        <w:tc>
          <w:tcPr>
            <w:tcW w:w="4576"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存货的减少（增加以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63"/>
              <w:jc w:val="right"/>
              <w:rPr>
                <w:rFonts w:ascii="Times New Roman" w:hAnsi="Times New Roman" w:cs="Times New Roman" w:eastAsia="Times New Roman" w:hint="default"/>
                <w:sz w:val="21"/>
                <w:szCs w:val="21"/>
              </w:rPr>
            </w:pPr>
            <w:r>
              <w:rPr>
                <w:rFonts w:ascii="Times New Roman"/>
                <w:spacing w:val="-1"/>
                <w:sz w:val="21"/>
              </w:rPr>
              <w:t>-23,715,478.64</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1"/>
                <w:sz w:val="21"/>
              </w:rPr>
              <w:t>-11,049,936.02</w:t>
            </w:r>
          </w:p>
        </w:tc>
      </w:tr>
      <w:tr>
        <w:trPr>
          <w:trHeight w:val="385" w:hRule="exact"/>
        </w:trPr>
        <w:tc>
          <w:tcPr>
            <w:tcW w:w="4576"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8" w:right="0"/>
              <w:jc w:val="left"/>
              <w:rPr>
                <w:rFonts w:ascii="宋体" w:hAnsi="宋体" w:cs="宋体" w:eastAsia="宋体" w:hint="default"/>
                <w:sz w:val="21"/>
                <w:szCs w:val="21"/>
              </w:rPr>
            </w:pPr>
            <w:r>
              <w:rPr>
                <w:rFonts w:ascii="宋体" w:hAnsi="宋体" w:cs="宋体" w:eastAsia="宋体" w:hint="default"/>
                <w:sz w:val="21"/>
                <w:szCs w:val="21"/>
              </w:rPr>
              <w:t>经营性应收项目的减少（增加以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63"/>
              <w:jc w:val="right"/>
              <w:rPr>
                <w:rFonts w:ascii="Times New Roman" w:hAnsi="Times New Roman" w:cs="Times New Roman" w:eastAsia="Times New Roman" w:hint="default"/>
                <w:sz w:val="21"/>
                <w:szCs w:val="21"/>
              </w:rPr>
            </w:pPr>
            <w:r>
              <w:rPr>
                <w:rFonts w:ascii="Times New Roman"/>
                <w:spacing w:val="-1"/>
                <w:sz w:val="21"/>
              </w:rPr>
              <w:t>-138,731,169.10</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98"/>
              <w:jc w:val="right"/>
              <w:rPr>
                <w:rFonts w:ascii="Times New Roman" w:hAnsi="Times New Roman" w:cs="Times New Roman" w:eastAsia="Times New Roman" w:hint="default"/>
                <w:sz w:val="21"/>
                <w:szCs w:val="21"/>
              </w:rPr>
            </w:pPr>
            <w:r>
              <w:rPr>
                <w:rFonts w:ascii="Times New Roman"/>
                <w:spacing w:val="-1"/>
                <w:sz w:val="21"/>
              </w:rPr>
              <w:t>-15,120,894.51</w:t>
            </w:r>
          </w:p>
        </w:tc>
      </w:tr>
      <w:tr>
        <w:trPr>
          <w:trHeight w:val="384" w:hRule="exact"/>
        </w:trPr>
        <w:tc>
          <w:tcPr>
            <w:tcW w:w="4576"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经营性应付项目的增加（减少以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62"/>
              <w:jc w:val="right"/>
              <w:rPr>
                <w:rFonts w:ascii="Times New Roman" w:hAnsi="Times New Roman" w:cs="Times New Roman" w:eastAsia="Times New Roman" w:hint="default"/>
                <w:sz w:val="21"/>
                <w:szCs w:val="21"/>
              </w:rPr>
            </w:pPr>
            <w:r>
              <w:rPr>
                <w:rFonts w:ascii="Times New Roman"/>
                <w:spacing w:val="-1"/>
                <w:sz w:val="21"/>
              </w:rPr>
              <w:t>14,412,841.10</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1"/>
                <w:sz w:val="21"/>
              </w:rPr>
              <w:t>-37,766,569.24</w:t>
            </w:r>
          </w:p>
        </w:tc>
      </w:tr>
      <w:tr>
        <w:trPr>
          <w:trHeight w:val="379" w:hRule="exact"/>
        </w:trPr>
        <w:tc>
          <w:tcPr>
            <w:tcW w:w="4576" w:type="dxa"/>
            <w:tcBorders>
              <w:top w:val="nil" w:sz="6" w:space="0" w:color="auto"/>
              <w:left w:val="nil" w:sz="6" w:space="0" w:color="auto"/>
              <w:bottom w:val="nil" w:sz="6" w:space="0" w:color="auto"/>
              <w:right w:val="nil" w:sz="6" w:space="0" w:color="auto"/>
            </w:tcBorders>
          </w:tcPr>
          <w:p>
            <w:pPr>
              <w:pStyle w:val="TableParagraph"/>
              <w:tabs>
                <w:tab w:pos="739" w:val="left" w:leader="none"/>
              </w:tabs>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其</w:t>
              <w:tab/>
              <w:t>他</w:t>
            </w:r>
          </w:p>
        </w:tc>
        <w:tc>
          <w:tcPr>
            <w:tcW w:w="1799"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nil" w:sz="6" w:space="0" w:color="auto"/>
            </w:tcBorders>
          </w:tcPr>
          <w:p>
            <w:pPr/>
          </w:p>
        </w:tc>
      </w:tr>
      <w:tr>
        <w:trPr>
          <w:trHeight w:val="390" w:hRule="exact"/>
        </w:trPr>
        <w:tc>
          <w:tcPr>
            <w:tcW w:w="45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65"/>
              <w:jc w:val="right"/>
              <w:rPr>
                <w:rFonts w:ascii="Times New Roman" w:hAnsi="Times New Roman" w:cs="Times New Roman" w:eastAsia="Times New Roman" w:hint="default"/>
                <w:sz w:val="21"/>
                <w:szCs w:val="21"/>
              </w:rPr>
            </w:pPr>
            <w:r>
              <w:rPr>
                <w:rFonts w:ascii="Times New Roman"/>
                <w:spacing w:val="-1"/>
                <w:sz w:val="21"/>
              </w:rPr>
              <w:t>195,656,620.10</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99"/>
              <w:jc w:val="right"/>
              <w:rPr>
                <w:rFonts w:ascii="Times New Roman" w:hAnsi="Times New Roman" w:cs="Times New Roman" w:eastAsia="Times New Roman" w:hint="default"/>
                <w:sz w:val="21"/>
                <w:szCs w:val="21"/>
              </w:rPr>
            </w:pPr>
            <w:r>
              <w:rPr>
                <w:rFonts w:ascii="Times New Roman"/>
                <w:spacing w:val="-1"/>
                <w:sz w:val="21"/>
              </w:rPr>
              <w:t>212,142,955.13</w:t>
            </w:r>
          </w:p>
        </w:tc>
      </w:tr>
      <w:tr>
        <w:trPr>
          <w:trHeight w:val="384" w:hRule="exact"/>
        </w:trPr>
        <w:tc>
          <w:tcPr>
            <w:tcW w:w="4576"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、不涉及现金收支的重大投资和筹资活动</w:t>
            </w:r>
          </w:p>
        </w:tc>
        <w:tc>
          <w:tcPr>
            <w:tcW w:w="1799"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nil" w:sz="6" w:space="0" w:color="auto"/>
            </w:tcBorders>
          </w:tcPr>
          <w:p>
            <w:pPr/>
          </w:p>
        </w:tc>
      </w:tr>
      <w:tr>
        <w:trPr>
          <w:trHeight w:val="379" w:hRule="exact"/>
        </w:trPr>
        <w:tc>
          <w:tcPr>
            <w:tcW w:w="4576"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1799"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nil" w:sz="6" w:space="0" w:color="auto"/>
            </w:tcBorders>
          </w:tcPr>
          <w:p>
            <w:pPr/>
          </w:p>
        </w:tc>
      </w:tr>
      <w:tr>
        <w:trPr>
          <w:trHeight w:val="385" w:hRule="exact"/>
        </w:trPr>
        <w:tc>
          <w:tcPr>
            <w:tcW w:w="45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1799"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nil" w:sz="6" w:space="0" w:color="auto"/>
            </w:tcBorders>
          </w:tcPr>
          <w:p>
            <w:pPr/>
          </w:p>
        </w:tc>
      </w:tr>
      <w:tr>
        <w:trPr>
          <w:trHeight w:val="384" w:hRule="exact"/>
        </w:trPr>
        <w:tc>
          <w:tcPr>
            <w:tcW w:w="45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1799"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nil" w:sz="6" w:space="0" w:color="auto"/>
            </w:tcBorders>
          </w:tcPr>
          <w:p>
            <w:pPr/>
          </w:p>
        </w:tc>
      </w:tr>
      <w:tr>
        <w:trPr>
          <w:trHeight w:val="390" w:hRule="exact"/>
        </w:trPr>
        <w:tc>
          <w:tcPr>
            <w:tcW w:w="45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、现金及现金等价物净变动情况</w:t>
            </w:r>
          </w:p>
        </w:tc>
        <w:tc>
          <w:tcPr>
            <w:tcW w:w="1799"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nil" w:sz="6" w:space="0" w:color="auto"/>
            </w:tcBorders>
          </w:tcPr>
          <w:p>
            <w:pPr/>
          </w:p>
        </w:tc>
      </w:tr>
      <w:tr>
        <w:trPr>
          <w:trHeight w:val="385" w:hRule="exact"/>
        </w:trPr>
        <w:tc>
          <w:tcPr>
            <w:tcW w:w="4576"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8"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63"/>
              <w:jc w:val="right"/>
              <w:rPr>
                <w:rFonts w:ascii="Times New Roman" w:hAnsi="Times New Roman" w:cs="Times New Roman" w:eastAsia="Times New Roman" w:hint="default"/>
                <w:sz w:val="21"/>
                <w:szCs w:val="21"/>
              </w:rPr>
            </w:pPr>
            <w:r>
              <w:rPr>
                <w:rFonts w:ascii="Times New Roman"/>
                <w:spacing w:val="-1"/>
                <w:sz w:val="21"/>
              </w:rPr>
              <w:t>1,673,584,436.22</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99"/>
              <w:jc w:val="right"/>
              <w:rPr>
                <w:rFonts w:ascii="Times New Roman" w:hAnsi="Times New Roman" w:cs="Times New Roman" w:eastAsia="Times New Roman" w:hint="default"/>
                <w:sz w:val="21"/>
                <w:szCs w:val="21"/>
              </w:rPr>
            </w:pPr>
            <w:r>
              <w:rPr>
                <w:rFonts w:ascii="Times New Roman"/>
                <w:spacing w:val="-1"/>
                <w:sz w:val="21"/>
              </w:rPr>
              <w:t>2,075,195,770.14</w:t>
            </w:r>
          </w:p>
        </w:tc>
      </w:tr>
      <w:tr>
        <w:trPr>
          <w:trHeight w:val="384" w:hRule="exact"/>
        </w:trPr>
        <w:tc>
          <w:tcPr>
            <w:tcW w:w="4576"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减：现金的期初余额</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63"/>
              <w:jc w:val="right"/>
              <w:rPr>
                <w:rFonts w:ascii="Times New Roman" w:hAnsi="Times New Roman" w:cs="Times New Roman" w:eastAsia="Times New Roman" w:hint="default"/>
                <w:sz w:val="21"/>
                <w:szCs w:val="21"/>
              </w:rPr>
            </w:pPr>
            <w:r>
              <w:rPr>
                <w:rFonts w:ascii="Times New Roman"/>
                <w:spacing w:val="-1"/>
                <w:sz w:val="21"/>
              </w:rPr>
              <w:t>2,075,195,770.14</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9"/>
              <w:jc w:val="right"/>
              <w:rPr>
                <w:rFonts w:ascii="Times New Roman" w:hAnsi="Times New Roman" w:cs="Times New Roman" w:eastAsia="Times New Roman" w:hint="default"/>
                <w:sz w:val="21"/>
                <w:szCs w:val="21"/>
              </w:rPr>
            </w:pPr>
            <w:r>
              <w:rPr>
                <w:rFonts w:ascii="Times New Roman"/>
                <w:spacing w:val="-1"/>
                <w:sz w:val="21"/>
              </w:rPr>
              <w:t>189,138,415.73</w:t>
            </w:r>
          </w:p>
        </w:tc>
      </w:tr>
      <w:tr>
        <w:trPr>
          <w:trHeight w:val="391" w:hRule="exact"/>
        </w:trPr>
        <w:tc>
          <w:tcPr>
            <w:tcW w:w="4576"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加：现金等价物的期末余额</w:t>
            </w:r>
          </w:p>
        </w:tc>
        <w:tc>
          <w:tcPr>
            <w:tcW w:w="1799" w:type="dxa"/>
            <w:tcBorders>
              <w:top w:val="nil" w:sz="6" w:space="0" w:color="auto"/>
              <w:left w:val="nil" w:sz="6" w:space="0" w:color="auto"/>
              <w:bottom w:val="single" w:sz="12" w:space="0" w:color="000000"/>
              <w:right w:val="nil" w:sz="6" w:space="0" w:color="auto"/>
            </w:tcBorders>
          </w:tcPr>
          <w:p>
            <w:pPr/>
          </w:p>
        </w:tc>
        <w:tc>
          <w:tcPr>
            <w:tcW w:w="1736" w:type="dxa"/>
            <w:tcBorders>
              <w:top w:val="nil" w:sz="6" w:space="0" w:color="auto"/>
              <w:left w:val="nil" w:sz="6" w:space="0" w:color="auto"/>
              <w:bottom w:val="single" w:sz="12" w:space="0" w:color="000000"/>
              <w:right w:val="nil" w:sz="6" w:space="0" w:color="auto"/>
            </w:tcBorders>
          </w:tcPr>
          <w:p>
            <w:pPr/>
          </w:p>
        </w:tc>
      </w:tr>
    </w:tbl>
    <w:p>
      <w:pPr>
        <w:spacing w:after="0"/>
        <w:sectPr>
          <w:pgSz w:w="11910" w:h="16840"/>
          <w:pgMar w:header="851" w:footer="982" w:top="1300" w:bottom="1180" w:left="1660" w:right="720"/>
        </w:sectPr>
      </w:pPr>
    </w:p>
    <w:p>
      <w:pPr>
        <w:spacing w:line="240" w:lineRule="auto" w:before="3"/>
        <w:rPr>
          <w:rFonts w:ascii="宋体" w:hAnsi="宋体" w:cs="宋体" w:eastAsia="宋体" w:hint="default"/>
          <w:b/>
          <w:bCs/>
          <w:sz w:val="2"/>
          <w:szCs w:val="2"/>
        </w:rPr>
      </w:pPr>
    </w:p>
    <w:tbl>
      <w:tblPr>
        <w:tblW w:w="0" w:type="auto"/>
        <w:jc w:val="left"/>
        <w:tblInd w:w="1289" w:type="dxa"/>
        <w:tblLayout w:type="fixed"/>
        <w:tblCellMar>
          <w:top w:w="0" w:type="dxa"/>
          <w:left w:w="0" w:type="dxa"/>
          <w:bottom w:w="0" w:type="dxa"/>
          <w:right w:w="0" w:type="dxa"/>
        </w:tblCellMar>
        <w:tblLook w:val="01E0"/>
      </w:tblPr>
      <w:tblGrid>
        <w:gridCol w:w="3731"/>
        <w:gridCol w:w="2644"/>
        <w:gridCol w:w="1736"/>
      </w:tblGrid>
      <w:tr>
        <w:trPr>
          <w:trHeight w:val="495" w:hRule="exact"/>
        </w:trPr>
        <w:tc>
          <w:tcPr>
            <w:tcW w:w="3731"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减：现金等价物的期初余额</w:t>
            </w:r>
          </w:p>
        </w:tc>
        <w:tc>
          <w:tcPr>
            <w:tcW w:w="2644" w:type="dxa"/>
            <w:tcBorders>
              <w:top w:val="single" w:sz="12" w:space="0" w:color="000000"/>
              <w:left w:val="nil" w:sz="6" w:space="0" w:color="auto"/>
              <w:bottom w:val="nil" w:sz="6" w:space="0" w:color="auto"/>
              <w:right w:val="nil" w:sz="6" w:space="0" w:color="auto"/>
            </w:tcBorders>
          </w:tcPr>
          <w:p>
            <w:pPr/>
          </w:p>
        </w:tc>
        <w:tc>
          <w:tcPr>
            <w:tcW w:w="1736" w:type="dxa"/>
            <w:tcBorders>
              <w:top w:val="single" w:sz="12" w:space="0" w:color="000000"/>
              <w:left w:val="nil" w:sz="6" w:space="0" w:color="auto"/>
              <w:bottom w:val="nil" w:sz="6" w:space="0" w:color="auto"/>
              <w:right w:val="nil" w:sz="6" w:space="0" w:color="auto"/>
            </w:tcBorders>
          </w:tcPr>
          <w:p>
            <w:pPr/>
          </w:p>
        </w:tc>
      </w:tr>
      <w:tr>
        <w:trPr>
          <w:trHeight w:val="395" w:hRule="exact"/>
        </w:trPr>
        <w:tc>
          <w:tcPr>
            <w:tcW w:w="3731"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2644" w:type="dxa"/>
            <w:tcBorders>
              <w:top w:val="nil" w:sz="6" w:space="0" w:color="auto"/>
              <w:left w:val="nil" w:sz="6" w:space="0" w:color="auto"/>
              <w:bottom w:val="single" w:sz="12" w:space="0" w:color="000000"/>
              <w:right w:val="nil" w:sz="6" w:space="0" w:color="auto"/>
            </w:tcBorders>
          </w:tcPr>
          <w:p>
            <w:pPr>
              <w:pStyle w:val="TableParagraph"/>
              <w:spacing w:line="240" w:lineRule="auto" w:before="71"/>
              <w:ind w:left="1103" w:right="0"/>
              <w:jc w:val="left"/>
              <w:rPr>
                <w:rFonts w:ascii="Times New Roman" w:hAnsi="Times New Roman" w:cs="Times New Roman" w:eastAsia="Times New Roman" w:hint="default"/>
                <w:sz w:val="21"/>
                <w:szCs w:val="21"/>
              </w:rPr>
            </w:pPr>
            <w:r>
              <w:rPr>
                <w:rFonts w:ascii="Times New Roman"/>
                <w:sz w:val="21"/>
              </w:rPr>
              <w:t>-401,611,333.92</w:t>
            </w:r>
          </w:p>
        </w:tc>
        <w:tc>
          <w:tcPr>
            <w:tcW w:w="1736" w:type="dxa"/>
            <w:tcBorders>
              <w:top w:val="nil" w:sz="6" w:space="0" w:color="auto"/>
              <w:left w:val="nil" w:sz="6" w:space="0" w:color="auto"/>
              <w:bottom w:val="single" w:sz="12" w:space="0" w:color="000000"/>
              <w:right w:val="nil" w:sz="6" w:space="0" w:color="auto"/>
            </w:tcBorders>
          </w:tcPr>
          <w:p>
            <w:pPr>
              <w:pStyle w:val="TableParagraph"/>
              <w:spacing w:line="240" w:lineRule="auto" w:before="71"/>
              <w:ind w:left="164" w:right="0"/>
              <w:jc w:val="left"/>
              <w:rPr>
                <w:rFonts w:ascii="Times New Roman" w:hAnsi="Times New Roman" w:cs="Times New Roman" w:eastAsia="Times New Roman" w:hint="default"/>
                <w:sz w:val="21"/>
                <w:szCs w:val="21"/>
              </w:rPr>
            </w:pPr>
            <w:r>
              <w:rPr>
                <w:rFonts w:ascii="Times New Roman"/>
                <w:sz w:val="21"/>
              </w:rPr>
              <w:t>1,886,057,354.41</w:t>
            </w:r>
          </w:p>
        </w:tc>
      </w:tr>
    </w:tbl>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tabs>
          <w:tab w:pos="1393" w:val="left" w:leader="none"/>
        </w:tabs>
        <w:spacing w:before="35"/>
        <w:ind w:left="855" w:right="1510" w:firstLine="0"/>
        <w:jc w:val="left"/>
        <w:rPr>
          <w:rFonts w:ascii="宋体" w:hAnsi="宋体" w:cs="宋体" w:eastAsia="宋体" w:hint="default"/>
          <w:sz w:val="21"/>
          <w:szCs w:val="21"/>
        </w:rPr>
      </w:pPr>
      <w:r>
        <w:rPr/>
        <w:pict>
          <v:group style="position:absolute;margin-left:88.379997pt;margin-top:-73.161552pt;width:443.85pt;height:.1pt;mso-position-horizontal-relative:page;mso-position-vertical-relative:paragraph;z-index:-706792" coordorigin="1768,-1463" coordsize="8877,2">
            <v:shape style="position:absolute;left:1768;top:-1463;width:8877;height:2" coordorigin="1768,-1463" coordsize="8877,0" path="m1768,-1463l10644,-1463e" filled="false" stroked="true" strokeweight=".72pt" strokecolor="#000000">
              <v:path arrowok="t"/>
            </v:shape>
            <w10:wrap type="none"/>
          </v:group>
        </w:pict>
      </w:r>
      <w:r>
        <w:rPr/>
        <w:pict>
          <v:shape style="position:absolute;margin-left:146.839996pt;margin-top:-68.301559pt;width:401.286694pt;height:38.3625pt;mso-position-horizontal-relative:page;mso-position-vertical-relative:paragraph;z-index:-706768" type="#_x0000_t75" stroked="false">
            <v:imagedata r:id="rId252" o:title=""/>
          </v:shape>
        </w:pict>
      </w:r>
      <w:r>
        <w:rPr/>
        <w:pict>
          <v:group style="position:absolute;margin-left:146.520004pt;margin-top:17.618454pt;width:390.55pt;height:220.2pt;mso-position-horizontal-relative:page;mso-position-vertical-relative:paragraph;z-index:-706744" coordorigin="2930,352" coordsize="7811,4404">
            <v:shape style="position:absolute;left:7728;top:352;width:1516;height:413" type="#_x0000_t75" stroked="false">
              <v:imagedata r:id="rId253" o:title=""/>
            </v:shape>
            <v:shape style="position:absolute;left:2930;top:733;width:7811;height:4023" type="#_x0000_t75" stroked="false">
              <v:imagedata r:id="rId254" o:title=""/>
            </v:shape>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本期取得或处置子公司及其他营业单位的相关信息</w:t>
      </w:r>
      <w:r>
        <w:rPr>
          <w:rFonts w:ascii="宋体" w:hAnsi="宋体" w:cs="宋体" w:eastAsia="宋体" w:hint="default"/>
          <w:sz w:val="21"/>
          <w:szCs w:val="21"/>
        </w:rPr>
      </w:r>
    </w:p>
    <w:tbl>
      <w:tblPr>
        <w:tblW w:w="0" w:type="auto"/>
        <w:jc w:val="left"/>
        <w:tblInd w:w="1289" w:type="dxa"/>
        <w:tblLayout w:type="fixed"/>
        <w:tblCellMar>
          <w:top w:w="0" w:type="dxa"/>
          <w:left w:w="0" w:type="dxa"/>
          <w:bottom w:w="0" w:type="dxa"/>
          <w:right w:w="0" w:type="dxa"/>
        </w:tblCellMar>
        <w:tblLook w:val="01E0"/>
      </w:tblPr>
      <w:tblGrid>
        <w:gridCol w:w="4867"/>
        <w:gridCol w:w="1412"/>
        <w:gridCol w:w="1493"/>
      </w:tblGrid>
      <w:tr>
        <w:trPr>
          <w:trHeight w:val="394" w:hRule="exact"/>
        </w:trPr>
        <w:tc>
          <w:tcPr>
            <w:tcW w:w="4867" w:type="dxa"/>
            <w:tcBorders>
              <w:top w:val="single" w:sz="12" w:space="0" w:color="000000"/>
              <w:left w:val="nil" w:sz="6" w:space="0" w:color="auto"/>
              <w:bottom w:val="nil" w:sz="6" w:space="0" w:color="auto"/>
              <w:right w:val="nil" w:sz="6" w:space="0" w:color="auto"/>
            </w:tcBorders>
          </w:tcPr>
          <w:p>
            <w:pPr>
              <w:pStyle w:val="TableParagraph"/>
              <w:tabs>
                <w:tab w:pos="539" w:val="left" w:leader="none"/>
              </w:tabs>
              <w:spacing w:line="240" w:lineRule="auto" w:before="41"/>
              <w:ind w:right="62"/>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41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08"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49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84"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385" w:hRule="exact"/>
        </w:trPr>
        <w:tc>
          <w:tcPr>
            <w:tcW w:w="4867"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8" w:right="0"/>
              <w:jc w:val="left"/>
              <w:rPr>
                <w:rFonts w:ascii="宋体" w:hAnsi="宋体" w:cs="宋体" w:eastAsia="宋体" w:hint="default"/>
                <w:sz w:val="18"/>
                <w:szCs w:val="18"/>
              </w:rPr>
            </w:pPr>
            <w:r>
              <w:rPr>
                <w:rFonts w:ascii="宋体" w:hAnsi="宋体" w:cs="宋体" w:eastAsia="宋体" w:hint="default"/>
                <w:sz w:val="18"/>
                <w:szCs w:val="18"/>
              </w:rPr>
              <w:t>一、取得子公司及其他营业单位的有关信息：</w:t>
            </w:r>
          </w:p>
        </w:tc>
        <w:tc>
          <w:tcPr>
            <w:tcW w:w="1412"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
        </w:tc>
      </w:tr>
      <w:tr>
        <w:trPr>
          <w:trHeight w:val="412" w:hRule="exact"/>
        </w:trPr>
        <w:tc>
          <w:tcPr>
            <w:tcW w:w="486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、取得子公司及其他营业单位的价格</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15"/>
              <w:jc w:val="right"/>
              <w:rPr>
                <w:rFonts w:ascii="Times New Roman" w:hAnsi="Times New Roman" w:cs="Times New Roman" w:eastAsia="Times New Roman" w:hint="default"/>
                <w:sz w:val="18"/>
                <w:szCs w:val="18"/>
              </w:rPr>
            </w:pPr>
            <w:r>
              <w:rPr>
                <w:rFonts w:ascii="Times New Roman"/>
                <w:spacing w:val="-1"/>
                <w:sz w:val="18"/>
              </w:rPr>
              <w:t>59,000,000.00</w:t>
            </w:r>
          </w:p>
        </w:tc>
        <w:tc>
          <w:tcPr>
            <w:tcW w:w="1493" w:type="dxa"/>
            <w:tcBorders>
              <w:top w:val="nil" w:sz="6" w:space="0" w:color="auto"/>
              <w:left w:val="nil" w:sz="6" w:space="0" w:color="auto"/>
              <w:bottom w:val="nil" w:sz="6" w:space="0" w:color="auto"/>
              <w:right w:val="nil" w:sz="6" w:space="0" w:color="auto"/>
            </w:tcBorders>
          </w:tcPr>
          <w:p>
            <w:pPr/>
          </w:p>
        </w:tc>
      </w:tr>
      <w:tr>
        <w:trPr>
          <w:trHeight w:val="448" w:hRule="exact"/>
        </w:trPr>
        <w:tc>
          <w:tcPr>
            <w:tcW w:w="4867" w:type="dxa"/>
            <w:tcBorders>
              <w:top w:val="nil" w:sz="6" w:space="0" w:color="auto"/>
              <w:left w:val="nil" w:sz="6" w:space="0" w:color="auto"/>
              <w:bottom w:val="nil" w:sz="6" w:space="0" w:color="auto"/>
              <w:right w:val="nil" w:sz="6" w:space="0" w:color="auto"/>
            </w:tcBorders>
          </w:tcPr>
          <w:p>
            <w:pPr>
              <w:pStyle w:val="TableParagraph"/>
              <w:spacing w:line="240" w:lineRule="auto" w:before="64"/>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、取得子公司及其他营业单位支付的现金和现金等价物</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15"/>
              <w:jc w:val="right"/>
              <w:rPr>
                <w:rFonts w:ascii="Times New Roman" w:hAnsi="Times New Roman" w:cs="Times New Roman" w:eastAsia="Times New Roman" w:hint="default"/>
                <w:sz w:val="18"/>
                <w:szCs w:val="18"/>
              </w:rPr>
            </w:pPr>
            <w:r>
              <w:rPr>
                <w:rFonts w:ascii="Times New Roman"/>
                <w:spacing w:val="-1"/>
                <w:sz w:val="18"/>
              </w:rPr>
              <w:t>59,000,000.00</w:t>
            </w:r>
          </w:p>
        </w:tc>
        <w:tc>
          <w:tcPr>
            <w:tcW w:w="1493" w:type="dxa"/>
            <w:tcBorders>
              <w:top w:val="nil" w:sz="6" w:space="0" w:color="auto"/>
              <w:left w:val="nil" w:sz="6" w:space="0" w:color="auto"/>
              <w:bottom w:val="nil" w:sz="6" w:space="0" w:color="auto"/>
              <w:right w:val="nil" w:sz="6" w:space="0" w:color="auto"/>
            </w:tcBorders>
          </w:tcPr>
          <w:p>
            <w:pPr/>
          </w:p>
        </w:tc>
      </w:tr>
      <w:tr>
        <w:trPr>
          <w:trHeight w:val="443" w:hRule="exact"/>
        </w:trPr>
        <w:tc>
          <w:tcPr>
            <w:tcW w:w="4867" w:type="dxa"/>
            <w:tcBorders>
              <w:top w:val="nil" w:sz="6" w:space="0" w:color="auto"/>
              <w:left w:val="nil" w:sz="6" w:space="0" w:color="auto"/>
              <w:bottom w:val="nil" w:sz="6" w:space="0" w:color="auto"/>
              <w:right w:val="nil" w:sz="6" w:space="0" w:color="auto"/>
            </w:tcBorders>
          </w:tcPr>
          <w:p>
            <w:pPr>
              <w:pStyle w:val="TableParagraph"/>
              <w:spacing w:line="240" w:lineRule="auto" w:before="83"/>
              <w:ind w:left="468" w:right="0"/>
              <w:jc w:val="left"/>
              <w:rPr>
                <w:rFonts w:ascii="宋体" w:hAnsi="宋体" w:cs="宋体" w:eastAsia="宋体" w:hint="default"/>
                <w:sz w:val="18"/>
                <w:szCs w:val="18"/>
              </w:rPr>
            </w:pPr>
            <w:r>
              <w:rPr>
                <w:rFonts w:ascii="宋体" w:hAnsi="宋体" w:cs="宋体" w:eastAsia="宋体" w:hint="default"/>
                <w:sz w:val="18"/>
                <w:szCs w:val="18"/>
              </w:rPr>
              <w:t>减：子公司及其他营业单位持有的现金和现金等价物</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15"/>
              <w:jc w:val="right"/>
              <w:rPr>
                <w:rFonts w:ascii="Times New Roman" w:hAnsi="Times New Roman" w:cs="Times New Roman" w:eastAsia="Times New Roman" w:hint="default"/>
                <w:sz w:val="18"/>
                <w:szCs w:val="18"/>
              </w:rPr>
            </w:pPr>
            <w:r>
              <w:rPr>
                <w:rFonts w:ascii="Times New Roman"/>
                <w:spacing w:val="-1"/>
                <w:sz w:val="18"/>
              </w:rPr>
              <w:t>1,944,109.87</w:t>
            </w:r>
          </w:p>
        </w:tc>
        <w:tc>
          <w:tcPr>
            <w:tcW w:w="1493" w:type="dxa"/>
            <w:tcBorders>
              <w:top w:val="nil" w:sz="6" w:space="0" w:color="auto"/>
              <w:left w:val="nil" w:sz="6" w:space="0" w:color="auto"/>
              <w:bottom w:val="nil" w:sz="6" w:space="0" w:color="auto"/>
              <w:right w:val="nil" w:sz="6" w:space="0" w:color="auto"/>
            </w:tcBorders>
          </w:tcPr>
          <w:p>
            <w:pPr/>
          </w:p>
        </w:tc>
      </w:tr>
      <w:tr>
        <w:trPr>
          <w:trHeight w:val="404" w:hRule="exact"/>
        </w:trPr>
        <w:tc>
          <w:tcPr>
            <w:tcW w:w="4867"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、取得子公司及其他营业单位支付的现金净额</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15"/>
              <w:jc w:val="right"/>
              <w:rPr>
                <w:rFonts w:ascii="Times New Roman" w:hAnsi="Times New Roman" w:cs="Times New Roman" w:eastAsia="Times New Roman" w:hint="default"/>
                <w:sz w:val="18"/>
                <w:szCs w:val="18"/>
              </w:rPr>
            </w:pPr>
            <w:r>
              <w:rPr>
                <w:rFonts w:ascii="Times New Roman"/>
                <w:spacing w:val="-1"/>
                <w:sz w:val="18"/>
              </w:rPr>
              <w:t>57,055,890.13</w:t>
            </w:r>
          </w:p>
        </w:tc>
        <w:tc>
          <w:tcPr>
            <w:tcW w:w="1493" w:type="dxa"/>
            <w:tcBorders>
              <w:top w:val="nil" w:sz="6" w:space="0" w:color="auto"/>
              <w:left w:val="nil" w:sz="6" w:space="0" w:color="auto"/>
              <w:bottom w:val="nil" w:sz="6" w:space="0" w:color="auto"/>
              <w:right w:val="nil" w:sz="6" w:space="0" w:color="auto"/>
            </w:tcBorders>
          </w:tcPr>
          <w:p>
            <w:pPr/>
          </w:p>
        </w:tc>
      </w:tr>
      <w:tr>
        <w:trPr>
          <w:trHeight w:val="385" w:hRule="exact"/>
        </w:trPr>
        <w:tc>
          <w:tcPr>
            <w:tcW w:w="486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、取得子公司的净资产</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15"/>
              <w:jc w:val="right"/>
              <w:rPr>
                <w:rFonts w:ascii="Times New Roman" w:hAnsi="Times New Roman" w:cs="Times New Roman" w:eastAsia="Times New Roman" w:hint="default"/>
                <w:sz w:val="18"/>
                <w:szCs w:val="18"/>
              </w:rPr>
            </w:pPr>
            <w:r>
              <w:rPr>
                <w:rFonts w:ascii="Times New Roman"/>
                <w:spacing w:val="-1"/>
                <w:sz w:val="18"/>
              </w:rPr>
              <w:t>25,529,185.37</w:t>
            </w:r>
          </w:p>
        </w:tc>
        <w:tc>
          <w:tcPr>
            <w:tcW w:w="1493" w:type="dxa"/>
            <w:tcBorders>
              <w:top w:val="nil" w:sz="6" w:space="0" w:color="auto"/>
              <w:left w:val="nil" w:sz="6" w:space="0" w:color="auto"/>
              <w:bottom w:val="nil" w:sz="6" w:space="0" w:color="auto"/>
              <w:right w:val="nil" w:sz="6" w:space="0" w:color="auto"/>
            </w:tcBorders>
          </w:tcPr>
          <w:p>
            <w:pPr/>
          </w:p>
        </w:tc>
      </w:tr>
      <w:tr>
        <w:trPr>
          <w:trHeight w:val="383" w:hRule="exact"/>
        </w:trPr>
        <w:tc>
          <w:tcPr>
            <w:tcW w:w="486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468"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5"/>
              <w:jc w:val="right"/>
              <w:rPr>
                <w:rFonts w:ascii="Times New Roman" w:hAnsi="Times New Roman" w:cs="Times New Roman" w:eastAsia="Times New Roman" w:hint="default"/>
                <w:sz w:val="18"/>
                <w:szCs w:val="18"/>
              </w:rPr>
            </w:pPr>
            <w:r>
              <w:rPr>
                <w:rFonts w:ascii="Times New Roman"/>
                <w:spacing w:val="-1"/>
                <w:sz w:val="18"/>
              </w:rPr>
              <w:t>31,646,225.85</w:t>
            </w:r>
          </w:p>
        </w:tc>
        <w:tc>
          <w:tcPr>
            <w:tcW w:w="1493" w:type="dxa"/>
            <w:tcBorders>
              <w:top w:val="nil" w:sz="6" w:space="0" w:color="auto"/>
              <w:left w:val="nil" w:sz="6" w:space="0" w:color="auto"/>
              <w:bottom w:val="nil" w:sz="6" w:space="0" w:color="auto"/>
              <w:right w:val="nil" w:sz="6" w:space="0" w:color="auto"/>
            </w:tcBorders>
          </w:tcPr>
          <w:p>
            <w:pPr/>
          </w:p>
        </w:tc>
      </w:tr>
      <w:tr>
        <w:trPr>
          <w:trHeight w:val="384" w:hRule="exact"/>
        </w:trPr>
        <w:tc>
          <w:tcPr>
            <w:tcW w:w="486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468"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5"/>
              <w:jc w:val="right"/>
              <w:rPr>
                <w:rFonts w:ascii="Times New Roman" w:hAnsi="Times New Roman" w:cs="Times New Roman" w:eastAsia="Times New Roman" w:hint="default"/>
                <w:sz w:val="18"/>
                <w:szCs w:val="18"/>
              </w:rPr>
            </w:pPr>
            <w:r>
              <w:rPr>
                <w:rFonts w:ascii="Times New Roman"/>
                <w:sz w:val="18"/>
              </w:rPr>
              <w:t>736,031.15</w:t>
            </w:r>
          </w:p>
        </w:tc>
        <w:tc>
          <w:tcPr>
            <w:tcW w:w="1493" w:type="dxa"/>
            <w:tcBorders>
              <w:top w:val="nil" w:sz="6" w:space="0" w:color="auto"/>
              <w:left w:val="nil" w:sz="6" w:space="0" w:color="auto"/>
              <w:bottom w:val="nil" w:sz="6" w:space="0" w:color="auto"/>
              <w:right w:val="nil" w:sz="6" w:space="0" w:color="auto"/>
            </w:tcBorders>
          </w:tcPr>
          <w:p>
            <w:pPr/>
          </w:p>
        </w:tc>
      </w:tr>
      <w:tr>
        <w:trPr>
          <w:trHeight w:val="385" w:hRule="exact"/>
        </w:trPr>
        <w:tc>
          <w:tcPr>
            <w:tcW w:w="486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468"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5"/>
              <w:jc w:val="right"/>
              <w:rPr>
                <w:rFonts w:ascii="Times New Roman" w:hAnsi="Times New Roman" w:cs="Times New Roman" w:eastAsia="Times New Roman" w:hint="default"/>
                <w:sz w:val="18"/>
                <w:szCs w:val="18"/>
              </w:rPr>
            </w:pPr>
            <w:r>
              <w:rPr>
                <w:rFonts w:ascii="Times New Roman"/>
                <w:spacing w:val="-1"/>
                <w:sz w:val="18"/>
              </w:rPr>
              <w:t>6,853,071.63</w:t>
            </w:r>
          </w:p>
        </w:tc>
        <w:tc>
          <w:tcPr>
            <w:tcW w:w="1493" w:type="dxa"/>
            <w:tcBorders>
              <w:top w:val="nil" w:sz="6" w:space="0" w:color="auto"/>
              <w:left w:val="nil" w:sz="6" w:space="0" w:color="auto"/>
              <w:bottom w:val="nil" w:sz="6" w:space="0" w:color="auto"/>
              <w:right w:val="nil" w:sz="6" w:space="0" w:color="auto"/>
            </w:tcBorders>
          </w:tcPr>
          <w:p>
            <w:pPr/>
          </w:p>
        </w:tc>
      </w:tr>
      <w:tr>
        <w:trPr>
          <w:trHeight w:val="391" w:hRule="exact"/>
        </w:trPr>
        <w:tc>
          <w:tcPr>
            <w:tcW w:w="4867" w:type="dxa"/>
            <w:tcBorders>
              <w:top w:val="nil" w:sz="6" w:space="0" w:color="auto"/>
              <w:left w:val="nil" w:sz="6" w:space="0" w:color="auto"/>
              <w:bottom w:val="single" w:sz="12" w:space="0" w:color="000000"/>
              <w:right w:val="nil" w:sz="6" w:space="0" w:color="auto"/>
            </w:tcBorders>
          </w:tcPr>
          <w:p>
            <w:pPr>
              <w:pStyle w:val="TableParagraph"/>
              <w:spacing w:line="240" w:lineRule="auto" w:before="43"/>
              <w:ind w:left="468"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412" w:type="dxa"/>
            <w:tcBorders>
              <w:top w:val="nil" w:sz="6" w:space="0" w:color="auto"/>
              <w:left w:val="nil" w:sz="6" w:space="0" w:color="auto"/>
              <w:bottom w:val="single" w:sz="12" w:space="0" w:color="000000"/>
              <w:right w:val="nil" w:sz="6" w:space="0" w:color="auto"/>
            </w:tcBorders>
          </w:tcPr>
          <w:p>
            <w:pPr/>
          </w:p>
        </w:tc>
        <w:tc>
          <w:tcPr>
            <w:tcW w:w="1493"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3"/>
          <w:szCs w:val="23"/>
        </w:rPr>
      </w:pPr>
    </w:p>
    <w:p>
      <w:pPr>
        <w:tabs>
          <w:tab w:pos="1393" w:val="left" w:leader="none"/>
        </w:tabs>
        <w:spacing w:before="35"/>
        <w:ind w:left="855" w:right="1510" w:firstLine="0"/>
        <w:jc w:val="left"/>
        <w:rPr>
          <w:rFonts w:ascii="宋体" w:hAnsi="宋体" w:cs="宋体" w:eastAsia="宋体" w:hint="default"/>
          <w:sz w:val="21"/>
          <w:szCs w:val="21"/>
        </w:rPr>
      </w:pPr>
      <w:r>
        <w:rPr/>
        <w:pict>
          <v:group style="position:absolute;margin-left:146.520004pt;margin-top:17.618454pt;width:390.8pt;height:154.2pt;mso-position-horizontal-relative:page;mso-position-vertical-relative:paragraph;z-index:-706720" coordorigin="2930,352" coordsize="7816,3084">
            <v:shape style="position:absolute;left:7160;top:352;width:1848;height:413" type="#_x0000_t75" stroked="false">
              <v:imagedata r:id="rId255" o:title=""/>
            </v:shape>
            <v:shape style="position:absolute;left:2930;top:727;width:7816;height:2710" type="#_x0000_t75" stroked="false">
              <v:imagedata r:id="rId256" o:title=""/>
            </v:shape>
            <w10:wrap type="none"/>
          </v:group>
        </w:pict>
      </w: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现金和现金等价物的构成：</w:t>
      </w:r>
      <w:r>
        <w:rPr>
          <w:rFonts w:ascii="宋体" w:hAnsi="宋体" w:cs="宋体" w:eastAsia="宋体" w:hint="default"/>
          <w:sz w:val="21"/>
          <w:szCs w:val="21"/>
        </w:rPr>
      </w:r>
    </w:p>
    <w:tbl>
      <w:tblPr>
        <w:tblW w:w="0" w:type="auto"/>
        <w:jc w:val="left"/>
        <w:tblInd w:w="1289" w:type="dxa"/>
        <w:tblLayout w:type="fixed"/>
        <w:tblCellMar>
          <w:top w:w="0" w:type="dxa"/>
          <w:left w:w="0" w:type="dxa"/>
          <w:bottom w:w="0" w:type="dxa"/>
          <w:right w:w="0" w:type="dxa"/>
        </w:tblCellMar>
        <w:tblLook w:val="01E0"/>
      </w:tblPr>
      <w:tblGrid>
        <w:gridCol w:w="3962"/>
        <w:gridCol w:w="2101"/>
        <w:gridCol w:w="1710"/>
      </w:tblGrid>
      <w:tr>
        <w:trPr>
          <w:trHeight w:val="393" w:hRule="exact"/>
        </w:trPr>
        <w:tc>
          <w:tcPr>
            <w:tcW w:w="3962" w:type="dxa"/>
            <w:tcBorders>
              <w:top w:val="single" w:sz="12" w:space="0" w:color="000000"/>
              <w:left w:val="nil" w:sz="6" w:space="0" w:color="auto"/>
              <w:bottom w:val="nil" w:sz="6" w:space="0" w:color="auto"/>
              <w:right w:val="nil" w:sz="6" w:space="0" w:color="auto"/>
            </w:tcBorders>
          </w:tcPr>
          <w:p>
            <w:pPr>
              <w:pStyle w:val="TableParagraph"/>
              <w:tabs>
                <w:tab w:pos="901" w:val="left" w:leader="none"/>
              </w:tabs>
              <w:spacing w:line="240" w:lineRule="auto" w:before="16"/>
              <w:ind w:left="271"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101"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752"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1710"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422"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90" w:hRule="exact"/>
        </w:trPr>
        <w:tc>
          <w:tcPr>
            <w:tcW w:w="3962" w:type="dxa"/>
            <w:tcBorders>
              <w:top w:val="nil" w:sz="6" w:space="0" w:color="auto"/>
              <w:left w:val="nil" w:sz="6" w:space="0" w:color="auto"/>
              <w:bottom w:val="nil" w:sz="6" w:space="0" w:color="auto"/>
              <w:right w:val="nil" w:sz="6" w:space="0" w:color="auto"/>
            </w:tcBorders>
          </w:tcPr>
          <w:p>
            <w:pPr>
              <w:pStyle w:val="TableParagraph"/>
              <w:tabs>
                <w:tab w:pos="1157" w:val="left" w:leader="none"/>
              </w:tabs>
              <w:spacing w:line="240" w:lineRule="auto" w:before="22"/>
              <w:ind w:left="108" w:right="0"/>
              <w:jc w:val="left"/>
              <w:rPr>
                <w:rFonts w:ascii="宋体" w:hAnsi="宋体" w:cs="宋体" w:eastAsia="宋体" w:hint="default"/>
                <w:sz w:val="21"/>
                <w:szCs w:val="21"/>
              </w:rPr>
            </w:pPr>
            <w:r>
              <w:rPr>
                <w:rFonts w:ascii="宋体" w:hAnsi="宋体" w:cs="宋体" w:eastAsia="宋体" w:hint="default"/>
                <w:sz w:val="21"/>
                <w:szCs w:val="21"/>
              </w:rPr>
              <w:t>一、现</w:t>
              <w:tab/>
              <w:t>金</w:t>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34"/>
              <w:jc w:val="right"/>
              <w:rPr>
                <w:rFonts w:ascii="Times New Roman" w:hAnsi="Times New Roman" w:cs="Times New Roman" w:eastAsia="Times New Roman" w:hint="default"/>
                <w:sz w:val="21"/>
                <w:szCs w:val="21"/>
              </w:rPr>
            </w:pPr>
            <w:r>
              <w:rPr>
                <w:rFonts w:ascii="Times New Roman"/>
                <w:spacing w:val="-1"/>
                <w:sz w:val="21"/>
              </w:rPr>
              <w:t>1,673,584,436.22</w:t>
            </w:r>
          </w:p>
        </w:tc>
        <w:tc>
          <w:tcPr>
            <w:tcW w:w="171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0"/>
              <w:jc w:val="right"/>
              <w:rPr>
                <w:rFonts w:ascii="Times New Roman" w:hAnsi="Times New Roman" w:cs="Times New Roman" w:eastAsia="Times New Roman" w:hint="default"/>
                <w:sz w:val="21"/>
                <w:szCs w:val="21"/>
              </w:rPr>
            </w:pPr>
            <w:r>
              <w:rPr>
                <w:rFonts w:ascii="Times New Roman"/>
                <w:spacing w:val="-1"/>
                <w:sz w:val="21"/>
              </w:rPr>
              <w:t>2,075,195,770.14</w:t>
            </w:r>
          </w:p>
        </w:tc>
      </w:tr>
      <w:tr>
        <w:trPr>
          <w:trHeight w:val="385" w:hRule="exact"/>
        </w:trPr>
        <w:tc>
          <w:tcPr>
            <w:tcW w:w="396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其中：库存现金</w:t>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35"/>
              <w:jc w:val="right"/>
              <w:rPr>
                <w:rFonts w:ascii="Times New Roman" w:hAnsi="Times New Roman" w:cs="Times New Roman" w:eastAsia="Times New Roman" w:hint="default"/>
                <w:sz w:val="21"/>
                <w:szCs w:val="21"/>
              </w:rPr>
            </w:pPr>
            <w:r>
              <w:rPr>
                <w:rFonts w:ascii="Times New Roman"/>
                <w:spacing w:val="-3"/>
                <w:sz w:val="21"/>
              </w:rPr>
              <w:t>357,111.71</w:t>
            </w:r>
            <w:r>
              <w:rPr>
                <w:rFonts w:ascii="Times New Roman"/>
                <w:sz w:val="21"/>
              </w:rPr>
            </w:r>
          </w:p>
        </w:tc>
        <w:tc>
          <w:tcPr>
            <w:tcW w:w="1710"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255,489.35</w:t>
            </w:r>
            <w:r>
              <w:rPr>
                <w:rFonts w:ascii="Times New Roman"/>
                <w:sz w:val="21"/>
              </w:rPr>
            </w:r>
          </w:p>
        </w:tc>
      </w:tr>
      <w:tr>
        <w:trPr>
          <w:trHeight w:val="385" w:hRule="exact"/>
        </w:trPr>
        <w:tc>
          <w:tcPr>
            <w:tcW w:w="3962" w:type="dxa"/>
            <w:tcBorders>
              <w:top w:val="nil" w:sz="6" w:space="0" w:color="auto"/>
              <w:left w:val="nil" w:sz="6" w:space="0" w:color="auto"/>
              <w:bottom w:val="nil" w:sz="6" w:space="0" w:color="auto"/>
              <w:right w:val="nil" w:sz="6" w:space="0" w:color="auto"/>
            </w:tcBorders>
          </w:tcPr>
          <w:p>
            <w:pPr>
              <w:pStyle w:val="TableParagraph"/>
              <w:spacing w:line="240" w:lineRule="auto" w:before="17"/>
              <w:ind w:left="528" w:right="0"/>
              <w:jc w:val="left"/>
              <w:rPr>
                <w:rFonts w:ascii="宋体" w:hAnsi="宋体" w:cs="宋体" w:eastAsia="宋体" w:hint="default"/>
                <w:sz w:val="21"/>
                <w:szCs w:val="21"/>
              </w:rPr>
            </w:pPr>
            <w:r>
              <w:rPr>
                <w:rFonts w:ascii="宋体" w:hAnsi="宋体" w:cs="宋体" w:eastAsia="宋体" w:hint="default"/>
                <w:sz w:val="21"/>
                <w:szCs w:val="21"/>
              </w:rPr>
              <w:t>可随时用于支付的银行存款</w:t>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34"/>
              <w:jc w:val="right"/>
              <w:rPr>
                <w:rFonts w:ascii="Times New Roman" w:hAnsi="Times New Roman" w:cs="Times New Roman" w:eastAsia="Times New Roman" w:hint="default"/>
                <w:sz w:val="21"/>
                <w:szCs w:val="21"/>
              </w:rPr>
            </w:pPr>
            <w:r>
              <w:rPr>
                <w:rFonts w:ascii="Times New Roman"/>
                <w:spacing w:val="-1"/>
                <w:sz w:val="21"/>
              </w:rPr>
              <w:t>1,672,995,301.41</w:t>
            </w:r>
          </w:p>
        </w:tc>
        <w:tc>
          <w:tcPr>
            <w:tcW w:w="1710"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0"/>
              <w:jc w:val="right"/>
              <w:rPr>
                <w:rFonts w:ascii="Times New Roman" w:hAnsi="Times New Roman" w:cs="Times New Roman" w:eastAsia="Times New Roman" w:hint="default"/>
                <w:sz w:val="21"/>
                <w:szCs w:val="21"/>
              </w:rPr>
            </w:pPr>
            <w:r>
              <w:rPr>
                <w:rFonts w:ascii="Times New Roman"/>
                <w:spacing w:val="-1"/>
                <w:sz w:val="21"/>
              </w:rPr>
              <w:t>2,074,940,280.79</w:t>
            </w:r>
          </w:p>
        </w:tc>
      </w:tr>
      <w:tr>
        <w:trPr>
          <w:trHeight w:val="384" w:hRule="exact"/>
        </w:trPr>
        <w:tc>
          <w:tcPr>
            <w:tcW w:w="396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528" w:right="0"/>
              <w:jc w:val="left"/>
              <w:rPr>
                <w:rFonts w:ascii="宋体" w:hAnsi="宋体" w:cs="宋体" w:eastAsia="宋体" w:hint="default"/>
                <w:sz w:val="21"/>
                <w:szCs w:val="21"/>
              </w:rPr>
            </w:pPr>
            <w:r>
              <w:rPr>
                <w:rFonts w:ascii="宋体" w:hAnsi="宋体" w:cs="宋体" w:eastAsia="宋体" w:hint="default"/>
                <w:sz w:val="21"/>
                <w:szCs w:val="21"/>
              </w:rPr>
              <w:t>可随时用于支付的其他货币资金</w:t>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35"/>
              <w:jc w:val="right"/>
              <w:rPr>
                <w:rFonts w:ascii="Times New Roman" w:hAnsi="Times New Roman" w:cs="Times New Roman" w:eastAsia="Times New Roman" w:hint="default"/>
                <w:sz w:val="21"/>
                <w:szCs w:val="21"/>
              </w:rPr>
            </w:pPr>
            <w:r>
              <w:rPr>
                <w:rFonts w:ascii="Times New Roman"/>
                <w:spacing w:val="-1"/>
                <w:sz w:val="21"/>
              </w:rPr>
              <w:t>232,023.10</w:t>
            </w:r>
            <w:r>
              <w:rPr>
                <w:rFonts w:ascii="Times New Roman"/>
                <w:sz w:val="21"/>
              </w:rPr>
            </w:r>
          </w:p>
        </w:tc>
        <w:tc>
          <w:tcPr>
            <w:tcW w:w="1710" w:type="dxa"/>
            <w:tcBorders>
              <w:top w:val="nil" w:sz="6" w:space="0" w:color="auto"/>
              <w:left w:val="nil" w:sz="6" w:space="0" w:color="auto"/>
              <w:bottom w:val="nil" w:sz="6" w:space="0" w:color="auto"/>
              <w:right w:val="nil" w:sz="6" w:space="0" w:color="auto"/>
            </w:tcBorders>
          </w:tcPr>
          <w:p>
            <w:pPr/>
          </w:p>
        </w:tc>
      </w:tr>
      <w:tr>
        <w:trPr>
          <w:trHeight w:val="379" w:hRule="exact"/>
        </w:trPr>
        <w:tc>
          <w:tcPr>
            <w:tcW w:w="396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二、现金等价物</w:t>
            </w:r>
          </w:p>
        </w:tc>
        <w:tc>
          <w:tcPr>
            <w:tcW w:w="2101" w:type="dxa"/>
            <w:tcBorders>
              <w:top w:val="nil" w:sz="6" w:space="0" w:color="auto"/>
              <w:left w:val="nil" w:sz="6" w:space="0" w:color="auto"/>
              <w:bottom w:val="nil" w:sz="6" w:space="0" w:color="auto"/>
              <w:right w:val="nil" w:sz="6" w:space="0" w:color="auto"/>
            </w:tcBorders>
          </w:tcPr>
          <w:p>
            <w:pPr/>
          </w:p>
        </w:tc>
        <w:tc>
          <w:tcPr>
            <w:tcW w:w="1710" w:type="dxa"/>
            <w:tcBorders>
              <w:top w:val="nil" w:sz="6" w:space="0" w:color="auto"/>
              <w:left w:val="nil" w:sz="6" w:space="0" w:color="auto"/>
              <w:bottom w:val="nil" w:sz="6" w:space="0" w:color="auto"/>
              <w:right w:val="nil" w:sz="6" w:space="0" w:color="auto"/>
            </w:tcBorders>
          </w:tcPr>
          <w:p>
            <w:pPr/>
          </w:p>
        </w:tc>
      </w:tr>
      <w:tr>
        <w:trPr>
          <w:trHeight w:val="385" w:hRule="exact"/>
        </w:trPr>
        <w:tc>
          <w:tcPr>
            <w:tcW w:w="396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宋体" w:hAnsi="宋体" w:cs="宋体" w:eastAsia="宋体" w:hint="default"/>
                <w:sz w:val="21"/>
                <w:szCs w:val="21"/>
              </w:rPr>
              <w:t>其中：三个月内到期的债券投资</w:t>
            </w:r>
          </w:p>
        </w:tc>
        <w:tc>
          <w:tcPr>
            <w:tcW w:w="2101" w:type="dxa"/>
            <w:tcBorders>
              <w:top w:val="nil" w:sz="6" w:space="0" w:color="auto"/>
              <w:left w:val="nil" w:sz="6" w:space="0" w:color="auto"/>
              <w:bottom w:val="nil" w:sz="6" w:space="0" w:color="auto"/>
              <w:right w:val="nil" w:sz="6" w:space="0" w:color="auto"/>
            </w:tcBorders>
          </w:tcPr>
          <w:p>
            <w:pPr/>
          </w:p>
        </w:tc>
        <w:tc>
          <w:tcPr>
            <w:tcW w:w="1710" w:type="dxa"/>
            <w:tcBorders>
              <w:top w:val="nil" w:sz="6" w:space="0" w:color="auto"/>
              <w:left w:val="nil" w:sz="6" w:space="0" w:color="auto"/>
              <w:bottom w:val="nil" w:sz="6" w:space="0" w:color="auto"/>
              <w:right w:val="nil" w:sz="6" w:space="0" w:color="auto"/>
            </w:tcBorders>
          </w:tcPr>
          <w:p>
            <w:pPr/>
          </w:p>
        </w:tc>
      </w:tr>
      <w:tr>
        <w:trPr>
          <w:trHeight w:val="395" w:hRule="exact"/>
        </w:trPr>
        <w:tc>
          <w:tcPr>
            <w:tcW w:w="3962"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宋体" w:hAnsi="宋体" w:cs="宋体" w:eastAsia="宋体" w:hint="default"/>
                <w:sz w:val="21"/>
                <w:szCs w:val="21"/>
              </w:rPr>
              <w:t>三、期末现金及现金等价物余额</w:t>
            </w:r>
          </w:p>
        </w:tc>
        <w:tc>
          <w:tcPr>
            <w:tcW w:w="2101" w:type="dxa"/>
            <w:tcBorders>
              <w:top w:val="nil" w:sz="6" w:space="0" w:color="auto"/>
              <w:left w:val="nil" w:sz="6" w:space="0" w:color="auto"/>
              <w:bottom w:val="single" w:sz="12" w:space="0" w:color="000000"/>
              <w:right w:val="nil" w:sz="6" w:space="0" w:color="auto"/>
            </w:tcBorders>
          </w:tcPr>
          <w:p>
            <w:pPr>
              <w:pStyle w:val="TableParagraph"/>
              <w:spacing w:line="240" w:lineRule="auto" w:before="71"/>
              <w:ind w:right="134"/>
              <w:jc w:val="right"/>
              <w:rPr>
                <w:rFonts w:ascii="Times New Roman" w:hAnsi="Times New Roman" w:cs="Times New Roman" w:eastAsia="Times New Roman" w:hint="default"/>
                <w:sz w:val="21"/>
                <w:szCs w:val="21"/>
              </w:rPr>
            </w:pPr>
            <w:r>
              <w:rPr>
                <w:rFonts w:ascii="Times New Roman"/>
                <w:spacing w:val="-1"/>
                <w:sz w:val="21"/>
              </w:rPr>
              <w:t>1,673,584,436.22</w:t>
            </w:r>
          </w:p>
        </w:tc>
        <w:tc>
          <w:tcPr>
            <w:tcW w:w="1710" w:type="dxa"/>
            <w:tcBorders>
              <w:top w:val="nil" w:sz="6" w:space="0" w:color="auto"/>
              <w:left w:val="nil" w:sz="6" w:space="0" w:color="auto"/>
              <w:bottom w:val="single" w:sz="12" w:space="0" w:color="000000"/>
              <w:right w:val="nil" w:sz="6" w:space="0" w:color="auto"/>
            </w:tcBorders>
          </w:tcPr>
          <w:p>
            <w:pPr>
              <w:pStyle w:val="TableParagraph"/>
              <w:spacing w:line="240" w:lineRule="auto" w:before="71"/>
              <w:ind w:right="100"/>
              <w:jc w:val="right"/>
              <w:rPr>
                <w:rFonts w:ascii="Times New Roman" w:hAnsi="Times New Roman" w:cs="Times New Roman" w:eastAsia="Times New Roman" w:hint="default"/>
                <w:sz w:val="21"/>
                <w:szCs w:val="21"/>
              </w:rPr>
            </w:pPr>
            <w:r>
              <w:rPr>
                <w:rFonts w:ascii="Times New Roman"/>
                <w:spacing w:val="-1"/>
                <w:sz w:val="21"/>
              </w:rPr>
              <w:t>2,075,195,770.14</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3"/>
          <w:szCs w:val="23"/>
        </w:rPr>
      </w:pPr>
    </w:p>
    <w:p>
      <w:pPr>
        <w:spacing w:line="328" w:lineRule="auto" w:before="35"/>
        <w:ind w:left="854" w:right="1510" w:hanging="732"/>
        <w:jc w:val="left"/>
        <w:rPr>
          <w:rFonts w:ascii="宋体" w:hAnsi="宋体" w:cs="宋体" w:eastAsia="宋体" w:hint="default"/>
          <w:sz w:val="21"/>
          <w:szCs w:val="21"/>
        </w:rPr>
      </w:pPr>
      <w:r>
        <w:rPr/>
        <w:pict>
          <v:group style="position:absolute;margin-left:119.399994pt;margin-top:37.658463pt;width:417.85pt;height:96.5pt;mso-position-horizontal-relative:page;mso-position-vertical-relative:paragraph;z-index:-706696" coordorigin="2388,753" coordsize="8357,1930">
            <v:shape style="position:absolute;left:3617;top:753;width:5246;height:413" type="#_x0000_t75" stroked="false">
              <v:imagedata r:id="rId257" o:title=""/>
            </v:shape>
            <v:shape style="position:absolute;left:2388;top:1128;width:8357;height:1555" type="#_x0000_t75" stroked="false">
              <v:imagedata r:id="rId258" o:title=""/>
            </v:shape>
            <v:shape style="position:absolute;left:5417;top:1896;width:48;height:787" type="#_x0000_t75" stroked="false">
              <v:imagedata r:id="rId259" o:title=""/>
            </v:shape>
            <v:shape style="position:absolute;left:6973;top:1896;width:48;height:787" type="#_x0000_t75" stroked="false">
              <v:imagedata r:id="rId259" o:title=""/>
            </v:shape>
            <v:shape style="position:absolute;left:8815;top:1896;width:48;height:787" type="#_x0000_t75" stroked="false">
              <v:imagedata r:id="rId259" o:title=""/>
            </v:shape>
            <w10:wrap type="none"/>
          </v:group>
        </w:pict>
      </w:r>
      <w:r>
        <w:rPr/>
        <w:pict>
          <v:shape style="position:absolute;margin-left:120.360001pt;margin-top:37.118465pt;width:415.75pt;height:97.6pt;mso-position-horizontal-relative:page;mso-position-vertical-relative:paragraph;z-index:70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255"/>
                    <w:gridCol w:w="1934"/>
                    <w:gridCol w:w="1492"/>
                    <w:gridCol w:w="1750"/>
                    <w:gridCol w:w="1883"/>
                  </w:tblGrid>
                  <w:tr>
                    <w:trPr>
                      <w:trHeight w:val="394" w:hRule="exact"/>
                    </w:trPr>
                    <w:tc>
                      <w:tcPr>
                        <w:tcW w:w="1255" w:type="dxa"/>
                        <w:tcBorders>
                          <w:top w:val="single" w:sz="12" w:space="0" w:color="000000"/>
                          <w:left w:val="nil" w:sz="6" w:space="0" w:color="auto"/>
                          <w:bottom w:val="nil" w:sz="6" w:space="0" w:color="auto"/>
                          <w:right w:val="nil" w:sz="6" w:space="0" w:color="auto"/>
                        </w:tcBorders>
                      </w:tcPr>
                      <w:p>
                        <w:pPr>
                          <w:pStyle w:val="TableParagraph"/>
                          <w:tabs>
                            <w:tab w:pos="795" w:val="left" w:leader="none"/>
                          </w:tabs>
                          <w:spacing w:line="240" w:lineRule="auto" w:before="41"/>
                          <w:ind w:left="255"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93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48" w:right="0"/>
                          <w:jc w:val="left"/>
                          <w:rPr>
                            <w:rFonts w:ascii="宋体" w:hAnsi="宋体" w:cs="宋体" w:eastAsia="宋体" w:hint="default"/>
                            <w:sz w:val="18"/>
                            <w:szCs w:val="18"/>
                          </w:rPr>
                        </w:pPr>
                        <w:r>
                          <w:rPr>
                            <w:rFonts w:ascii="宋体" w:hAnsi="宋体" w:cs="宋体" w:eastAsia="宋体" w:hint="default"/>
                            <w:sz w:val="18"/>
                            <w:szCs w:val="18"/>
                          </w:rPr>
                          <w:t>年初调整前金额</w:t>
                        </w:r>
                      </w:p>
                    </w:tc>
                    <w:tc>
                      <w:tcPr>
                        <w:tcW w:w="149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62" w:right="0"/>
                          <w:jc w:val="left"/>
                          <w:rPr>
                            <w:rFonts w:ascii="宋体" w:hAnsi="宋体" w:cs="宋体" w:eastAsia="宋体" w:hint="default"/>
                            <w:sz w:val="18"/>
                            <w:szCs w:val="18"/>
                          </w:rPr>
                        </w:pPr>
                        <w:r>
                          <w:rPr>
                            <w:rFonts w:ascii="宋体" w:hAnsi="宋体" w:cs="宋体" w:eastAsia="宋体" w:hint="default"/>
                            <w:sz w:val="18"/>
                            <w:szCs w:val="18"/>
                          </w:rPr>
                          <w:t>调整金额</w:t>
                        </w:r>
                      </w:p>
                    </w:tc>
                    <w:tc>
                      <w:tcPr>
                        <w:tcW w:w="175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97" w:right="0"/>
                          <w:jc w:val="left"/>
                          <w:rPr>
                            <w:rFonts w:ascii="宋体" w:hAnsi="宋体" w:cs="宋体" w:eastAsia="宋体" w:hint="default"/>
                            <w:sz w:val="18"/>
                            <w:szCs w:val="18"/>
                          </w:rPr>
                        </w:pPr>
                        <w:r>
                          <w:rPr>
                            <w:rFonts w:ascii="宋体" w:hAnsi="宋体" w:cs="宋体" w:eastAsia="宋体" w:hint="default"/>
                            <w:sz w:val="18"/>
                            <w:szCs w:val="18"/>
                          </w:rPr>
                          <w:t>年初调整后金额</w:t>
                        </w:r>
                      </w:p>
                    </w:tc>
                    <w:tc>
                      <w:tcPr>
                        <w:tcW w:w="188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584" w:right="0"/>
                          <w:jc w:val="left"/>
                          <w:rPr>
                            <w:rFonts w:ascii="宋体" w:hAnsi="宋体" w:cs="宋体" w:eastAsia="宋体" w:hint="default"/>
                            <w:sz w:val="18"/>
                            <w:szCs w:val="18"/>
                          </w:rPr>
                        </w:pPr>
                        <w:r>
                          <w:rPr>
                            <w:rFonts w:ascii="宋体" w:hAnsi="宋体" w:cs="宋体" w:eastAsia="宋体" w:hint="default"/>
                            <w:sz w:val="18"/>
                            <w:szCs w:val="18"/>
                          </w:rPr>
                          <w:t>调整说明</w:t>
                        </w:r>
                      </w:p>
                    </w:tc>
                  </w:tr>
                  <w:tr>
                    <w:trPr>
                      <w:trHeight w:val="758" w:hRule="exact"/>
                    </w:trPr>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06"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93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261"/>
                          <w:jc w:val="right"/>
                          <w:rPr>
                            <w:rFonts w:ascii="Times New Roman" w:hAnsi="Times New Roman" w:cs="Times New Roman" w:eastAsia="Times New Roman" w:hint="default"/>
                            <w:sz w:val="18"/>
                            <w:szCs w:val="18"/>
                          </w:rPr>
                        </w:pPr>
                        <w:r>
                          <w:rPr>
                            <w:rFonts w:ascii="Times New Roman"/>
                            <w:spacing w:val="-1"/>
                            <w:sz w:val="18"/>
                          </w:rPr>
                          <w:t>1,745,103,806.92</w:t>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278" w:right="0"/>
                          <w:jc w:val="left"/>
                          <w:rPr>
                            <w:rFonts w:ascii="Times New Roman" w:hAnsi="Times New Roman" w:cs="Times New Roman" w:eastAsia="Times New Roman" w:hint="default"/>
                            <w:sz w:val="18"/>
                            <w:szCs w:val="18"/>
                          </w:rPr>
                        </w:pPr>
                        <w:r>
                          <w:rPr>
                            <w:rFonts w:ascii="Times New Roman"/>
                            <w:sz w:val="18"/>
                          </w:rPr>
                          <w:t>13,111,113.00</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1,758,214,919.92</w:t>
                        </w:r>
                      </w:p>
                    </w:tc>
                    <w:tc>
                      <w:tcPr>
                        <w:tcW w:w="1883" w:type="dxa"/>
                        <w:tcBorders>
                          <w:top w:val="nil" w:sz="6" w:space="0" w:color="auto"/>
                          <w:left w:val="nil" w:sz="6" w:space="0" w:color="auto"/>
                          <w:bottom w:val="nil" w:sz="6" w:space="0" w:color="auto"/>
                          <w:right w:val="nil" w:sz="6" w:space="0" w:color="auto"/>
                        </w:tcBorders>
                      </w:tcPr>
                      <w:p>
                        <w:pPr>
                          <w:pStyle w:val="TableParagraph"/>
                          <w:spacing w:line="381" w:lineRule="auto" w:before="46"/>
                          <w:ind w:left="108" w:right="152"/>
                          <w:jc w:val="left"/>
                          <w:rPr>
                            <w:rFonts w:ascii="宋体" w:hAnsi="宋体" w:cs="宋体" w:eastAsia="宋体" w:hint="default"/>
                            <w:sz w:val="18"/>
                            <w:szCs w:val="18"/>
                          </w:rPr>
                        </w:pPr>
                        <w:r>
                          <w:rPr>
                            <w:rFonts w:ascii="宋体" w:hAnsi="宋体" w:cs="宋体" w:eastAsia="宋体" w:hint="default"/>
                            <w:sz w:val="18"/>
                            <w:szCs w:val="18"/>
                          </w:rPr>
                          <w:t>互联时代公司实收资 本、资本公积转入</w:t>
                        </w:r>
                      </w:p>
                    </w:tc>
                  </w:tr>
                  <w:tr>
                    <w:trPr>
                      <w:trHeight w:val="768" w:hRule="exact"/>
                    </w:trPr>
                    <w:tc>
                      <w:tcPr>
                        <w:tcW w:w="1255"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06"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934"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260"/>
                          <w:jc w:val="right"/>
                          <w:rPr>
                            <w:rFonts w:ascii="Times New Roman" w:hAnsi="Times New Roman" w:cs="Times New Roman" w:eastAsia="Times New Roman" w:hint="default"/>
                            <w:sz w:val="18"/>
                            <w:szCs w:val="18"/>
                          </w:rPr>
                        </w:pPr>
                        <w:r>
                          <w:rPr>
                            <w:rFonts w:ascii="Times New Roman"/>
                            <w:spacing w:val="-1"/>
                            <w:sz w:val="18"/>
                          </w:rPr>
                          <w:t>355,352,733.75</w:t>
                        </w:r>
                      </w:p>
                    </w:tc>
                    <w:tc>
                      <w:tcPr>
                        <w:tcW w:w="1492"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287" w:right="0"/>
                          <w:jc w:val="left"/>
                          <w:rPr>
                            <w:rFonts w:ascii="Times New Roman" w:hAnsi="Times New Roman" w:cs="Times New Roman" w:eastAsia="Times New Roman" w:hint="default"/>
                            <w:sz w:val="18"/>
                            <w:szCs w:val="18"/>
                          </w:rPr>
                        </w:pPr>
                        <w:r>
                          <w:rPr>
                            <w:rFonts w:ascii="Times New Roman"/>
                            <w:sz w:val="18"/>
                          </w:rPr>
                          <w:t>-5,750,659.41</w:t>
                        </w:r>
                      </w:p>
                    </w:tc>
                    <w:tc>
                      <w:tcPr>
                        <w:tcW w:w="1750"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349,602,074.34</w:t>
                        </w:r>
                      </w:p>
                    </w:tc>
                    <w:tc>
                      <w:tcPr>
                        <w:tcW w:w="1883" w:type="dxa"/>
                        <w:tcBorders>
                          <w:top w:val="nil" w:sz="6" w:space="0" w:color="auto"/>
                          <w:left w:val="nil" w:sz="6" w:space="0" w:color="auto"/>
                          <w:bottom w:val="single" w:sz="12" w:space="0" w:color="000000"/>
                          <w:right w:val="nil" w:sz="6" w:space="0" w:color="auto"/>
                        </w:tcBorders>
                      </w:tcPr>
                      <w:p>
                        <w:pPr>
                          <w:pStyle w:val="TableParagraph"/>
                          <w:spacing w:line="381" w:lineRule="auto" w:before="46"/>
                          <w:ind w:left="108" w:right="152"/>
                          <w:jc w:val="left"/>
                          <w:rPr>
                            <w:rFonts w:ascii="宋体" w:hAnsi="宋体" w:cs="宋体" w:eastAsia="宋体" w:hint="default"/>
                            <w:sz w:val="18"/>
                            <w:szCs w:val="18"/>
                          </w:rPr>
                        </w:pPr>
                        <w:r>
                          <w:rPr>
                            <w:rFonts w:ascii="宋体" w:hAnsi="宋体" w:cs="宋体" w:eastAsia="宋体" w:hint="default"/>
                            <w:sz w:val="18"/>
                            <w:szCs w:val="18"/>
                          </w:rPr>
                          <w:t>互联时代公司未分配 利润转入</w:t>
                        </w:r>
                      </w:p>
                    </w:tc>
                  </w:tr>
                </w:tbl>
                <w:p>
                  <w:pPr/>
                </w:p>
              </w:txbxContent>
            </v:textbox>
            <w10:wrap type="none"/>
          </v:shape>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四十一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所有者权益变动表项目注释</w:t>
      </w:r>
      <w:r>
        <w:rPr>
          <w:rFonts w:ascii="宋体" w:hAnsi="宋体" w:cs="宋体" w:eastAsia="宋体" w:hint="default"/>
          <w:b/>
          <w:bCs/>
          <w:spacing w:val="1"/>
          <w:w w:val="99"/>
          <w:sz w:val="21"/>
          <w:szCs w:val="21"/>
        </w:rPr>
        <w:t> </w:t>
      </w:r>
      <w:r>
        <w:rPr>
          <w:rFonts w:ascii="宋体" w:hAnsi="宋体" w:cs="宋体" w:eastAsia="宋体" w:hint="default"/>
          <w:sz w:val="21"/>
          <w:szCs w:val="21"/>
        </w:rPr>
        <w:t>由同一控制下企业合并北京互联时代通讯科技有限公司产生的追溯调整事项：</w:t>
      </w:r>
    </w:p>
    <w:p>
      <w:pPr>
        <w:spacing w:after="0" w:line="328" w:lineRule="auto"/>
        <w:jc w:val="left"/>
        <w:rPr>
          <w:rFonts w:ascii="宋体" w:hAnsi="宋体" w:cs="宋体" w:eastAsia="宋体" w:hint="default"/>
          <w:sz w:val="21"/>
          <w:szCs w:val="21"/>
        </w:rPr>
        <w:sectPr>
          <w:pgSz w:w="11910" w:h="16840"/>
          <w:pgMar w:header="851" w:footer="982" w:top="1300" w:bottom="1180" w:left="1660" w:right="72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pStyle w:val="Heading1"/>
        <w:tabs>
          <w:tab w:pos="859" w:val="left" w:leader="none"/>
        </w:tabs>
        <w:spacing w:line="240" w:lineRule="auto"/>
        <w:ind w:left="125" w:right="1890"/>
        <w:jc w:val="left"/>
        <w:rPr>
          <w:b w:val="0"/>
          <w:bCs w:val="0"/>
        </w:rPr>
      </w:pPr>
      <w:r>
        <w:rPr>
          <w:w w:val="95"/>
        </w:rPr>
        <w:t>六、</w:t>
        <w:tab/>
      </w:r>
      <w:r>
        <w:rPr/>
        <w:t>关联方及关联交易</w:t>
      </w:r>
      <w:r>
        <w:rPr>
          <w:b w:val="0"/>
          <w:bCs w:val="0"/>
        </w:rPr>
      </w:r>
    </w:p>
    <w:p>
      <w:pPr>
        <w:spacing w:line="240" w:lineRule="auto" w:before="0"/>
        <w:rPr>
          <w:rFonts w:ascii="宋体" w:hAnsi="宋体" w:cs="宋体" w:eastAsia="宋体" w:hint="default"/>
          <w:b/>
          <w:bCs/>
          <w:sz w:val="24"/>
          <w:szCs w:val="24"/>
        </w:rPr>
      </w:pPr>
    </w:p>
    <w:p>
      <w:pPr>
        <w:pStyle w:val="BodyText"/>
        <w:tabs>
          <w:tab w:pos="853" w:val="left" w:leader="none"/>
        </w:tabs>
        <w:spacing w:line="340" w:lineRule="auto" w:before="214"/>
        <w:ind w:left="857" w:right="1890" w:hanging="732"/>
        <w:jc w:val="left"/>
      </w:pPr>
      <w:r>
        <w:rPr>
          <w:rFonts w:ascii="Times New Roman" w:hAnsi="Times New Roman" w:cs="Times New Roman" w:eastAsia="Times New Roman" w:hint="default"/>
          <w:b/>
          <w:bCs/>
          <w:w w:val="95"/>
        </w:rPr>
        <w:t>(</w:t>
      </w:r>
      <w:r>
        <w:rPr>
          <w:rFonts w:ascii="宋体" w:hAnsi="宋体" w:cs="宋体" w:eastAsia="宋体" w:hint="default"/>
          <w:b/>
          <w:bCs/>
          <w:w w:val="95"/>
        </w:rPr>
        <w:t>一</w:t>
      </w:r>
      <w:r>
        <w:rPr>
          <w:rFonts w:ascii="Times New Roman" w:hAnsi="Times New Roman" w:cs="Times New Roman" w:eastAsia="Times New Roman" w:hint="default"/>
          <w:b/>
          <w:bCs/>
          <w:w w:val="95"/>
        </w:rPr>
        <w:t>)</w:t>
        <w:tab/>
      </w:r>
      <w:r>
        <w:rPr>
          <w:rFonts w:ascii="宋体" w:hAnsi="宋体" w:cs="宋体" w:eastAsia="宋体" w:hint="default"/>
          <w:b/>
          <w:bCs/>
        </w:rPr>
        <w:t>本企业的实际控制人</w:t>
      </w:r>
      <w:r>
        <w:rPr>
          <w:rFonts w:ascii="宋体" w:hAnsi="宋体" w:cs="宋体" w:eastAsia="宋体" w:hint="default"/>
          <w:b/>
          <w:bCs/>
          <w:spacing w:val="1"/>
          <w:w w:val="99"/>
        </w:rPr>
        <w:t> </w:t>
      </w:r>
      <w:r>
        <w:rPr/>
        <w:t>本公司的并列第一大股东为自然人王宁先生、李力先生。双方签定了一致行动协议，为一致行动人。是本公司的实际控制人。 报告期内王宁先生、李力先生持股情况变化如下：</w:t>
      </w:r>
    </w:p>
    <w:p>
      <w:pPr>
        <w:spacing w:before="80"/>
        <w:ind w:left="0" w:right="689" w:firstLine="0"/>
        <w:jc w:val="right"/>
        <w:rPr>
          <w:rFonts w:ascii="宋体" w:hAnsi="宋体" w:cs="宋体" w:eastAsia="宋体" w:hint="default"/>
          <w:sz w:val="18"/>
          <w:szCs w:val="18"/>
        </w:rPr>
      </w:pPr>
      <w:r>
        <w:rPr>
          <w:rFonts w:ascii="宋体" w:hAnsi="宋体" w:cs="宋体" w:eastAsia="宋体" w:hint="default"/>
          <w:sz w:val="18"/>
          <w:szCs w:val="18"/>
        </w:rPr>
        <w:t>（金额单位：人民币元）</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2"/>
          <w:szCs w:val="12"/>
        </w:rPr>
      </w:pPr>
    </w:p>
    <w:tbl>
      <w:tblPr>
        <w:tblW w:w="0" w:type="auto"/>
        <w:jc w:val="left"/>
        <w:tblInd w:w="749" w:type="dxa"/>
        <w:tblLayout w:type="fixed"/>
        <w:tblCellMar>
          <w:top w:w="0" w:type="dxa"/>
          <w:left w:w="0" w:type="dxa"/>
          <w:bottom w:w="0" w:type="dxa"/>
          <w:right w:w="0" w:type="dxa"/>
        </w:tblCellMar>
        <w:tblLook w:val="01E0"/>
      </w:tblPr>
      <w:tblGrid>
        <w:gridCol w:w="2070"/>
        <w:gridCol w:w="2293"/>
        <w:gridCol w:w="2258"/>
        <w:gridCol w:w="2299"/>
        <w:gridCol w:w="2041"/>
        <w:gridCol w:w="1916"/>
      </w:tblGrid>
      <w:tr>
        <w:trPr>
          <w:trHeight w:val="399" w:hRule="exact"/>
        </w:trPr>
        <w:tc>
          <w:tcPr>
            <w:tcW w:w="2070"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605" w:right="0"/>
              <w:jc w:val="left"/>
              <w:rPr>
                <w:rFonts w:ascii="宋体" w:hAnsi="宋体" w:cs="宋体" w:eastAsia="宋体" w:hint="default"/>
                <w:sz w:val="21"/>
                <w:szCs w:val="21"/>
              </w:rPr>
            </w:pPr>
            <w:r>
              <w:rPr>
                <w:rFonts w:ascii="宋体" w:hAnsi="宋体" w:cs="宋体" w:eastAsia="宋体" w:hint="default"/>
                <w:sz w:val="21"/>
                <w:szCs w:val="21"/>
              </w:rPr>
              <w:t>股东姓名</w:t>
            </w:r>
          </w:p>
        </w:tc>
        <w:tc>
          <w:tcPr>
            <w:tcW w:w="2293"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624"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2258"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295"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持股比例</w:t>
            </w:r>
            <w:r>
              <w:rPr>
                <w:rFonts w:ascii="Times New Roman" w:hAnsi="Times New Roman" w:cs="Times New Roman" w:eastAsia="Times New Roman" w:hint="default"/>
                <w:sz w:val="21"/>
                <w:szCs w:val="21"/>
              </w:rPr>
              <w:t>(%)</w:t>
            </w:r>
          </w:p>
        </w:tc>
        <w:tc>
          <w:tcPr>
            <w:tcW w:w="2299"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432" w:right="0"/>
              <w:jc w:val="left"/>
              <w:rPr>
                <w:rFonts w:ascii="宋体" w:hAnsi="宋体" w:cs="宋体" w:eastAsia="宋体" w:hint="default"/>
                <w:sz w:val="21"/>
                <w:szCs w:val="21"/>
              </w:rPr>
            </w:pPr>
            <w:r>
              <w:rPr>
                <w:rFonts w:ascii="宋体" w:hAnsi="宋体" w:cs="宋体" w:eastAsia="宋体" w:hint="default"/>
                <w:sz w:val="21"/>
                <w:szCs w:val="21"/>
              </w:rPr>
              <w:t>本期变动</w:t>
            </w:r>
          </w:p>
        </w:tc>
        <w:tc>
          <w:tcPr>
            <w:tcW w:w="2041"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374"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1916"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291"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持股比例</w:t>
            </w:r>
            <w:r>
              <w:rPr>
                <w:rFonts w:ascii="Times New Roman" w:hAnsi="Times New Roman" w:cs="Times New Roman" w:eastAsia="Times New Roman" w:hint="default"/>
                <w:sz w:val="21"/>
                <w:szCs w:val="21"/>
              </w:rPr>
              <w:t>(%)</w:t>
            </w:r>
          </w:p>
        </w:tc>
      </w:tr>
      <w:tr>
        <w:trPr>
          <w:trHeight w:val="384" w:hRule="exact"/>
        </w:trPr>
        <w:tc>
          <w:tcPr>
            <w:tcW w:w="2070" w:type="dxa"/>
            <w:tcBorders>
              <w:top w:val="nil" w:sz="6" w:space="0" w:color="auto"/>
              <w:left w:val="nil" w:sz="6" w:space="0" w:color="auto"/>
              <w:bottom w:val="nil" w:sz="6" w:space="0" w:color="auto"/>
              <w:right w:val="nil" w:sz="6" w:space="0" w:color="auto"/>
            </w:tcBorders>
          </w:tcPr>
          <w:p>
            <w:pPr>
              <w:pStyle w:val="TableParagraph"/>
              <w:tabs>
                <w:tab w:pos="529" w:val="left" w:leader="none"/>
              </w:tabs>
              <w:spacing w:line="240" w:lineRule="auto" w:before="16"/>
              <w:ind w:left="107" w:right="0"/>
              <w:jc w:val="left"/>
              <w:rPr>
                <w:rFonts w:ascii="宋体" w:hAnsi="宋体" w:cs="宋体" w:eastAsia="宋体" w:hint="default"/>
                <w:sz w:val="21"/>
                <w:szCs w:val="21"/>
              </w:rPr>
            </w:pPr>
            <w:r>
              <w:rPr>
                <w:rFonts w:ascii="宋体" w:hAnsi="宋体" w:cs="宋体" w:eastAsia="宋体" w:hint="default"/>
                <w:sz w:val="21"/>
                <w:szCs w:val="21"/>
              </w:rPr>
              <w:t>王</w:t>
              <w:tab/>
              <w:t>宁</w:t>
            </w:r>
          </w:p>
        </w:tc>
        <w:tc>
          <w:tcPr>
            <w:tcW w:w="229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93"/>
              <w:jc w:val="right"/>
              <w:rPr>
                <w:rFonts w:ascii="Times New Roman" w:hAnsi="Times New Roman" w:cs="Times New Roman" w:eastAsia="Times New Roman" w:hint="default"/>
                <w:sz w:val="21"/>
                <w:szCs w:val="21"/>
              </w:rPr>
            </w:pPr>
            <w:r>
              <w:rPr>
                <w:rFonts w:ascii="Times New Roman"/>
                <w:spacing w:val="-1"/>
                <w:sz w:val="21"/>
              </w:rPr>
              <w:t>17,609,656.00</w:t>
            </w: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430"/>
              <w:jc w:val="right"/>
              <w:rPr>
                <w:rFonts w:ascii="Times New Roman" w:hAnsi="Times New Roman" w:cs="Times New Roman" w:eastAsia="Times New Roman" w:hint="default"/>
                <w:sz w:val="21"/>
                <w:szCs w:val="21"/>
              </w:rPr>
            </w:pPr>
            <w:r>
              <w:rPr>
                <w:rFonts w:ascii="Times New Roman"/>
                <w:spacing w:val="-1"/>
                <w:sz w:val="21"/>
              </w:rPr>
              <w:t>13.93</w:t>
            </w: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72"/>
              <w:jc w:val="right"/>
              <w:rPr>
                <w:rFonts w:ascii="Times New Roman" w:hAnsi="Times New Roman" w:cs="Times New Roman" w:eastAsia="Times New Roman" w:hint="default"/>
                <w:sz w:val="21"/>
                <w:szCs w:val="21"/>
              </w:rPr>
            </w:pPr>
            <w:r>
              <w:rPr>
                <w:rFonts w:ascii="Times New Roman"/>
                <w:spacing w:val="-1"/>
                <w:sz w:val="21"/>
              </w:rPr>
              <w:t>26,414,484.00</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89"/>
              <w:jc w:val="right"/>
              <w:rPr>
                <w:rFonts w:ascii="Times New Roman" w:hAnsi="Times New Roman" w:cs="Times New Roman" w:eastAsia="Times New Roman" w:hint="default"/>
                <w:sz w:val="21"/>
                <w:szCs w:val="21"/>
              </w:rPr>
            </w:pPr>
            <w:r>
              <w:rPr>
                <w:rFonts w:ascii="Times New Roman"/>
                <w:spacing w:val="-1"/>
                <w:sz w:val="21"/>
              </w:rPr>
              <w:t>44,024,140.00</w:t>
            </w:r>
          </w:p>
        </w:tc>
        <w:tc>
          <w:tcPr>
            <w:tcW w:w="191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1"/>
                <w:sz w:val="21"/>
              </w:rPr>
              <w:t>13.93</w:t>
            </w:r>
          </w:p>
        </w:tc>
      </w:tr>
      <w:tr>
        <w:trPr>
          <w:trHeight w:val="384" w:hRule="exact"/>
        </w:trPr>
        <w:tc>
          <w:tcPr>
            <w:tcW w:w="2070" w:type="dxa"/>
            <w:tcBorders>
              <w:top w:val="nil" w:sz="6" w:space="0" w:color="auto"/>
              <w:left w:val="nil" w:sz="6" w:space="0" w:color="auto"/>
              <w:bottom w:val="nil" w:sz="6" w:space="0" w:color="auto"/>
              <w:right w:val="nil" w:sz="6" w:space="0" w:color="auto"/>
            </w:tcBorders>
          </w:tcPr>
          <w:p>
            <w:pPr>
              <w:pStyle w:val="TableParagraph"/>
              <w:tabs>
                <w:tab w:pos="529" w:val="left" w:leader="none"/>
              </w:tabs>
              <w:spacing w:line="240" w:lineRule="auto" w:before="16"/>
              <w:ind w:left="107" w:right="0"/>
              <w:jc w:val="left"/>
              <w:rPr>
                <w:rFonts w:ascii="宋体" w:hAnsi="宋体" w:cs="宋体" w:eastAsia="宋体" w:hint="default"/>
                <w:sz w:val="21"/>
                <w:szCs w:val="21"/>
              </w:rPr>
            </w:pPr>
            <w:r>
              <w:rPr>
                <w:rFonts w:ascii="宋体" w:hAnsi="宋体" w:cs="宋体" w:eastAsia="宋体" w:hint="default"/>
                <w:sz w:val="21"/>
                <w:szCs w:val="21"/>
              </w:rPr>
              <w:t>李</w:t>
              <w:tab/>
              <w:t>力</w:t>
            </w:r>
          </w:p>
        </w:tc>
        <w:tc>
          <w:tcPr>
            <w:tcW w:w="229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93"/>
              <w:jc w:val="right"/>
              <w:rPr>
                <w:rFonts w:ascii="Times New Roman" w:hAnsi="Times New Roman" w:cs="Times New Roman" w:eastAsia="Times New Roman" w:hint="default"/>
                <w:sz w:val="21"/>
                <w:szCs w:val="21"/>
              </w:rPr>
            </w:pPr>
            <w:r>
              <w:rPr>
                <w:rFonts w:ascii="Times New Roman"/>
                <w:spacing w:val="-1"/>
                <w:sz w:val="21"/>
              </w:rPr>
              <w:t>17,609,656.00</w:t>
            </w: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430"/>
              <w:jc w:val="right"/>
              <w:rPr>
                <w:rFonts w:ascii="Times New Roman" w:hAnsi="Times New Roman" w:cs="Times New Roman" w:eastAsia="Times New Roman" w:hint="default"/>
                <w:sz w:val="21"/>
                <w:szCs w:val="21"/>
              </w:rPr>
            </w:pPr>
            <w:r>
              <w:rPr>
                <w:rFonts w:ascii="Times New Roman"/>
                <w:spacing w:val="-1"/>
                <w:sz w:val="21"/>
              </w:rPr>
              <w:t>13.93</w:t>
            </w: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72"/>
              <w:jc w:val="right"/>
              <w:rPr>
                <w:rFonts w:ascii="Times New Roman" w:hAnsi="Times New Roman" w:cs="Times New Roman" w:eastAsia="Times New Roman" w:hint="default"/>
                <w:sz w:val="21"/>
                <w:szCs w:val="21"/>
              </w:rPr>
            </w:pPr>
            <w:r>
              <w:rPr>
                <w:rFonts w:ascii="Times New Roman"/>
                <w:spacing w:val="-1"/>
                <w:sz w:val="21"/>
              </w:rPr>
              <w:t>26,414,484.00</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89"/>
              <w:jc w:val="right"/>
              <w:rPr>
                <w:rFonts w:ascii="Times New Roman" w:hAnsi="Times New Roman" w:cs="Times New Roman" w:eastAsia="Times New Roman" w:hint="default"/>
                <w:sz w:val="21"/>
                <w:szCs w:val="21"/>
              </w:rPr>
            </w:pPr>
            <w:r>
              <w:rPr>
                <w:rFonts w:ascii="Times New Roman"/>
                <w:spacing w:val="-1"/>
                <w:sz w:val="21"/>
              </w:rPr>
              <w:t>44,024,140.00</w:t>
            </w:r>
          </w:p>
        </w:tc>
        <w:tc>
          <w:tcPr>
            <w:tcW w:w="191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1"/>
                <w:sz w:val="21"/>
              </w:rPr>
              <w:t>13.93</w:t>
            </w:r>
          </w:p>
        </w:tc>
      </w:tr>
      <w:tr>
        <w:trPr>
          <w:trHeight w:val="391" w:hRule="exact"/>
        </w:trPr>
        <w:tc>
          <w:tcPr>
            <w:tcW w:w="2070" w:type="dxa"/>
            <w:tcBorders>
              <w:top w:val="nil" w:sz="6" w:space="0" w:color="auto"/>
              <w:left w:val="nil" w:sz="6" w:space="0" w:color="auto"/>
              <w:bottom w:val="single" w:sz="12" w:space="0" w:color="000000"/>
              <w:right w:val="nil" w:sz="6" w:space="0" w:color="auto"/>
            </w:tcBorders>
          </w:tcPr>
          <w:p>
            <w:pPr>
              <w:pStyle w:val="TableParagraph"/>
              <w:tabs>
                <w:tab w:pos="421" w:val="left" w:leader="none"/>
              </w:tabs>
              <w:spacing w:line="240" w:lineRule="auto" w:before="16"/>
              <w:ind w:right="16"/>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293"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293"/>
              <w:jc w:val="right"/>
              <w:rPr>
                <w:rFonts w:ascii="Times New Roman" w:hAnsi="Times New Roman" w:cs="Times New Roman" w:eastAsia="Times New Roman" w:hint="default"/>
                <w:sz w:val="21"/>
                <w:szCs w:val="21"/>
              </w:rPr>
            </w:pPr>
            <w:r>
              <w:rPr>
                <w:rFonts w:ascii="Times New Roman"/>
                <w:spacing w:val="-1"/>
                <w:sz w:val="21"/>
              </w:rPr>
              <w:t>35,219,312.00</w:t>
            </w:r>
          </w:p>
        </w:tc>
        <w:tc>
          <w:tcPr>
            <w:tcW w:w="2258"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430"/>
              <w:jc w:val="right"/>
              <w:rPr>
                <w:rFonts w:ascii="Times New Roman" w:hAnsi="Times New Roman" w:cs="Times New Roman" w:eastAsia="Times New Roman" w:hint="default"/>
                <w:sz w:val="21"/>
                <w:szCs w:val="21"/>
              </w:rPr>
            </w:pPr>
            <w:r>
              <w:rPr>
                <w:rFonts w:ascii="Times New Roman"/>
                <w:spacing w:val="-1"/>
                <w:sz w:val="21"/>
              </w:rPr>
              <w:t>27.86</w:t>
            </w:r>
          </w:p>
        </w:tc>
        <w:tc>
          <w:tcPr>
            <w:tcW w:w="2299"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372"/>
              <w:jc w:val="right"/>
              <w:rPr>
                <w:rFonts w:ascii="Times New Roman" w:hAnsi="Times New Roman" w:cs="Times New Roman" w:eastAsia="Times New Roman" w:hint="default"/>
                <w:sz w:val="21"/>
                <w:szCs w:val="21"/>
              </w:rPr>
            </w:pPr>
            <w:r>
              <w:rPr>
                <w:rFonts w:ascii="Times New Roman"/>
                <w:spacing w:val="-1"/>
                <w:sz w:val="21"/>
              </w:rPr>
              <w:t>52,828,968.00</w:t>
            </w:r>
          </w:p>
        </w:tc>
        <w:tc>
          <w:tcPr>
            <w:tcW w:w="2041"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289"/>
              <w:jc w:val="right"/>
              <w:rPr>
                <w:rFonts w:ascii="Times New Roman" w:hAnsi="Times New Roman" w:cs="Times New Roman" w:eastAsia="Times New Roman" w:hint="default"/>
                <w:sz w:val="21"/>
                <w:szCs w:val="21"/>
              </w:rPr>
            </w:pPr>
            <w:r>
              <w:rPr>
                <w:rFonts w:ascii="Times New Roman"/>
                <w:spacing w:val="-1"/>
                <w:sz w:val="21"/>
              </w:rPr>
              <w:t>88,048,280.00</w:t>
            </w:r>
          </w:p>
        </w:tc>
        <w:tc>
          <w:tcPr>
            <w:tcW w:w="1916"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1"/>
                <w:sz w:val="21"/>
              </w:rPr>
              <w:t>27.86</w:t>
            </w:r>
          </w:p>
        </w:tc>
      </w:tr>
    </w:tbl>
    <w:p>
      <w:pPr>
        <w:spacing w:line="240" w:lineRule="auto" w:before="4"/>
        <w:rPr>
          <w:rFonts w:ascii="宋体" w:hAnsi="宋体" w:cs="宋体" w:eastAsia="宋体" w:hint="default"/>
          <w:sz w:val="28"/>
          <w:szCs w:val="28"/>
        </w:rPr>
      </w:pPr>
    </w:p>
    <w:p>
      <w:pPr>
        <w:pStyle w:val="Heading2"/>
        <w:tabs>
          <w:tab w:pos="895" w:val="left" w:leader="none"/>
        </w:tabs>
        <w:spacing w:line="240" w:lineRule="auto" w:before="35"/>
        <w:ind w:right="1890"/>
        <w:jc w:val="left"/>
        <w:rPr>
          <w:b w:val="0"/>
          <w:bCs w:val="0"/>
        </w:rPr>
      </w:pPr>
      <w:r>
        <w:rPr/>
        <w:pict>
          <v:group style="position:absolute;margin-left:101.830994pt;margin-top:-97.346329pt;width:645.450pt;height:77.350pt;mso-position-horizontal-relative:page;mso-position-vertical-relative:paragraph;z-index:-706648" coordorigin="2037,-1947" coordsize="12909,1547">
            <v:shape style="position:absolute;left:4079;top:-1947;width:8771;height:413" type="#_x0000_t75" stroked="false">
              <v:imagedata r:id="rId262" o:title=""/>
            </v:shape>
            <v:shape style="position:absolute;left:2037;top:-1566;width:12909;height:1166" type="#_x0000_t75" stroked="false">
              <v:imagedata r:id="rId263" o:title=""/>
            </v:shape>
            <w10:wrap type="none"/>
          </v:group>
        </w:pict>
      </w:r>
      <w:r>
        <w:rPr/>
        <w:pict>
          <v:group style="position:absolute;margin-left:101.830994pt;margin-top:33.213684pt;width:672.7pt;height:153.75pt;mso-position-horizontal-relative:page;mso-position-vertical-relative:paragraph;z-index:-706624" coordorigin="2037,664" coordsize="13454,3075">
            <v:shape style="position:absolute;left:4839;top:664;width:9371;height:787" type="#_x0000_t75" stroked="false">
              <v:imagedata r:id="rId264" o:title=""/>
            </v:shape>
            <v:shape style="position:absolute;left:2037;top:1419;width:13454;height:2319" type="#_x0000_t75" stroked="false">
              <v:imagedata r:id="rId265" o:title=""/>
            </v:shape>
            <w10:wrap type="none"/>
          </v:group>
        </w:pict>
      </w: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本企业的子公司情况：</w:t>
      </w:r>
      <w:r>
        <w:rPr>
          <w:b w:val="0"/>
          <w:bCs w:val="0"/>
        </w:rPr>
      </w:r>
    </w:p>
    <w:p>
      <w:pPr>
        <w:spacing w:line="240" w:lineRule="auto" w:before="3"/>
        <w:rPr>
          <w:rFonts w:ascii="宋体" w:hAnsi="宋体" w:cs="宋体" w:eastAsia="宋体" w:hint="default"/>
          <w:b/>
          <w:bCs/>
          <w:sz w:val="26"/>
          <w:szCs w:val="26"/>
        </w:rPr>
      </w:pPr>
    </w:p>
    <w:tbl>
      <w:tblPr>
        <w:tblW w:w="0" w:type="auto"/>
        <w:jc w:val="left"/>
        <w:tblInd w:w="822" w:type="dxa"/>
        <w:tblLayout w:type="fixed"/>
        <w:tblCellMar>
          <w:top w:w="0" w:type="dxa"/>
          <w:left w:w="0" w:type="dxa"/>
          <w:bottom w:w="0" w:type="dxa"/>
          <w:right w:w="0" w:type="dxa"/>
        </w:tblCellMar>
        <w:tblLook w:val="01E0"/>
      </w:tblPr>
      <w:tblGrid>
        <w:gridCol w:w="2702"/>
        <w:gridCol w:w="1192"/>
        <w:gridCol w:w="1347"/>
        <w:gridCol w:w="916"/>
        <w:gridCol w:w="917"/>
        <w:gridCol w:w="1777"/>
        <w:gridCol w:w="1134"/>
        <w:gridCol w:w="949"/>
        <w:gridCol w:w="1130"/>
        <w:gridCol w:w="1223"/>
      </w:tblGrid>
      <w:tr>
        <w:trPr>
          <w:trHeight w:val="772" w:hRule="exact"/>
        </w:trPr>
        <w:tc>
          <w:tcPr>
            <w:tcW w:w="2702"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883" w:right="0"/>
              <w:jc w:val="left"/>
              <w:rPr>
                <w:rFonts w:ascii="宋体" w:hAnsi="宋体" w:cs="宋体" w:eastAsia="宋体" w:hint="default"/>
                <w:sz w:val="18"/>
                <w:szCs w:val="18"/>
              </w:rPr>
            </w:pPr>
            <w:r>
              <w:rPr>
                <w:rFonts w:ascii="宋体" w:hAnsi="宋体" w:cs="宋体" w:eastAsia="宋体" w:hint="default"/>
                <w:sz w:val="18"/>
                <w:szCs w:val="18"/>
              </w:rPr>
              <w:t>子公司全称</w:t>
            </w:r>
          </w:p>
        </w:tc>
        <w:tc>
          <w:tcPr>
            <w:tcW w:w="1192"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52" w:right="0"/>
              <w:jc w:val="center"/>
              <w:rPr>
                <w:rFonts w:ascii="宋体" w:hAnsi="宋体" w:cs="宋体" w:eastAsia="宋体" w:hint="default"/>
                <w:sz w:val="18"/>
                <w:szCs w:val="18"/>
              </w:rPr>
            </w:pPr>
            <w:r>
              <w:rPr>
                <w:rFonts w:ascii="宋体" w:hAnsi="宋体" w:cs="宋体" w:eastAsia="宋体" w:hint="default"/>
                <w:sz w:val="18"/>
                <w:szCs w:val="18"/>
              </w:rPr>
              <w:t>子公司类型</w:t>
            </w:r>
          </w:p>
        </w:tc>
        <w:tc>
          <w:tcPr>
            <w:tcW w:w="1347"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50" w:right="0"/>
              <w:jc w:val="center"/>
              <w:rPr>
                <w:rFonts w:ascii="宋体" w:hAnsi="宋体" w:cs="宋体" w:eastAsia="宋体" w:hint="default"/>
                <w:sz w:val="18"/>
                <w:szCs w:val="18"/>
              </w:rPr>
            </w:pPr>
            <w:r>
              <w:rPr>
                <w:rFonts w:ascii="宋体" w:hAnsi="宋体" w:cs="宋体" w:eastAsia="宋体" w:hint="default"/>
                <w:sz w:val="18"/>
                <w:szCs w:val="18"/>
              </w:rPr>
              <w:t>企业类型</w:t>
            </w:r>
          </w:p>
        </w:tc>
        <w:tc>
          <w:tcPr>
            <w:tcW w:w="916"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227"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917" w:type="dxa"/>
            <w:tcBorders>
              <w:top w:val="single" w:sz="12" w:space="0" w:color="000000"/>
              <w:left w:val="nil" w:sz="6" w:space="0" w:color="auto"/>
              <w:bottom w:val="nil" w:sz="6" w:space="0" w:color="auto"/>
              <w:right w:val="nil" w:sz="6" w:space="0" w:color="auto"/>
            </w:tcBorders>
          </w:tcPr>
          <w:p>
            <w:pPr>
              <w:pStyle w:val="TableParagraph"/>
              <w:spacing w:line="381" w:lineRule="auto" w:before="41"/>
              <w:ind w:left="318" w:right="146" w:hanging="90"/>
              <w:jc w:val="left"/>
              <w:rPr>
                <w:rFonts w:ascii="宋体" w:hAnsi="宋体" w:cs="宋体" w:eastAsia="宋体" w:hint="default"/>
                <w:sz w:val="18"/>
                <w:szCs w:val="18"/>
              </w:rPr>
            </w:pPr>
            <w:r>
              <w:rPr>
                <w:rFonts w:ascii="宋体" w:hAnsi="宋体" w:cs="宋体" w:eastAsia="宋体" w:hint="default"/>
                <w:sz w:val="18"/>
                <w:szCs w:val="18"/>
              </w:rPr>
              <w:t>法定代 表人</w:t>
            </w:r>
          </w:p>
        </w:tc>
        <w:tc>
          <w:tcPr>
            <w:tcW w:w="1777"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6" w:right="0"/>
              <w:jc w:val="center"/>
              <w:rPr>
                <w:rFonts w:ascii="宋体" w:hAnsi="宋体" w:cs="宋体" w:eastAsia="宋体" w:hint="default"/>
                <w:sz w:val="18"/>
                <w:szCs w:val="18"/>
              </w:rPr>
            </w:pPr>
            <w:r>
              <w:rPr>
                <w:rFonts w:ascii="宋体" w:hAnsi="宋体" w:cs="宋体" w:eastAsia="宋体" w:hint="default"/>
                <w:sz w:val="18"/>
                <w:szCs w:val="18"/>
              </w:rPr>
              <w:t>业务性质</w:t>
            </w:r>
          </w:p>
        </w:tc>
        <w:tc>
          <w:tcPr>
            <w:tcW w:w="1134"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187"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94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5"/>
              <w:jc w:val="center"/>
              <w:rPr>
                <w:rFonts w:ascii="宋体" w:hAnsi="宋体" w:cs="宋体" w:eastAsia="宋体" w:hint="default"/>
                <w:sz w:val="18"/>
                <w:szCs w:val="18"/>
              </w:rPr>
            </w:pPr>
            <w:r>
              <w:rPr>
                <w:rFonts w:ascii="宋体" w:hAnsi="宋体" w:cs="宋体" w:eastAsia="宋体" w:hint="default"/>
                <w:sz w:val="18"/>
                <w:szCs w:val="18"/>
              </w:rPr>
              <w:t>持股比例</w:t>
            </w:r>
          </w:p>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w:t>
            </w:r>
          </w:p>
        </w:tc>
        <w:tc>
          <w:tcPr>
            <w:tcW w:w="113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表决权比例</w:t>
            </w:r>
          </w:p>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1223"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73" w:right="0"/>
              <w:jc w:val="center"/>
              <w:rPr>
                <w:rFonts w:ascii="宋体" w:hAnsi="宋体" w:cs="宋体" w:eastAsia="宋体" w:hint="default"/>
                <w:sz w:val="18"/>
                <w:szCs w:val="18"/>
              </w:rPr>
            </w:pPr>
            <w:r>
              <w:rPr>
                <w:rFonts w:ascii="宋体" w:hAnsi="宋体" w:cs="宋体" w:eastAsia="宋体" w:hint="default"/>
                <w:sz w:val="18"/>
                <w:szCs w:val="18"/>
              </w:rPr>
              <w:t>组织机构代码</w:t>
            </w:r>
          </w:p>
        </w:tc>
      </w:tr>
      <w:tr>
        <w:trPr>
          <w:trHeight w:val="384" w:hRule="exact"/>
        </w:trPr>
        <w:tc>
          <w:tcPr>
            <w:tcW w:w="270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北京新媒传信科技有限公司</w:t>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5"/>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46"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91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48" w:right="0"/>
              <w:jc w:val="left"/>
              <w:rPr>
                <w:rFonts w:ascii="宋体" w:hAnsi="宋体" w:cs="宋体" w:eastAsia="宋体" w:hint="default"/>
                <w:sz w:val="18"/>
                <w:szCs w:val="18"/>
              </w:rPr>
            </w:pPr>
            <w:r>
              <w:rPr>
                <w:rFonts w:ascii="宋体" w:hAnsi="宋体" w:cs="宋体" w:eastAsia="宋体" w:hint="default"/>
                <w:sz w:val="18"/>
                <w:szCs w:val="18"/>
              </w:rPr>
              <w:t>汪铖</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37"/>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9"/>
              <w:jc w:val="right"/>
              <w:rPr>
                <w:rFonts w:ascii="Times New Roman" w:hAnsi="Times New Roman" w:cs="Times New Roman" w:eastAsia="Times New Roman" w:hint="default"/>
                <w:sz w:val="18"/>
                <w:szCs w:val="18"/>
              </w:rPr>
            </w:pPr>
            <w:r>
              <w:rPr>
                <w:rFonts w:ascii="Times New Roman"/>
                <w:sz w:val="18"/>
              </w:rPr>
              <w:t>2,000.00</w:t>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1"/>
              <w:jc w:val="right"/>
              <w:rPr>
                <w:rFonts w:ascii="Times New Roman" w:hAnsi="Times New Roman" w:cs="Times New Roman" w:eastAsia="Times New Roman" w:hint="default"/>
                <w:sz w:val="18"/>
                <w:szCs w:val="18"/>
              </w:rPr>
            </w:pPr>
            <w:r>
              <w:rPr>
                <w:rFonts w:ascii="Times New Roman"/>
                <w:sz w:val="18"/>
              </w:rPr>
              <w:t>100.00</w:t>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7"/>
              <w:jc w:val="right"/>
              <w:rPr>
                <w:rFonts w:ascii="Times New Roman" w:hAnsi="Times New Roman" w:cs="Times New Roman" w:eastAsia="Times New Roman" w:hint="default"/>
                <w:sz w:val="18"/>
                <w:szCs w:val="18"/>
              </w:rPr>
            </w:pPr>
            <w:r>
              <w:rPr>
                <w:rFonts w:ascii="Times New Roman"/>
                <w:sz w:val="18"/>
              </w:rPr>
              <w:t>100.00</w:t>
            </w:r>
          </w:p>
        </w:tc>
        <w:tc>
          <w:tcPr>
            <w:tcW w:w="1223" w:type="dxa"/>
            <w:tcBorders>
              <w:top w:val="nil" w:sz="6" w:space="0" w:color="auto"/>
              <w:left w:val="nil" w:sz="6" w:space="0" w:color="auto"/>
              <w:bottom w:val="nil" w:sz="6" w:space="0" w:color="auto"/>
              <w:right w:val="nil" w:sz="6" w:space="0" w:color="auto"/>
            </w:tcBorders>
          </w:tcPr>
          <w:p>
            <w:pPr>
              <w:pStyle w:val="TableParagraph"/>
              <w:spacing w:line="240" w:lineRule="auto" w:before="82"/>
              <w:ind w:left="71" w:right="0"/>
              <w:jc w:val="center"/>
              <w:rPr>
                <w:rFonts w:ascii="Times New Roman" w:hAnsi="Times New Roman" w:cs="Times New Roman" w:eastAsia="Times New Roman" w:hint="default"/>
                <w:sz w:val="18"/>
                <w:szCs w:val="18"/>
              </w:rPr>
            </w:pPr>
            <w:r>
              <w:rPr>
                <w:rFonts w:ascii="Times New Roman"/>
                <w:sz w:val="18"/>
              </w:rPr>
              <w:t>79998269-X</w:t>
            </w:r>
          </w:p>
        </w:tc>
      </w:tr>
      <w:tr>
        <w:trPr>
          <w:trHeight w:val="385" w:hRule="exact"/>
        </w:trPr>
        <w:tc>
          <w:tcPr>
            <w:tcW w:w="270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神州泰岳通信技术有限公司</w:t>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5"/>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46"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91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48" w:right="0"/>
              <w:jc w:val="left"/>
              <w:rPr>
                <w:rFonts w:ascii="宋体" w:hAnsi="宋体" w:cs="宋体" w:eastAsia="宋体" w:hint="default"/>
                <w:sz w:val="18"/>
                <w:szCs w:val="18"/>
              </w:rPr>
            </w:pPr>
            <w:r>
              <w:rPr>
                <w:rFonts w:ascii="宋体" w:hAnsi="宋体" w:cs="宋体" w:eastAsia="宋体" w:hint="default"/>
                <w:sz w:val="18"/>
                <w:szCs w:val="18"/>
              </w:rPr>
              <w:t>黄松浪</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37"/>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8"/>
              <w:jc w:val="right"/>
              <w:rPr>
                <w:rFonts w:ascii="Times New Roman" w:hAnsi="Times New Roman" w:cs="Times New Roman" w:eastAsia="Times New Roman" w:hint="default"/>
                <w:sz w:val="18"/>
                <w:szCs w:val="18"/>
              </w:rPr>
            </w:pPr>
            <w:r>
              <w:rPr>
                <w:rFonts w:ascii="Times New Roman"/>
                <w:sz w:val="18"/>
              </w:rPr>
              <w:t>500.00</w:t>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0"/>
              <w:jc w:val="right"/>
              <w:rPr>
                <w:rFonts w:ascii="Times New Roman" w:hAnsi="Times New Roman" w:cs="Times New Roman" w:eastAsia="Times New Roman" w:hint="default"/>
                <w:sz w:val="18"/>
                <w:szCs w:val="18"/>
              </w:rPr>
            </w:pPr>
            <w:r>
              <w:rPr>
                <w:rFonts w:ascii="Times New Roman"/>
                <w:sz w:val="18"/>
              </w:rPr>
              <w:t>100.00</w:t>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z w:val="18"/>
              </w:rPr>
              <w:t>100.00</w:t>
            </w:r>
          </w:p>
        </w:tc>
        <w:tc>
          <w:tcPr>
            <w:tcW w:w="1223" w:type="dxa"/>
            <w:tcBorders>
              <w:top w:val="nil" w:sz="6" w:space="0" w:color="auto"/>
              <w:left w:val="nil" w:sz="6" w:space="0" w:color="auto"/>
              <w:bottom w:val="nil" w:sz="6" w:space="0" w:color="auto"/>
              <w:right w:val="nil" w:sz="6" w:space="0" w:color="auto"/>
            </w:tcBorders>
          </w:tcPr>
          <w:p>
            <w:pPr>
              <w:pStyle w:val="TableParagraph"/>
              <w:spacing w:line="240" w:lineRule="auto" w:before="82"/>
              <w:ind w:left="71" w:right="0"/>
              <w:jc w:val="center"/>
              <w:rPr>
                <w:rFonts w:ascii="Times New Roman" w:hAnsi="Times New Roman" w:cs="Times New Roman" w:eastAsia="Times New Roman" w:hint="default"/>
                <w:sz w:val="18"/>
                <w:szCs w:val="18"/>
              </w:rPr>
            </w:pPr>
            <w:r>
              <w:rPr>
                <w:rFonts w:ascii="Times New Roman"/>
                <w:sz w:val="18"/>
              </w:rPr>
              <w:t>68693517-6</w:t>
            </w:r>
          </w:p>
        </w:tc>
      </w:tr>
      <w:tr>
        <w:trPr>
          <w:trHeight w:val="385" w:hRule="exact"/>
        </w:trPr>
        <w:tc>
          <w:tcPr>
            <w:tcW w:w="2702"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神州泰岳信息安全技术有限公司</w:t>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25"/>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46"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917"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48" w:right="0"/>
              <w:jc w:val="left"/>
              <w:rPr>
                <w:rFonts w:ascii="宋体" w:hAnsi="宋体" w:cs="宋体" w:eastAsia="宋体" w:hint="default"/>
                <w:sz w:val="18"/>
                <w:szCs w:val="18"/>
              </w:rPr>
            </w:pPr>
            <w:r>
              <w:rPr>
                <w:rFonts w:ascii="宋体" w:hAnsi="宋体" w:cs="宋体" w:eastAsia="宋体" w:hint="default"/>
                <w:sz w:val="18"/>
                <w:szCs w:val="18"/>
              </w:rPr>
              <w:t>张建军</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7"/>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10"/>
              <w:jc w:val="right"/>
              <w:rPr>
                <w:rFonts w:ascii="Times New Roman" w:hAnsi="Times New Roman" w:cs="Times New Roman" w:eastAsia="Times New Roman" w:hint="default"/>
                <w:sz w:val="18"/>
                <w:szCs w:val="18"/>
              </w:rPr>
            </w:pPr>
            <w:r>
              <w:rPr>
                <w:rFonts w:ascii="Times New Roman"/>
                <w:sz w:val="18"/>
              </w:rPr>
              <w:t>2,000.00</w:t>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11"/>
              <w:jc w:val="right"/>
              <w:rPr>
                <w:rFonts w:ascii="Times New Roman" w:hAnsi="Times New Roman" w:cs="Times New Roman" w:eastAsia="Times New Roman" w:hint="default"/>
                <w:sz w:val="18"/>
                <w:szCs w:val="18"/>
              </w:rPr>
            </w:pPr>
            <w:r>
              <w:rPr>
                <w:rFonts w:ascii="Times New Roman"/>
                <w:sz w:val="18"/>
              </w:rPr>
              <w:t>100.00</w:t>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6"/>
              <w:jc w:val="right"/>
              <w:rPr>
                <w:rFonts w:ascii="Times New Roman" w:hAnsi="Times New Roman" w:cs="Times New Roman" w:eastAsia="Times New Roman" w:hint="default"/>
                <w:sz w:val="18"/>
                <w:szCs w:val="18"/>
              </w:rPr>
            </w:pPr>
            <w:r>
              <w:rPr>
                <w:rFonts w:ascii="Times New Roman"/>
                <w:sz w:val="18"/>
              </w:rPr>
              <w:t>100.00</w:t>
            </w:r>
          </w:p>
        </w:tc>
        <w:tc>
          <w:tcPr>
            <w:tcW w:w="1223" w:type="dxa"/>
            <w:tcBorders>
              <w:top w:val="nil" w:sz="6" w:space="0" w:color="auto"/>
              <w:left w:val="nil" w:sz="6" w:space="0" w:color="auto"/>
              <w:bottom w:val="nil" w:sz="6" w:space="0" w:color="auto"/>
              <w:right w:val="nil" w:sz="6" w:space="0" w:color="auto"/>
            </w:tcBorders>
          </w:tcPr>
          <w:p>
            <w:pPr>
              <w:pStyle w:val="TableParagraph"/>
              <w:spacing w:line="240" w:lineRule="auto" w:before="83"/>
              <w:ind w:left="70" w:right="0"/>
              <w:jc w:val="center"/>
              <w:rPr>
                <w:rFonts w:ascii="Times New Roman" w:hAnsi="Times New Roman" w:cs="Times New Roman" w:eastAsia="Times New Roman" w:hint="default"/>
                <w:sz w:val="18"/>
                <w:szCs w:val="18"/>
              </w:rPr>
            </w:pPr>
            <w:r>
              <w:rPr>
                <w:rFonts w:ascii="Times New Roman"/>
                <w:sz w:val="18"/>
              </w:rPr>
              <w:t>69638350-4</w:t>
            </w:r>
          </w:p>
        </w:tc>
      </w:tr>
      <w:tr>
        <w:trPr>
          <w:trHeight w:val="384" w:hRule="exact"/>
        </w:trPr>
        <w:tc>
          <w:tcPr>
            <w:tcW w:w="270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重庆新媒农信科技有限公司</w:t>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5"/>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46" w:right="0"/>
              <w:jc w:val="left"/>
              <w:rPr>
                <w:rFonts w:ascii="宋体" w:hAnsi="宋体" w:cs="宋体" w:eastAsia="宋体" w:hint="default"/>
                <w:sz w:val="18"/>
                <w:szCs w:val="18"/>
              </w:rPr>
            </w:pPr>
            <w:r>
              <w:rPr>
                <w:rFonts w:ascii="宋体" w:hAnsi="宋体" w:cs="宋体" w:eastAsia="宋体" w:hint="default"/>
                <w:sz w:val="18"/>
                <w:szCs w:val="18"/>
              </w:rPr>
              <w:t>重庆</w:t>
            </w:r>
          </w:p>
        </w:tc>
        <w:tc>
          <w:tcPr>
            <w:tcW w:w="91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48" w:right="0"/>
              <w:jc w:val="left"/>
              <w:rPr>
                <w:rFonts w:ascii="宋体" w:hAnsi="宋体" w:cs="宋体" w:eastAsia="宋体" w:hint="default"/>
                <w:sz w:val="18"/>
                <w:szCs w:val="18"/>
              </w:rPr>
            </w:pPr>
            <w:r>
              <w:rPr>
                <w:rFonts w:ascii="宋体" w:hAnsi="宋体" w:cs="宋体" w:eastAsia="宋体" w:hint="default"/>
                <w:sz w:val="18"/>
                <w:szCs w:val="18"/>
              </w:rPr>
              <w:t>黄松浪</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37"/>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8"/>
              <w:jc w:val="right"/>
              <w:rPr>
                <w:rFonts w:ascii="Times New Roman" w:hAnsi="Times New Roman" w:cs="Times New Roman" w:eastAsia="Times New Roman" w:hint="default"/>
                <w:sz w:val="18"/>
                <w:szCs w:val="18"/>
              </w:rPr>
            </w:pPr>
            <w:r>
              <w:rPr>
                <w:rFonts w:ascii="Times New Roman"/>
                <w:sz w:val="18"/>
              </w:rPr>
              <w:t>10,330.00</w:t>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0"/>
              <w:jc w:val="right"/>
              <w:rPr>
                <w:rFonts w:ascii="Times New Roman" w:hAnsi="Times New Roman" w:cs="Times New Roman" w:eastAsia="Times New Roman" w:hint="default"/>
                <w:sz w:val="18"/>
                <w:szCs w:val="18"/>
              </w:rPr>
            </w:pPr>
            <w:r>
              <w:rPr>
                <w:rFonts w:ascii="Times New Roman"/>
                <w:sz w:val="18"/>
              </w:rPr>
              <w:t>100.00</w:t>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z w:val="18"/>
              </w:rPr>
              <w:t>100.00</w:t>
            </w:r>
          </w:p>
        </w:tc>
        <w:tc>
          <w:tcPr>
            <w:tcW w:w="1223" w:type="dxa"/>
            <w:tcBorders>
              <w:top w:val="nil" w:sz="6" w:space="0" w:color="auto"/>
              <w:left w:val="nil" w:sz="6" w:space="0" w:color="auto"/>
              <w:bottom w:val="nil" w:sz="6" w:space="0" w:color="auto"/>
              <w:right w:val="nil" w:sz="6" w:space="0" w:color="auto"/>
            </w:tcBorders>
          </w:tcPr>
          <w:p>
            <w:pPr>
              <w:pStyle w:val="TableParagraph"/>
              <w:spacing w:line="240" w:lineRule="auto" w:before="82"/>
              <w:ind w:left="70" w:right="0"/>
              <w:jc w:val="center"/>
              <w:rPr>
                <w:rFonts w:ascii="Times New Roman" w:hAnsi="Times New Roman" w:cs="Times New Roman" w:eastAsia="Times New Roman" w:hint="default"/>
                <w:sz w:val="18"/>
                <w:szCs w:val="18"/>
              </w:rPr>
            </w:pPr>
            <w:r>
              <w:rPr>
                <w:rFonts w:ascii="Times New Roman"/>
                <w:sz w:val="18"/>
              </w:rPr>
              <w:t>55903163-3</w:t>
            </w:r>
          </w:p>
        </w:tc>
      </w:tr>
      <w:tr>
        <w:trPr>
          <w:trHeight w:val="385" w:hRule="exact"/>
        </w:trPr>
        <w:tc>
          <w:tcPr>
            <w:tcW w:w="270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互联时代通讯科技有限公司</w:t>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5"/>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46"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91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48" w:right="0"/>
              <w:jc w:val="left"/>
              <w:rPr>
                <w:rFonts w:ascii="宋体" w:hAnsi="宋体" w:cs="宋体" w:eastAsia="宋体" w:hint="default"/>
                <w:sz w:val="18"/>
                <w:szCs w:val="18"/>
              </w:rPr>
            </w:pPr>
            <w:r>
              <w:rPr>
                <w:rFonts w:ascii="宋体" w:hAnsi="宋体" w:cs="宋体" w:eastAsia="宋体" w:hint="default"/>
                <w:sz w:val="18"/>
                <w:szCs w:val="18"/>
              </w:rPr>
              <w:t>王宁</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37"/>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9"/>
              <w:jc w:val="right"/>
              <w:rPr>
                <w:rFonts w:ascii="Times New Roman" w:hAnsi="Times New Roman" w:cs="Times New Roman" w:eastAsia="Times New Roman" w:hint="default"/>
                <w:sz w:val="18"/>
                <w:szCs w:val="18"/>
              </w:rPr>
            </w:pPr>
            <w:r>
              <w:rPr>
                <w:rFonts w:ascii="Times New Roman"/>
                <w:spacing w:val="-4"/>
                <w:sz w:val="18"/>
              </w:rPr>
              <w:t>1,111.11</w:t>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2"/>
              <w:jc w:val="right"/>
              <w:rPr>
                <w:rFonts w:ascii="Times New Roman" w:hAnsi="Times New Roman" w:cs="Times New Roman" w:eastAsia="Times New Roman" w:hint="default"/>
                <w:sz w:val="18"/>
                <w:szCs w:val="18"/>
              </w:rPr>
            </w:pPr>
            <w:r>
              <w:rPr>
                <w:rFonts w:ascii="Times New Roman"/>
                <w:sz w:val="18"/>
              </w:rPr>
              <w:t>100.00</w:t>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z w:val="18"/>
              </w:rPr>
              <w:t>100.00</w:t>
            </w:r>
          </w:p>
        </w:tc>
        <w:tc>
          <w:tcPr>
            <w:tcW w:w="1223" w:type="dxa"/>
            <w:tcBorders>
              <w:top w:val="nil" w:sz="6" w:space="0" w:color="auto"/>
              <w:left w:val="nil" w:sz="6" w:space="0" w:color="auto"/>
              <w:bottom w:val="nil" w:sz="6" w:space="0" w:color="auto"/>
              <w:right w:val="nil" w:sz="6" w:space="0" w:color="auto"/>
            </w:tcBorders>
          </w:tcPr>
          <w:p>
            <w:pPr>
              <w:pStyle w:val="TableParagraph"/>
              <w:spacing w:line="240" w:lineRule="auto" w:before="82"/>
              <w:ind w:left="70" w:right="0"/>
              <w:jc w:val="center"/>
              <w:rPr>
                <w:rFonts w:ascii="Times New Roman" w:hAnsi="Times New Roman" w:cs="Times New Roman" w:eastAsia="Times New Roman" w:hint="default"/>
                <w:sz w:val="18"/>
                <w:szCs w:val="18"/>
              </w:rPr>
            </w:pPr>
            <w:r>
              <w:rPr>
                <w:rFonts w:ascii="Times New Roman"/>
                <w:sz w:val="18"/>
              </w:rPr>
              <w:t>74009399-4</w:t>
            </w:r>
          </w:p>
        </w:tc>
      </w:tr>
      <w:tr>
        <w:trPr>
          <w:trHeight w:val="391" w:hRule="exact"/>
        </w:trPr>
        <w:tc>
          <w:tcPr>
            <w:tcW w:w="2702" w:type="dxa"/>
            <w:tcBorders>
              <w:top w:val="nil" w:sz="6" w:space="0" w:color="auto"/>
              <w:left w:val="nil" w:sz="6" w:space="0" w:color="auto"/>
              <w:bottom w:val="single" w:sz="12" w:space="0" w:color="000000"/>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友联创新系统集成有限公司</w:t>
            </w:r>
          </w:p>
        </w:tc>
        <w:tc>
          <w:tcPr>
            <w:tcW w:w="1192" w:type="dxa"/>
            <w:tcBorders>
              <w:top w:val="nil" w:sz="6" w:space="0" w:color="auto"/>
              <w:left w:val="nil" w:sz="6" w:space="0" w:color="auto"/>
              <w:bottom w:val="single" w:sz="12" w:space="0" w:color="000000"/>
              <w:right w:val="nil" w:sz="6" w:space="0" w:color="auto"/>
            </w:tcBorders>
          </w:tcPr>
          <w:p>
            <w:pPr>
              <w:pStyle w:val="TableParagraph"/>
              <w:spacing w:line="240" w:lineRule="auto" w:before="43"/>
              <w:ind w:left="1"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47" w:type="dxa"/>
            <w:tcBorders>
              <w:top w:val="nil" w:sz="6" w:space="0" w:color="auto"/>
              <w:left w:val="nil" w:sz="6" w:space="0" w:color="auto"/>
              <w:bottom w:val="single" w:sz="12" w:space="0" w:color="000000"/>
              <w:right w:val="nil" w:sz="6" w:space="0" w:color="auto"/>
            </w:tcBorders>
          </w:tcPr>
          <w:p>
            <w:pPr>
              <w:pStyle w:val="TableParagraph"/>
              <w:spacing w:line="240" w:lineRule="auto" w:before="43"/>
              <w:ind w:right="25"/>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916" w:type="dxa"/>
            <w:tcBorders>
              <w:top w:val="nil" w:sz="6" w:space="0" w:color="auto"/>
              <w:left w:val="nil" w:sz="6" w:space="0" w:color="auto"/>
              <w:bottom w:val="single" w:sz="12" w:space="0" w:color="000000"/>
              <w:right w:val="nil" w:sz="6" w:space="0" w:color="auto"/>
            </w:tcBorders>
          </w:tcPr>
          <w:p>
            <w:pPr>
              <w:pStyle w:val="TableParagraph"/>
              <w:spacing w:line="240" w:lineRule="auto" w:before="43"/>
              <w:ind w:left="146"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917" w:type="dxa"/>
            <w:tcBorders>
              <w:top w:val="nil" w:sz="6" w:space="0" w:color="auto"/>
              <w:left w:val="nil" w:sz="6" w:space="0" w:color="auto"/>
              <w:bottom w:val="single" w:sz="12" w:space="0" w:color="000000"/>
              <w:right w:val="nil" w:sz="6" w:space="0" w:color="auto"/>
            </w:tcBorders>
          </w:tcPr>
          <w:p>
            <w:pPr>
              <w:pStyle w:val="TableParagraph"/>
              <w:spacing w:line="240" w:lineRule="auto" w:before="43"/>
              <w:ind w:left="148" w:right="0"/>
              <w:jc w:val="left"/>
              <w:rPr>
                <w:rFonts w:ascii="宋体" w:hAnsi="宋体" w:cs="宋体" w:eastAsia="宋体" w:hint="default"/>
                <w:sz w:val="18"/>
                <w:szCs w:val="18"/>
              </w:rPr>
            </w:pPr>
            <w:r>
              <w:rPr>
                <w:rFonts w:ascii="宋体" w:hAnsi="宋体" w:cs="宋体" w:eastAsia="宋体" w:hint="default"/>
                <w:sz w:val="18"/>
                <w:szCs w:val="18"/>
              </w:rPr>
              <w:t>徐伟</w:t>
            </w:r>
          </w:p>
        </w:tc>
        <w:tc>
          <w:tcPr>
            <w:tcW w:w="1777" w:type="dxa"/>
            <w:tcBorders>
              <w:top w:val="nil" w:sz="6" w:space="0" w:color="auto"/>
              <w:left w:val="nil" w:sz="6" w:space="0" w:color="auto"/>
              <w:bottom w:val="single" w:sz="12" w:space="0" w:color="000000"/>
              <w:right w:val="nil" w:sz="6" w:space="0" w:color="auto"/>
            </w:tcBorders>
          </w:tcPr>
          <w:p>
            <w:pPr>
              <w:pStyle w:val="TableParagraph"/>
              <w:spacing w:line="240" w:lineRule="auto" w:before="43"/>
              <w:ind w:right="37"/>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1134"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110"/>
              <w:jc w:val="right"/>
              <w:rPr>
                <w:rFonts w:ascii="Times New Roman" w:hAnsi="Times New Roman" w:cs="Times New Roman" w:eastAsia="Times New Roman" w:hint="default"/>
                <w:sz w:val="18"/>
                <w:szCs w:val="18"/>
              </w:rPr>
            </w:pPr>
            <w:r>
              <w:rPr>
                <w:rFonts w:ascii="Times New Roman"/>
                <w:sz w:val="18"/>
              </w:rPr>
              <w:t>2,000.00</w:t>
            </w:r>
          </w:p>
        </w:tc>
        <w:tc>
          <w:tcPr>
            <w:tcW w:w="949"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111"/>
              <w:jc w:val="right"/>
              <w:rPr>
                <w:rFonts w:ascii="Times New Roman" w:hAnsi="Times New Roman" w:cs="Times New Roman" w:eastAsia="Times New Roman" w:hint="default"/>
                <w:sz w:val="18"/>
                <w:szCs w:val="18"/>
              </w:rPr>
            </w:pPr>
            <w:r>
              <w:rPr>
                <w:rFonts w:ascii="Times New Roman"/>
                <w:sz w:val="18"/>
              </w:rPr>
              <w:t>100.00</w:t>
            </w:r>
          </w:p>
        </w:tc>
        <w:tc>
          <w:tcPr>
            <w:tcW w:w="1130"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106"/>
              <w:jc w:val="right"/>
              <w:rPr>
                <w:rFonts w:ascii="Times New Roman" w:hAnsi="Times New Roman" w:cs="Times New Roman" w:eastAsia="Times New Roman" w:hint="default"/>
                <w:sz w:val="18"/>
                <w:szCs w:val="18"/>
              </w:rPr>
            </w:pPr>
            <w:r>
              <w:rPr>
                <w:rFonts w:ascii="Times New Roman"/>
                <w:sz w:val="18"/>
              </w:rPr>
              <w:t>100.00</w:t>
            </w:r>
          </w:p>
        </w:tc>
        <w:tc>
          <w:tcPr>
            <w:tcW w:w="1223"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left="70" w:right="0"/>
              <w:jc w:val="center"/>
              <w:rPr>
                <w:rFonts w:ascii="Times New Roman" w:hAnsi="Times New Roman" w:cs="Times New Roman" w:eastAsia="Times New Roman" w:hint="default"/>
                <w:sz w:val="18"/>
                <w:szCs w:val="18"/>
              </w:rPr>
            </w:pPr>
            <w:r>
              <w:rPr>
                <w:rFonts w:ascii="Times New Roman"/>
                <w:sz w:val="18"/>
              </w:rPr>
              <w:t>75012029-8</w:t>
            </w:r>
          </w:p>
        </w:tc>
      </w:tr>
    </w:tbl>
    <w:p>
      <w:pPr>
        <w:spacing w:after="0" w:line="240" w:lineRule="auto"/>
        <w:jc w:val="center"/>
        <w:rPr>
          <w:rFonts w:ascii="Times New Roman" w:hAnsi="Times New Roman" w:cs="Times New Roman" w:eastAsia="Times New Roman" w:hint="default"/>
          <w:sz w:val="18"/>
          <w:szCs w:val="18"/>
        </w:rPr>
        <w:sectPr>
          <w:headerReference w:type="default" r:id="rId260"/>
          <w:footerReference w:type="default" r:id="rId261"/>
          <w:pgSz w:w="16840" w:h="11910" w:orient="landscape"/>
          <w:pgMar w:header="851" w:footer="978" w:top="1360" w:bottom="1160" w:left="1300" w:right="1240"/>
          <w:pgNumType w:start="145"/>
        </w:sectPr>
      </w:pPr>
    </w:p>
    <w:p>
      <w:pPr>
        <w:spacing w:line="240" w:lineRule="auto" w:before="7"/>
        <w:rPr>
          <w:rFonts w:ascii="宋体" w:hAnsi="宋体" w:cs="宋体" w:eastAsia="宋体" w:hint="default"/>
          <w:b/>
          <w:bCs/>
          <w:sz w:val="29"/>
          <w:szCs w:val="29"/>
        </w:rPr>
      </w:pPr>
    </w:p>
    <w:p>
      <w:pPr>
        <w:pStyle w:val="BodyText"/>
        <w:tabs>
          <w:tab w:pos="979" w:val="left" w:leader="none"/>
        </w:tabs>
        <w:spacing w:line="240" w:lineRule="auto" w:before="35"/>
        <w:ind w:left="139" w:right="0"/>
        <w:jc w:val="left"/>
      </w:pPr>
      <w:r>
        <w:rPr/>
        <w:pict>
          <v:group style="position:absolute;margin-left:101.511002pt;margin-top:54.213684pt;width:701.1pt;height:133.950pt;mso-position-horizontal-relative:page;mso-position-vertical-relative:paragraph;z-index:-706600" coordorigin="2030,1084" coordsize="14022,2679">
            <v:shape style="position:absolute;left:5111;top:1084;width:9444;height:1536" type="#_x0000_t75" stroked="false">
              <v:imagedata r:id="rId266" o:title=""/>
            </v:shape>
            <v:shape style="position:absolute;left:2030;top:2588;width:14022;height:1174" type="#_x0000_t75" stroked="false">
              <v:imagedata r:id="rId267" o:title=""/>
            </v:shape>
            <v:shape style="position:absolute;left:6519;top:2975;width:48;height:787" type="#_x0000_t75" stroked="false">
              <v:imagedata r:id="rId268" o:title=""/>
            </v:shape>
            <v:shape style="position:absolute;left:7653;top:2975;width:48;height:787" type="#_x0000_t75" stroked="false">
              <v:imagedata r:id="rId268" o:title=""/>
            </v:shape>
            <v:shape style="position:absolute;left:8733;top:2975;width:48;height:787" type="#_x0000_t75" stroked="false">
              <v:imagedata r:id="rId268" o:title=""/>
            </v:shape>
            <v:shape style="position:absolute;left:9993;top:2975;width:48;height:787" type="#_x0000_t75" stroked="false">
              <v:imagedata r:id="rId269" o:title=""/>
            </v:shape>
            <v:shape style="position:absolute;left:11197;top:2975;width:48;height:787" type="#_x0000_t75" stroked="false">
              <v:imagedata r:id="rId268" o:title=""/>
            </v:shape>
            <v:shape style="position:absolute;left:12261;top:2975;width:48;height:768" type="#_x0000_t75" stroked="false">
              <v:imagedata r:id="rId270" o:title=""/>
            </v:shape>
            <v:shape style="position:absolute;left:13458;top:2975;width:48;height:787" type="#_x0000_t75" stroked="false">
              <v:imagedata r:id="rId268" o:title=""/>
            </v:shape>
            <v:shape style="position:absolute;left:14507;top:2975;width:48;height:787" type="#_x0000_t75" stroked="false">
              <v:imagedata r:id="rId268" o:title=""/>
            </v:shape>
            <w10:wrap type="none"/>
          </v:group>
        </w:pict>
      </w:r>
      <w:r>
        <w:rPr>
          <w:rFonts w:ascii="Times New Roman" w:hAnsi="Times New Roman" w:cs="Times New Roman" w:eastAsia="Times New Roman" w:hint="default"/>
          <w:spacing w:val="-1"/>
        </w:rPr>
        <w:t>(</w:t>
      </w:r>
      <w:r>
        <w:rPr>
          <w:spacing w:val="-1"/>
        </w:rPr>
        <w:t>三</w:t>
      </w:r>
      <w:r>
        <w:rPr>
          <w:rFonts w:ascii="Times New Roman" w:hAnsi="Times New Roman" w:cs="Times New Roman" w:eastAsia="Times New Roman" w:hint="default"/>
          <w:spacing w:val="-1"/>
        </w:rPr>
        <w:t>)</w:t>
        <w:tab/>
      </w:r>
      <w:r>
        <w:rPr/>
        <w:t>本企业的合营和联营企业情况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tbl>
      <w:tblPr>
        <w:tblW w:w="0" w:type="auto"/>
        <w:jc w:val="left"/>
        <w:tblInd w:w="749" w:type="dxa"/>
        <w:tblLayout w:type="fixed"/>
        <w:tblCellMar>
          <w:top w:w="0" w:type="dxa"/>
          <w:left w:w="0" w:type="dxa"/>
          <w:bottom w:w="0" w:type="dxa"/>
          <w:right w:w="0" w:type="dxa"/>
        </w:tblCellMar>
        <w:tblLook w:val="01E0"/>
      </w:tblPr>
      <w:tblGrid>
        <w:gridCol w:w="3001"/>
        <w:gridCol w:w="1437"/>
        <w:gridCol w:w="1096"/>
        <w:gridCol w:w="1139"/>
        <w:gridCol w:w="1291"/>
        <w:gridCol w:w="1219"/>
        <w:gridCol w:w="1075"/>
        <w:gridCol w:w="1177"/>
        <w:gridCol w:w="1020"/>
        <w:gridCol w:w="1532"/>
      </w:tblGrid>
      <w:tr>
        <w:trPr>
          <w:trHeight w:val="1521" w:hRule="exact"/>
        </w:trPr>
        <w:tc>
          <w:tcPr>
            <w:tcW w:w="3001"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left="911" w:right="0"/>
              <w:jc w:val="left"/>
              <w:rPr>
                <w:rFonts w:ascii="宋体" w:hAnsi="宋体" w:cs="宋体" w:eastAsia="宋体" w:hint="default"/>
                <w:sz w:val="18"/>
                <w:szCs w:val="18"/>
              </w:rPr>
            </w:pPr>
            <w:r>
              <w:rPr>
                <w:rFonts w:ascii="宋体" w:hAnsi="宋体" w:cs="宋体" w:eastAsia="宋体" w:hint="default"/>
                <w:sz w:val="18"/>
                <w:szCs w:val="18"/>
              </w:rPr>
              <w:t>被投资单位名称</w:t>
            </w:r>
          </w:p>
        </w:tc>
        <w:tc>
          <w:tcPr>
            <w:tcW w:w="1437"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left="138" w:right="0"/>
              <w:jc w:val="center"/>
              <w:rPr>
                <w:rFonts w:ascii="宋体" w:hAnsi="宋体" w:cs="宋体" w:eastAsia="宋体" w:hint="default"/>
                <w:sz w:val="18"/>
                <w:szCs w:val="18"/>
              </w:rPr>
            </w:pPr>
            <w:r>
              <w:rPr>
                <w:rFonts w:ascii="宋体" w:hAnsi="宋体" w:cs="宋体" w:eastAsia="宋体" w:hint="default"/>
                <w:sz w:val="18"/>
                <w:szCs w:val="18"/>
              </w:rPr>
              <w:t>企业类型</w:t>
            </w:r>
          </w:p>
        </w:tc>
        <w:tc>
          <w:tcPr>
            <w:tcW w:w="1096"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right="200"/>
              <w:jc w:val="right"/>
              <w:rPr>
                <w:rFonts w:ascii="宋体" w:hAnsi="宋体" w:cs="宋体" w:eastAsia="宋体" w:hint="default"/>
                <w:sz w:val="18"/>
                <w:szCs w:val="18"/>
              </w:rPr>
            </w:pPr>
            <w:r>
              <w:rPr>
                <w:rFonts w:ascii="宋体" w:hAnsi="宋体" w:cs="宋体" w:eastAsia="宋体" w:hint="default"/>
                <w:sz w:val="18"/>
                <w:szCs w:val="18"/>
              </w:rPr>
              <w:t>注册地</w:t>
            </w:r>
          </w:p>
        </w:tc>
        <w:tc>
          <w:tcPr>
            <w:tcW w:w="1139"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left="274" w:right="0"/>
              <w:jc w:val="left"/>
              <w:rPr>
                <w:rFonts w:ascii="宋体" w:hAnsi="宋体" w:cs="宋体" w:eastAsia="宋体" w:hint="default"/>
                <w:sz w:val="18"/>
                <w:szCs w:val="18"/>
              </w:rPr>
            </w:pPr>
            <w:r>
              <w:rPr>
                <w:rFonts w:ascii="宋体" w:hAnsi="宋体" w:cs="宋体" w:eastAsia="宋体" w:hint="default"/>
                <w:sz w:val="18"/>
                <w:szCs w:val="18"/>
              </w:rPr>
              <w:t>法人代表</w:t>
            </w:r>
          </w:p>
        </w:tc>
        <w:tc>
          <w:tcPr>
            <w:tcW w:w="1291"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left="304"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219"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left="246"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075"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381" w:lineRule="auto"/>
              <w:ind w:left="117" w:right="145" w:firstLine="44"/>
              <w:jc w:val="left"/>
              <w:rPr>
                <w:rFonts w:ascii="Times New Roman" w:hAnsi="Times New Roman" w:cs="Times New Roman" w:eastAsia="Times New Roman" w:hint="default"/>
                <w:sz w:val="18"/>
                <w:szCs w:val="18"/>
              </w:rPr>
            </w:pPr>
            <w:r>
              <w:rPr>
                <w:rFonts w:ascii="宋体" w:hAnsi="宋体" w:cs="宋体" w:eastAsia="宋体" w:hint="default"/>
                <w:sz w:val="18"/>
                <w:szCs w:val="18"/>
              </w:rPr>
              <w:t>本企业持 股比例</w:t>
            </w:r>
            <w:r>
              <w:rPr>
                <w:rFonts w:ascii="Times New Roman" w:hAnsi="Times New Roman" w:cs="Times New Roman" w:eastAsia="Times New Roman" w:hint="default"/>
                <w:sz w:val="18"/>
                <w:szCs w:val="18"/>
              </w:rPr>
              <w:t>(%)</w:t>
            </w:r>
          </w:p>
        </w:tc>
        <w:tc>
          <w:tcPr>
            <w:tcW w:w="1177" w:type="dxa"/>
            <w:tcBorders>
              <w:top w:val="single" w:sz="12" w:space="0" w:color="000000"/>
              <w:left w:val="nil" w:sz="6" w:space="0" w:color="auto"/>
              <w:bottom w:val="nil" w:sz="6" w:space="0" w:color="auto"/>
              <w:right w:val="nil" w:sz="6" w:space="0" w:color="auto"/>
            </w:tcBorders>
          </w:tcPr>
          <w:p>
            <w:pPr>
              <w:pStyle w:val="TableParagraph"/>
              <w:spacing w:line="381" w:lineRule="auto" w:before="41"/>
              <w:ind w:left="128" w:right="146"/>
              <w:jc w:val="center"/>
              <w:rPr>
                <w:rFonts w:ascii="宋体" w:hAnsi="宋体" w:cs="宋体" w:eastAsia="宋体" w:hint="default"/>
                <w:sz w:val="18"/>
                <w:szCs w:val="18"/>
              </w:rPr>
            </w:pPr>
            <w:r>
              <w:rPr>
                <w:rFonts w:ascii="宋体" w:hAnsi="宋体" w:cs="宋体" w:eastAsia="宋体" w:hint="default"/>
                <w:sz w:val="18"/>
                <w:szCs w:val="18"/>
              </w:rPr>
              <w:t>本企业在被 投资单位表 决权比例</w:t>
            </w:r>
          </w:p>
          <w:p>
            <w:pPr>
              <w:pStyle w:val="TableParagraph"/>
              <w:spacing w:line="240" w:lineRule="auto" w:before="72"/>
              <w:ind w:right="18"/>
              <w:jc w:val="center"/>
              <w:rPr>
                <w:rFonts w:ascii="Times New Roman" w:hAnsi="Times New Roman" w:cs="Times New Roman" w:eastAsia="Times New Roman" w:hint="default"/>
                <w:sz w:val="18"/>
                <w:szCs w:val="18"/>
              </w:rPr>
            </w:pPr>
            <w:r>
              <w:rPr>
                <w:rFonts w:ascii="Times New Roman"/>
                <w:sz w:val="18"/>
              </w:rPr>
              <w:t>(%)</w:t>
            </w:r>
          </w:p>
        </w:tc>
        <w:tc>
          <w:tcPr>
            <w:tcW w:w="1020"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left="163" w:right="0"/>
              <w:jc w:val="left"/>
              <w:rPr>
                <w:rFonts w:ascii="宋体" w:hAnsi="宋体" w:cs="宋体" w:eastAsia="宋体" w:hint="default"/>
                <w:sz w:val="18"/>
                <w:szCs w:val="18"/>
              </w:rPr>
            </w:pPr>
            <w:r>
              <w:rPr>
                <w:rFonts w:ascii="宋体" w:hAnsi="宋体" w:cs="宋体" w:eastAsia="宋体" w:hint="default"/>
                <w:sz w:val="18"/>
                <w:szCs w:val="18"/>
              </w:rPr>
              <w:t>关联关系</w:t>
            </w:r>
          </w:p>
        </w:tc>
        <w:tc>
          <w:tcPr>
            <w:tcW w:w="1532"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left="243" w:right="0"/>
              <w:jc w:val="left"/>
              <w:rPr>
                <w:rFonts w:ascii="宋体" w:hAnsi="宋体" w:cs="宋体" w:eastAsia="宋体" w:hint="default"/>
                <w:sz w:val="18"/>
                <w:szCs w:val="18"/>
              </w:rPr>
            </w:pPr>
            <w:r>
              <w:rPr>
                <w:rFonts w:ascii="宋体" w:hAnsi="宋体" w:cs="宋体" w:eastAsia="宋体" w:hint="default"/>
                <w:sz w:val="18"/>
                <w:szCs w:val="18"/>
              </w:rPr>
              <w:t>组织机构代码</w:t>
            </w:r>
          </w:p>
        </w:tc>
      </w:tr>
      <w:tr>
        <w:trPr>
          <w:trHeight w:val="380" w:hRule="exact"/>
        </w:trPr>
        <w:tc>
          <w:tcPr>
            <w:tcW w:w="3001"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1437" w:type="dxa"/>
            <w:tcBorders>
              <w:top w:val="nil" w:sz="6" w:space="0" w:color="auto"/>
              <w:left w:val="nil" w:sz="6" w:space="0" w:color="auto"/>
              <w:bottom w:val="nil" w:sz="6" w:space="0" w:color="auto"/>
              <w:right w:val="nil" w:sz="6" w:space="0" w:color="auto"/>
            </w:tcBorders>
          </w:tcPr>
          <w:p>
            <w:pPr/>
          </w:p>
        </w:tc>
        <w:tc>
          <w:tcPr>
            <w:tcW w:w="1096"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
        </w:tc>
        <w:tc>
          <w:tcPr>
            <w:tcW w:w="1291" w:type="dxa"/>
            <w:tcBorders>
              <w:top w:val="nil" w:sz="6" w:space="0" w:color="auto"/>
              <w:left w:val="nil" w:sz="6" w:space="0" w:color="auto"/>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nil" w:sz="6" w:space="0" w:color="auto"/>
            </w:tcBorders>
          </w:tcPr>
          <w:p>
            <w:pPr/>
          </w:p>
        </w:tc>
        <w:tc>
          <w:tcPr>
            <w:tcW w:w="1177" w:type="dxa"/>
            <w:tcBorders>
              <w:top w:val="nil" w:sz="6" w:space="0" w:color="auto"/>
              <w:left w:val="nil" w:sz="6" w:space="0" w:color="auto"/>
              <w:bottom w:val="nil" w:sz="6" w:space="0" w:color="auto"/>
              <w:right w:val="nil" w:sz="6" w:space="0" w:color="auto"/>
            </w:tcBorders>
          </w:tcPr>
          <w:p>
            <w:pPr/>
          </w:p>
        </w:tc>
        <w:tc>
          <w:tcPr>
            <w:tcW w:w="1020"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
        </w:tc>
      </w:tr>
      <w:tr>
        <w:trPr>
          <w:trHeight w:val="768" w:hRule="exact"/>
        </w:trPr>
        <w:tc>
          <w:tcPr>
            <w:tcW w:w="3001"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大连华信计算机技术股份有限公司</w:t>
            </w:r>
          </w:p>
        </w:tc>
        <w:tc>
          <w:tcPr>
            <w:tcW w:w="1437"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28" w:right="0"/>
              <w:jc w:val="center"/>
              <w:rPr>
                <w:rFonts w:ascii="宋体" w:hAnsi="宋体" w:cs="宋体" w:eastAsia="宋体" w:hint="default"/>
                <w:sz w:val="18"/>
                <w:szCs w:val="18"/>
              </w:rPr>
            </w:pPr>
            <w:r>
              <w:rPr>
                <w:rFonts w:ascii="宋体" w:hAnsi="宋体" w:cs="宋体" w:eastAsia="宋体" w:hint="default"/>
                <w:sz w:val="18"/>
                <w:szCs w:val="18"/>
              </w:rPr>
              <w:t>股份有限公司</w:t>
            </w:r>
          </w:p>
        </w:tc>
        <w:tc>
          <w:tcPr>
            <w:tcW w:w="1096"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09"/>
              <w:jc w:val="right"/>
              <w:rPr>
                <w:rFonts w:ascii="宋体" w:hAnsi="宋体" w:cs="宋体" w:eastAsia="宋体" w:hint="default"/>
                <w:sz w:val="18"/>
                <w:szCs w:val="18"/>
              </w:rPr>
            </w:pPr>
            <w:r>
              <w:rPr>
                <w:rFonts w:ascii="宋体" w:hAnsi="宋体" w:cs="宋体" w:eastAsia="宋体" w:hint="default"/>
                <w:sz w:val="18"/>
                <w:szCs w:val="18"/>
              </w:rPr>
              <w:t>辽宁大连</w:t>
            </w:r>
          </w:p>
        </w:tc>
        <w:tc>
          <w:tcPr>
            <w:tcW w:w="1139"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刘军</w:t>
            </w:r>
          </w:p>
        </w:tc>
        <w:tc>
          <w:tcPr>
            <w:tcW w:w="1291" w:type="dxa"/>
            <w:tcBorders>
              <w:top w:val="nil" w:sz="6" w:space="0" w:color="auto"/>
              <w:left w:val="nil" w:sz="6" w:space="0" w:color="auto"/>
              <w:bottom w:val="single" w:sz="12" w:space="0" w:color="000000"/>
              <w:right w:val="nil" w:sz="6" w:space="0" w:color="auto"/>
            </w:tcBorders>
          </w:tcPr>
          <w:p>
            <w:pPr>
              <w:pStyle w:val="TableParagraph"/>
              <w:spacing w:line="381" w:lineRule="auto" w:before="46"/>
              <w:ind w:left="144" w:right="244"/>
              <w:jc w:val="left"/>
              <w:rPr>
                <w:rFonts w:ascii="宋体" w:hAnsi="宋体" w:cs="宋体" w:eastAsia="宋体" w:hint="default"/>
                <w:sz w:val="18"/>
                <w:szCs w:val="18"/>
              </w:rPr>
            </w:pPr>
            <w:r>
              <w:rPr>
                <w:rFonts w:ascii="宋体" w:hAnsi="宋体" w:cs="宋体" w:eastAsia="宋体" w:hint="default"/>
                <w:sz w:val="18"/>
                <w:szCs w:val="18"/>
              </w:rPr>
              <w:t>计算机应用 服务业</w:t>
            </w:r>
          </w:p>
        </w:tc>
        <w:tc>
          <w:tcPr>
            <w:tcW w:w="1219"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379" w:right="0"/>
              <w:jc w:val="left"/>
              <w:rPr>
                <w:rFonts w:ascii="Times New Roman" w:hAnsi="Times New Roman" w:cs="Times New Roman" w:eastAsia="Times New Roman" w:hint="default"/>
                <w:sz w:val="18"/>
                <w:szCs w:val="18"/>
              </w:rPr>
            </w:pPr>
            <w:r>
              <w:rPr>
                <w:rFonts w:ascii="Times New Roman"/>
                <w:sz w:val="18"/>
              </w:rPr>
              <w:t>15,000.00</w:t>
            </w:r>
          </w:p>
        </w:tc>
        <w:tc>
          <w:tcPr>
            <w:tcW w:w="1075"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631" w:right="0"/>
              <w:jc w:val="left"/>
              <w:rPr>
                <w:rFonts w:ascii="Times New Roman" w:hAnsi="Times New Roman" w:cs="Times New Roman" w:eastAsia="Times New Roman" w:hint="default"/>
                <w:sz w:val="18"/>
                <w:szCs w:val="18"/>
              </w:rPr>
            </w:pPr>
            <w:r>
              <w:rPr>
                <w:rFonts w:ascii="Times New Roman"/>
                <w:sz w:val="18"/>
              </w:rPr>
              <w:t>8.00</w:t>
            </w:r>
          </w:p>
        </w:tc>
        <w:tc>
          <w:tcPr>
            <w:tcW w:w="1177"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753" w:right="0"/>
              <w:jc w:val="left"/>
              <w:rPr>
                <w:rFonts w:ascii="Times New Roman" w:hAnsi="Times New Roman" w:cs="Times New Roman" w:eastAsia="Times New Roman" w:hint="default"/>
                <w:sz w:val="18"/>
                <w:szCs w:val="18"/>
              </w:rPr>
            </w:pPr>
            <w:r>
              <w:rPr>
                <w:rFonts w:ascii="Times New Roman"/>
                <w:sz w:val="18"/>
              </w:rPr>
              <w:t>8.00</w:t>
            </w:r>
          </w:p>
        </w:tc>
        <w:tc>
          <w:tcPr>
            <w:tcW w:w="1020"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1532"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136" w:right="0"/>
              <w:jc w:val="left"/>
              <w:rPr>
                <w:rFonts w:ascii="Times New Roman" w:hAnsi="Times New Roman" w:cs="Times New Roman" w:eastAsia="Times New Roman" w:hint="default"/>
                <w:sz w:val="18"/>
                <w:szCs w:val="18"/>
              </w:rPr>
            </w:pPr>
            <w:r>
              <w:rPr>
                <w:rFonts w:ascii="Times New Roman"/>
                <w:sz w:val="18"/>
              </w:rPr>
              <w:t>24176565-3</w:t>
            </w:r>
          </w:p>
        </w:tc>
      </w:tr>
    </w:tbl>
    <w:p>
      <w:pPr>
        <w:spacing w:after="0" w:line="240" w:lineRule="auto"/>
        <w:jc w:val="left"/>
        <w:rPr>
          <w:rFonts w:ascii="Times New Roman" w:hAnsi="Times New Roman" w:cs="Times New Roman" w:eastAsia="Times New Roman" w:hint="default"/>
          <w:sz w:val="18"/>
          <w:szCs w:val="18"/>
        </w:rPr>
        <w:sectPr>
          <w:pgSz w:w="16840" w:h="11910" w:orient="landscape"/>
          <w:pgMar w:header="851" w:footer="978" w:top="1360" w:bottom="1160" w:left="1300" w:right="6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4"/>
          <w:szCs w:val="24"/>
        </w:rPr>
      </w:pPr>
    </w:p>
    <w:p>
      <w:pPr>
        <w:pStyle w:val="Heading2"/>
        <w:tabs>
          <w:tab w:pos="897" w:val="left" w:leader="none"/>
        </w:tabs>
        <w:spacing w:line="240" w:lineRule="auto" w:before="35"/>
        <w:ind w:left="126" w:right="390"/>
        <w:jc w:val="left"/>
        <w:rPr>
          <w:b w:val="0"/>
          <w:bCs w:val="0"/>
        </w:rPr>
      </w:pPr>
      <w:r>
        <w:rPr/>
        <w:pict>
          <v:group style="position:absolute;margin-left:119.399994pt;margin-top:38.617065pt;width:412.95pt;height:124.5pt;mso-position-horizontal-relative:page;mso-position-vertical-relative:paragraph;z-index:-706576" coordorigin="2388,772" coordsize="8259,2490">
            <v:shape style="position:absolute;left:7766;top:772;width:10;height:350" type="#_x0000_t75" stroked="false">
              <v:imagedata r:id="rId273" o:title=""/>
            </v:shape>
            <v:shape style="position:absolute;left:2388;top:1104;width:8258;height:2159" type="#_x0000_t75" stroked="false">
              <v:imagedata r:id="rId274" o:title=""/>
            </v:shape>
            <w10:wrap type="none"/>
          </v:group>
        </w:pict>
      </w:r>
      <w:r>
        <w:rPr>
          <w:rFonts w:ascii="Times New Roman" w:hAnsi="Times New Roman" w:cs="Times New Roman" w:eastAsia="Times New Roman" w:hint="default"/>
          <w:w w:val="95"/>
        </w:rPr>
        <w:t>(</w:t>
      </w:r>
      <w:r>
        <w:rPr>
          <w:w w:val="95"/>
        </w:rPr>
        <w:t>四</w:t>
      </w:r>
      <w:r>
        <w:rPr>
          <w:rFonts w:ascii="Times New Roman" w:hAnsi="Times New Roman" w:cs="Times New Roman" w:eastAsia="Times New Roman" w:hint="default"/>
          <w:w w:val="95"/>
        </w:rPr>
        <w:t>)</w:t>
        <w:tab/>
      </w:r>
      <w:r>
        <w:rPr/>
        <w:t>本企业的其他关联方情况</w:t>
      </w:r>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1"/>
          <w:szCs w:val="11"/>
        </w:rPr>
      </w:pPr>
    </w:p>
    <w:tbl>
      <w:tblPr>
        <w:tblW w:w="0" w:type="auto"/>
        <w:jc w:val="left"/>
        <w:tblInd w:w="747" w:type="dxa"/>
        <w:tblLayout w:type="fixed"/>
        <w:tblCellMar>
          <w:top w:w="0" w:type="dxa"/>
          <w:left w:w="0" w:type="dxa"/>
          <w:bottom w:w="0" w:type="dxa"/>
          <w:right w:w="0" w:type="dxa"/>
        </w:tblCellMar>
        <w:tblLook w:val="01E0"/>
      </w:tblPr>
      <w:tblGrid>
        <w:gridCol w:w="5363"/>
        <w:gridCol w:w="2856"/>
      </w:tblGrid>
      <w:tr>
        <w:trPr>
          <w:trHeight w:val="427" w:hRule="exact"/>
        </w:trPr>
        <w:tc>
          <w:tcPr>
            <w:tcW w:w="5363" w:type="dxa"/>
            <w:tcBorders>
              <w:top w:val="single" w:sz="12" w:space="0" w:color="000000"/>
              <w:left w:val="nil" w:sz="6" w:space="0" w:color="auto"/>
              <w:bottom w:val="nil" w:sz="6" w:space="0" w:color="auto"/>
              <w:right w:val="nil" w:sz="6" w:space="0" w:color="auto"/>
            </w:tcBorders>
          </w:tcPr>
          <w:p>
            <w:pPr>
              <w:pStyle w:val="TableParagraph"/>
              <w:spacing w:line="240" w:lineRule="auto" w:before="86"/>
              <w:ind w:right="107"/>
              <w:jc w:val="center"/>
              <w:rPr>
                <w:rFonts w:ascii="宋体" w:hAnsi="宋体" w:cs="宋体" w:eastAsia="宋体" w:hint="default"/>
                <w:sz w:val="18"/>
                <w:szCs w:val="18"/>
              </w:rPr>
            </w:pPr>
            <w:r>
              <w:rPr>
                <w:rFonts w:ascii="宋体" w:hAnsi="宋体" w:cs="宋体" w:eastAsia="宋体" w:hint="default"/>
                <w:sz w:val="18"/>
                <w:szCs w:val="18"/>
              </w:rPr>
              <w:t>其他关联方名称</w:t>
            </w:r>
          </w:p>
        </w:tc>
        <w:tc>
          <w:tcPr>
            <w:tcW w:w="2856" w:type="dxa"/>
            <w:tcBorders>
              <w:top w:val="single" w:sz="12" w:space="0" w:color="000000"/>
              <w:left w:val="nil" w:sz="6" w:space="0" w:color="auto"/>
              <w:bottom w:val="nil" w:sz="6" w:space="0" w:color="auto"/>
              <w:right w:val="nil" w:sz="6" w:space="0" w:color="auto"/>
            </w:tcBorders>
          </w:tcPr>
          <w:p>
            <w:pPr>
              <w:pStyle w:val="TableParagraph"/>
              <w:spacing w:line="240" w:lineRule="auto" w:before="86"/>
              <w:ind w:left="352" w:right="0"/>
              <w:jc w:val="left"/>
              <w:rPr>
                <w:rFonts w:ascii="宋体" w:hAnsi="宋体" w:cs="宋体" w:eastAsia="宋体" w:hint="default"/>
                <w:sz w:val="18"/>
                <w:szCs w:val="18"/>
              </w:rPr>
            </w:pPr>
            <w:r>
              <w:rPr>
                <w:rFonts w:ascii="宋体" w:hAnsi="宋体" w:cs="宋体" w:eastAsia="宋体" w:hint="default"/>
                <w:sz w:val="18"/>
                <w:szCs w:val="18"/>
              </w:rPr>
              <w:t>其他关联方与本公司的关系</w:t>
            </w:r>
          </w:p>
        </w:tc>
      </w:tr>
      <w:tr>
        <w:trPr>
          <w:trHeight w:val="365" w:hRule="exact"/>
        </w:trPr>
        <w:tc>
          <w:tcPr>
            <w:tcW w:w="5363"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06" w:right="0"/>
              <w:jc w:val="left"/>
              <w:rPr>
                <w:rFonts w:ascii="宋体" w:hAnsi="宋体" w:cs="宋体" w:eastAsia="宋体" w:hint="default"/>
                <w:sz w:val="18"/>
                <w:szCs w:val="18"/>
              </w:rPr>
            </w:pPr>
            <w:r>
              <w:rPr>
                <w:rFonts w:ascii="宋体" w:hAnsi="宋体" w:cs="宋体" w:eastAsia="宋体" w:hint="default"/>
                <w:sz w:val="18"/>
                <w:szCs w:val="18"/>
              </w:rPr>
              <w:t>齐强、黄松浪、王国华、万能、徐斯平</w:t>
            </w:r>
          </w:p>
        </w:tc>
        <w:tc>
          <w:tcPr>
            <w:tcW w:w="2856"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09" w:right="0"/>
              <w:jc w:val="left"/>
              <w:rPr>
                <w:rFonts w:ascii="宋体" w:hAnsi="宋体" w:cs="宋体" w:eastAsia="宋体" w:hint="default"/>
                <w:sz w:val="18"/>
                <w:szCs w:val="18"/>
              </w:rPr>
            </w:pPr>
            <w:r>
              <w:rPr>
                <w:rFonts w:ascii="宋体" w:hAnsi="宋体" w:cs="宋体" w:eastAsia="宋体" w:hint="default"/>
                <w:sz w:val="18"/>
                <w:szCs w:val="18"/>
              </w:rPr>
              <w:t>持有公司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以上股权的股东</w:t>
            </w:r>
          </w:p>
        </w:tc>
      </w:tr>
      <w:tr>
        <w:trPr>
          <w:trHeight w:val="1027" w:hRule="exact"/>
        </w:trPr>
        <w:tc>
          <w:tcPr>
            <w:tcW w:w="5363" w:type="dxa"/>
            <w:tcBorders>
              <w:top w:val="nil" w:sz="6" w:space="0" w:color="auto"/>
              <w:left w:val="nil" w:sz="6" w:space="0" w:color="auto"/>
              <w:bottom w:val="nil" w:sz="6" w:space="0" w:color="auto"/>
              <w:right w:val="nil" w:sz="6" w:space="0" w:color="auto"/>
            </w:tcBorders>
          </w:tcPr>
          <w:p>
            <w:pPr>
              <w:pStyle w:val="TableParagraph"/>
              <w:spacing w:line="357" w:lineRule="auto" w:before="29"/>
              <w:ind w:left="106" w:right="107"/>
              <w:jc w:val="both"/>
              <w:rPr>
                <w:rFonts w:ascii="宋体" w:hAnsi="宋体" w:cs="宋体" w:eastAsia="宋体" w:hint="default"/>
                <w:sz w:val="18"/>
                <w:szCs w:val="18"/>
              </w:rPr>
            </w:pPr>
            <w:r>
              <w:rPr>
                <w:rFonts w:ascii="宋体" w:hAnsi="宋体" w:cs="宋体" w:eastAsia="宋体" w:hint="default"/>
                <w:spacing w:val="-3"/>
                <w:sz w:val="18"/>
                <w:szCs w:val="18"/>
              </w:rPr>
              <w:t>陈冲、江锡如、刘凯湘、蓝伯雄、刘豪、许芃、王志刚、高峰、张</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3"/>
                <w:sz w:val="18"/>
                <w:szCs w:val="18"/>
              </w:rPr>
              <w:t>振鹏、汪铖、朱建松、陶磊、李广刚、丁彦超、郝岩、王克明、夏</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冬林、黄涛</w:t>
            </w:r>
          </w:p>
        </w:tc>
        <w:tc>
          <w:tcPr>
            <w:tcW w:w="285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3"/>
              <w:ind w:left="109" w:right="0"/>
              <w:jc w:val="left"/>
              <w:rPr>
                <w:rFonts w:ascii="宋体" w:hAnsi="宋体" w:cs="宋体" w:eastAsia="宋体" w:hint="default"/>
                <w:sz w:val="18"/>
                <w:szCs w:val="18"/>
              </w:rPr>
            </w:pPr>
            <w:r>
              <w:rPr>
                <w:rFonts w:ascii="宋体" w:hAnsi="宋体" w:cs="宋体" w:eastAsia="宋体" w:hint="default"/>
                <w:sz w:val="18"/>
                <w:szCs w:val="18"/>
              </w:rPr>
              <w:t>关键管理人员</w:t>
            </w:r>
          </w:p>
        </w:tc>
      </w:tr>
      <w:tr>
        <w:trPr>
          <w:trHeight w:val="388" w:hRule="exact"/>
        </w:trPr>
        <w:tc>
          <w:tcPr>
            <w:tcW w:w="5363" w:type="dxa"/>
            <w:tcBorders>
              <w:top w:val="nil" w:sz="6" w:space="0" w:color="auto"/>
              <w:left w:val="nil" w:sz="6" w:space="0" w:color="auto"/>
              <w:bottom w:val="nil" w:sz="6" w:space="0" w:color="auto"/>
              <w:right w:val="nil" w:sz="6" w:space="0" w:color="auto"/>
            </w:tcBorders>
          </w:tcPr>
          <w:p>
            <w:pPr>
              <w:pStyle w:val="TableParagraph"/>
              <w:spacing w:line="240" w:lineRule="auto" w:before="6"/>
              <w:ind w:left="106" w:right="0"/>
              <w:jc w:val="left"/>
              <w:rPr>
                <w:rFonts w:ascii="宋体" w:hAnsi="宋体" w:cs="宋体" w:eastAsia="宋体" w:hint="default"/>
                <w:sz w:val="18"/>
                <w:szCs w:val="18"/>
              </w:rPr>
            </w:pPr>
            <w:r>
              <w:rPr>
                <w:rFonts w:ascii="宋体" w:hAnsi="宋体" w:cs="宋体" w:eastAsia="宋体" w:hint="default"/>
                <w:sz w:val="18"/>
                <w:szCs w:val="18"/>
              </w:rPr>
              <w:t>北京神州祥升科技有限公司</w:t>
            </w:r>
          </w:p>
        </w:tc>
        <w:tc>
          <w:tcPr>
            <w:tcW w:w="2856"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09" w:right="0"/>
              <w:jc w:val="left"/>
              <w:rPr>
                <w:rFonts w:ascii="宋体" w:hAnsi="宋体" w:cs="宋体" w:eastAsia="宋体" w:hint="default"/>
                <w:sz w:val="18"/>
                <w:szCs w:val="18"/>
              </w:rPr>
            </w:pPr>
            <w:r>
              <w:rPr>
                <w:rFonts w:ascii="宋体" w:hAnsi="宋体" w:cs="宋体" w:eastAsia="宋体" w:hint="default"/>
                <w:sz w:val="18"/>
                <w:szCs w:val="18"/>
              </w:rPr>
              <w:t>受同一实际控制人控制</w:t>
            </w:r>
          </w:p>
        </w:tc>
      </w:tr>
      <w:tr>
        <w:trPr>
          <w:trHeight w:val="314" w:hRule="exact"/>
        </w:trPr>
        <w:tc>
          <w:tcPr>
            <w:tcW w:w="5363" w:type="dxa"/>
            <w:tcBorders>
              <w:top w:val="nil" w:sz="6" w:space="0" w:color="auto"/>
              <w:left w:val="nil" w:sz="6" w:space="0" w:color="auto"/>
              <w:bottom w:val="single" w:sz="12" w:space="0" w:color="000000"/>
              <w:right w:val="nil" w:sz="6" w:space="0" w:color="auto"/>
            </w:tcBorders>
          </w:tcPr>
          <w:p>
            <w:pPr>
              <w:pStyle w:val="TableParagraph"/>
              <w:spacing w:line="240" w:lineRule="auto" w:before="34"/>
              <w:ind w:left="106" w:right="0"/>
              <w:jc w:val="left"/>
              <w:rPr>
                <w:rFonts w:ascii="宋体" w:hAnsi="宋体" w:cs="宋体" w:eastAsia="宋体" w:hint="default"/>
                <w:sz w:val="18"/>
                <w:szCs w:val="18"/>
              </w:rPr>
            </w:pPr>
            <w:r>
              <w:rPr>
                <w:rFonts w:ascii="宋体" w:hAnsi="宋体" w:cs="宋体" w:eastAsia="宋体" w:hint="default"/>
                <w:sz w:val="18"/>
                <w:szCs w:val="18"/>
              </w:rPr>
              <w:t>北京启天同信科技有限公司</w:t>
            </w:r>
          </w:p>
        </w:tc>
        <w:tc>
          <w:tcPr>
            <w:tcW w:w="2856" w:type="dxa"/>
            <w:tcBorders>
              <w:top w:val="nil" w:sz="6" w:space="0" w:color="auto"/>
              <w:left w:val="nil" w:sz="6" w:space="0" w:color="auto"/>
              <w:bottom w:val="single" w:sz="12" w:space="0" w:color="000000"/>
              <w:right w:val="nil" w:sz="6" w:space="0" w:color="auto"/>
            </w:tcBorders>
          </w:tcPr>
          <w:p>
            <w:pPr>
              <w:pStyle w:val="TableParagraph"/>
              <w:spacing w:line="240" w:lineRule="auto" w:before="34"/>
              <w:ind w:left="109" w:right="0"/>
              <w:jc w:val="left"/>
              <w:rPr>
                <w:rFonts w:ascii="宋体" w:hAnsi="宋体" w:cs="宋体" w:eastAsia="宋体" w:hint="default"/>
                <w:sz w:val="18"/>
                <w:szCs w:val="18"/>
              </w:rPr>
            </w:pPr>
            <w:r>
              <w:rPr>
                <w:rFonts w:ascii="宋体" w:hAnsi="宋体" w:cs="宋体" w:eastAsia="宋体" w:hint="default"/>
                <w:sz w:val="18"/>
                <w:szCs w:val="18"/>
              </w:rPr>
              <w:t>受同一实际控制人控制</w:t>
            </w:r>
          </w:p>
        </w:tc>
      </w:tr>
    </w:tbl>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tabs>
          <w:tab w:pos="893" w:val="left" w:leader="none"/>
        </w:tabs>
        <w:spacing w:before="35"/>
        <w:ind w:left="123" w:right="39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五</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关联交易</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393" w:val="left" w:leader="none"/>
        </w:tabs>
        <w:spacing w:line="331" w:lineRule="auto" w:before="0"/>
        <w:ind w:left="1393" w:right="150" w:hanging="539"/>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pacing w:val="-1"/>
          <w:sz w:val="21"/>
          <w:szCs w:val="21"/>
        </w:rPr>
        <w:t>存在控制关系且已纳入本公司合并会计报表范围的子公司，其相互间交易及母子公</w:t>
      </w:r>
      <w:r>
        <w:rPr>
          <w:rFonts w:ascii="宋体" w:hAnsi="宋体" w:cs="宋体" w:eastAsia="宋体" w:hint="default"/>
          <w:b/>
          <w:bCs/>
          <w:spacing w:val="1"/>
          <w:w w:val="99"/>
          <w:sz w:val="21"/>
          <w:szCs w:val="21"/>
        </w:rPr>
        <w:t> </w:t>
      </w:r>
      <w:r>
        <w:rPr>
          <w:rFonts w:ascii="宋体" w:hAnsi="宋体" w:cs="宋体" w:eastAsia="宋体" w:hint="default"/>
          <w:b/>
          <w:bCs/>
          <w:sz w:val="21"/>
          <w:szCs w:val="21"/>
        </w:rPr>
        <w:t>司交易已作抵销。</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tabs>
          <w:tab w:pos="1393" w:val="left" w:leader="none"/>
        </w:tabs>
        <w:spacing w:line="331" w:lineRule="auto" w:before="132"/>
        <w:ind w:left="1397" w:right="4240" w:hanging="543"/>
        <w:jc w:val="left"/>
        <w:rPr>
          <w:rFonts w:ascii="宋体" w:hAnsi="宋体" w:cs="宋体" w:eastAsia="宋体" w:hint="default"/>
          <w:sz w:val="21"/>
          <w:szCs w:val="21"/>
        </w:rPr>
      </w:pPr>
      <w:r>
        <w:rPr/>
        <w:pict>
          <v:shape style="position:absolute;margin-left:146.520004pt;margin-top:42.497963pt;width:382.740006pt;height:36.479996pt;mso-position-horizontal-relative:page;mso-position-vertical-relative:paragraph;z-index:-706552" type="#_x0000_t75" stroked="false">
            <v:imagedata r:id="rId275" o:title=""/>
          </v:shape>
        </w:pict>
      </w:r>
      <w:r>
        <w:rPr/>
        <w:pict>
          <v:shape style="position:absolute;margin-left:147.479996pt;margin-top:41.957962pt;width:381.5pt;height:38.550pt;mso-position-horizontal-relative:page;mso-position-vertical-relative:paragraph;z-index:72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476"/>
                    <w:gridCol w:w="2409"/>
                    <w:gridCol w:w="1744"/>
                  </w:tblGrid>
                  <w:tr>
                    <w:trPr>
                      <w:trHeight w:val="408" w:hRule="exact"/>
                    </w:trPr>
                    <w:tc>
                      <w:tcPr>
                        <w:tcW w:w="3476" w:type="dxa"/>
                        <w:tcBorders>
                          <w:top w:val="single" w:sz="12" w:space="0" w:color="000000"/>
                          <w:left w:val="nil" w:sz="6" w:space="0" w:color="auto"/>
                          <w:bottom w:val="nil" w:sz="6" w:space="0" w:color="auto"/>
                          <w:right w:val="nil" w:sz="6" w:space="0" w:color="auto"/>
                        </w:tcBorders>
                      </w:tcPr>
                      <w:p>
                        <w:pPr>
                          <w:pStyle w:val="TableParagraph"/>
                          <w:tabs>
                            <w:tab w:pos="439" w:val="left" w:leader="none"/>
                          </w:tabs>
                          <w:spacing w:line="240" w:lineRule="auto" w:before="43"/>
                          <w:ind w:left="18" w:right="0"/>
                          <w:jc w:val="center"/>
                          <w:rPr>
                            <w:rFonts w:ascii="宋体" w:hAnsi="宋体" w:cs="宋体" w:eastAsia="宋体" w:hint="default"/>
                            <w:sz w:val="21"/>
                            <w:szCs w:val="21"/>
                          </w:rPr>
                        </w:pPr>
                        <w:r>
                          <w:rPr>
                            <w:rFonts w:ascii="宋体" w:hAnsi="宋体" w:cs="宋体" w:eastAsia="宋体" w:hint="default"/>
                            <w:sz w:val="21"/>
                            <w:szCs w:val="21"/>
                          </w:rPr>
                          <w:t>年</w:t>
                          <w:tab/>
                          <w:t>度</w:t>
                        </w:r>
                      </w:p>
                    </w:tc>
                    <w:tc>
                      <w:tcPr>
                        <w:tcW w:w="2409" w:type="dxa"/>
                        <w:tcBorders>
                          <w:top w:val="single" w:sz="12" w:space="0" w:color="000000"/>
                          <w:left w:val="nil" w:sz="6" w:space="0" w:color="auto"/>
                          <w:bottom w:val="nil" w:sz="6" w:space="0" w:color="auto"/>
                          <w:right w:val="nil" w:sz="6" w:space="0" w:color="auto"/>
                        </w:tcBorders>
                      </w:tcPr>
                      <w:p>
                        <w:pPr>
                          <w:pStyle w:val="TableParagraph"/>
                          <w:spacing w:line="240" w:lineRule="auto" w:before="43"/>
                          <w:ind w:left="678"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744" w:type="dxa"/>
                        <w:tcBorders>
                          <w:top w:val="single" w:sz="12" w:space="0" w:color="000000"/>
                          <w:left w:val="nil" w:sz="6" w:space="0" w:color="auto"/>
                          <w:bottom w:val="nil" w:sz="6" w:space="0" w:color="auto"/>
                          <w:right w:val="nil" w:sz="6" w:space="0" w:color="auto"/>
                        </w:tcBorders>
                      </w:tcPr>
                      <w:p>
                        <w:pPr>
                          <w:pStyle w:val="TableParagraph"/>
                          <w:spacing w:line="240" w:lineRule="auto" w:before="43"/>
                          <w:ind w:left="339"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33" w:hRule="exact"/>
                    </w:trPr>
                    <w:tc>
                      <w:tcPr>
                        <w:tcW w:w="3476"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8" w:right="0"/>
                          <w:jc w:val="center"/>
                          <w:rPr>
                            <w:rFonts w:ascii="宋体" w:hAnsi="宋体" w:cs="宋体" w:eastAsia="宋体" w:hint="default"/>
                            <w:sz w:val="21"/>
                            <w:szCs w:val="21"/>
                          </w:rPr>
                        </w:pPr>
                        <w:r>
                          <w:rPr>
                            <w:rFonts w:ascii="宋体" w:hAnsi="宋体" w:cs="宋体" w:eastAsia="宋体" w:hint="default"/>
                            <w:sz w:val="21"/>
                            <w:szCs w:val="21"/>
                          </w:rPr>
                          <w:t>高级管理人员薪酬合计</w:t>
                        </w:r>
                      </w:p>
                    </w:tc>
                    <w:tc>
                      <w:tcPr>
                        <w:tcW w:w="2409" w:type="dxa"/>
                        <w:tcBorders>
                          <w:top w:val="nil" w:sz="6" w:space="0" w:color="auto"/>
                          <w:left w:val="nil" w:sz="6" w:space="0" w:color="auto"/>
                          <w:bottom w:val="single" w:sz="12" w:space="0" w:color="000000"/>
                          <w:right w:val="nil" w:sz="6" w:space="0" w:color="auto"/>
                        </w:tcBorders>
                      </w:tcPr>
                      <w:p>
                        <w:pPr>
                          <w:pStyle w:val="TableParagraph"/>
                          <w:spacing w:line="240" w:lineRule="auto" w:before="73"/>
                          <w:ind w:left="966" w:right="0"/>
                          <w:jc w:val="left"/>
                          <w:rPr>
                            <w:rFonts w:ascii="Times New Roman" w:hAnsi="Times New Roman" w:cs="Times New Roman" w:eastAsia="Times New Roman" w:hint="default"/>
                            <w:sz w:val="21"/>
                            <w:szCs w:val="21"/>
                          </w:rPr>
                        </w:pPr>
                        <w:r>
                          <w:rPr>
                            <w:rFonts w:ascii="Times New Roman"/>
                            <w:sz w:val="21"/>
                          </w:rPr>
                          <w:t>4,217,497.00</w:t>
                        </w:r>
                      </w:p>
                    </w:tc>
                    <w:tc>
                      <w:tcPr>
                        <w:tcW w:w="1744" w:type="dxa"/>
                        <w:tcBorders>
                          <w:top w:val="nil" w:sz="6" w:space="0" w:color="auto"/>
                          <w:left w:val="nil" w:sz="6" w:space="0" w:color="auto"/>
                          <w:bottom w:val="single" w:sz="12" w:space="0" w:color="000000"/>
                          <w:right w:val="nil" w:sz="6" w:space="0" w:color="auto"/>
                        </w:tcBorders>
                      </w:tcPr>
                      <w:p>
                        <w:pPr>
                          <w:pStyle w:val="TableParagraph"/>
                          <w:spacing w:line="240" w:lineRule="auto" w:before="73"/>
                          <w:ind w:left="540" w:right="0"/>
                          <w:jc w:val="left"/>
                          <w:rPr>
                            <w:rFonts w:ascii="Times New Roman" w:hAnsi="Times New Roman" w:cs="Times New Roman" w:eastAsia="Times New Roman" w:hint="default"/>
                            <w:sz w:val="21"/>
                            <w:szCs w:val="21"/>
                          </w:rPr>
                        </w:pPr>
                        <w:r>
                          <w:rPr>
                            <w:rFonts w:ascii="Times New Roman"/>
                            <w:sz w:val="21"/>
                          </w:rPr>
                          <w:t>2,221,340.10</w:t>
                        </w:r>
                      </w:p>
                    </w:tc>
                  </w:tr>
                </w:tbl>
                <w:p>
                  <w:pPr/>
                </w:p>
              </w:txbxContent>
            </v:textbox>
            <w10:wrap type="none"/>
          </v:shape>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本公司支付给关键管理人员的薪酬</w:t>
      </w:r>
      <w:r>
        <w:rPr>
          <w:rFonts w:ascii="宋体" w:hAnsi="宋体" w:cs="宋体" w:eastAsia="宋体" w:hint="default"/>
          <w:b/>
          <w:bCs/>
          <w:w w:val="99"/>
          <w:sz w:val="21"/>
          <w:szCs w:val="21"/>
        </w:rPr>
        <w:t> </w:t>
      </w:r>
      <w:r>
        <w:rPr>
          <w:rFonts w:ascii="宋体" w:hAnsi="宋体" w:cs="宋体" w:eastAsia="宋体" w:hint="default"/>
          <w:sz w:val="21"/>
          <w:szCs w:val="21"/>
        </w:rPr>
        <w:t>(1)本公司高级管理人员的薪酬如下：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9"/>
          <w:szCs w:val="29"/>
        </w:rPr>
      </w:pPr>
    </w:p>
    <w:p>
      <w:pPr>
        <w:pStyle w:val="BodyText"/>
        <w:spacing w:line="348" w:lineRule="auto"/>
        <w:ind w:left="1397" w:right="148"/>
        <w:jc w:val="both"/>
      </w:pPr>
      <w:r>
        <w:rPr/>
        <w:t>高级管理人员包括董事长、董事、董事会秘书、总经理、财务总监、主管各项事务 的副总经理以及行使类似政策职能的人员等，所列薪酬金额中包括了在公司担任相 关职务的主要自然人股东的薪酬金额。</w:t>
      </w:r>
    </w:p>
    <w:p>
      <w:pPr>
        <w:spacing w:line="240" w:lineRule="auto" w:before="3"/>
        <w:rPr>
          <w:rFonts w:ascii="宋体" w:hAnsi="宋体" w:cs="宋体" w:eastAsia="宋体" w:hint="default"/>
          <w:sz w:val="25"/>
          <w:szCs w:val="25"/>
        </w:rPr>
      </w:pPr>
    </w:p>
    <w:p>
      <w:pPr>
        <w:pStyle w:val="BodyText"/>
        <w:spacing w:line="240" w:lineRule="auto"/>
        <w:ind w:left="1518" w:right="390"/>
        <w:jc w:val="left"/>
      </w:pPr>
      <w:r>
        <w:rPr/>
        <w:pict>
          <v:group style="position:absolute;margin-left:146.520004pt;margin-top:15.925461pt;width:383.5pt;height:162.5pt;mso-position-horizontal-relative:page;mso-position-vertical-relative:paragraph;z-index:-706528" coordorigin="2930,319" coordsize="7670,3250">
            <v:shape style="position:absolute;left:5797;top:319;width:2546;height:389" type="#_x0000_t75" stroked="false">
              <v:imagedata r:id="rId276" o:title=""/>
            </v:shape>
            <v:shape style="position:absolute;left:2930;top:669;width:7669;height:2899" type="#_x0000_t75" stroked="false">
              <v:imagedata r:id="rId277" o:title=""/>
            </v:shape>
            <w10:wrap type="none"/>
          </v:group>
        </w:pict>
      </w:r>
      <w:r>
        <w:rPr>
          <w:rFonts w:ascii="Times New Roman" w:hAnsi="Times New Roman" w:cs="Times New Roman" w:eastAsia="Times New Roman" w:hint="default"/>
        </w:rPr>
        <w:t>(2)</w:t>
      </w:r>
      <w:r>
        <w:rPr>
          <w:rFonts w:ascii="Times New Roman" w:hAnsi="Times New Roman" w:cs="Times New Roman" w:eastAsia="Times New Roman" w:hint="default"/>
          <w:spacing w:val="48"/>
        </w:rPr>
        <w:t> </w:t>
      </w:r>
      <w:r>
        <w:rPr/>
        <w:t>本公司支付给主要自然人股东的薪酬如下：</w:t>
      </w:r>
    </w:p>
    <w:tbl>
      <w:tblPr>
        <w:tblW w:w="0" w:type="auto"/>
        <w:jc w:val="left"/>
        <w:tblInd w:w="1289" w:type="dxa"/>
        <w:tblLayout w:type="fixed"/>
        <w:tblCellMar>
          <w:top w:w="0" w:type="dxa"/>
          <w:left w:w="0" w:type="dxa"/>
          <w:bottom w:w="0" w:type="dxa"/>
          <w:right w:w="0" w:type="dxa"/>
        </w:tblCellMar>
        <w:tblLook w:val="01E0"/>
      </w:tblPr>
      <w:tblGrid>
        <w:gridCol w:w="2876"/>
        <w:gridCol w:w="2679"/>
        <w:gridCol w:w="2074"/>
      </w:tblGrid>
      <w:tr>
        <w:trPr>
          <w:trHeight w:val="407" w:hRule="exact"/>
        </w:trPr>
        <w:tc>
          <w:tcPr>
            <w:tcW w:w="2876"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700" w:right="0"/>
              <w:jc w:val="left"/>
              <w:rPr>
                <w:rFonts w:ascii="宋体" w:hAnsi="宋体" w:cs="宋体" w:eastAsia="宋体" w:hint="default"/>
                <w:sz w:val="21"/>
                <w:szCs w:val="21"/>
              </w:rPr>
            </w:pPr>
            <w:r>
              <w:rPr>
                <w:rFonts w:ascii="宋体" w:hAnsi="宋体" w:cs="宋体" w:eastAsia="宋体" w:hint="default"/>
                <w:sz w:val="21"/>
                <w:szCs w:val="21"/>
              </w:rPr>
              <w:t>主要自然人股东</w:t>
            </w:r>
          </w:p>
        </w:tc>
        <w:tc>
          <w:tcPr>
            <w:tcW w:w="2679"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right="291"/>
              <w:jc w:val="right"/>
              <w:rPr>
                <w:rFonts w:ascii="宋体" w:hAnsi="宋体" w:cs="宋体" w:eastAsia="宋体" w:hint="default"/>
                <w:sz w:val="21"/>
                <w:szCs w:val="21"/>
              </w:rPr>
            </w:pPr>
            <w:r>
              <w:rPr>
                <w:rFonts w:ascii="宋体" w:hAnsi="宋体" w:cs="宋体" w:eastAsia="宋体" w:hint="default"/>
                <w:sz w:val="21"/>
                <w:szCs w:val="21"/>
              </w:rPr>
              <w:t>本期金额</w:t>
            </w:r>
          </w:p>
        </w:tc>
        <w:tc>
          <w:tcPr>
            <w:tcW w:w="2074"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right="99"/>
              <w:jc w:val="righ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73"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21"/>
                <w:szCs w:val="21"/>
              </w:rPr>
            </w:pPr>
            <w:r>
              <w:rPr>
                <w:rFonts w:ascii="宋体" w:hAnsi="宋体" w:cs="宋体" w:eastAsia="宋体" w:hint="default"/>
                <w:sz w:val="21"/>
                <w:szCs w:val="21"/>
              </w:rPr>
              <w:t>王 宁</w:t>
            </w:r>
          </w:p>
        </w:tc>
        <w:tc>
          <w:tcPr>
            <w:tcW w:w="2679"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292"/>
              <w:jc w:val="right"/>
              <w:rPr>
                <w:rFonts w:ascii="Times New Roman" w:hAnsi="Times New Roman" w:cs="Times New Roman" w:eastAsia="Times New Roman" w:hint="default"/>
                <w:sz w:val="21"/>
                <w:szCs w:val="21"/>
              </w:rPr>
            </w:pPr>
            <w:r>
              <w:rPr>
                <w:rFonts w:ascii="Times New Roman"/>
                <w:spacing w:val="-1"/>
                <w:sz w:val="21"/>
              </w:rPr>
              <w:t>159,801.00</w:t>
            </w:r>
            <w:r>
              <w:rPr>
                <w:rFonts w:ascii="Times New Roman"/>
                <w:sz w:val="21"/>
              </w:rPr>
            </w:r>
          </w:p>
        </w:tc>
        <w:tc>
          <w:tcPr>
            <w:tcW w:w="207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00"/>
              <w:jc w:val="right"/>
              <w:rPr>
                <w:rFonts w:ascii="Times New Roman" w:hAnsi="Times New Roman" w:cs="Times New Roman" w:eastAsia="Times New Roman" w:hint="default"/>
                <w:sz w:val="21"/>
                <w:szCs w:val="21"/>
              </w:rPr>
            </w:pPr>
            <w:r>
              <w:rPr>
                <w:rFonts w:ascii="Times New Roman"/>
                <w:spacing w:val="-1"/>
                <w:sz w:val="21"/>
              </w:rPr>
              <w:t>127,529.46</w:t>
            </w:r>
            <w:r>
              <w:rPr>
                <w:rFonts w:ascii="Times New Roman"/>
                <w:sz w:val="21"/>
              </w:rPr>
            </w:r>
          </w:p>
        </w:tc>
      </w:tr>
      <w:tr>
        <w:trPr>
          <w:trHeight w:val="360"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72" w:lineRule="exact"/>
              <w:ind w:left="108" w:right="0"/>
              <w:jc w:val="left"/>
              <w:rPr>
                <w:rFonts w:ascii="宋体" w:hAnsi="宋体" w:cs="宋体" w:eastAsia="宋体" w:hint="default"/>
                <w:sz w:val="21"/>
                <w:szCs w:val="21"/>
              </w:rPr>
            </w:pPr>
            <w:r>
              <w:rPr>
                <w:rFonts w:ascii="宋体" w:hAnsi="宋体" w:cs="宋体" w:eastAsia="宋体" w:hint="default"/>
                <w:sz w:val="21"/>
                <w:szCs w:val="21"/>
              </w:rPr>
              <w:t>李 力</w:t>
            </w:r>
          </w:p>
        </w:tc>
        <w:tc>
          <w:tcPr>
            <w:tcW w:w="2679"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92"/>
              <w:jc w:val="right"/>
              <w:rPr>
                <w:rFonts w:ascii="Times New Roman" w:hAnsi="Times New Roman" w:cs="Times New Roman" w:eastAsia="Times New Roman" w:hint="default"/>
                <w:sz w:val="21"/>
                <w:szCs w:val="21"/>
              </w:rPr>
            </w:pPr>
            <w:r>
              <w:rPr>
                <w:rFonts w:ascii="Times New Roman"/>
                <w:spacing w:val="-1"/>
                <w:sz w:val="21"/>
              </w:rPr>
              <w:t>159,801.00</w:t>
            </w:r>
            <w:r>
              <w:rPr>
                <w:rFonts w:ascii="Times New Roman"/>
                <w:sz w:val="21"/>
              </w:rPr>
            </w:r>
          </w:p>
        </w:tc>
        <w:tc>
          <w:tcPr>
            <w:tcW w:w="2074"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00"/>
              <w:jc w:val="right"/>
              <w:rPr>
                <w:rFonts w:ascii="Times New Roman" w:hAnsi="Times New Roman" w:cs="Times New Roman" w:eastAsia="Times New Roman" w:hint="default"/>
                <w:sz w:val="21"/>
                <w:szCs w:val="21"/>
              </w:rPr>
            </w:pPr>
            <w:r>
              <w:rPr>
                <w:rFonts w:ascii="Times New Roman"/>
                <w:spacing w:val="-1"/>
                <w:sz w:val="21"/>
              </w:rPr>
              <w:t>127,529.46</w:t>
            </w:r>
            <w:r>
              <w:rPr>
                <w:rFonts w:ascii="Times New Roman"/>
                <w:sz w:val="21"/>
              </w:rPr>
            </w:r>
          </w:p>
        </w:tc>
      </w:tr>
      <w:tr>
        <w:trPr>
          <w:trHeight w:val="347"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72" w:lineRule="exact"/>
              <w:ind w:left="108" w:right="0"/>
              <w:jc w:val="left"/>
              <w:rPr>
                <w:rFonts w:ascii="宋体" w:hAnsi="宋体" w:cs="宋体" w:eastAsia="宋体" w:hint="default"/>
                <w:sz w:val="21"/>
                <w:szCs w:val="21"/>
              </w:rPr>
            </w:pPr>
            <w:r>
              <w:rPr>
                <w:rFonts w:ascii="宋体" w:hAnsi="宋体" w:cs="宋体" w:eastAsia="宋体" w:hint="default"/>
                <w:sz w:val="21"/>
                <w:szCs w:val="21"/>
              </w:rPr>
              <w:t>齐 强</w:t>
            </w:r>
          </w:p>
        </w:tc>
        <w:tc>
          <w:tcPr>
            <w:tcW w:w="2679" w:type="dxa"/>
            <w:tcBorders>
              <w:top w:val="nil" w:sz="6" w:space="0" w:color="auto"/>
              <w:left w:val="nil" w:sz="6" w:space="0" w:color="auto"/>
              <w:bottom w:val="nil" w:sz="6" w:space="0" w:color="auto"/>
              <w:right w:val="nil" w:sz="6" w:space="0" w:color="auto"/>
            </w:tcBorders>
          </w:tcPr>
          <w:p>
            <w:pPr>
              <w:pStyle w:val="TableParagraph"/>
              <w:spacing w:line="272" w:lineRule="exact"/>
              <w:ind w:right="291"/>
              <w:jc w:val="right"/>
              <w:rPr>
                <w:rFonts w:ascii="宋体" w:hAnsi="宋体" w:cs="宋体" w:eastAsia="宋体" w:hint="default"/>
                <w:sz w:val="21"/>
                <w:szCs w:val="21"/>
              </w:rPr>
            </w:pPr>
            <w:r>
              <w:rPr>
                <w:rFonts w:ascii="宋体" w:hAnsi="宋体" w:cs="宋体" w:eastAsia="宋体" w:hint="default"/>
                <w:sz w:val="21"/>
                <w:szCs w:val="21"/>
              </w:rPr>
              <w:t>未在公司领取薪酬</w:t>
            </w:r>
          </w:p>
        </w:tc>
        <w:tc>
          <w:tcPr>
            <w:tcW w:w="2074" w:type="dxa"/>
            <w:tcBorders>
              <w:top w:val="nil" w:sz="6" w:space="0" w:color="auto"/>
              <w:left w:val="nil" w:sz="6" w:space="0" w:color="auto"/>
              <w:bottom w:val="nil" w:sz="6" w:space="0" w:color="auto"/>
              <w:right w:val="nil" w:sz="6" w:space="0" w:color="auto"/>
            </w:tcBorders>
          </w:tcPr>
          <w:p>
            <w:pPr>
              <w:pStyle w:val="TableParagraph"/>
              <w:spacing w:line="272" w:lineRule="exact"/>
              <w:ind w:right="98"/>
              <w:jc w:val="right"/>
              <w:rPr>
                <w:rFonts w:ascii="宋体" w:hAnsi="宋体" w:cs="宋体" w:eastAsia="宋体" w:hint="default"/>
                <w:sz w:val="21"/>
                <w:szCs w:val="21"/>
              </w:rPr>
            </w:pPr>
            <w:r>
              <w:rPr>
                <w:rFonts w:ascii="宋体" w:hAnsi="宋体" w:cs="宋体" w:eastAsia="宋体" w:hint="default"/>
                <w:sz w:val="21"/>
                <w:szCs w:val="21"/>
              </w:rPr>
              <w:t>未在公司领取薪酬</w:t>
            </w:r>
          </w:p>
        </w:tc>
      </w:tr>
      <w:tr>
        <w:trPr>
          <w:trHeight w:val="373"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21"/>
                <w:szCs w:val="21"/>
              </w:rPr>
            </w:pPr>
            <w:r>
              <w:rPr>
                <w:rFonts w:ascii="宋体" w:hAnsi="宋体" w:cs="宋体" w:eastAsia="宋体" w:hint="default"/>
                <w:sz w:val="21"/>
                <w:szCs w:val="21"/>
              </w:rPr>
              <w:t>黄松浪</w:t>
            </w:r>
          </w:p>
        </w:tc>
        <w:tc>
          <w:tcPr>
            <w:tcW w:w="2679"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292"/>
              <w:jc w:val="right"/>
              <w:rPr>
                <w:rFonts w:ascii="Times New Roman" w:hAnsi="Times New Roman" w:cs="Times New Roman" w:eastAsia="Times New Roman" w:hint="default"/>
                <w:sz w:val="21"/>
                <w:szCs w:val="21"/>
              </w:rPr>
            </w:pPr>
            <w:r>
              <w:rPr>
                <w:rFonts w:ascii="Times New Roman"/>
                <w:spacing w:val="-1"/>
                <w:sz w:val="21"/>
              </w:rPr>
              <w:t>149,547.00</w:t>
            </w:r>
            <w:r>
              <w:rPr>
                <w:rFonts w:ascii="Times New Roman"/>
                <w:sz w:val="21"/>
              </w:rPr>
            </w:r>
          </w:p>
        </w:tc>
        <w:tc>
          <w:tcPr>
            <w:tcW w:w="207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00"/>
              <w:jc w:val="right"/>
              <w:rPr>
                <w:rFonts w:ascii="Times New Roman" w:hAnsi="Times New Roman" w:cs="Times New Roman" w:eastAsia="Times New Roman" w:hint="default"/>
                <w:sz w:val="21"/>
                <w:szCs w:val="21"/>
              </w:rPr>
            </w:pPr>
            <w:r>
              <w:rPr>
                <w:rFonts w:ascii="Times New Roman"/>
                <w:spacing w:val="-1"/>
                <w:sz w:val="21"/>
              </w:rPr>
              <w:t>122,485.38</w:t>
            </w:r>
            <w:r>
              <w:rPr>
                <w:rFonts w:ascii="Times New Roman"/>
                <w:sz w:val="21"/>
              </w:rPr>
            </w:r>
          </w:p>
        </w:tc>
      </w:tr>
      <w:tr>
        <w:trPr>
          <w:trHeight w:val="360"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72" w:lineRule="exact"/>
              <w:ind w:left="108" w:right="0"/>
              <w:jc w:val="left"/>
              <w:rPr>
                <w:rFonts w:ascii="宋体" w:hAnsi="宋体" w:cs="宋体" w:eastAsia="宋体" w:hint="default"/>
                <w:sz w:val="21"/>
                <w:szCs w:val="21"/>
              </w:rPr>
            </w:pPr>
            <w:r>
              <w:rPr>
                <w:rFonts w:ascii="宋体" w:hAnsi="宋体" w:cs="宋体" w:eastAsia="宋体" w:hint="default"/>
                <w:sz w:val="21"/>
                <w:szCs w:val="21"/>
              </w:rPr>
              <w:t>王国华</w:t>
            </w:r>
          </w:p>
        </w:tc>
        <w:tc>
          <w:tcPr>
            <w:tcW w:w="2679"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92"/>
              <w:jc w:val="right"/>
              <w:rPr>
                <w:rFonts w:ascii="Times New Roman" w:hAnsi="Times New Roman" w:cs="Times New Roman" w:eastAsia="Times New Roman" w:hint="default"/>
                <w:sz w:val="21"/>
                <w:szCs w:val="21"/>
              </w:rPr>
            </w:pPr>
            <w:r>
              <w:rPr>
                <w:rFonts w:ascii="Times New Roman"/>
                <w:spacing w:val="-1"/>
                <w:sz w:val="21"/>
              </w:rPr>
              <w:t>154,801.00</w:t>
            </w:r>
            <w:r>
              <w:rPr>
                <w:rFonts w:ascii="Times New Roman"/>
                <w:sz w:val="21"/>
              </w:rPr>
            </w:r>
          </w:p>
        </w:tc>
        <w:tc>
          <w:tcPr>
            <w:tcW w:w="2074"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00"/>
              <w:jc w:val="right"/>
              <w:rPr>
                <w:rFonts w:ascii="Times New Roman" w:hAnsi="Times New Roman" w:cs="Times New Roman" w:eastAsia="Times New Roman" w:hint="default"/>
                <w:sz w:val="21"/>
                <w:szCs w:val="21"/>
              </w:rPr>
            </w:pPr>
            <w:r>
              <w:rPr>
                <w:rFonts w:ascii="Times New Roman"/>
                <w:spacing w:val="-1"/>
                <w:sz w:val="21"/>
              </w:rPr>
              <w:t>127,529.46</w:t>
            </w:r>
            <w:r>
              <w:rPr>
                <w:rFonts w:ascii="Times New Roman"/>
                <w:sz w:val="21"/>
              </w:rPr>
            </w:r>
          </w:p>
        </w:tc>
      </w:tr>
      <w:tr>
        <w:trPr>
          <w:trHeight w:val="360"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72" w:lineRule="exact"/>
              <w:ind w:left="108" w:right="0"/>
              <w:jc w:val="left"/>
              <w:rPr>
                <w:rFonts w:ascii="宋体" w:hAnsi="宋体" w:cs="宋体" w:eastAsia="宋体" w:hint="default"/>
                <w:sz w:val="21"/>
                <w:szCs w:val="21"/>
              </w:rPr>
            </w:pPr>
            <w:r>
              <w:rPr>
                <w:rFonts w:ascii="宋体" w:hAnsi="宋体" w:cs="宋体" w:eastAsia="宋体" w:hint="default"/>
                <w:sz w:val="21"/>
                <w:szCs w:val="21"/>
              </w:rPr>
              <w:t>万 能</w:t>
            </w:r>
          </w:p>
        </w:tc>
        <w:tc>
          <w:tcPr>
            <w:tcW w:w="2679"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92"/>
              <w:jc w:val="right"/>
              <w:rPr>
                <w:rFonts w:ascii="Times New Roman" w:hAnsi="Times New Roman" w:cs="Times New Roman" w:eastAsia="Times New Roman" w:hint="default"/>
                <w:sz w:val="21"/>
                <w:szCs w:val="21"/>
              </w:rPr>
            </w:pPr>
            <w:r>
              <w:rPr>
                <w:rFonts w:ascii="Times New Roman"/>
                <w:spacing w:val="-1"/>
                <w:sz w:val="21"/>
              </w:rPr>
              <w:t>149,067.00</w:t>
            </w:r>
            <w:r>
              <w:rPr>
                <w:rFonts w:ascii="Times New Roman"/>
                <w:sz w:val="21"/>
              </w:rPr>
            </w:r>
          </w:p>
        </w:tc>
        <w:tc>
          <w:tcPr>
            <w:tcW w:w="2074"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00"/>
              <w:jc w:val="right"/>
              <w:rPr>
                <w:rFonts w:ascii="Times New Roman" w:hAnsi="Times New Roman" w:cs="Times New Roman" w:eastAsia="Times New Roman" w:hint="default"/>
                <w:sz w:val="21"/>
                <w:szCs w:val="21"/>
              </w:rPr>
            </w:pPr>
            <w:r>
              <w:rPr>
                <w:rFonts w:ascii="Times New Roman"/>
                <w:spacing w:val="-1"/>
                <w:sz w:val="21"/>
              </w:rPr>
              <w:t>122,485.38</w:t>
            </w:r>
            <w:r>
              <w:rPr>
                <w:rFonts w:ascii="Times New Roman"/>
                <w:sz w:val="21"/>
              </w:rPr>
            </w:r>
          </w:p>
        </w:tc>
      </w:tr>
      <w:tr>
        <w:trPr>
          <w:trHeight w:val="347"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72" w:lineRule="exact"/>
              <w:ind w:left="108" w:right="0"/>
              <w:jc w:val="left"/>
              <w:rPr>
                <w:rFonts w:ascii="宋体" w:hAnsi="宋体" w:cs="宋体" w:eastAsia="宋体" w:hint="default"/>
                <w:sz w:val="21"/>
                <w:szCs w:val="21"/>
              </w:rPr>
            </w:pPr>
            <w:r>
              <w:rPr>
                <w:rFonts w:ascii="宋体" w:hAnsi="宋体" w:cs="宋体" w:eastAsia="宋体" w:hint="default"/>
                <w:sz w:val="21"/>
                <w:szCs w:val="21"/>
              </w:rPr>
              <w:t>徐斯平</w:t>
            </w:r>
          </w:p>
        </w:tc>
        <w:tc>
          <w:tcPr>
            <w:tcW w:w="2679" w:type="dxa"/>
            <w:tcBorders>
              <w:top w:val="nil" w:sz="6" w:space="0" w:color="auto"/>
              <w:left w:val="nil" w:sz="6" w:space="0" w:color="auto"/>
              <w:bottom w:val="nil" w:sz="6" w:space="0" w:color="auto"/>
              <w:right w:val="nil" w:sz="6" w:space="0" w:color="auto"/>
            </w:tcBorders>
          </w:tcPr>
          <w:p>
            <w:pPr>
              <w:pStyle w:val="TableParagraph"/>
              <w:spacing w:line="272" w:lineRule="exact"/>
              <w:ind w:right="291"/>
              <w:jc w:val="right"/>
              <w:rPr>
                <w:rFonts w:ascii="宋体" w:hAnsi="宋体" w:cs="宋体" w:eastAsia="宋体" w:hint="default"/>
                <w:sz w:val="21"/>
                <w:szCs w:val="21"/>
              </w:rPr>
            </w:pPr>
            <w:r>
              <w:rPr>
                <w:rFonts w:ascii="宋体" w:hAnsi="宋体" w:cs="宋体" w:eastAsia="宋体" w:hint="default"/>
                <w:sz w:val="21"/>
                <w:szCs w:val="21"/>
              </w:rPr>
              <w:t>未在公司领取薪酬</w:t>
            </w:r>
          </w:p>
        </w:tc>
        <w:tc>
          <w:tcPr>
            <w:tcW w:w="2074" w:type="dxa"/>
            <w:tcBorders>
              <w:top w:val="nil" w:sz="6" w:space="0" w:color="auto"/>
              <w:left w:val="nil" w:sz="6" w:space="0" w:color="auto"/>
              <w:bottom w:val="nil" w:sz="6" w:space="0" w:color="auto"/>
              <w:right w:val="nil" w:sz="6" w:space="0" w:color="auto"/>
            </w:tcBorders>
          </w:tcPr>
          <w:p>
            <w:pPr>
              <w:pStyle w:val="TableParagraph"/>
              <w:spacing w:line="272" w:lineRule="exact"/>
              <w:ind w:right="98"/>
              <w:jc w:val="right"/>
              <w:rPr>
                <w:rFonts w:ascii="宋体" w:hAnsi="宋体" w:cs="宋体" w:eastAsia="宋体" w:hint="default"/>
                <w:sz w:val="21"/>
                <w:szCs w:val="21"/>
              </w:rPr>
            </w:pPr>
            <w:r>
              <w:rPr>
                <w:rFonts w:ascii="宋体" w:hAnsi="宋体" w:cs="宋体" w:eastAsia="宋体" w:hint="default"/>
                <w:sz w:val="21"/>
                <w:szCs w:val="21"/>
              </w:rPr>
              <w:t>未在公司领取薪酬</w:t>
            </w:r>
          </w:p>
        </w:tc>
      </w:tr>
      <w:tr>
        <w:trPr>
          <w:trHeight w:val="333" w:hRule="exact"/>
        </w:trPr>
        <w:tc>
          <w:tcPr>
            <w:tcW w:w="2876" w:type="dxa"/>
            <w:tcBorders>
              <w:top w:val="nil" w:sz="6" w:space="0" w:color="auto"/>
              <w:left w:val="nil" w:sz="6" w:space="0" w:color="auto"/>
              <w:bottom w:val="single" w:sz="12" w:space="0" w:color="000000"/>
              <w:right w:val="nil" w:sz="6" w:space="0" w:color="auto"/>
            </w:tcBorders>
          </w:tcPr>
          <w:p>
            <w:pPr>
              <w:pStyle w:val="TableParagraph"/>
              <w:tabs>
                <w:tab w:pos="421" w:val="left" w:leader="none"/>
              </w:tabs>
              <w:spacing w:line="240" w:lineRule="auto" w:before="10"/>
              <w:ind w:right="3"/>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679" w:type="dxa"/>
            <w:tcBorders>
              <w:top w:val="nil" w:sz="6" w:space="0" w:color="auto"/>
              <w:left w:val="nil" w:sz="6" w:space="0" w:color="auto"/>
              <w:bottom w:val="single" w:sz="12" w:space="0" w:color="000000"/>
              <w:right w:val="nil" w:sz="6" w:space="0" w:color="auto"/>
            </w:tcBorders>
          </w:tcPr>
          <w:p>
            <w:pPr>
              <w:pStyle w:val="TableParagraph"/>
              <w:spacing w:line="240" w:lineRule="auto" w:before="74"/>
              <w:ind w:right="292"/>
              <w:jc w:val="right"/>
              <w:rPr>
                <w:rFonts w:ascii="Times New Roman" w:hAnsi="Times New Roman" w:cs="Times New Roman" w:eastAsia="Times New Roman" w:hint="default"/>
                <w:sz w:val="21"/>
                <w:szCs w:val="21"/>
              </w:rPr>
            </w:pPr>
            <w:r>
              <w:rPr>
                <w:rFonts w:ascii="Times New Roman"/>
                <w:spacing w:val="-1"/>
                <w:sz w:val="21"/>
              </w:rPr>
              <w:t>773,017.00</w:t>
            </w:r>
            <w:r>
              <w:rPr>
                <w:rFonts w:ascii="Times New Roman"/>
                <w:sz w:val="21"/>
              </w:rPr>
            </w:r>
          </w:p>
        </w:tc>
        <w:tc>
          <w:tcPr>
            <w:tcW w:w="2074" w:type="dxa"/>
            <w:tcBorders>
              <w:top w:val="nil" w:sz="6" w:space="0" w:color="auto"/>
              <w:left w:val="nil" w:sz="6" w:space="0" w:color="auto"/>
              <w:bottom w:val="single" w:sz="12" w:space="0" w:color="000000"/>
              <w:right w:val="nil" w:sz="6" w:space="0" w:color="auto"/>
            </w:tcBorders>
          </w:tcPr>
          <w:p>
            <w:pPr>
              <w:pStyle w:val="TableParagraph"/>
              <w:spacing w:line="240" w:lineRule="auto" w:before="74"/>
              <w:ind w:right="100"/>
              <w:jc w:val="right"/>
              <w:rPr>
                <w:rFonts w:ascii="Times New Roman" w:hAnsi="Times New Roman" w:cs="Times New Roman" w:eastAsia="Times New Roman" w:hint="default"/>
                <w:sz w:val="21"/>
                <w:szCs w:val="21"/>
              </w:rPr>
            </w:pPr>
            <w:r>
              <w:rPr>
                <w:rFonts w:ascii="Times New Roman"/>
                <w:spacing w:val="-1"/>
                <w:sz w:val="21"/>
              </w:rPr>
              <w:t>627,559.14</w:t>
            </w:r>
            <w:r>
              <w:rPr>
                <w:rFonts w:ascii="Times New Roman"/>
                <w:sz w:val="21"/>
              </w:rPr>
            </w:r>
          </w:p>
        </w:tc>
      </w:tr>
    </w:tbl>
    <w:p>
      <w:pPr>
        <w:pStyle w:val="BodyText"/>
        <w:spacing w:line="240" w:lineRule="auto" w:before="59"/>
        <w:ind w:left="1275" w:right="390"/>
        <w:jc w:val="left"/>
      </w:pPr>
      <w:r>
        <w:rPr/>
        <w:t>注：主要自然人股东是指直接或间接持有本公司</w:t>
      </w:r>
      <w:r>
        <w:rPr>
          <w:spacing w:val="-55"/>
        </w:rPr>
        <w:t> </w:t>
      </w:r>
      <w:r>
        <w:rPr>
          <w:rFonts w:ascii="Times New Roman" w:hAnsi="Times New Roman" w:cs="Times New Roman" w:eastAsia="Times New Roman" w:hint="default"/>
        </w:rPr>
        <w:t>5%</w:t>
      </w:r>
      <w:r>
        <w:rPr/>
        <w:t>以上股份的个人股东。</w:t>
      </w:r>
    </w:p>
    <w:p>
      <w:pPr>
        <w:spacing w:after="0" w:line="240" w:lineRule="auto"/>
        <w:jc w:val="left"/>
        <w:sectPr>
          <w:headerReference w:type="default" r:id="rId271"/>
          <w:footerReference w:type="default" r:id="rId272"/>
          <w:pgSz w:w="11910" w:h="16840"/>
          <w:pgMar w:header="851" w:footer="982" w:top="1300" w:bottom="1180" w:left="1660" w:right="1140"/>
          <w:pgNumType w:start="147"/>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Heading2"/>
        <w:tabs>
          <w:tab w:pos="1393" w:val="left" w:leader="none"/>
        </w:tabs>
        <w:spacing w:line="240" w:lineRule="auto"/>
        <w:ind w:left="855" w:right="390"/>
        <w:jc w:val="left"/>
        <w:rPr>
          <w:b w:val="0"/>
          <w:bCs w:val="0"/>
        </w:rPr>
      </w:pPr>
      <w:r>
        <w:rPr>
          <w:rFonts w:ascii="Times New Roman" w:hAnsi="Times New Roman" w:cs="Times New Roman" w:eastAsia="Times New Roman" w:hint="default"/>
          <w:w w:val="95"/>
        </w:rPr>
        <w:t>3</w:t>
      </w:r>
      <w:r>
        <w:rPr>
          <w:w w:val="95"/>
        </w:rPr>
        <w:t>、</w:t>
        <w:tab/>
      </w:r>
      <w:r>
        <w:rPr/>
        <w:t>公司无需披露的其他关联方交易事项。</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1410" w:val="left" w:leader="none"/>
        </w:tabs>
        <w:spacing w:line="328" w:lineRule="auto" w:before="0"/>
        <w:ind w:left="1397" w:right="5394" w:hanging="543"/>
        <w:jc w:val="left"/>
        <w:rPr>
          <w:rFonts w:ascii="宋体" w:hAnsi="宋体" w:cs="宋体" w:eastAsia="宋体" w:hint="default"/>
          <w:sz w:val="21"/>
          <w:szCs w:val="21"/>
        </w:rPr>
      </w:pPr>
      <w:r>
        <w:rPr/>
        <w:pict>
          <v:group style="position:absolute;margin-left:146.520004pt;margin-top:60.871475pt;width:380.4pt;height:97.05pt;mso-position-horizontal-relative:page;mso-position-vertical-relative:paragraph;z-index:-706312" coordorigin="2930,1217" coordsize="7608,1941">
            <v:shape style="position:absolute;left:4159;top:1217;width:3995;height:413" type="#_x0000_t75" stroked="false">
              <v:imagedata r:id="rId278" o:title=""/>
            </v:shape>
            <v:shape style="position:absolute;left:4159;top:1592;width:6379;height:422" type="#_x0000_t75" stroked="false">
              <v:imagedata r:id="rId279" o:title=""/>
            </v:shape>
            <v:shape style="position:absolute;left:2930;top:1982;width:7602;height:1176" type="#_x0000_t75" stroked="false">
              <v:imagedata r:id="rId280" o:title=""/>
            </v:shape>
            <v:shape style="position:absolute;left:5743;top:2371;width:48;height:787" type="#_x0000_t75" stroked="false">
              <v:imagedata r:id="rId281" o:title=""/>
            </v:shape>
            <v:shape style="position:absolute;left:6863;top:2371;width:48;height:787" type="#_x0000_t75" stroked="false">
              <v:imagedata r:id="rId281" o:title=""/>
            </v:shape>
            <v:shape style="position:absolute;left:8106;top:2371;width:48;height:787" type="#_x0000_t75" stroked="false">
              <v:imagedata r:id="rId281" o:title=""/>
            </v:shape>
            <v:shape style="position:absolute;left:9271;top:2371;width:48;height:787" type="#_x0000_t75" stroked="false">
              <v:imagedata r:id="rId281" o:title=""/>
            </v:shape>
            <w10:wrap type="none"/>
          </v:group>
        </w:pict>
      </w: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tab/>
      </w:r>
      <w:r>
        <w:rPr>
          <w:rFonts w:ascii="宋体" w:hAnsi="宋体" w:cs="宋体" w:eastAsia="宋体" w:hint="default"/>
          <w:b/>
          <w:bCs/>
          <w:sz w:val="21"/>
          <w:szCs w:val="21"/>
        </w:rPr>
        <w:t>关联方应收应付款项</w:t>
      </w:r>
      <w:r>
        <w:rPr>
          <w:rFonts w:ascii="宋体" w:hAnsi="宋体" w:cs="宋体" w:eastAsia="宋体" w:hint="default"/>
          <w:b/>
          <w:bCs/>
          <w:spacing w:val="1"/>
          <w:w w:val="99"/>
          <w:sz w:val="21"/>
          <w:szCs w:val="21"/>
        </w:rPr>
        <w:t> </w:t>
      </w:r>
      <w:r>
        <w:rPr>
          <w:rFonts w:ascii="宋体" w:hAnsi="宋体" w:cs="宋体" w:eastAsia="宋体" w:hint="default"/>
          <w:sz w:val="21"/>
          <w:szCs w:val="21"/>
        </w:rPr>
        <w:t>上市公司应收关联方款项</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tbl>
      <w:tblPr>
        <w:tblW w:w="0" w:type="auto"/>
        <w:jc w:val="left"/>
        <w:tblInd w:w="1296" w:type="dxa"/>
        <w:tblLayout w:type="fixed"/>
        <w:tblCellMar>
          <w:top w:w="0" w:type="dxa"/>
          <w:left w:w="0" w:type="dxa"/>
          <w:bottom w:w="0" w:type="dxa"/>
          <w:right w:w="0" w:type="dxa"/>
        </w:tblCellMar>
        <w:tblLook w:val="01E0"/>
      </w:tblPr>
      <w:tblGrid>
        <w:gridCol w:w="1359"/>
        <w:gridCol w:w="2601"/>
        <w:gridCol w:w="1194"/>
        <w:gridCol w:w="1259"/>
        <w:gridCol w:w="1150"/>
      </w:tblGrid>
      <w:tr>
        <w:trPr>
          <w:trHeight w:val="291" w:hRule="exact"/>
        </w:trPr>
        <w:tc>
          <w:tcPr>
            <w:tcW w:w="1359" w:type="dxa"/>
            <w:tcBorders>
              <w:top w:val="single" w:sz="12" w:space="0" w:color="000000"/>
              <w:left w:val="nil" w:sz="6" w:space="0" w:color="auto"/>
              <w:bottom w:val="nil" w:sz="6" w:space="0" w:color="auto"/>
              <w:right w:val="nil" w:sz="6" w:space="0" w:color="auto"/>
            </w:tcBorders>
          </w:tcPr>
          <w:p>
            <w:pPr/>
          </w:p>
        </w:tc>
        <w:tc>
          <w:tcPr>
            <w:tcW w:w="3795"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41"/>
              <w:ind w:left="227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408"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41"/>
              <w:ind w:left="27" w:right="0"/>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192" w:hRule="exact"/>
        </w:trPr>
        <w:tc>
          <w:tcPr>
            <w:tcW w:w="1359" w:type="dxa"/>
            <w:tcBorders>
              <w:top w:val="nil" w:sz="6" w:space="0" w:color="auto"/>
              <w:left w:val="nil" w:sz="6" w:space="0" w:color="auto"/>
              <w:bottom w:val="nil" w:sz="6" w:space="0" w:color="auto"/>
              <w:right w:val="nil" w:sz="6" w:space="0" w:color="auto"/>
            </w:tcBorders>
          </w:tcPr>
          <w:p>
            <w:pPr>
              <w:pStyle w:val="TableParagraph"/>
              <w:spacing w:line="178" w:lineRule="exact"/>
              <w:ind w:right="387"/>
              <w:jc w:val="right"/>
              <w:rPr>
                <w:rFonts w:ascii="宋体" w:hAnsi="宋体" w:cs="宋体" w:eastAsia="宋体" w:hint="default"/>
                <w:sz w:val="18"/>
                <w:szCs w:val="18"/>
              </w:rPr>
            </w:pPr>
            <w:r>
              <w:rPr>
                <w:rFonts w:ascii="宋体" w:hAnsi="宋体" w:cs="宋体" w:eastAsia="宋体" w:hint="default"/>
                <w:sz w:val="18"/>
                <w:szCs w:val="18"/>
              </w:rPr>
              <w:t>项目名称</w:t>
            </w:r>
          </w:p>
        </w:tc>
        <w:tc>
          <w:tcPr>
            <w:tcW w:w="2601" w:type="dxa"/>
            <w:tcBorders>
              <w:top w:val="nil" w:sz="6" w:space="0" w:color="auto"/>
              <w:left w:val="nil" w:sz="6" w:space="0" w:color="auto"/>
              <w:bottom w:val="nil" w:sz="6" w:space="0" w:color="auto"/>
              <w:right w:val="nil" w:sz="6" w:space="0" w:color="auto"/>
            </w:tcBorders>
          </w:tcPr>
          <w:p>
            <w:pPr>
              <w:pStyle w:val="TableParagraph"/>
              <w:spacing w:line="178" w:lineRule="exact"/>
              <w:ind w:left="389"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194"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
        </w:tc>
        <w:tc>
          <w:tcPr>
            <w:tcW w:w="1150" w:type="dxa"/>
            <w:tcBorders>
              <w:top w:val="nil" w:sz="6" w:space="0" w:color="auto"/>
              <w:left w:val="nil" w:sz="6" w:space="0" w:color="auto"/>
              <w:bottom w:val="nil" w:sz="6" w:space="0" w:color="auto"/>
              <w:right w:val="nil" w:sz="6" w:space="0" w:color="auto"/>
            </w:tcBorders>
          </w:tcPr>
          <w:p>
            <w:pPr/>
          </w:p>
        </w:tc>
      </w:tr>
      <w:tr>
        <w:trPr>
          <w:trHeight w:val="296" w:hRule="exact"/>
        </w:trPr>
        <w:tc>
          <w:tcPr>
            <w:tcW w:w="1359" w:type="dxa"/>
            <w:tcBorders>
              <w:top w:val="nil" w:sz="6" w:space="0" w:color="auto"/>
              <w:left w:val="nil" w:sz="6" w:space="0" w:color="auto"/>
              <w:bottom w:val="nil" w:sz="6" w:space="0" w:color="auto"/>
              <w:right w:val="nil" w:sz="6" w:space="0" w:color="auto"/>
            </w:tcBorders>
          </w:tcPr>
          <w:p>
            <w:pPr/>
          </w:p>
        </w:tc>
        <w:tc>
          <w:tcPr>
            <w:tcW w:w="2601" w:type="dxa"/>
            <w:tcBorders>
              <w:top w:val="nil" w:sz="6" w:space="0" w:color="auto"/>
              <w:left w:val="nil" w:sz="6" w:space="0" w:color="auto"/>
              <w:bottom w:val="nil" w:sz="6" w:space="0" w:color="auto"/>
              <w:right w:val="nil" w:sz="6" w:space="0" w:color="auto"/>
            </w:tcBorders>
          </w:tcPr>
          <w:p>
            <w:pPr>
              <w:pStyle w:val="TableParagraph"/>
              <w:spacing w:line="194" w:lineRule="exact"/>
              <w:ind w:left="164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4" w:type="dxa"/>
            <w:tcBorders>
              <w:top w:val="nil" w:sz="6" w:space="0" w:color="auto"/>
              <w:left w:val="nil" w:sz="6" w:space="0" w:color="auto"/>
              <w:bottom w:val="nil" w:sz="6" w:space="0" w:color="auto"/>
              <w:right w:val="nil" w:sz="6" w:space="0" w:color="auto"/>
            </w:tcBorders>
          </w:tcPr>
          <w:p>
            <w:pPr>
              <w:pStyle w:val="TableParagraph"/>
              <w:spacing w:line="194" w:lineRule="exact"/>
              <w:ind w:left="23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59" w:type="dxa"/>
            <w:tcBorders>
              <w:top w:val="nil" w:sz="6" w:space="0" w:color="auto"/>
              <w:left w:val="nil" w:sz="6" w:space="0" w:color="auto"/>
              <w:bottom w:val="nil" w:sz="6" w:space="0" w:color="auto"/>
              <w:right w:val="nil" w:sz="6" w:space="0" w:color="auto"/>
            </w:tcBorders>
          </w:tcPr>
          <w:p>
            <w:pPr>
              <w:pStyle w:val="TableParagraph"/>
              <w:spacing w:line="194" w:lineRule="exact"/>
              <w:ind w:right="51"/>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150" w:type="dxa"/>
            <w:tcBorders>
              <w:top w:val="nil" w:sz="6" w:space="0" w:color="auto"/>
              <w:left w:val="nil" w:sz="6" w:space="0" w:color="auto"/>
              <w:bottom w:val="nil" w:sz="6" w:space="0" w:color="auto"/>
              <w:right w:val="nil" w:sz="6" w:space="0" w:color="auto"/>
            </w:tcBorders>
          </w:tcPr>
          <w:p>
            <w:pPr>
              <w:pStyle w:val="TableParagraph"/>
              <w:spacing w:line="194" w:lineRule="exact"/>
              <w:ind w:left="181"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85" w:hRule="exact"/>
        </w:trPr>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56"/>
              <w:jc w:val="right"/>
              <w:rPr>
                <w:rFonts w:ascii="宋体" w:hAnsi="宋体" w:cs="宋体" w:eastAsia="宋体" w:hint="default"/>
                <w:sz w:val="18"/>
                <w:szCs w:val="18"/>
              </w:rPr>
            </w:pPr>
            <w:r>
              <w:rPr>
                <w:rFonts w:ascii="宋体" w:hAnsi="宋体" w:cs="宋体" w:eastAsia="宋体" w:hint="default"/>
                <w:sz w:val="18"/>
                <w:szCs w:val="18"/>
              </w:rPr>
              <w:t>其他应收款</w:t>
            </w:r>
          </w:p>
        </w:tc>
        <w:tc>
          <w:tcPr>
            <w:tcW w:w="2601" w:type="dxa"/>
            <w:tcBorders>
              <w:top w:val="nil" w:sz="6" w:space="0" w:color="auto"/>
              <w:left w:val="nil" w:sz="6" w:space="0" w:color="auto"/>
              <w:bottom w:val="nil" w:sz="6" w:space="0" w:color="auto"/>
              <w:right w:val="nil" w:sz="6" w:space="0" w:color="auto"/>
            </w:tcBorders>
          </w:tcPr>
          <w:p>
            <w:pPr/>
          </w:p>
        </w:tc>
        <w:tc>
          <w:tcPr>
            <w:tcW w:w="1194"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
        </w:tc>
        <w:tc>
          <w:tcPr>
            <w:tcW w:w="1150" w:type="dxa"/>
            <w:tcBorders>
              <w:top w:val="nil" w:sz="6" w:space="0" w:color="auto"/>
              <w:left w:val="nil" w:sz="6" w:space="0" w:color="auto"/>
              <w:bottom w:val="nil" w:sz="6" w:space="0" w:color="auto"/>
              <w:right w:val="nil" w:sz="6" w:space="0" w:color="auto"/>
            </w:tcBorders>
          </w:tcPr>
          <w:p>
            <w:pPr/>
          </w:p>
        </w:tc>
      </w:tr>
      <w:tr>
        <w:trPr>
          <w:trHeight w:val="769" w:hRule="exact"/>
        </w:trPr>
        <w:tc>
          <w:tcPr>
            <w:tcW w:w="1359" w:type="dxa"/>
            <w:tcBorders>
              <w:top w:val="nil" w:sz="6" w:space="0" w:color="auto"/>
              <w:left w:val="nil" w:sz="6" w:space="0" w:color="auto"/>
              <w:bottom w:val="single" w:sz="12" w:space="0" w:color="000000"/>
              <w:right w:val="nil" w:sz="6" w:space="0" w:color="auto"/>
            </w:tcBorders>
          </w:tcPr>
          <w:p>
            <w:pPr/>
          </w:p>
        </w:tc>
        <w:tc>
          <w:tcPr>
            <w:tcW w:w="2601" w:type="dxa"/>
            <w:tcBorders>
              <w:top w:val="nil" w:sz="6" w:space="0" w:color="auto"/>
              <w:left w:val="nil" w:sz="6" w:space="0" w:color="auto"/>
              <w:bottom w:val="single" w:sz="12" w:space="0" w:color="000000"/>
              <w:right w:val="nil" w:sz="6" w:space="0" w:color="auto"/>
            </w:tcBorders>
          </w:tcPr>
          <w:p>
            <w:pPr>
              <w:pStyle w:val="TableParagraph"/>
              <w:spacing w:line="381" w:lineRule="auto" w:before="47"/>
              <w:ind w:left="-25" w:right="1237"/>
              <w:jc w:val="left"/>
              <w:rPr>
                <w:rFonts w:ascii="宋体" w:hAnsi="宋体" w:cs="宋体" w:eastAsia="宋体" w:hint="default"/>
                <w:sz w:val="18"/>
                <w:szCs w:val="18"/>
              </w:rPr>
            </w:pPr>
            <w:r>
              <w:rPr>
                <w:rFonts w:ascii="宋体" w:hAnsi="宋体" w:cs="宋体" w:eastAsia="宋体" w:hint="default"/>
                <w:spacing w:val="15"/>
                <w:sz w:val="18"/>
                <w:szCs w:val="18"/>
              </w:rPr>
              <w:t>北京启天同信科</w:t>
            </w:r>
            <w:r>
              <w:rPr>
                <w:rFonts w:ascii="宋体" w:hAnsi="宋体" w:cs="宋体" w:eastAsia="宋体" w:hint="default"/>
                <w:spacing w:val="-88"/>
                <w:sz w:val="18"/>
                <w:szCs w:val="18"/>
              </w:rPr>
              <w:t> </w:t>
            </w:r>
            <w:r>
              <w:rPr>
                <w:rFonts w:ascii="宋体" w:hAnsi="宋体" w:cs="宋体" w:eastAsia="宋体" w:hint="default"/>
                <w:sz w:val="18"/>
                <w:szCs w:val="18"/>
              </w:rPr>
              <w:t>技有限公司</w:t>
            </w:r>
          </w:p>
        </w:tc>
        <w:tc>
          <w:tcPr>
            <w:tcW w:w="1194" w:type="dxa"/>
            <w:tcBorders>
              <w:top w:val="nil" w:sz="6" w:space="0" w:color="auto"/>
              <w:left w:val="nil" w:sz="6" w:space="0" w:color="auto"/>
              <w:bottom w:val="single" w:sz="12" w:space="0" w:color="000000"/>
              <w:right w:val="nil" w:sz="6" w:space="0" w:color="auto"/>
            </w:tcBorders>
          </w:tcPr>
          <w:p>
            <w:pPr/>
          </w:p>
        </w:tc>
        <w:tc>
          <w:tcPr>
            <w:tcW w:w="1259"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47"/>
              <w:jc w:val="center"/>
              <w:rPr>
                <w:rFonts w:ascii="Times New Roman" w:hAnsi="Times New Roman" w:cs="Times New Roman" w:eastAsia="Times New Roman" w:hint="default"/>
                <w:sz w:val="18"/>
                <w:szCs w:val="18"/>
              </w:rPr>
            </w:pPr>
            <w:r>
              <w:rPr>
                <w:rFonts w:ascii="Times New Roman"/>
                <w:sz w:val="18"/>
              </w:rPr>
              <w:t>7,100,000.00</w:t>
            </w:r>
          </w:p>
        </w:tc>
        <w:tc>
          <w:tcPr>
            <w:tcW w:w="1150"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327" w:right="0"/>
              <w:jc w:val="left"/>
              <w:rPr>
                <w:rFonts w:ascii="Times New Roman" w:hAnsi="Times New Roman" w:cs="Times New Roman" w:eastAsia="Times New Roman" w:hint="default"/>
                <w:sz w:val="18"/>
                <w:szCs w:val="18"/>
              </w:rPr>
            </w:pPr>
            <w:r>
              <w:rPr>
                <w:rFonts w:ascii="Times New Roman"/>
                <w:sz w:val="18"/>
              </w:rPr>
              <w:t>35,500.00</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2"/>
          <w:szCs w:val="22"/>
        </w:rPr>
      </w:pPr>
    </w:p>
    <w:p>
      <w:pPr>
        <w:pStyle w:val="BodyText"/>
        <w:spacing w:line="240" w:lineRule="auto" w:before="35"/>
        <w:ind w:left="855" w:right="390"/>
        <w:jc w:val="left"/>
      </w:pPr>
      <w:r>
        <w:rPr/>
        <w:t>上市公司应付关联方款项</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2"/>
          <w:szCs w:val="12"/>
        </w:rPr>
      </w:pPr>
    </w:p>
    <w:p>
      <w:pPr>
        <w:spacing w:line="1587" w:lineRule="exact"/>
        <w:ind w:left="717"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411.4pt;height:79.4pt;mso-position-horizontal-relative:char;mso-position-vertical-relative:line" coordorigin="0,0" coordsize="8228,1588">
            <v:group style="position:absolute;left:29;top:15;width:8172;height:2" coordorigin="29,15" coordsize="8172,2">
              <v:shape style="position:absolute;left:29;top:15;width:8172;height:2" coordorigin="29,15" coordsize="8172,0" path="m29,15l8201,15e" filled="false" stroked="true" strokeweight="1.5pt" strokecolor="#000000">
                <v:path arrowok="t"/>
              </v:shape>
              <v:shape style="position:absolute;left:2090;top:11;width:4506;height:413" type="#_x0000_t75" stroked="false">
                <v:imagedata r:id="rId282" o:title=""/>
              </v:shape>
            </v:group>
            <v:group style="position:absolute;left:15;top:1573;width:2094;height:2" coordorigin="15,1573" coordsize="2094,2">
              <v:shape style="position:absolute;left:15;top:1573;width:2094;height:2" coordorigin="15,1573" coordsize="2094,0" path="m15,1573l2109,1573e" filled="false" stroked="true" strokeweight="1.5pt" strokecolor="#000000">
                <v:path arrowok="t"/>
              </v:shape>
            </v:group>
            <v:group style="position:absolute;left:2109;top:1573;width:2836;height:2" coordorigin="2109,1573" coordsize="2836,2">
              <v:shape style="position:absolute;left:2109;top:1573;width:2836;height:2" coordorigin="2109,1573" coordsize="2836,0" path="m2109,1573l4945,1573e" filled="false" stroked="true" strokeweight="1.5pt" strokecolor="#000000">
                <v:path arrowok="t"/>
              </v:shape>
            </v:group>
            <v:group style="position:absolute;left:4945;top:1573;width:1623;height:2" coordorigin="4945,1573" coordsize="1623,2">
              <v:shape style="position:absolute;left:4945;top:1573;width:1623;height:2" coordorigin="4945,1573" coordsize="1623,0" path="m4945,1573l6567,1573e" filled="false" stroked="true" strokeweight="1.5pt" strokecolor="#000000">
                <v:path arrowok="t"/>
              </v:shape>
              <v:shape style="position:absolute;left:10;top:392;width:8218;height:1166" type="#_x0000_t75" stroked="false">
                <v:imagedata r:id="rId283" o:title=""/>
              </v:shape>
            </v:group>
            <v:group style="position:absolute;left:6567;top:1573;width:1642;height:2" coordorigin="6567,1573" coordsize="1642,2">
              <v:shape style="position:absolute;left:6567;top:1573;width:1642;height:2" coordorigin="6567,1573" coordsize="1642,0" path="m6567,1573l8209,1573e" filled="false" stroked="true" strokeweight="1.5pt" strokecolor="#000000">
                <v:path arrowok="t"/>
              </v:shape>
              <v:shape style="position:absolute;left:136;top:111;width:1354;height:594" type="#_x0000_t202" filled="false" stroked="false">
                <v:textbox inset="0,0,0,0">
                  <w:txbxContent>
                    <w:p>
                      <w:pPr>
                        <w:spacing w:line="210" w:lineRule="exact" w:before="0"/>
                        <w:ind w:left="513" w:right="0" w:firstLine="0"/>
                        <w:jc w:val="left"/>
                        <w:rPr>
                          <w:rFonts w:ascii="宋体" w:hAnsi="宋体" w:cs="宋体" w:eastAsia="宋体" w:hint="default"/>
                          <w:sz w:val="21"/>
                          <w:szCs w:val="21"/>
                        </w:rPr>
                      </w:pPr>
                      <w:r>
                        <w:rPr>
                          <w:rFonts w:ascii="宋体" w:hAnsi="宋体" w:cs="宋体" w:eastAsia="宋体" w:hint="default"/>
                          <w:sz w:val="21"/>
                          <w:szCs w:val="21"/>
                        </w:rPr>
                        <w:t>项目名称</w:t>
                      </w:r>
                    </w:p>
                    <w:p>
                      <w:pPr>
                        <w:spacing w:before="109"/>
                        <w:ind w:left="0" w:right="0" w:firstLine="0"/>
                        <w:jc w:val="left"/>
                        <w:rPr>
                          <w:rFonts w:ascii="宋体" w:hAnsi="宋体" w:cs="宋体" w:eastAsia="宋体" w:hint="default"/>
                          <w:sz w:val="21"/>
                          <w:szCs w:val="21"/>
                        </w:rPr>
                      </w:pPr>
                      <w:r>
                        <w:rPr>
                          <w:rFonts w:ascii="宋体" w:hAnsi="宋体" w:cs="宋体" w:eastAsia="宋体" w:hint="default"/>
                          <w:sz w:val="21"/>
                          <w:szCs w:val="21"/>
                        </w:rPr>
                        <w:t>其他应付款</w:t>
                      </w:r>
                    </w:p>
                  </w:txbxContent>
                </v:textbox>
                <w10:wrap type="none"/>
              </v:shape>
              <v:shape style="position:absolute;left:3215;top:111;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关联方</w:t>
                      </w:r>
                    </w:p>
                  </w:txbxContent>
                </v:textbox>
                <w10:wrap type="none"/>
              </v:shape>
              <v:shape style="position:absolute;left:5339;top:11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期末余额</w:t>
                      </w:r>
                    </w:p>
                  </w:txbxContent>
                </v:textbox>
                <w10:wrap type="none"/>
              </v:shape>
              <v:shape style="position:absolute;left:6970;top:11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年初余额</w:t>
                      </w:r>
                    </w:p>
                  </w:txbxContent>
                </v:textbox>
                <w10:wrap type="none"/>
              </v:shape>
              <v:shape style="position:absolute;left:2222;top:880;width:2520;height:59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北京神州祥升科技有限公司</w:t>
                      </w:r>
                    </w:p>
                    <w:p>
                      <w:pPr>
                        <w:spacing w:before="109"/>
                        <w:ind w:left="0" w:right="0" w:firstLine="0"/>
                        <w:jc w:val="left"/>
                        <w:rPr>
                          <w:rFonts w:ascii="宋体" w:hAnsi="宋体" w:cs="宋体" w:eastAsia="宋体" w:hint="default"/>
                          <w:sz w:val="21"/>
                          <w:szCs w:val="21"/>
                        </w:rPr>
                      </w:pPr>
                      <w:r>
                        <w:rPr>
                          <w:rFonts w:ascii="宋体" w:hAnsi="宋体" w:cs="宋体" w:eastAsia="宋体" w:hint="default"/>
                          <w:sz w:val="21"/>
                          <w:szCs w:val="21"/>
                        </w:rPr>
                        <w:t>李力</w:t>
                      </w:r>
                    </w:p>
                  </w:txbxContent>
                </v:textbox>
                <w10:wrap type="none"/>
              </v:shape>
              <v:shape style="position:absolute;left:6998;top:892;width:1104;height:594" type="#_x0000_t202" filled="false" stroked="false">
                <v:textbox inset="0,0,0,0">
                  <w:txbxContent>
                    <w:p>
                      <w:pPr>
                        <w:spacing w:line="214"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1,000,000.00</w:t>
                      </w:r>
                    </w:p>
                    <w:p>
                      <w:pPr>
                        <w:spacing w:line="237" w:lineRule="exact" w:before="142"/>
                        <w:ind w:left="0" w:right="0" w:firstLine="0"/>
                        <w:jc w:val="left"/>
                        <w:rPr>
                          <w:rFonts w:ascii="Times New Roman" w:hAnsi="Times New Roman" w:cs="Times New Roman" w:eastAsia="Times New Roman" w:hint="default"/>
                          <w:sz w:val="21"/>
                          <w:szCs w:val="21"/>
                        </w:rPr>
                      </w:pPr>
                      <w:r>
                        <w:rPr>
                          <w:rFonts w:ascii="Times New Roman"/>
                          <w:spacing w:val="-1"/>
                          <w:sz w:val="21"/>
                        </w:rPr>
                        <w:t>1,500,000.00</w:t>
                      </w:r>
                    </w:p>
                  </w:txbxContent>
                </v:textbox>
                <w10:wrap type="none"/>
              </v:shape>
            </v:group>
          </v:group>
        </w:pict>
      </w:r>
      <w:r>
        <w:rPr>
          <w:rFonts w:ascii="宋体" w:hAnsi="宋体" w:cs="宋体" w:eastAsia="宋体" w:hint="default"/>
          <w:position w:val="-31"/>
          <w:sz w:val="20"/>
          <w:szCs w:val="20"/>
        </w:rPr>
      </w:r>
    </w:p>
    <w:p>
      <w:pPr>
        <w:spacing w:line="240" w:lineRule="auto" w:before="0"/>
        <w:rPr>
          <w:rFonts w:ascii="宋体" w:hAnsi="宋体" w:cs="宋体" w:eastAsia="宋体" w:hint="default"/>
          <w:sz w:val="20"/>
          <w:szCs w:val="20"/>
        </w:rPr>
      </w:pPr>
    </w:p>
    <w:p>
      <w:pPr>
        <w:pStyle w:val="Heading1"/>
        <w:tabs>
          <w:tab w:pos="851" w:val="left" w:leader="none"/>
        </w:tabs>
        <w:spacing w:line="240" w:lineRule="auto" w:before="189"/>
        <w:ind w:left="123" w:right="390"/>
        <w:jc w:val="left"/>
        <w:rPr>
          <w:b w:val="0"/>
          <w:bCs w:val="0"/>
        </w:rPr>
      </w:pPr>
      <w:r>
        <w:rPr>
          <w:w w:val="95"/>
        </w:rPr>
        <w:t>七、</w:t>
        <w:tab/>
      </w:r>
      <w:r>
        <w:rPr/>
        <w:t>或有事项</w:t>
      </w:r>
      <w:r>
        <w:rPr>
          <w:b w:val="0"/>
          <w:bCs w:val="0"/>
        </w:rPr>
      </w:r>
    </w:p>
    <w:p>
      <w:pPr>
        <w:spacing w:line="240" w:lineRule="auto" w:before="0"/>
        <w:rPr>
          <w:rFonts w:ascii="宋体" w:hAnsi="宋体" w:cs="宋体" w:eastAsia="宋体" w:hint="default"/>
          <w:b/>
          <w:bCs/>
          <w:sz w:val="24"/>
          <w:szCs w:val="24"/>
        </w:rPr>
      </w:pPr>
    </w:p>
    <w:p>
      <w:pPr>
        <w:pStyle w:val="Heading2"/>
        <w:tabs>
          <w:tab w:pos="851" w:val="left" w:leader="none"/>
        </w:tabs>
        <w:spacing w:line="240" w:lineRule="auto" w:before="184"/>
        <w:ind w:left="123" w:right="390"/>
        <w:jc w:val="left"/>
        <w:rPr>
          <w:b w:val="0"/>
          <w:bCs w:val="0"/>
        </w:rPr>
      </w:pP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未决诉讼或仲裁形成的或有负债</w:t>
      </w:r>
      <w:r>
        <w:rPr>
          <w:b w:val="0"/>
          <w:bCs w:val="0"/>
        </w:rPr>
      </w:r>
    </w:p>
    <w:p>
      <w:pPr>
        <w:pStyle w:val="BodyText"/>
        <w:spacing w:line="312" w:lineRule="auto" w:before="80"/>
        <w:ind w:left="854" w:right="137"/>
        <w:jc w:val="left"/>
      </w:pPr>
      <w:r>
        <w:rPr>
          <w:rFonts w:ascii="Times New Roman" w:hAnsi="Times New Roman" w:cs="Times New Roman" w:eastAsia="Times New Roman" w:hint="default"/>
        </w:rPr>
        <w:t>2008 </w:t>
      </w:r>
      <w:r>
        <w:rPr/>
        <w:t>年 </w:t>
      </w:r>
      <w:r>
        <w:rPr>
          <w:rFonts w:ascii="Times New Roman" w:hAnsi="Times New Roman" w:cs="Times New Roman" w:eastAsia="Times New Roman" w:hint="default"/>
        </w:rPr>
        <w:t>7</w:t>
      </w:r>
      <w:r>
        <w:rPr>
          <w:rFonts w:ascii="Times New Roman" w:hAnsi="Times New Roman" w:cs="Times New Roman" w:eastAsia="Times New Roman" w:hint="default"/>
          <w:spacing w:val="-19"/>
        </w:rPr>
        <w:t> </w:t>
      </w:r>
      <w:r>
        <w:rPr/>
        <w:t>月，亿阳安全技术有限公司（以下简称</w:t>
      </w:r>
      <w:r>
        <w:rPr>
          <w:rFonts w:ascii="Times New Roman" w:hAnsi="Times New Roman" w:cs="Times New Roman" w:eastAsia="Times New Roman" w:hint="default"/>
        </w:rPr>
        <w:t>“</w:t>
      </w:r>
      <w:r>
        <w:rPr/>
        <w:t>亿阳公司</w:t>
      </w:r>
      <w:r>
        <w:rPr>
          <w:rFonts w:ascii="Times New Roman" w:hAnsi="Times New Roman" w:cs="Times New Roman" w:eastAsia="Times New Roman" w:hint="default"/>
        </w:rPr>
        <w:t>”</w:t>
      </w:r>
      <w:r>
        <w:rPr/>
        <w:t>）向北京市海淀区人民法院 </w:t>
      </w:r>
      <w:r>
        <w:rPr>
          <w:spacing w:val="-3"/>
        </w:rPr>
        <w:t>提起诉讼，认为公司在开发</w:t>
      </w:r>
      <w:r>
        <w:rPr>
          <w:spacing w:val="-45"/>
        </w:rPr>
        <w:t> </w:t>
      </w:r>
      <w:r>
        <w:rPr>
          <w:rFonts w:ascii="Times New Roman" w:hAnsi="Times New Roman" w:cs="Times New Roman" w:eastAsia="Times New Roman" w:hint="default"/>
        </w:rPr>
        <w:t>Ultra-AMS</w:t>
      </w:r>
      <w:r>
        <w:rPr>
          <w:rFonts w:ascii="Times New Roman" w:hAnsi="Times New Roman" w:cs="Times New Roman" w:eastAsia="Times New Roman" w:hint="default"/>
          <w:spacing w:val="8"/>
        </w:rPr>
        <w:t> </w:t>
      </w:r>
      <w:r>
        <w:rPr>
          <w:spacing w:val="-4"/>
        </w:rPr>
        <w:t>产品时，侵犯了亿阳公司的计算机软件著作权，要</w:t>
      </w:r>
      <w:r>
        <w:rPr/>
        <w:t> 求公司停止侵权行为并支付相关律师费以及本案的诉讼费用。 本案目前尚在审理过程中。</w:t>
      </w:r>
    </w:p>
    <w:p>
      <w:pPr>
        <w:spacing w:line="240" w:lineRule="auto" w:before="0"/>
        <w:rPr>
          <w:rFonts w:ascii="宋体" w:hAnsi="宋体" w:cs="宋体" w:eastAsia="宋体" w:hint="default"/>
          <w:sz w:val="20"/>
          <w:szCs w:val="20"/>
        </w:rPr>
      </w:pPr>
    </w:p>
    <w:p>
      <w:pPr>
        <w:pStyle w:val="Heading2"/>
        <w:tabs>
          <w:tab w:pos="851" w:val="left" w:leader="none"/>
        </w:tabs>
        <w:spacing w:line="240" w:lineRule="auto" w:before="139"/>
        <w:ind w:left="123" w:right="0"/>
        <w:jc w:val="left"/>
        <w:rPr>
          <w:b w:val="0"/>
          <w:bCs w:val="0"/>
        </w:rPr>
      </w:pP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截止</w:t>
      </w:r>
      <w:r>
        <w:rPr>
          <w:spacing w:val="-55"/>
        </w:rPr>
        <w:t> </w:t>
      </w:r>
      <w:r>
        <w:rPr>
          <w:rFonts w:ascii="Times New Roman" w:hAnsi="Times New Roman" w:cs="Times New Roman" w:eastAsia="Times New Roman" w:hint="default"/>
          <w:spacing w:val="-1"/>
        </w:rPr>
        <w:t>2010</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spacing w:val="-1"/>
        </w:rPr>
        <w:t>31</w:t>
      </w:r>
      <w:r>
        <w:rPr>
          <w:rFonts w:ascii="Times New Roman" w:hAnsi="Times New Roman" w:cs="Times New Roman" w:eastAsia="Times New Roman" w:hint="default"/>
          <w:spacing w:val="-3"/>
        </w:rPr>
        <w:t> </w:t>
      </w:r>
      <w:r>
        <w:rPr/>
        <w:t>日，公司没有为关联方及其他单位提供债务担保形成的或有负债。</w:t>
      </w:r>
      <w:r>
        <w:rPr>
          <w:b w:val="0"/>
          <w:bCs w:val="0"/>
        </w:rPr>
      </w:r>
    </w:p>
    <w:p>
      <w:pPr>
        <w:spacing w:line="240" w:lineRule="auto" w:before="0"/>
        <w:rPr>
          <w:rFonts w:ascii="宋体" w:hAnsi="宋体" w:cs="宋体" w:eastAsia="宋体" w:hint="default"/>
          <w:b/>
          <w:bCs/>
          <w:sz w:val="22"/>
          <w:szCs w:val="22"/>
        </w:rPr>
      </w:pPr>
    </w:p>
    <w:p>
      <w:pPr>
        <w:tabs>
          <w:tab w:pos="850" w:val="left" w:leader="none"/>
        </w:tabs>
        <w:spacing w:before="162"/>
        <w:ind w:left="122" w:right="39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三</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本公司无需披露的其他或有负债。</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51" w:footer="982" w:top="1360" w:bottom="1180" w:left="1660" w:right="1140"/>
        </w:sect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tabs>
          <w:tab w:pos="851" w:val="left" w:leader="none"/>
        </w:tabs>
        <w:spacing w:before="26"/>
        <w:ind w:left="123" w:right="390" w:firstLine="0"/>
        <w:jc w:val="left"/>
        <w:rPr>
          <w:rFonts w:ascii="宋体" w:hAnsi="宋体" w:cs="宋体" w:eastAsia="宋体" w:hint="default"/>
          <w:sz w:val="24"/>
          <w:szCs w:val="24"/>
        </w:rPr>
      </w:pPr>
      <w:r>
        <w:rPr>
          <w:rFonts w:ascii="宋体" w:hAnsi="宋体" w:cs="宋体" w:eastAsia="宋体" w:hint="default"/>
          <w:b/>
          <w:bCs/>
          <w:w w:val="95"/>
          <w:sz w:val="24"/>
          <w:szCs w:val="24"/>
        </w:rPr>
        <w:t>八、</w:t>
        <w:tab/>
      </w:r>
      <w:r>
        <w:rPr>
          <w:rFonts w:ascii="宋体" w:hAnsi="宋体" w:cs="宋体" w:eastAsia="宋体" w:hint="default"/>
          <w:b/>
          <w:bCs/>
          <w:sz w:val="24"/>
          <w:szCs w:val="24"/>
        </w:rPr>
        <w:t>承诺事项</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before="185"/>
        <w:ind w:left="851" w:right="390" w:firstLine="0"/>
        <w:jc w:val="left"/>
        <w:rPr>
          <w:rFonts w:ascii="宋体" w:hAnsi="宋体" w:cs="宋体" w:eastAsia="宋体" w:hint="default"/>
          <w:sz w:val="21"/>
          <w:szCs w:val="21"/>
        </w:rPr>
      </w:pPr>
      <w:r>
        <w:rPr>
          <w:rFonts w:ascii="宋体" w:hAnsi="宋体" w:cs="宋体" w:eastAsia="宋体" w:hint="default"/>
          <w:b/>
          <w:bCs/>
          <w:sz w:val="21"/>
          <w:szCs w:val="21"/>
        </w:rPr>
        <w:t>未结清保函</w:t>
      </w:r>
      <w:r>
        <w:rPr>
          <w:rFonts w:ascii="宋体" w:hAnsi="宋体" w:cs="宋体" w:eastAsia="宋体" w:hint="default"/>
          <w:sz w:val="21"/>
          <w:szCs w:val="21"/>
        </w:rPr>
      </w:r>
    </w:p>
    <w:p>
      <w:pPr>
        <w:pStyle w:val="BodyText"/>
        <w:spacing w:line="240" w:lineRule="auto" w:before="94"/>
        <w:ind w:left="855" w:right="390"/>
        <w:jc w:val="left"/>
      </w:pPr>
      <w:r>
        <w:rPr/>
        <w:pict>
          <v:group style="position:absolute;margin-left:119.399994pt;margin-top:39.423954pt;width:412.1pt;height:481.15pt;mso-position-horizontal-relative:page;mso-position-vertical-relative:paragraph;z-index:-706288" coordorigin="2388,788" coordsize="8242,9623">
            <v:shape style="position:absolute;left:5662;top:788;width:3694;height:766" type="#_x0000_t75" stroked="false">
              <v:imagedata r:id="rId284" o:title=""/>
            </v:shape>
            <v:shape style="position:absolute;left:2388;top:1529;width:8242;height:8882" type="#_x0000_t75" stroked="false">
              <v:imagedata r:id="rId285" o:title=""/>
            </v:shape>
            <w10:wrap type="none"/>
          </v:group>
        </w:pict>
      </w:r>
      <w:r>
        <w:rPr/>
        <w:t>截至</w:t>
      </w:r>
      <w:r>
        <w:rPr>
          <w:spacing w:val="-54"/>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日止，公司尚未结清的银行保函明细如下：</w:t>
      </w:r>
    </w:p>
    <w:p>
      <w:pPr>
        <w:spacing w:line="240" w:lineRule="auto" w:before="7"/>
        <w:rPr>
          <w:rFonts w:ascii="宋体" w:hAnsi="宋体" w:cs="宋体" w:eastAsia="宋体" w:hint="default"/>
          <w:sz w:val="29"/>
          <w:szCs w:val="29"/>
        </w:rPr>
      </w:pPr>
    </w:p>
    <w:tbl>
      <w:tblPr>
        <w:tblW w:w="0" w:type="auto"/>
        <w:jc w:val="left"/>
        <w:tblInd w:w="732" w:type="dxa"/>
        <w:tblLayout w:type="fixed"/>
        <w:tblCellMar>
          <w:top w:w="0" w:type="dxa"/>
          <w:left w:w="0" w:type="dxa"/>
          <w:bottom w:w="0" w:type="dxa"/>
          <w:right w:w="0" w:type="dxa"/>
        </w:tblCellMar>
        <w:tblLook w:val="01E0"/>
      </w:tblPr>
      <w:tblGrid>
        <w:gridCol w:w="3286"/>
        <w:gridCol w:w="1583"/>
        <w:gridCol w:w="1250"/>
        <w:gridCol w:w="901"/>
        <w:gridCol w:w="1203"/>
      </w:tblGrid>
      <w:tr>
        <w:trPr>
          <w:trHeight w:val="850" w:hRule="exact"/>
        </w:trPr>
        <w:tc>
          <w:tcPr>
            <w:tcW w:w="3286"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1"/>
                <w:szCs w:val="11"/>
              </w:rPr>
            </w:pPr>
          </w:p>
          <w:p>
            <w:pPr>
              <w:pStyle w:val="TableParagraph"/>
              <w:tabs>
                <w:tab w:pos="461" w:val="left" w:leader="none"/>
              </w:tabs>
              <w:spacing w:line="240" w:lineRule="auto"/>
              <w:ind w:left="11" w:right="0"/>
              <w:jc w:val="center"/>
              <w:rPr>
                <w:rFonts w:ascii="宋体" w:hAnsi="宋体" w:cs="宋体" w:eastAsia="宋体" w:hint="default"/>
                <w:sz w:val="15"/>
                <w:szCs w:val="15"/>
              </w:rPr>
            </w:pPr>
            <w:r>
              <w:rPr>
                <w:rFonts w:ascii="宋体" w:hAnsi="宋体" w:cs="宋体" w:eastAsia="宋体" w:hint="default"/>
                <w:sz w:val="15"/>
                <w:szCs w:val="15"/>
              </w:rPr>
              <w:t>项</w:t>
              <w:tab/>
              <w:t>目</w:t>
            </w:r>
          </w:p>
        </w:tc>
        <w:tc>
          <w:tcPr>
            <w:tcW w:w="1583"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1"/>
                <w:szCs w:val="11"/>
              </w:rPr>
            </w:pPr>
          </w:p>
          <w:p>
            <w:pPr>
              <w:pStyle w:val="TableParagraph"/>
              <w:spacing w:line="240" w:lineRule="auto"/>
              <w:ind w:left="527" w:right="0"/>
              <w:jc w:val="left"/>
              <w:rPr>
                <w:rFonts w:ascii="宋体" w:hAnsi="宋体" w:cs="宋体" w:eastAsia="宋体" w:hint="default"/>
                <w:sz w:val="15"/>
                <w:szCs w:val="15"/>
              </w:rPr>
            </w:pPr>
            <w:r>
              <w:rPr>
                <w:rFonts w:ascii="宋体" w:hAnsi="宋体" w:cs="宋体" w:eastAsia="宋体" w:hint="default"/>
                <w:sz w:val="15"/>
                <w:szCs w:val="15"/>
              </w:rPr>
              <w:t>开户银行</w:t>
            </w:r>
          </w:p>
        </w:tc>
        <w:tc>
          <w:tcPr>
            <w:tcW w:w="1250"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1"/>
                <w:szCs w:val="11"/>
              </w:rPr>
            </w:pPr>
          </w:p>
          <w:p>
            <w:pPr>
              <w:pStyle w:val="TableParagraph"/>
              <w:spacing w:line="240" w:lineRule="auto"/>
              <w:ind w:left="358" w:right="0"/>
              <w:jc w:val="left"/>
              <w:rPr>
                <w:rFonts w:ascii="宋体" w:hAnsi="宋体" w:cs="宋体" w:eastAsia="宋体" w:hint="default"/>
                <w:sz w:val="15"/>
                <w:szCs w:val="15"/>
              </w:rPr>
            </w:pPr>
            <w:r>
              <w:rPr>
                <w:rFonts w:ascii="宋体" w:hAnsi="宋体" w:cs="宋体" w:eastAsia="宋体" w:hint="default"/>
                <w:sz w:val="15"/>
                <w:szCs w:val="15"/>
              </w:rPr>
              <w:t>保函金额</w:t>
            </w:r>
          </w:p>
        </w:tc>
        <w:tc>
          <w:tcPr>
            <w:tcW w:w="901" w:type="dxa"/>
            <w:tcBorders>
              <w:top w:val="single" w:sz="12" w:space="0" w:color="000000"/>
              <w:left w:val="nil" w:sz="6" w:space="0" w:color="auto"/>
              <w:bottom w:val="nil" w:sz="6" w:space="0" w:color="auto"/>
              <w:right w:val="nil" w:sz="6" w:space="0" w:color="auto"/>
            </w:tcBorders>
          </w:tcPr>
          <w:p>
            <w:pPr>
              <w:pStyle w:val="TableParagraph"/>
              <w:spacing w:line="370" w:lineRule="exact" w:before="29"/>
              <w:ind w:left="224" w:right="188" w:hanging="113"/>
              <w:jc w:val="left"/>
              <w:rPr>
                <w:rFonts w:ascii="Times New Roman" w:hAnsi="Times New Roman" w:cs="Times New Roman" w:eastAsia="Times New Roman" w:hint="default"/>
                <w:sz w:val="15"/>
                <w:szCs w:val="15"/>
              </w:rPr>
            </w:pPr>
            <w:r>
              <w:rPr>
                <w:rFonts w:ascii="宋体" w:hAnsi="宋体" w:cs="宋体" w:eastAsia="宋体" w:hint="default"/>
                <w:sz w:val="15"/>
                <w:szCs w:val="15"/>
              </w:rPr>
              <w:t>保证金比 例</w:t>
            </w:r>
            <w:r>
              <w:rPr>
                <w:rFonts w:ascii="Times New Roman" w:hAnsi="Times New Roman" w:cs="Times New Roman" w:eastAsia="Times New Roman" w:hint="default"/>
                <w:sz w:val="15"/>
                <w:szCs w:val="15"/>
              </w:rPr>
              <w:t>(%)</w:t>
            </w:r>
          </w:p>
        </w:tc>
        <w:tc>
          <w:tcPr>
            <w:tcW w:w="1203"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1"/>
                <w:szCs w:val="11"/>
              </w:rPr>
            </w:pPr>
          </w:p>
          <w:p>
            <w:pPr>
              <w:pStyle w:val="TableParagraph"/>
              <w:spacing w:line="240" w:lineRule="auto"/>
              <w:ind w:left="188" w:right="0"/>
              <w:jc w:val="left"/>
              <w:rPr>
                <w:rFonts w:ascii="宋体" w:hAnsi="宋体" w:cs="宋体" w:eastAsia="宋体" w:hint="default"/>
                <w:sz w:val="15"/>
                <w:szCs w:val="15"/>
              </w:rPr>
            </w:pPr>
            <w:r>
              <w:rPr>
                <w:rFonts w:ascii="宋体" w:hAnsi="宋体" w:cs="宋体" w:eastAsia="宋体" w:hint="default"/>
                <w:sz w:val="15"/>
                <w:szCs w:val="15"/>
              </w:rPr>
              <w:t>保证金金额</w:t>
            </w:r>
          </w:p>
        </w:tc>
      </w:tr>
      <w:tr>
        <w:trPr>
          <w:trHeight w:val="778" w:hRule="exact"/>
        </w:trPr>
        <w:tc>
          <w:tcPr>
            <w:tcW w:w="328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21" w:right="0"/>
              <w:jc w:val="left"/>
              <w:rPr>
                <w:rFonts w:ascii="宋体" w:hAnsi="宋体" w:cs="宋体" w:eastAsia="宋体" w:hint="default"/>
                <w:sz w:val="15"/>
                <w:szCs w:val="15"/>
              </w:rPr>
            </w:pPr>
            <w:r>
              <w:rPr>
                <w:rFonts w:ascii="宋体" w:hAnsi="宋体" w:cs="宋体" w:eastAsia="宋体" w:hint="default"/>
                <w:sz w:val="15"/>
                <w:szCs w:val="15"/>
              </w:rPr>
              <w:t>中国人寿保险股份有限公司电话销售系统</w:t>
            </w: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2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1400licence</w:t>
            </w:r>
            <w:r>
              <w:rPr>
                <w:rFonts w:ascii="Times New Roman" w:hAnsi="Times New Roman" w:cs="Times New Roman" w:eastAsia="Times New Roman" w:hint="default"/>
                <w:spacing w:val="-5"/>
                <w:sz w:val="15"/>
                <w:szCs w:val="15"/>
              </w:rPr>
              <w:t> </w:t>
            </w:r>
            <w:r>
              <w:rPr>
                <w:rFonts w:ascii="宋体" w:hAnsi="宋体" w:cs="宋体" w:eastAsia="宋体" w:hint="default"/>
                <w:sz w:val="15"/>
                <w:szCs w:val="15"/>
              </w:rPr>
              <w:t>软件采购项目</w:t>
            </w: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8" w:right="0"/>
              <w:jc w:val="left"/>
              <w:rPr>
                <w:rFonts w:ascii="宋体" w:hAnsi="宋体" w:cs="宋体" w:eastAsia="宋体" w:hint="default"/>
                <w:sz w:val="15"/>
                <w:szCs w:val="15"/>
              </w:rPr>
            </w:pPr>
            <w:r>
              <w:rPr>
                <w:rFonts w:ascii="宋体" w:hAnsi="宋体" w:cs="宋体" w:eastAsia="宋体" w:hint="default"/>
                <w:sz w:val="15"/>
                <w:szCs w:val="15"/>
              </w:rPr>
              <w:t>北京银行上地支行</w:t>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0"/>
              <w:ind w:right="110"/>
              <w:jc w:val="right"/>
              <w:rPr>
                <w:rFonts w:ascii="Times New Roman" w:hAnsi="Times New Roman" w:cs="Times New Roman" w:eastAsia="Times New Roman" w:hint="default"/>
                <w:sz w:val="15"/>
                <w:szCs w:val="15"/>
              </w:rPr>
            </w:pPr>
            <w:r>
              <w:rPr>
                <w:rFonts w:ascii="Times New Roman"/>
                <w:spacing w:val="-1"/>
                <w:sz w:val="15"/>
              </w:rPr>
              <w:t>3,860,000.00</w:t>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0"/>
              <w:ind w:left="374" w:right="0"/>
              <w:jc w:val="left"/>
              <w:rPr>
                <w:rFonts w:ascii="Times New Roman" w:hAnsi="Times New Roman" w:cs="Times New Roman" w:eastAsia="Times New Roman" w:hint="default"/>
                <w:sz w:val="15"/>
                <w:szCs w:val="15"/>
              </w:rPr>
            </w:pPr>
            <w:r>
              <w:rPr>
                <w:rFonts w:ascii="Times New Roman"/>
                <w:sz w:val="15"/>
              </w:rPr>
              <w:t>5</w:t>
            </w:r>
          </w:p>
        </w:tc>
        <w:tc>
          <w:tcPr>
            <w:tcW w:w="12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0"/>
              <w:ind w:right="107"/>
              <w:jc w:val="right"/>
              <w:rPr>
                <w:rFonts w:ascii="Times New Roman" w:hAnsi="Times New Roman" w:cs="Times New Roman" w:eastAsia="Times New Roman" w:hint="default"/>
                <w:sz w:val="15"/>
                <w:szCs w:val="15"/>
              </w:rPr>
            </w:pPr>
            <w:r>
              <w:rPr>
                <w:rFonts w:ascii="Times New Roman"/>
                <w:spacing w:val="-1"/>
                <w:sz w:val="15"/>
              </w:rPr>
              <w:t>193,000.00</w:t>
            </w:r>
          </w:p>
        </w:tc>
      </w:tr>
      <w:tr>
        <w:trPr>
          <w:trHeight w:val="439" w:hRule="exact"/>
        </w:trPr>
        <w:tc>
          <w:tcPr>
            <w:tcW w:w="3286"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21" w:right="0"/>
              <w:jc w:val="left"/>
              <w:rPr>
                <w:rFonts w:ascii="宋体" w:hAnsi="宋体" w:cs="宋体" w:eastAsia="宋体" w:hint="default"/>
                <w:sz w:val="15"/>
                <w:szCs w:val="15"/>
              </w:rPr>
            </w:pPr>
            <w:r>
              <w:rPr>
                <w:rFonts w:ascii="宋体" w:hAnsi="宋体" w:cs="宋体" w:eastAsia="宋体" w:hint="default"/>
                <w:sz w:val="15"/>
                <w:szCs w:val="15"/>
              </w:rPr>
              <w:t>国家级气象预警指挥中心信息系统</w:t>
            </w: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宋体" w:hAnsi="宋体" w:cs="宋体" w:eastAsia="宋体" w:hint="default"/>
                <w:sz w:val="15"/>
                <w:szCs w:val="15"/>
              </w:rPr>
              <w:t>北京银行上地支行</w:t>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0"/>
                <w:szCs w:val="10"/>
              </w:rPr>
            </w:pPr>
          </w:p>
          <w:p>
            <w:pPr>
              <w:pStyle w:val="TableParagraph"/>
              <w:spacing w:line="240" w:lineRule="auto"/>
              <w:ind w:right="109"/>
              <w:jc w:val="right"/>
              <w:rPr>
                <w:rFonts w:ascii="Times New Roman" w:hAnsi="Times New Roman" w:cs="Times New Roman" w:eastAsia="Times New Roman" w:hint="default"/>
                <w:sz w:val="15"/>
                <w:szCs w:val="15"/>
              </w:rPr>
            </w:pPr>
            <w:r>
              <w:rPr>
                <w:rFonts w:ascii="Times New Roman"/>
                <w:spacing w:val="-1"/>
                <w:sz w:val="15"/>
              </w:rPr>
              <w:t>12,260,000.00</w:t>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0"/>
                <w:szCs w:val="10"/>
              </w:rPr>
            </w:pPr>
          </w:p>
          <w:p>
            <w:pPr>
              <w:pStyle w:val="TableParagraph"/>
              <w:spacing w:line="240" w:lineRule="auto"/>
              <w:ind w:left="335" w:right="0"/>
              <w:jc w:val="left"/>
              <w:rPr>
                <w:rFonts w:ascii="Times New Roman" w:hAnsi="Times New Roman" w:cs="Times New Roman" w:eastAsia="Times New Roman" w:hint="default"/>
                <w:sz w:val="15"/>
                <w:szCs w:val="15"/>
              </w:rPr>
            </w:pPr>
            <w:r>
              <w:rPr>
                <w:rFonts w:ascii="Times New Roman"/>
                <w:sz w:val="15"/>
              </w:rPr>
              <w:t>16</w:t>
            </w:r>
          </w:p>
        </w:tc>
        <w:tc>
          <w:tcPr>
            <w:tcW w:w="120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1,960,000.00</w:t>
            </w:r>
          </w:p>
        </w:tc>
      </w:tr>
      <w:tr>
        <w:trPr>
          <w:trHeight w:val="769" w:hRule="exact"/>
        </w:trPr>
        <w:tc>
          <w:tcPr>
            <w:tcW w:w="3286" w:type="dxa"/>
            <w:tcBorders>
              <w:top w:val="nil" w:sz="6" w:space="0" w:color="auto"/>
              <w:left w:val="nil" w:sz="6" w:space="0" w:color="auto"/>
              <w:bottom w:val="nil" w:sz="6" w:space="0" w:color="auto"/>
              <w:right w:val="nil" w:sz="6" w:space="0" w:color="auto"/>
            </w:tcBorders>
          </w:tcPr>
          <w:p>
            <w:pPr>
              <w:pStyle w:val="TableParagraph"/>
              <w:spacing w:line="451" w:lineRule="auto" w:before="87"/>
              <w:ind w:left="121" w:right="164"/>
              <w:jc w:val="left"/>
              <w:rPr>
                <w:rFonts w:ascii="宋体" w:hAnsi="宋体" w:cs="宋体" w:eastAsia="宋体" w:hint="default"/>
                <w:sz w:val="15"/>
                <w:szCs w:val="15"/>
              </w:rPr>
            </w:pPr>
            <w:r>
              <w:rPr>
                <w:rFonts w:ascii="宋体" w:hAnsi="宋体" w:cs="宋体" w:eastAsia="宋体" w:hint="default"/>
                <w:sz w:val="15"/>
                <w:szCs w:val="15"/>
              </w:rPr>
              <w:t>中国人寿保险股份有限公司电话销售软件项目 合同</w:t>
            </w: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108" w:right="0"/>
              <w:jc w:val="left"/>
              <w:rPr>
                <w:rFonts w:ascii="宋体" w:hAnsi="宋体" w:cs="宋体" w:eastAsia="宋体" w:hint="default"/>
                <w:sz w:val="15"/>
                <w:szCs w:val="15"/>
              </w:rPr>
            </w:pPr>
            <w:r>
              <w:rPr>
                <w:rFonts w:ascii="宋体" w:hAnsi="宋体" w:cs="宋体" w:eastAsia="宋体" w:hint="default"/>
                <w:sz w:val="15"/>
                <w:szCs w:val="15"/>
              </w:rPr>
              <w:t>北京银行上地支行</w:t>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10"/>
              <w:jc w:val="right"/>
              <w:rPr>
                <w:rFonts w:ascii="Times New Roman" w:hAnsi="Times New Roman" w:cs="Times New Roman" w:eastAsia="Times New Roman" w:hint="default"/>
                <w:sz w:val="15"/>
                <w:szCs w:val="15"/>
              </w:rPr>
            </w:pPr>
            <w:r>
              <w:rPr>
                <w:rFonts w:ascii="Times New Roman"/>
                <w:spacing w:val="-1"/>
                <w:sz w:val="15"/>
              </w:rPr>
              <w:t>1,200,000.00</w:t>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left="374" w:right="0"/>
              <w:jc w:val="left"/>
              <w:rPr>
                <w:rFonts w:ascii="Times New Roman" w:hAnsi="Times New Roman" w:cs="Times New Roman" w:eastAsia="Times New Roman" w:hint="default"/>
                <w:sz w:val="15"/>
                <w:szCs w:val="15"/>
              </w:rPr>
            </w:pPr>
            <w:r>
              <w:rPr>
                <w:rFonts w:ascii="Times New Roman"/>
                <w:sz w:val="15"/>
              </w:rPr>
              <w:t>5</w:t>
            </w:r>
          </w:p>
        </w:tc>
        <w:tc>
          <w:tcPr>
            <w:tcW w:w="12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60,000.00</w:t>
            </w:r>
          </w:p>
        </w:tc>
      </w:tr>
      <w:tr>
        <w:trPr>
          <w:trHeight w:val="750" w:hRule="exact"/>
        </w:trPr>
        <w:tc>
          <w:tcPr>
            <w:tcW w:w="3286" w:type="dxa"/>
            <w:tcBorders>
              <w:top w:val="nil" w:sz="6" w:space="0" w:color="auto"/>
              <w:left w:val="nil" w:sz="6" w:space="0" w:color="auto"/>
              <w:bottom w:val="nil" w:sz="6" w:space="0" w:color="auto"/>
              <w:right w:val="nil" w:sz="6" w:space="0" w:color="auto"/>
            </w:tcBorders>
          </w:tcPr>
          <w:p>
            <w:pPr>
              <w:pStyle w:val="TableParagraph"/>
              <w:spacing w:line="427" w:lineRule="auto" w:before="69"/>
              <w:ind w:left="121" w:right="206"/>
              <w:jc w:val="left"/>
              <w:rPr>
                <w:rFonts w:ascii="宋体" w:hAnsi="宋体" w:cs="宋体" w:eastAsia="宋体" w:hint="default"/>
                <w:sz w:val="15"/>
                <w:szCs w:val="15"/>
              </w:rPr>
            </w:pPr>
            <w:r>
              <w:rPr>
                <w:rFonts w:ascii="宋体" w:hAnsi="宋体" w:cs="宋体" w:eastAsia="宋体" w:hint="default"/>
                <w:sz w:val="15"/>
                <w:szCs w:val="15"/>
              </w:rPr>
              <w:t>中国人寿保险股份有限公司</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4A</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身份管理系统 项目软件采购合同</w:t>
            </w: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108" w:right="0"/>
              <w:jc w:val="left"/>
              <w:rPr>
                <w:rFonts w:ascii="宋体" w:hAnsi="宋体" w:cs="宋体" w:eastAsia="宋体" w:hint="default"/>
                <w:sz w:val="15"/>
                <w:szCs w:val="15"/>
              </w:rPr>
            </w:pPr>
            <w:r>
              <w:rPr>
                <w:rFonts w:ascii="宋体" w:hAnsi="宋体" w:cs="宋体" w:eastAsia="宋体" w:hint="default"/>
                <w:sz w:val="15"/>
                <w:szCs w:val="15"/>
              </w:rPr>
              <w:t>北京银行上地支行</w:t>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4"/>
              <w:ind w:right="110"/>
              <w:jc w:val="right"/>
              <w:rPr>
                <w:rFonts w:ascii="Times New Roman" w:hAnsi="Times New Roman" w:cs="Times New Roman" w:eastAsia="Times New Roman" w:hint="default"/>
                <w:sz w:val="15"/>
                <w:szCs w:val="15"/>
              </w:rPr>
            </w:pPr>
            <w:r>
              <w:rPr>
                <w:rFonts w:ascii="Times New Roman"/>
                <w:spacing w:val="-1"/>
                <w:sz w:val="15"/>
              </w:rPr>
              <w:t>3,407,400.00</w:t>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4"/>
              <w:ind w:left="374" w:right="0"/>
              <w:jc w:val="left"/>
              <w:rPr>
                <w:rFonts w:ascii="Times New Roman" w:hAnsi="Times New Roman" w:cs="Times New Roman" w:eastAsia="Times New Roman" w:hint="default"/>
                <w:sz w:val="15"/>
                <w:szCs w:val="15"/>
              </w:rPr>
            </w:pPr>
            <w:r>
              <w:rPr>
                <w:rFonts w:ascii="Times New Roman"/>
                <w:sz w:val="15"/>
              </w:rPr>
              <w:t>5</w:t>
            </w:r>
          </w:p>
        </w:tc>
        <w:tc>
          <w:tcPr>
            <w:tcW w:w="12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4"/>
              <w:ind w:right="106"/>
              <w:jc w:val="right"/>
              <w:rPr>
                <w:rFonts w:ascii="Times New Roman" w:hAnsi="Times New Roman" w:cs="Times New Roman" w:eastAsia="Times New Roman" w:hint="default"/>
                <w:sz w:val="15"/>
                <w:szCs w:val="15"/>
              </w:rPr>
            </w:pPr>
            <w:r>
              <w:rPr>
                <w:rFonts w:ascii="Times New Roman"/>
                <w:spacing w:val="-1"/>
                <w:sz w:val="15"/>
              </w:rPr>
              <w:t>170,370.00</w:t>
            </w:r>
          </w:p>
        </w:tc>
      </w:tr>
      <w:tr>
        <w:trPr>
          <w:trHeight w:val="416" w:hRule="exact"/>
        </w:trPr>
        <w:tc>
          <w:tcPr>
            <w:tcW w:w="3286"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1" w:right="0"/>
              <w:jc w:val="left"/>
              <w:rPr>
                <w:rFonts w:ascii="宋体" w:hAnsi="宋体" w:cs="宋体" w:eastAsia="宋体" w:hint="default"/>
                <w:sz w:val="15"/>
                <w:szCs w:val="15"/>
              </w:rPr>
            </w:pPr>
            <w:r>
              <w:rPr>
                <w:rFonts w:ascii="宋体" w:hAnsi="宋体" w:cs="宋体" w:eastAsia="宋体" w:hint="default"/>
                <w:sz w:val="15"/>
                <w:szCs w:val="15"/>
              </w:rPr>
              <w:t>中国人寿</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IT</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监控平台扩容项目软件采购合同</w:t>
            </w: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08" w:right="0"/>
              <w:jc w:val="left"/>
              <w:rPr>
                <w:rFonts w:ascii="宋体" w:hAnsi="宋体" w:cs="宋体" w:eastAsia="宋体" w:hint="default"/>
                <w:sz w:val="15"/>
                <w:szCs w:val="15"/>
              </w:rPr>
            </w:pPr>
            <w:r>
              <w:rPr>
                <w:rFonts w:ascii="宋体" w:hAnsi="宋体" w:cs="宋体" w:eastAsia="宋体" w:hint="default"/>
                <w:sz w:val="15"/>
                <w:szCs w:val="15"/>
              </w:rPr>
              <w:t>北京银行上地支行</w:t>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09"/>
              <w:jc w:val="right"/>
              <w:rPr>
                <w:rFonts w:ascii="Times New Roman" w:hAnsi="Times New Roman" w:cs="Times New Roman" w:eastAsia="Times New Roman" w:hint="default"/>
                <w:sz w:val="15"/>
                <w:szCs w:val="15"/>
              </w:rPr>
            </w:pPr>
            <w:r>
              <w:rPr>
                <w:rFonts w:ascii="Times New Roman"/>
                <w:spacing w:val="-1"/>
                <w:sz w:val="15"/>
              </w:rPr>
              <w:t>5,974,415.00</w:t>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374" w:right="0"/>
              <w:jc w:val="left"/>
              <w:rPr>
                <w:rFonts w:ascii="Times New Roman" w:hAnsi="Times New Roman" w:cs="Times New Roman" w:eastAsia="Times New Roman" w:hint="default"/>
                <w:sz w:val="15"/>
                <w:szCs w:val="15"/>
              </w:rPr>
            </w:pPr>
            <w:r>
              <w:rPr>
                <w:rFonts w:ascii="Times New Roman"/>
                <w:sz w:val="15"/>
              </w:rPr>
              <w:t>5</w:t>
            </w:r>
          </w:p>
        </w:tc>
        <w:tc>
          <w:tcPr>
            <w:tcW w:w="1203"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06"/>
              <w:jc w:val="right"/>
              <w:rPr>
                <w:rFonts w:ascii="Times New Roman" w:hAnsi="Times New Roman" w:cs="Times New Roman" w:eastAsia="Times New Roman" w:hint="default"/>
                <w:sz w:val="15"/>
                <w:szCs w:val="15"/>
              </w:rPr>
            </w:pPr>
            <w:r>
              <w:rPr>
                <w:rFonts w:ascii="Times New Roman"/>
                <w:spacing w:val="-1"/>
                <w:sz w:val="15"/>
              </w:rPr>
              <w:t>298,721.00</w:t>
            </w:r>
          </w:p>
        </w:tc>
      </w:tr>
      <w:tr>
        <w:trPr>
          <w:trHeight w:val="435" w:hRule="exact"/>
        </w:trPr>
        <w:tc>
          <w:tcPr>
            <w:tcW w:w="3286" w:type="dxa"/>
            <w:tcBorders>
              <w:top w:val="nil" w:sz="6" w:space="0" w:color="auto"/>
              <w:left w:val="nil" w:sz="6" w:space="0" w:color="auto"/>
              <w:bottom w:val="nil" w:sz="6" w:space="0" w:color="auto"/>
              <w:right w:val="nil" w:sz="6" w:space="0" w:color="auto"/>
            </w:tcBorders>
          </w:tcPr>
          <w:p>
            <w:pPr>
              <w:pStyle w:val="TableParagraph"/>
              <w:spacing w:line="240" w:lineRule="auto" w:before="88"/>
              <w:ind w:left="121" w:right="0"/>
              <w:jc w:val="left"/>
              <w:rPr>
                <w:rFonts w:ascii="宋体" w:hAnsi="宋体" w:cs="宋体" w:eastAsia="宋体" w:hint="default"/>
                <w:sz w:val="15"/>
                <w:szCs w:val="15"/>
              </w:rPr>
            </w:pPr>
            <w:r>
              <w:rPr>
                <w:rFonts w:ascii="宋体" w:hAnsi="宋体" w:cs="宋体" w:eastAsia="宋体" w:hint="default"/>
                <w:sz w:val="15"/>
                <w:szCs w:val="15"/>
              </w:rPr>
              <w:t>中国人寿</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IT</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管理平台扩容项目软件采购合同</w:t>
            </w: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88"/>
              <w:ind w:left="108" w:right="0"/>
              <w:jc w:val="left"/>
              <w:rPr>
                <w:rFonts w:ascii="宋体" w:hAnsi="宋体" w:cs="宋体" w:eastAsia="宋体" w:hint="default"/>
                <w:sz w:val="15"/>
                <w:szCs w:val="15"/>
              </w:rPr>
            </w:pPr>
            <w:r>
              <w:rPr>
                <w:rFonts w:ascii="宋体" w:hAnsi="宋体" w:cs="宋体" w:eastAsia="宋体" w:hint="default"/>
                <w:sz w:val="15"/>
                <w:szCs w:val="15"/>
              </w:rPr>
              <w:t>北京银行上地支行</w:t>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9"/>
              <w:jc w:val="right"/>
              <w:rPr>
                <w:rFonts w:ascii="Times New Roman" w:hAnsi="Times New Roman" w:cs="Times New Roman" w:eastAsia="Times New Roman" w:hint="default"/>
                <w:sz w:val="15"/>
                <w:szCs w:val="15"/>
              </w:rPr>
            </w:pPr>
            <w:r>
              <w:rPr>
                <w:rFonts w:ascii="Times New Roman"/>
                <w:spacing w:val="-1"/>
                <w:sz w:val="15"/>
              </w:rPr>
              <w:t>3,451,015.00</w:t>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374" w:right="0"/>
              <w:jc w:val="left"/>
              <w:rPr>
                <w:rFonts w:ascii="Times New Roman" w:hAnsi="Times New Roman" w:cs="Times New Roman" w:eastAsia="Times New Roman" w:hint="default"/>
                <w:sz w:val="15"/>
                <w:szCs w:val="15"/>
              </w:rPr>
            </w:pPr>
            <w:r>
              <w:rPr>
                <w:rFonts w:ascii="Times New Roman"/>
                <w:sz w:val="15"/>
              </w:rPr>
              <w:t>5</w:t>
            </w:r>
          </w:p>
        </w:tc>
        <w:tc>
          <w:tcPr>
            <w:tcW w:w="120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172,551.00</w:t>
            </w:r>
          </w:p>
        </w:tc>
      </w:tr>
      <w:tr>
        <w:trPr>
          <w:trHeight w:val="769" w:hRule="exact"/>
        </w:trPr>
        <w:tc>
          <w:tcPr>
            <w:tcW w:w="3286" w:type="dxa"/>
            <w:tcBorders>
              <w:top w:val="nil" w:sz="6" w:space="0" w:color="auto"/>
              <w:left w:val="nil" w:sz="6" w:space="0" w:color="auto"/>
              <w:bottom w:val="nil" w:sz="6" w:space="0" w:color="auto"/>
              <w:right w:val="nil" w:sz="6" w:space="0" w:color="auto"/>
            </w:tcBorders>
          </w:tcPr>
          <w:p>
            <w:pPr>
              <w:pStyle w:val="TableParagraph"/>
              <w:spacing w:line="451" w:lineRule="auto" w:before="87"/>
              <w:ind w:left="121" w:right="164"/>
              <w:jc w:val="left"/>
              <w:rPr>
                <w:rFonts w:ascii="宋体" w:hAnsi="宋体" w:cs="宋体" w:eastAsia="宋体" w:hint="default"/>
                <w:sz w:val="15"/>
                <w:szCs w:val="15"/>
              </w:rPr>
            </w:pPr>
            <w:r>
              <w:rPr>
                <w:rFonts w:ascii="宋体" w:hAnsi="宋体" w:cs="宋体" w:eastAsia="宋体" w:hint="default"/>
                <w:sz w:val="15"/>
                <w:szCs w:val="15"/>
              </w:rPr>
              <w:t>中国人寿保险股份有限公司配置管理数据库软 件采购合同</w:t>
            </w: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108" w:right="0"/>
              <w:jc w:val="left"/>
              <w:rPr>
                <w:rFonts w:ascii="宋体" w:hAnsi="宋体" w:cs="宋体" w:eastAsia="宋体" w:hint="default"/>
                <w:sz w:val="15"/>
                <w:szCs w:val="15"/>
              </w:rPr>
            </w:pPr>
            <w:r>
              <w:rPr>
                <w:rFonts w:ascii="宋体" w:hAnsi="宋体" w:cs="宋体" w:eastAsia="宋体" w:hint="default"/>
                <w:sz w:val="15"/>
                <w:szCs w:val="15"/>
              </w:rPr>
              <w:t>北京银行上地支行</w:t>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10"/>
              <w:jc w:val="right"/>
              <w:rPr>
                <w:rFonts w:ascii="Times New Roman" w:hAnsi="Times New Roman" w:cs="Times New Roman" w:eastAsia="Times New Roman" w:hint="default"/>
                <w:sz w:val="15"/>
                <w:szCs w:val="15"/>
              </w:rPr>
            </w:pPr>
            <w:r>
              <w:rPr>
                <w:rFonts w:ascii="Times New Roman"/>
                <w:spacing w:val="-1"/>
                <w:sz w:val="15"/>
              </w:rPr>
              <w:t>1,830,000.00</w:t>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left="374" w:right="0"/>
              <w:jc w:val="left"/>
              <w:rPr>
                <w:rFonts w:ascii="Times New Roman" w:hAnsi="Times New Roman" w:cs="Times New Roman" w:eastAsia="Times New Roman" w:hint="default"/>
                <w:sz w:val="15"/>
                <w:szCs w:val="15"/>
              </w:rPr>
            </w:pPr>
            <w:r>
              <w:rPr>
                <w:rFonts w:ascii="Times New Roman"/>
                <w:sz w:val="15"/>
              </w:rPr>
              <w:t>5</w:t>
            </w:r>
          </w:p>
        </w:tc>
        <w:tc>
          <w:tcPr>
            <w:tcW w:w="12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91,500.00</w:t>
            </w:r>
          </w:p>
        </w:tc>
      </w:tr>
      <w:tr>
        <w:trPr>
          <w:trHeight w:val="389" w:hRule="exact"/>
        </w:trPr>
        <w:tc>
          <w:tcPr>
            <w:tcW w:w="3286"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NGTS</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网控系统升级设备采购和整合服务合同</w:t>
            </w: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08" w:right="0"/>
              <w:jc w:val="left"/>
              <w:rPr>
                <w:rFonts w:ascii="宋体" w:hAnsi="宋体" w:cs="宋体" w:eastAsia="宋体" w:hint="default"/>
                <w:sz w:val="15"/>
                <w:szCs w:val="15"/>
              </w:rPr>
            </w:pPr>
            <w:r>
              <w:rPr>
                <w:rFonts w:ascii="宋体" w:hAnsi="宋体" w:cs="宋体" w:eastAsia="宋体" w:hint="default"/>
                <w:sz w:val="15"/>
                <w:szCs w:val="15"/>
              </w:rPr>
              <w:t>北京银行上地支行</w:t>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10"/>
              <w:jc w:val="right"/>
              <w:rPr>
                <w:rFonts w:ascii="Times New Roman" w:hAnsi="Times New Roman" w:cs="Times New Roman" w:eastAsia="Times New Roman" w:hint="default"/>
                <w:sz w:val="15"/>
                <w:szCs w:val="15"/>
              </w:rPr>
            </w:pPr>
            <w:r>
              <w:rPr>
                <w:rFonts w:ascii="Times New Roman"/>
                <w:spacing w:val="-1"/>
                <w:sz w:val="15"/>
              </w:rPr>
              <w:t>853,568.00</w:t>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335" w:right="0"/>
              <w:jc w:val="left"/>
              <w:rPr>
                <w:rFonts w:ascii="Times New Roman" w:hAnsi="Times New Roman" w:cs="Times New Roman" w:eastAsia="Times New Roman" w:hint="default"/>
                <w:sz w:val="15"/>
                <w:szCs w:val="15"/>
              </w:rPr>
            </w:pPr>
            <w:r>
              <w:rPr>
                <w:rFonts w:ascii="Times New Roman"/>
                <w:sz w:val="15"/>
              </w:rPr>
              <w:t>10</w:t>
            </w:r>
          </w:p>
        </w:tc>
        <w:tc>
          <w:tcPr>
            <w:tcW w:w="1203"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07"/>
              <w:jc w:val="right"/>
              <w:rPr>
                <w:rFonts w:ascii="Times New Roman" w:hAnsi="Times New Roman" w:cs="Times New Roman" w:eastAsia="Times New Roman" w:hint="default"/>
                <w:sz w:val="15"/>
                <w:szCs w:val="15"/>
              </w:rPr>
            </w:pPr>
            <w:r>
              <w:rPr>
                <w:rFonts w:ascii="Times New Roman"/>
                <w:spacing w:val="-1"/>
                <w:sz w:val="15"/>
              </w:rPr>
              <w:t>85,357.00</w:t>
            </w:r>
          </w:p>
        </w:tc>
      </w:tr>
      <w:tr>
        <w:trPr>
          <w:trHeight w:val="380" w:hRule="exact"/>
        </w:trPr>
        <w:tc>
          <w:tcPr>
            <w:tcW w:w="3286" w:type="dxa"/>
            <w:tcBorders>
              <w:top w:val="nil" w:sz="6" w:space="0" w:color="auto"/>
              <w:left w:val="nil" w:sz="6" w:space="0" w:color="auto"/>
              <w:bottom w:val="nil" w:sz="6" w:space="0" w:color="auto"/>
              <w:right w:val="nil" w:sz="6" w:space="0" w:color="auto"/>
            </w:tcBorders>
          </w:tcPr>
          <w:p>
            <w:pPr>
              <w:pStyle w:val="TableParagraph"/>
              <w:spacing w:line="240" w:lineRule="auto" w:before="60"/>
              <w:ind w:left="12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IT</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监控平台三期项目软件采购合同</w:t>
            </w: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60"/>
              <w:ind w:left="108" w:right="0"/>
              <w:jc w:val="left"/>
              <w:rPr>
                <w:rFonts w:ascii="宋体" w:hAnsi="宋体" w:cs="宋体" w:eastAsia="宋体" w:hint="default"/>
                <w:sz w:val="15"/>
                <w:szCs w:val="15"/>
              </w:rPr>
            </w:pPr>
            <w:r>
              <w:rPr>
                <w:rFonts w:ascii="宋体" w:hAnsi="宋体" w:cs="宋体" w:eastAsia="宋体" w:hint="default"/>
                <w:sz w:val="15"/>
                <w:szCs w:val="15"/>
              </w:rPr>
              <w:t>北京银行上地支行</w:t>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10"/>
              <w:jc w:val="right"/>
              <w:rPr>
                <w:rFonts w:ascii="Times New Roman" w:hAnsi="Times New Roman" w:cs="Times New Roman" w:eastAsia="Times New Roman" w:hint="default"/>
                <w:sz w:val="15"/>
                <w:szCs w:val="15"/>
              </w:rPr>
            </w:pPr>
            <w:r>
              <w:rPr>
                <w:rFonts w:ascii="Times New Roman"/>
                <w:spacing w:val="-1"/>
                <w:sz w:val="15"/>
              </w:rPr>
              <w:t>9,100,000.00</w:t>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374" w:right="0"/>
              <w:jc w:val="left"/>
              <w:rPr>
                <w:rFonts w:ascii="Times New Roman" w:hAnsi="Times New Roman" w:cs="Times New Roman" w:eastAsia="Times New Roman" w:hint="default"/>
                <w:sz w:val="15"/>
                <w:szCs w:val="15"/>
              </w:rPr>
            </w:pPr>
            <w:r>
              <w:rPr>
                <w:rFonts w:ascii="Times New Roman"/>
                <w:sz w:val="15"/>
              </w:rPr>
              <w:t>5</w:t>
            </w:r>
          </w:p>
        </w:tc>
        <w:tc>
          <w:tcPr>
            <w:tcW w:w="1203"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6"/>
              <w:jc w:val="right"/>
              <w:rPr>
                <w:rFonts w:ascii="Times New Roman" w:hAnsi="Times New Roman" w:cs="Times New Roman" w:eastAsia="Times New Roman" w:hint="default"/>
                <w:sz w:val="15"/>
                <w:szCs w:val="15"/>
              </w:rPr>
            </w:pPr>
            <w:r>
              <w:rPr>
                <w:rFonts w:ascii="Times New Roman"/>
                <w:spacing w:val="-1"/>
                <w:sz w:val="15"/>
              </w:rPr>
              <w:t>455,000.00</w:t>
            </w:r>
          </w:p>
        </w:tc>
      </w:tr>
      <w:tr>
        <w:trPr>
          <w:trHeight w:val="1054" w:hRule="exact"/>
        </w:trPr>
        <w:tc>
          <w:tcPr>
            <w:tcW w:w="3286" w:type="dxa"/>
            <w:tcBorders>
              <w:top w:val="nil" w:sz="6" w:space="0" w:color="auto"/>
              <w:left w:val="nil" w:sz="6" w:space="0" w:color="auto"/>
              <w:bottom w:val="nil" w:sz="6" w:space="0" w:color="auto"/>
              <w:right w:val="nil" w:sz="6" w:space="0" w:color="auto"/>
            </w:tcBorders>
          </w:tcPr>
          <w:p>
            <w:pPr>
              <w:pStyle w:val="TableParagraph"/>
              <w:spacing w:line="240" w:lineRule="auto" w:before="60"/>
              <w:ind w:left="121" w:right="0"/>
              <w:jc w:val="left"/>
              <w:rPr>
                <w:rFonts w:ascii="宋体" w:hAnsi="宋体" w:cs="宋体" w:eastAsia="宋体" w:hint="default"/>
                <w:sz w:val="15"/>
                <w:szCs w:val="15"/>
              </w:rPr>
            </w:pPr>
            <w:r>
              <w:rPr>
                <w:rFonts w:ascii="宋体" w:hAnsi="宋体" w:cs="宋体" w:eastAsia="宋体" w:hint="default"/>
                <w:sz w:val="15"/>
                <w:szCs w:val="15"/>
              </w:rPr>
              <w:t>中国联通</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2008</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年企业信息系统业务支撑系统</w:t>
            </w:r>
          </w:p>
          <w:p>
            <w:pPr>
              <w:pStyle w:val="TableParagraph"/>
              <w:spacing w:line="360" w:lineRule="atLeast" w:before="11"/>
              <w:ind w:left="121" w:right="106"/>
              <w:jc w:val="left"/>
              <w:rPr>
                <w:rFonts w:ascii="宋体" w:hAnsi="宋体" w:cs="宋体" w:eastAsia="宋体" w:hint="default"/>
                <w:sz w:val="15"/>
                <w:szCs w:val="15"/>
              </w:rPr>
            </w:pPr>
            <w:r>
              <w:rPr>
                <w:rFonts w:ascii="宋体" w:hAnsi="宋体" w:cs="宋体" w:eastAsia="宋体" w:hint="default"/>
                <w:spacing w:val="-4"/>
                <w:sz w:val="15"/>
                <w:szCs w:val="15"/>
              </w:rPr>
              <w:t>（</w:t>
            </w:r>
            <w:r>
              <w:rPr>
                <w:rFonts w:ascii="Times New Roman" w:hAnsi="Times New Roman" w:cs="Times New Roman" w:eastAsia="Times New Roman" w:hint="default"/>
                <w:spacing w:val="-4"/>
                <w:sz w:val="15"/>
                <w:szCs w:val="15"/>
              </w:rPr>
              <w:t>BBS</w:t>
            </w:r>
            <w:r>
              <w:rPr>
                <w:rFonts w:ascii="宋体" w:hAnsi="宋体" w:cs="宋体" w:eastAsia="宋体" w:hint="default"/>
                <w:spacing w:val="-4"/>
                <w:sz w:val="15"/>
                <w:szCs w:val="15"/>
              </w:rPr>
              <w:t>）在线计费系统（</w:t>
            </w:r>
            <w:r>
              <w:rPr>
                <w:rFonts w:ascii="Times New Roman" w:hAnsi="Times New Roman" w:cs="Times New Roman" w:eastAsia="Times New Roman" w:hint="default"/>
                <w:spacing w:val="-4"/>
                <w:sz w:val="15"/>
                <w:szCs w:val="15"/>
              </w:rPr>
              <w:t>OCS</w:t>
            </w:r>
            <w:r>
              <w:rPr>
                <w:rFonts w:ascii="宋体" w:hAnsi="宋体" w:cs="宋体" w:eastAsia="宋体" w:hint="default"/>
                <w:spacing w:val="-4"/>
                <w:sz w:val="15"/>
                <w:szCs w:val="15"/>
              </w:rPr>
              <w:t>）试点工程总部管</w:t>
            </w:r>
            <w:r>
              <w:rPr>
                <w:rFonts w:ascii="宋体" w:hAnsi="宋体" w:cs="宋体" w:eastAsia="宋体" w:hint="default"/>
                <w:spacing w:val="-56"/>
                <w:sz w:val="15"/>
                <w:szCs w:val="15"/>
              </w:rPr>
              <w:t> </w:t>
            </w:r>
            <w:r>
              <w:rPr>
                <w:rFonts w:ascii="宋体" w:hAnsi="宋体" w:cs="宋体" w:eastAsia="宋体" w:hint="default"/>
                <w:spacing w:val="-56"/>
                <w:sz w:val="15"/>
                <w:szCs w:val="15"/>
              </w:rPr>
            </w:r>
            <w:r>
              <w:rPr>
                <w:rFonts w:ascii="宋体" w:hAnsi="宋体" w:cs="宋体" w:eastAsia="宋体" w:hint="default"/>
                <w:sz w:val="15"/>
                <w:szCs w:val="15"/>
              </w:rPr>
              <w:t>网工程采购合同</w:t>
            </w: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08" w:right="0"/>
              <w:jc w:val="left"/>
              <w:rPr>
                <w:rFonts w:ascii="宋体" w:hAnsi="宋体" w:cs="宋体" w:eastAsia="宋体" w:hint="default"/>
                <w:sz w:val="15"/>
                <w:szCs w:val="15"/>
              </w:rPr>
            </w:pPr>
            <w:r>
              <w:rPr>
                <w:rFonts w:ascii="宋体" w:hAnsi="宋体" w:cs="宋体" w:eastAsia="宋体" w:hint="default"/>
                <w:sz w:val="15"/>
                <w:szCs w:val="15"/>
              </w:rPr>
              <w:t>北京银行上地支行</w:t>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6"/>
              <w:ind w:right="110"/>
              <w:jc w:val="right"/>
              <w:rPr>
                <w:rFonts w:ascii="Times New Roman" w:hAnsi="Times New Roman" w:cs="Times New Roman" w:eastAsia="Times New Roman" w:hint="default"/>
                <w:sz w:val="15"/>
                <w:szCs w:val="15"/>
              </w:rPr>
            </w:pPr>
            <w:r>
              <w:rPr>
                <w:rFonts w:ascii="Times New Roman"/>
                <w:spacing w:val="-1"/>
                <w:sz w:val="15"/>
              </w:rPr>
              <w:t>3,425,468.00</w:t>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6"/>
              <w:ind w:left="335" w:right="0"/>
              <w:jc w:val="left"/>
              <w:rPr>
                <w:rFonts w:ascii="Times New Roman" w:hAnsi="Times New Roman" w:cs="Times New Roman" w:eastAsia="Times New Roman" w:hint="default"/>
                <w:sz w:val="15"/>
                <w:szCs w:val="15"/>
              </w:rPr>
            </w:pPr>
            <w:r>
              <w:rPr>
                <w:rFonts w:ascii="Times New Roman"/>
                <w:sz w:val="15"/>
              </w:rPr>
              <w:t>10</w:t>
            </w:r>
          </w:p>
        </w:tc>
        <w:tc>
          <w:tcPr>
            <w:tcW w:w="12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6"/>
              <w:ind w:right="106"/>
              <w:jc w:val="right"/>
              <w:rPr>
                <w:rFonts w:ascii="Times New Roman" w:hAnsi="Times New Roman" w:cs="Times New Roman" w:eastAsia="Times New Roman" w:hint="default"/>
                <w:sz w:val="15"/>
                <w:szCs w:val="15"/>
              </w:rPr>
            </w:pPr>
            <w:r>
              <w:rPr>
                <w:rFonts w:ascii="Times New Roman"/>
                <w:spacing w:val="-1"/>
                <w:sz w:val="15"/>
              </w:rPr>
              <w:t>342,546.80</w:t>
            </w:r>
          </w:p>
        </w:tc>
      </w:tr>
      <w:tr>
        <w:trPr>
          <w:trHeight w:val="190" w:hRule="exact"/>
        </w:trPr>
        <w:tc>
          <w:tcPr>
            <w:tcW w:w="3286" w:type="dxa"/>
            <w:tcBorders>
              <w:top w:val="nil" w:sz="6" w:space="0" w:color="auto"/>
              <w:left w:val="nil" w:sz="6" w:space="0" w:color="auto"/>
              <w:bottom w:val="nil" w:sz="6" w:space="0" w:color="auto"/>
              <w:right w:val="nil" w:sz="6" w:space="0" w:color="auto"/>
            </w:tcBorders>
          </w:tcPr>
          <w:p>
            <w:pP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15"/>
                <w:szCs w:val="15"/>
              </w:rPr>
            </w:pPr>
            <w:r>
              <w:rPr>
                <w:rFonts w:ascii="宋体" w:hAnsi="宋体" w:cs="宋体" w:eastAsia="宋体" w:hint="default"/>
                <w:sz w:val="15"/>
                <w:szCs w:val="15"/>
              </w:rPr>
              <w:t>北京银行上地支行</w:t>
            </w:r>
          </w:p>
        </w:tc>
        <w:tc>
          <w:tcPr>
            <w:tcW w:w="1250" w:type="dxa"/>
            <w:tcBorders>
              <w:top w:val="nil" w:sz="6" w:space="0" w:color="auto"/>
              <w:left w:val="nil" w:sz="6" w:space="0" w:color="auto"/>
              <w:bottom w:val="nil" w:sz="6" w:space="0" w:color="auto"/>
              <w:right w:val="nil" w:sz="6" w:space="0" w:color="auto"/>
            </w:tcBorders>
          </w:tcPr>
          <w:p>
            <w:pPr/>
          </w:p>
        </w:tc>
        <w:tc>
          <w:tcPr>
            <w:tcW w:w="901" w:type="dxa"/>
            <w:tcBorders>
              <w:top w:val="nil" w:sz="6" w:space="0" w:color="auto"/>
              <w:left w:val="nil" w:sz="6" w:space="0" w:color="auto"/>
              <w:bottom w:val="nil" w:sz="6" w:space="0" w:color="auto"/>
              <w:right w:val="nil" w:sz="6" w:space="0" w:color="auto"/>
            </w:tcBorders>
          </w:tcPr>
          <w:p>
            <w:pPr/>
          </w:p>
        </w:tc>
        <w:tc>
          <w:tcPr>
            <w:tcW w:w="1203" w:type="dxa"/>
            <w:tcBorders>
              <w:top w:val="nil" w:sz="6" w:space="0" w:color="auto"/>
              <w:left w:val="nil" w:sz="6" w:space="0" w:color="auto"/>
              <w:bottom w:val="nil" w:sz="6" w:space="0" w:color="auto"/>
              <w:right w:val="nil" w:sz="6" w:space="0" w:color="auto"/>
            </w:tcBorders>
          </w:tcPr>
          <w:p>
            <w:pPr/>
          </w:p>
        </w:tc>
      </w:tr>
      <w:tr>
        <w:trPr>
          <w:trHeight w:val="564" w:hRule="exact"/>
        </w:trPr>
        <w:tc>
          <w:tcPr>
            <w:tcW w:w="3286" w:type="dxa"/>
            <w:tcBorders>
              <w:top w:val="nil" w:sz="6" w:space="0" w:color="auto"/>
              <w:left w:val="nil" w:sz="6" w:space="0" w:color="auto"/>
              <w:bottom w:val="nil" w:sz="6" w:space="0" w:color="auto"/>
              <w:right w:val="nil" w:sz="6" w:space="0" w:color="auto"/>
            </w:tcBorders>
          </w:tcPr>
          <w:p>
            <w:pPr>
              <w:pStyle w:val="TableParagraph"/>
              <w:spacing w:line="133" w:lineRule="exact"/>
              <w:ind w:left="121" w:right="0"/>
              <w:jc w:val="left"/>
              <w:rPr>
                <w:rFonts w:ascii="宋体" w:hAnsi="宋体" w:cs="宋体" w:eastAsia="宋体" w:hint="default"/>
                <w:sz w:val="15"/>
                <w:szCs w:val="15"/>
              </w:rPr>
            </w:pPr>
            <w:r>
              <w:rPr>
                <w:rFonts w:ascii="宋体" w:hAnsi="宋体" w:cs="宋体" w:eastAsia="宋体" w:hint="default"/>
                <w:sz w:val="15"/>
                <w:szCs w:val="15"/>
              </w:rPr>
              <w:t>中国疾病预防控制中心新址信息系统建设项目</w:t>
            </w: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2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IT</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服务运维管理系统集成项目</w:t>
            </w:r>
          </w:p>
        </w:tc>
        <w:tc>
          <w:tcPr>
            <w:tcW w:w="1583" w:type="dxa"/>
            <w:tcBorders>
              <w:top w:val="nil" w:sz="6" w:space="0" w:color="auto"/>
              <w:left w:val="nil" w:sz="6" w:space="0" w:color="auto"/>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110"/>
              <w:jc w:val="right"/>
              <w:rPr>
                <w:rFonts w:ascii="Times New Roman" w:hAnsi="Times New Roman" w:cs="Times New Roman" w:eastAsia="Times New Roman" w:hint="default"/>
                <w:sz w:val="15"/>
                <w:szCs w:val="15"/>
              </w:rPr>
            </w:pPr>
            <w:r>
              <w:rPr>
                <w:rFonts w:ascii="Times New Roman"/>
                <w:spacing w:val="-1"/>
                <w:sz w:val="15"/>
              </w:rPr>
              <w:t>1,860,000.00</w:t>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374" w:right="0"/>
              <w:jc w:val="left"/>
              <w:rPr>
                <w:rFonts w:ascii="Times New Roman" w:hAnsi="Times New Roman" w:cs="Times New Roman" w:eastAsia="Times New Roman" w:hint="default"/>
                <w:sz w:val="15"/>
                <w:szCs w:val="15"/>
              </w:rPr>
            </w:pPr>
            <w:r>
              <w:rPr>
                <w:rFonts w:ascii="Times New Roman"/>
                <w:sz w:val="15"/>
              </w:rPr>
              <w:t>5</w:t>
            </w:r>
          </w:p>
        </w:tc>
        <w:tc>
          <w:tcPr>
            <w:tcW w:w="120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93,000.00</w:t>
            </w:r>
          </w:p>
        </w:tc>
      </w:tr>
      <w:tr>
        <w:trPr>
          <w:trHeight w:val="186" w:hRule="exact"/>
        </w:trPr>
        <w:tc>
          <w:tcPr>
            <w:tcW w:w="3286" w:type="dxa"/>
            <w:tcBorders>
              <w:top w:val="nil" w:sz="6" w:space="0" w:color="auto"/>
              <w:left w:val="nil" w:sz="6" w:space="0" w:color="auto"/>
              <w:bottom w:val="nil" w:sz="6" w:space="0" w:color="auto"/>
              <w:right w:val="nil" w:sz="6" w:space="0" w:color="auto"/>
            </w:tcBorders>
          </w:tcPr>
          <w:p>
            <w:pP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6"/>
              <w:ind w:left="108" w:right="0"/>
              <w:jc w:val="left"/>
              <w:rPr>
                <w:rFonts w:ascii="宋体" w:hAnsi="宋体" w:cs="宋体" w:eastAsia="宋体" w:hint="default"/>
                <w:sz w:val="15"/>
                <w:szCs w:val="15"/>
              </w:rPr>
            </w:pPr>
            <w:r>
              <w:rPr>
                <w:rFonts w:ascii="宋体" w:hAnsi="宋体" w:cs="宋体" w:eastAsia="宋体" w:hint="default"/>
                <w:sz w:val="15"/>
                <w:szCs w:val="15"/>
              </w:rPr>
              <w:t>北京银行上地支行</w:t>
            </w:r>
          </w:p>
        </w:tc>
        <w:tc>
          <w:tcPr>
            <w:tcW w:w="1250" w:type="dxa"/>
            <w:tcBorders>
              <w:top w:val="nil" w:sz="6" w:space="0" w:color="auto"/>
              <w:left w:val="nil" w:sz="6" w:space="0" w:color="auto"/>
              <w:bottom w:val="nil" w:sz="6" w:space="0" w:color="auto"/>
              <w:right w:val="nil" w:sz="6" w:space="0" w:color="auto"/>
            </w:tcBorders>
          </w:tcPr>
          <w:p>
            <w:pPr/>
          </w:p>
        </w:tc>
        <w:tc>
          <w:tcPr>
            <w:tcW w:w="901" w:type="dxa"/>
            <w:tcBorders>
              <w:top w:val="nil" w:sz="6" w:space="0" w:color="auto"/>
              <w:left w:val="nil" w:sz="6" w:space="0" w:color="auto"/>
              <w:bottom w:val="nil" w:sz="6" w:space="0" w:color="auto"/>
              <w:right w:val="nil" w:sz="6" w:space="0" w:color="auto"/>
            </w:tcBorders>
          </w:tcPr>
          <w:p>
            <w:pPr/>
          </w:p>
        </w:tc>
        <w:tc>
          <w:tcPr>
            <w:tcW w:w="1203" w:type="dxa"/>
            <w:tcBorders>
              <w:top w:val="nil" w:sz="6" w:space="0" w:color="auto"/>
              <w:left w:val="nil" w:sz="6" w:space="0" w:color="auto"/>
              <w:bottom w:val="nil" w:sz="6" w:space="0" w:color="auto"/>
              <w:right w:val="nil" w:sz="6" w:space="0" w:color="auto"/>
            </w:tcBorders>
          </w:tcPr>
          <w:p>
            <w:pPr/>
          </w:p>
        </w:tc>
      </w:tr>
      <w:tr>
        <w:trPr>
          <w:trHeight w:val="560" w:hRule="exact"/>
        </w:trPr>
        <w:tc>
          <w:tcPr>
            <w:tcW w:w="3286" w:type="dxa"/>
            <w:tcBorders>
              <w:top w:val="nil" w:sz="6" w:space="0" w:color="auto"/>
              <w:left w:val="nil" w:sz="6" w:space="0" w:color="auto"/>
              <w:bottom w:val="nil" w:sz="6" w:space="0" w:color="auto"/>
              <w:right w:val="nil" w:sz="6" w:space="0" w:color="auto"/>
            </w:tcBorders>
          </w:tcPr>
          <w:p>
            <w:pPr>
              <w:pStyle w:val="TableParagraph"/>
              <w:spacing w:line="145" w:lineRule="exact"/>
              <w:ind w:left="12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2006</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年中国网通数据中心二期工程采购项目安</w:t>
            </w: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121" w:right="0"/>
              <w:jc w:val="left"/>
              <w:rPr>
                <w:rFonts w:ascii="宋体" w:hAnsi="宋体" w:cs="宋体" w:eastAsia="宋体" w:hint="default"/>
                <w:sz w:val="15"/>
                <w:szCs w:val="15"/>
              </w:rPr>
            </w:pPr>
            <w:r>
              <w:rPr>
                <w:rFonts w:ascii="宋体" w:hAnsi="宋体" w:cs="宋体" w:eastAsia="宋体" w:hint="default"/>
                <w:sz w:val="15"/>
                <w:szCs w:val="15"/>
              </w:rPr>
              <w:t>全与网管监控部分设备采购合同</w:t>
            </w:r>
          </w:p>
        </w:tc>
        <w:tc>
          <w:tcPr>
            <w:tcW w:w="1583" w:type="dxa"/>
            <w:tcBorders>
              <w:top w:val="nil" w:sz="6" w:space="0" w:color="auto"/>
              <w:left w:val="nil" w:sz="6" w:space="0" w:color="auto"/>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110"/>
              <w:jc w:val="right"/>
              <w:rPr>
                <w:rFonts w:ascii="Times New Roman" w:hAnsi="Times New Roman" w:cs="Times New Roman" w:eastAsia="Times New Roman" w:hint="default"/>
                <w:sz w:val="15"/>
                <w:szCs w:val="15"/>
              </w:rPr>
            </w:pPr>
            <w:r>
              <w:rPr>
                <w:rFonts w:ascii="Times New Roman"/>
                <w:spacing w:val="-1"/>
                <w:sz w:val="15"/>
              </w:rPr>
              <w:t>187,802.00</w:t>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335" w:right="0"/>
              <w:jc w:val="left"/>
              <w:rPr>
                <w:rFonts w:ascii="Times New Roman" w:hAnsi="Times New Roman" w:cs="Times New Roman" w:eastAsia="Times New Roman" w:hint="default"/>
                <w:sz w:val="15"/>
                <w:szCs w:val="15"/>
              </w:rPr>
            </w:pPr>
            <w:r>
              <w:rPr>
                <w:rFonts w:ascii="Times New Roman"/>
                <w:sz w:val="15"/>
              </w:rPr>
              <w:t>10</w:t>
            </w:r>
          </w:p>
        </w:tc>
        <w:tc>
          <w:tcPr>
            <w:tcW w:w="120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18,780.20</w:t>
            </w:r>
          </w:p>
        </w:tc>
      </w:tr>
      <w:tr>
        <w:trPr>
          <w:trHeight w:val="190" w:hRule="exact"/>
        </w:trPr>
        <w:tc>
          <w:tcPr>
            <w:tcW w:w="3286" w:type="dxa"/>
            <w:tcBorders>
              <w:top w:val="nil" w:sz="6" w:space="0" w:color="auto"/>
              <w:left w:val="nil" w:sz="6" w:space="0" w:color="auto"/>
              <w:bottom w:val="nil" w:sz="6" w:space="0" w:color="auto"/>
              <w:right w:val="nil" w:sz="6" w:space="0" w:color="auto"/>
            </w:tcBorders>
          </w:tcPr>
          <w:p>
            <w:pP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15"/>
                <w:szCs w:val="15"/>
              </w:rPr>
            </w:pPr>
            <w:r>
              <w:rPr>
                <w:rFonts w:ascii="宋体" w:hAnsi="宋体" w:cs="宋体" w:eastAsia="宋体" w:hint="default"/>
                <w:sz w:val="15"/>
                <w:szCs w:val="15"/>
              </w:rPr>
              <w:t>北京银行上地支行</w:t>
            </w:r>
          </w:p>
        </w:tc>
        <w:tc>
          <w:tcPr>
            <w:tcW w:w="1250" w:type="dxa"/>
            <w:tcBorders>
              <w:top w:val="nil" w:sz="6" w:space="0" w:color="auto"/>
              <w:left w:val="nil" w:sz="6" w:space="0" w:color="auto"/>
              <w:bottom w:val="nil" w:sz="6" w:space="0" w:color="auto"/>
              <w:right w:val="nil" w:sz="6" w:space="0" w:color="auto"/>
            </w:tcBorders>
          </w:tcPr>
          <w:p>
            <w:pPr/>
          </w:p>
        </w:tc>
        <w:tc>
          <w:tcPr>
            <w:tcW w:w="901" w:type="dxa"/>
            <w:tcBorders>
              <w:top w:val="nil" w:sz="6" w:space="0" w:color="auto"/>
              <w:left w:val="nil" w:sz="6" w:space="0" w:color="auto"/>
              <w:bottom w:val="nil" w:sz="6" w:space="0" w:color="auto"/>
              <w:right w:val="nil" w:sz="6" w:space="0" w:color="auto"/>
            </w:tcBorders>
          </w:tcPr>
          <w:p>
            <w:pPr/>
          </w:p>
        </w:tc>
        <w:tc>
          <w:tcPr>
            <w:tcW w:w="1203" w:type="dxa"/>
            <w:tcBorders>
              <w:top w:val="nil" w:sz="6" w:space="0" w:color="auto"/>
              <w:left w:val="nil" w:sz="6" w:space="0" w:color="auto"/>
              <w:bottom w:val="nil" w:sz="6" w:space="0" w:color="auto"/>
              <w:right w:val="nil" w:sz="6" w:space="0" w:color="auto"/>
            </w:tcBorders>
          </w:tcPr>
          <w:p>
            <w:pPr/>
          </w:p>
        </w:tc>
      </w:tr>
      <w:tr>
        <w:trPr>
          <w:trHeight w:val="622" w:hRule="exact"/>
        </w:trPr>
        <w:tc>
          <w:tcPr>
            <w:tcW w:w="3286" w:type="dxa"/>
            <w:tcBorders>
              <w:top w:val="nil" w:sz="6" w:space="0" w:color="auto"/>
              <w:left w:val="nil" w:sz="6" w:space="0" w:color="auto"/>
              <w:bottom w:val="nil" w:sz="6" w:space="0" w:color="auto"/>
              <w:right w:val="nil" w:sz="6" w:space="0" w:color="auto"/>
            </w:tcBorders>
          </w:tcPr>
          <w:p>
            <w:pPr>
              <w:pStyle w:val="TableParagraph"/>
              <w:spacing w:line="145" w:lineRule="exact"/>
              <w:ind w:left="12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2006</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年中国网通数据中心二期工程网管与监控</w:t>
            </w: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121" w:right="0"/>
              <w:jc w:val="left"/>
              <w:rPr>
                <w:rFonts w:ascii="宋体" w:hAnsi="宋体" w:cs="宋体" w:eastAsia="宋体" w:hint="default"/>
                <w:sz w:val="15"/>
                <w:szCs w:val="15"/>
              </w:rPr>
            </w:pPr>
            <w:r>
              <w:rPr>
                <w:rFonts w:ascii="宋体" w:hAnsi="宋体" w:cs="宋体" w:eastAsia="宋体" w:hint="default"/>
                <w:sz w:val="15"/>
                <w:szCs w:val="15"/>
              </w:rPr>
              <w:t>部分总部</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EDC</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运维管理平台</w:t>
            </w:r>
          </w:p>
        </w:tc>
        <w:tc>
          <w:tcPr>
            <w:tcW w:w="1583" w:type="dxa"/>
            <w:tcBorders>
              <w:top w:val="nil" w:sz="6" w:space="0" w:color="auto"/>
              <w:left w:val="nil" w:sz="6" w:space="0" w:color="auto"/>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110"/>
              <w:jc w:val="right"/>
              <w:rPr>
                <w:rFonts w:ascii="Times New Roman" w:hAnsi="Times New Roman" w:cs="Times New Roman" w:eastAsia="Times New Roman" w:hint="default"/>
                <w:sz w:val="15"/>
                <w:szCs w:val="15"/>
              </w:rPr>
            </w:pPr>
            <w:r>
              <w:rPr>
                <w:rFonts w:ascii="Times New Roman"/>
                <w:spacing w:val="-1"/>
                <w:sz w:val="15"/>
              </w:rPr>
              <w:t>826,840.00</w:t>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335" w:right="0"/>
              <w:jc w:val="left"/>
              <w:rPr>
                <w:rFonts w:ascii="Times New Roman" w:hAnsi="Times New Roman" w:cs="Times New Roman" w:eastAsia="Times New Roman" w:hint="default"/>
                <w:sz w:val="15"/>
                <w:szCs w:val="15"/>
              </w:rPr>
            </w:pPr>
            <w:r>
              <w:rPr>
                <w:rFonts w:ascii="Times New Roman"/>
                <w:sz w:val="15"/>
              </w:rPr>
              <w:t>10</w:t>
            </w:r>
          </w:p>
        </w:tc>
        <w:tc>
          <w:tcPr>
            <w:tcW w:w="120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82,684.00</w:t>
            </w:r>
          </w:p>
        </w:tc>
      </w:tr>
      <w:tr>
        <w:trPr>
          <w:trHeight w:val="299" w:hRule="exact"/>
        </w:trPr>
        <w:tc>
          <w:tcPr>
            <w:tcW w:w="3286" w:type="dxa"/>
            <w:tcBorders>
              <w:top w:val="nil" w:sz="6" w:space="0" w:color="auto"/>
              <w:left w:val="nil" w:sz="6" w:space="0" w:color="auto"/>
              <w:bottom w:val="single" w:sz="12" w:space="0" w:color="000000"/>
              <w:right w:val="nil" w:sz="6" w:space="0" w:color="auto"/>
            </w:tcBorders>
          </w:tcPr>
          <w:p>
            <w:pPr>
              <w:pStyle w:val="TableParagraph"/>
              <w:tabs>
                <w:tab w:pos="461" w:val="left" w:leader="none"/>
              </w:tabs>
              <w:spacing w:line="240" w:lineRule="auto" w:before="65"/>
              <w:ind w:left="11" w:right="0"/>
              <w:jc w:val="center"/>
              <w:rPr>
                <w:rFonts w:ascii="宋体" w:hAnsi="宋体" w:cs="宋体" w:eastAsia="宋体" w:hint="default"/>
                <w:sz w:val="15"/>
                <w:szCs w:val="15"/>
              </w:rPr>
            </w:pPr>
            <w:r>
              <w:rPr>
                <w:rFonts w:ascii="宋体" w:hAnsi="宋体" w:cs="宋体" w:eastAsia="宋体" w:hint="default"/>
                <w:sz w:val="15"/>
                <w:szCs w:val="15"/>
              </w:rPr>
              <w:t>合</w:t>
              <w:tab/>
              <w:t>计</w:t>
            </w:r>
          </w:p>
        </w:tc>
        <w:tc>
          <w:tcPr>
            <w:tcW w:w="1583" w:type="dxa"/>
            <w:tcBorders>
              <w:top w:val="nil" w:sz="6" w:space="0" w:color="auto"/>
              <w:left w:val="nil" w:sz="6" w:space="0" w:color="auto"/>
              <w:bottom w:val="single" w:sz="12" w:space="0" w:color="000000"/>
              <w:right w:val="nil" w:sz="6" w:space="0" w:color="auto"/>
            </w:tcBorders>
          </w:tcPr>
          <w:p>
            <w:pPr/>
          </w:p>
        </w:tc>
        <w:tc>
          <w:tcPr>
            <w:tcW w:w="1250" w:type="dxa"/>
            <w:tcBorders>
              <w:top w:val="nil" w:sz="6" w:space="0" w:color="auto"/>
              <w:left w:val="nil" w:sz="6" w:space="0" w:color="auto"/>
              <w:bottom w:val="single" w:sz="12" w:space="0" w:color="000000"/>
              <w:right w:val="nil" w:sz="6" w:space="0" w:color="auto"/>
            </w:tcBorders>
          </w:tcPr>
          <w:p>
            <w:pPr/>
          </w:p>
        </w:tc>
        <w:tc>
          <w:tcPr>
            <w:tcW w:w="901" w:type="dxa"/>
            <w:tcBorders>
              <w:top w:val="nil" w:sz="6" w:space="0" w:color="auto"/>
              <w:left w:val="nil" w:sz="6" w:space="0" w:color="auto"/>
              <w:bottom w:val="single" w:sz="12" w:space="0" w:color="000000"/>
              <w:right w:val="nil" w:sz="6" w:space="0" w:color="auto"/>
            </w:tcBorders>
          </w:tcPr>
          <w:p>
            <w:pPr/>
          </w:p>
        </w:tc>
        <w:tc>
          <w:tcPr>
            <w:tcW w:w="1203" w:type="dxa"/>
            <w:tcBorders>
              <w:top w:val="nil" w:sz="6" w:space="0" w:color="auto"/>
              <w:left w:val="nil" w:sz="6" w:space="0" w:color="auto"/>
              <w:bottom w:val="single" w:sz="12" w:space="0" w:color="000000"/>
              <w:right w:val="nil" w:sz="6" w:space="0" w:color="auto"/>
            </w:tcBorders>
          </w:tcPr>
          <w:p>
            <w:pPr>
              <w:pStyle w:val="TableParagraph"/>
              <w:spacing w:line="240" w:lineRule="auto" w:before="108"/>
              <w:ind w:right="106"/>
              <w:jc w:val="right"/>
              <w:rPr>
                <w:rFonts w:ascii="Times New Roman" w:hAnsi="Times New Roman" w:cs="Times New Roman" w:eastAsia="Times New Roman" w:hint="default"/>
                <w:sz w:val="15"/>
                <w:szCs w:val="15"/>
              </w:rPr>
            </w:pPr>
            <w:r>
              <w:rPr>
                <w:rFonts w:ascii="Times New Roman"/>
                <w:spacing w:val="-1"/>
                <w:sz w:val="15"/>
              </w:rPr>
              <w:t>4,023,510.00</w:t>
            </w:r>
          </w:p>
        </w:tc>
      </w:tr>
    </w:tbl>
    <w:p>
      <w:pPr>
        <w:spacing w:after="0" w:line="240" w:lineRule="auto"/>
        <w:jc w:val="right"/>
        <w:rPr>
          <w:rFonts w:ascii="Times New Roman" w:hAnsi="Times New Roman" w:cs="Times New Roman" w:eastAsia="Times New Roman" w:hint="default"/>
          <w:sz w:val="15"/>
          <w:szCs w:val="15"/>
        </w:rPr>
        <w:sectPr>
          <w:pgSz w:w="11910" w:h="16840"/>
          <w:pgMar w:header="851" w:footer="982" w:top="1360" w:bottom="1180" w:left="1660" w:right="114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pStyle w:val="Heading1"/>
        <w:tabs>
          <w:tab w:pos="851" w:val="left" w:leader="none"/>
        </w:tabs>
        <w:spacing w:line="240" w:lineRule="auto"/>
        <w:ind w:left="123" w:right="184"/>
        <w:jc w:val="left"/>
        <w:rPr>
          <w:b w:val="0"/>
          <w:bCs w:val="0"/>
        </w:rPr>
      </w:pPr>
      <w:r>
        <w:rPr>
          <w:w w:val="95"/>
        </w:rPr>
        <w:t>九、</w:t>
        <w:tab/>
      </w:r>
      <w:r>
        <w:rPr/>
        <w:t>资产负债表日后事项</w:t>
      </w:r>
      <w:r>
        <w:rPr>
          <w:b w:val="0"/>
          <w:bCs w:val="0"/>
        </w:rPr>
      </w:r>
    </w:p>
    <w:p>
      <w:pPr>
        <w:spacing w:line="240" w:lineRule="auto" w:before="0"/>
        <w:rPr>
          <w:rFonts w:ascii="宋体" w:hAnsi="宋体" w:cs="宋体" w:eastAsia="宋体" w:hint="default"/>
          <w:b/>
          <w:bCs/>
          <w:sz w:val="24"/>
          <w:szCs w:val="24"/>
        </w:rPr>
      </w:pPr>
    </w:p>
    <w:p>
      <w:pPr>
        <w:pStyle w:val="Heading2"/>
        <w:tabs>
          <w:tab w:pos="851" w:val="left" w:leader="none"/>
        </w:tabs>
        <w:spacing w:line="240" w:lineRule="auto" w:before="185"/>
        <w:ind w:left="123" w:right="184"/>
        <w:jc w:val="left"/>
        <w:rPr>
          <w:b w:val="0"/>
          <w:bCs w:val="0"/>
        </w:rPr>
      </w:pP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资产负债表日后利润分配情况说明</w:t>
      </w:r>
      <w:r>
        <w:rPr>
          <w:b w:val="0"/>
          <w:bCs w:val="0"/>
        </w:rPr>
      </w:r>
    </w:p>
    <w:p>
      <w:pPr>
        <w:pStyle w:val="BodyText"/>
        <w:spacing w:line="304" w:lineRule="auto" w:before="79"/>
        <w:ind w:left="854" w:right="208"/>
        <w:jc w:val="both"/>
        <w:rPr>
          <w:rFonts w:ascii="Times New Roman" w:hAnsi="Times New Roman" w:cs="Times New Roman" w:eastAsia="Times New Roman" w:hint="default"/>
        </w:rPr>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4"/>
        </w:rPr>
        <w:t> </w:t>
      </w:r>
      <w:r>
        <w:rPr/>
        <w:t>年</w:t>
      </w:r>
      <w:r>
        <w:rPr>
          <w:spacing w:val="-50"/>
        </w:rPr>
        <w:t> </w:t>
      </w:r>
      <w:r>
        <w:rPr>
          <w:rFonts w:ascii="Times New Roman" w:hAnsi="Times New Roman" w:cs="Times New Roman" w:eastAsia="Times New Roman" w:hint="default"/>
        </w:rPr>
        <w:t>3</w:t>
      </w:r>
      <w:r>
        <w:rPr>
          <w:rFonts w:ascii="Times New Roman" w:hAnsi="Times New Roman" w:cs="Times New Roman" w:eastAsia="Times New Roman" w:hint="default"/>
          <w:spacing w:val="4"/>
        </w:rPr>
        <w:t> </w:t>
      </w:r>
      <w:r>
        <w:rPr/>
        <w:t>月</w:t>
      </w:r>
      <w:r>
        <w:rPr>
          <w:spacing w:val="-50"/>
        </w:rPr>
        <w:t> </w:t>
      </w:r>
      <w:r>
        <w:rPr>
          <w:rFonts w:ascii="Times New Roman" w:hAnsi="Times New Roman" w:cs="Times New Roman" w:eastAsia="Times New Roman" w:hint="default"/>
        </w:rPr>
        <w:t>15</w:t>
      </w:r>
      <w:r>
        <w:rPr>
          <w:rFonts w:ascii="Times New Roman" w:hAnsi="Times New Roman" w:cs="Times New Roman" w:eastAsia="Times New Roman" w:hint="default"/>
          <w:spacing w:val="4"/>
        </w:rPr>
        <w:t> </w:t>
      </w:r>
      <w:r>
        <w:rPr>
          <w:spacing w:val="-4"/>
        </w:rPr>
        <w:t>日，公司召开第四届十一次董事会，会议审议并通过了《</w:t>
      </w:r>
      <w:r>
        <w:rPr>
          <w:rFonts w:ascii="Times New Roman" w:hAnsi="Times New Roman" w:cs="Times New Roman" w:eastAsia="Times New Roman" w:hint="default"/>
          <w:spacing w:val="-4"/>
        </w:rPr>
        <w:t>2010</w:t>
      </w:r>
      <w:r>
        <w:rPr>
          <w:rFonts w:ascii="Times New Roman" w:hAnsi="Times New Roman" w:cs="Times New Roman" w:eastAsia="Times New Roman" w:hint="default"/>
          <w:spacing w:val="4"/>
        </w:rPr>
        <w:t> </w:t>
      </w:r>
      <w:r>
        <w:rPr/>
        <w:t>年度利润分 </w:t>
      </w:r>
      <w:r>
        <w:rPr>
          <w:spacing w:val="-7"/>
        </w:rPr>
        <w:t>配及资本公积金转增股本预案》，按</w:t>
      </w:r>
      <w:r>
        <w:rPr/>
        <w:t> </w:t>
      </w:r>
      <w:r>
        <w:rPr>
          <w:rFonts w:ascii="Times New Roman" w:hAnsi="Times New Roman" w:cs="Times New Roman" w:eastAsia="Times New Roman" w:hint="default"/>
          <w:spacing w:val="-1"/>
        </w:rPr>
        <w:t>2010</w:t>
      </w:r>
      <w:r>
        <w:rPr>
          <w:rFonts w:ascii="Times New Roman" w:hAnsi="Times New Roman" w:cs="Times New Roman" w:eastAsia="Times New Roman" w:hint="default"/>
        </w:rPr>
        <w:t> </w:t>
      </w:r>
      <w:r>
        <w:rPr>
          <w:spacing w:val="-1"/>
        </w:rPr>
        <w:t>年度母公司实现净利润的</w:t>
      </w:r>
      <w:r>
        <w:rPr>
          <w:spacing w:val="-34"/>
        </w:rPr>
        <w:t> </w:t>
      </w:r>
      <w:r>
        <w:rPr>
          <w:rFonts w:ascii="Times New Roman" w:hAnsi="Times New Roman" w:cs="Times New Roman" w:eastAsia="Times New Roman" w:hint="default"/>
          <w:spacing w:val="-1"/>
        </w:rPr>
        <w:t>10%</w:t>
      </w:r>
      <w:r>
        <w:rPr>
          <w:spacing w:val="-1"/>
        </w:rPr>
        <w:t>提取法定盈余公</w:t>
      </w:r>
      <w:r>
        <w:rPr/>
        <w:t> 积</w:t>
      </w:r>
      <w:r>
        <w:rPr>
          <w:spacing w:val="-58"/>
        </w:rPr>
        <w:t> </w:t>
      </w:r>
      <w:r>
        <w:rPr>
          <w:rFonts w:ascii="Times New Roman" w:hAnsi="Times New Roman" w:cs="Times New Roman" w:eastAsia="Times New Roman" w:hint="default"/>
        </w:rPr>
        <w:t>13,264,866.86</w:t>
      </w:r>
      <w:r>
        <w:rPr>
          <w:rFonts w:ascii="Times New Roman" w:hAnsi="Times New Roman" w:cs="Times New Roman" w:eastAsia="Times New Roman" w:hint="default"/>
          <w:spacing w:val="-5"/>
        </w:rPr>
        <w:t> </w:t>
      </w:r>
      <w:r>
        <w:rPr/>
        <w:t>元后，公司可供股东分配的利润为</w:t>
      </w:r>
      <w:r>
        <w:rPr>
          <w:spacing w:val="-58"/>
        </w:rPr>
        <w:t> </w:t>
      </w:r>
      <w:r>
        <w:rPr>
          <w:rFonts w:ascii="Times New Roman" w:hAnsi="Times New Roman" w:cs="Times New Roman" w:eastAsia="Times New Roman" w:hint="default"/>
        </w:rPr>
        <w:t>214,063,993.08</w:t>
      </w:r>
      <w:r>
        <w:rPr>
          <w:rFonts w:ascii="Times New Roman" w:hAnsi="Times New Roman" w:cs="Times New Roman" w:eastAsia="Times New Roman" w:hint="default"/>
          <w:spacing w:val="-5"/>
        </w:rPr>
        <w:t> </w:t>
      </w:r>
      <w:r>
        <w:rPr>
          <w:spacing w:val="-5"/>
        </w:rPr>
        <w:t>元。以截至</w:t>
      </w:r>
      <w:r>
        <w:rPr>
          <w:spacing w:val="-58"/>
        </w:rPr>
        <w:t> </w:t>
      </w:r>
      <w:r>
        <w:rPr>
          <w:rFonts w:ascii="Times New Roman" w:hAnsi="Times New Roman" w:cs="Times New Roman" w:eastAsia="Times New Roman" w:hint="default"/>
        </w:rPr>
        <w:t>2010</w:t>
      </w:r>
      <w:r>
        <w:rPr>
          <w:rFonts w:ascii="Times New Roman" w:hAnsi="Times New Roman" w:cs="Times New Roman" w:eastAsia="Times New Roman" w:hint="default"/>
          <w:spacing w:val="-5"/>
        </w:rPr>
        <w:t> </w:t>
      </w:r>
      <w:r>
        <w:rPr/>
        <w:t>年</w:t>
      </w:r>
      <w:r>
        <w:rPr>
          <w:spacing w:val="-59"/>
        </w:rPr>
        <w:t> </w:t>
      </w:r>
      <w:r>
        <w:rPr>
          <w:rFonts w:ascii="Times New Roman" w:hAnsi="Times New Roman" w:cs="Times New Roman" w:eastAsia="Times New Roman" w:hint="default"/>
        </w:rPr>
        <w:t>12</w:t>
      </w:r>
    </w:p>
    <w:p>
      <w:pPr>
        <w:pStyle w:val="BodyText"/>
        <w:spacing w:line="240" w:lineRule="auto" w:before="16"/>
        <w:ind w:left="854" w:right="184"/>
        <w:jc w:val="left"/>
      </w:pPr>
      <w:r>
        <w:rPr/>
        <w:t>月</w:t>
      </w:r>
      <w:r>
        <w:rPr>
          <w:spacing w:val="-44"/>
        </w:rPr>
        <w:t> </w:t>
      </w:r>
      <w:r>
        <w:rPr>
          <w:rFonts w:ascii="Times New Roman" w:hAnsi="Times New Roman" w:cs="Times New Roman" w:eastAsia="Times New Roman" w:hint="default"/>
        </w:rPr>
        <w:t>31</w:t>
      </w:r>
      <w:r>
        <w:rPr>
          <w:rFonts w:ascii="Times New Roman" w:hAnsi="Times New Roman" w:cs="Times New Roman" w:eastAsia="Times New Roman" w:hint="default"/>
          <w:spacing w:val="9"/>
        </w:rPr>
        <w:t> </w:t>
      </w:r>
      <w:r>
        <w:rPr/>
        <w:t>日止的总股本</w:t>
      </w:r>
      <w:r>
        <w:rPr>
          <w:spacing w:val="-44"/>
        </w:rPr>
        <w:t> </w:t>
      </w:r>
      <w:r>
        <w:rPr>
          <w:rFonts w:ascii="Times New Roman" w:hAnsi="Times New Roman" w:cs="Times New Roman" w:eastAsia="Times New Roman" w:hint="default"/>
        </w:rPr>
        <w:t>31,600</w:t>
      </w:r>
      <w:r>
        <w:rPr>
          <w:rFonts w:ascii="Times New Roman" w:hAnsi="Times New Roman" w:cs="Times New Roman" w:eastAsia="Times New Roman" w:hint="default"/>
          <w:spacing w:val="9"/>
        </w:rPr>
        <w:t> </w:t>
      </w:r>
      <w:r>
        <w:rPr/>
        <w:t>万股为基数，以未分配利润向全体股东每</w:t>
      </w:r>
      <w:r>
        <w:rPr>
          <w:spacing w:val="-44"/>
        </w:rPr>
        <w:t> </w:t>
      </w:r>
      <w:r>
        <w:rPr>
          <w:rFonts w:ascii="Times New Roman" w:hAnsi="Times New Roman" w:cs="Times New Roman" w:eastAsia="Times New Roman" w:hint="default"/>
        </w:rPr>
        <w:t>10</w:t>
      </w:r>
      <w:r>
        <w:rPr>
          <w:rFonts w:ascii="Times New Roman" w:hAnsi="Times New Roman" w:cs="Times New Roman" w:eastAsia="Times New Roman" w:hint="default"/>
          <w:spacing w:val="9"/>
        </w:rPr>
        <w:t> </w:t>
      </w:r>
      <w:r>
        <w:rPr/>
        <w:t>股派发现金红利</w:t>
      </w:r>
    </w:p>
    <w:p>
      <w:pPr>
        <w:pStyle w:val="BodyText"/>
        <w:spacing w:line="240" w:lineRule="auto" w:before="80"/>
        <w:ind w:left="854" w:right="98"/>
        <w:jc w:val="left"/>
      </w:pPr>
      <w:r>
        <w:rPr>
          <w:rFonts w:ascii="Times New Roman" w:hAnsi="Times New Roman" w:cs="Times New Roman" w:eastAsia="Times New Roman" w:hint="default"/>
        </w:rPr>
        <w:t>3.</w:t>
      </w:r>
      <w:r>
        <w:rPr>
          <w:rFonts w:ascii="Times New Roman" w:hAnsi="Times New Roman" w:cs="Times New Roman" w:eastAsia="Times New Roman" w:hint="default"/>
          <w:spacing w:val="-1"/>
        </w:rPr>
        <w:t>0</w:t>
      </w:r>
      <w:r>
        <w:rPr>
          <w:rFonts w:ascii="Times New Roman" w:hAnsi="Times New Roman" w:cs="Times New Roman" w:eastAsia="Times New Roman" w:hint="default"/>
        </w:rPr>
        <w:t>0 </w:t>
      </w:r>
      <w:r>
        <w:rPr/>
        <w:t>元（</w:t>
      </w:r>
      <w:r>
        <w:rPr>
          <w:spacing w:val="-2"/>
        </w:rPr>
        <w:t>含</w:t>
      </w:r>
      <w:r>
        <w:rPr/>
        <w:t>税</w:t>
      </w:r>
      <w:r>
        <w:rPr>
          <w:spacing w:val="-105"/>
        </w:rPr>
        <w:t>）</w:t>
      </w:r>
      <w:r>
        <w:rPr/>
        <w:t>，共计</w:t>
      </w:r>
      <w:r>
        <w:rPr>
          <w:spacing w:val="-2"/>
        </w:rPr>
        <w:t>派</w:t>
      </w:r>
      <w:r>
        <w:rPr/>
        <w:t>送现金红利</w:t>
      </w:r>
      <w:r>
        <w:rPr>
          <w:spacing w:val="-53"/>
        </w:rPr>
        <w:t> </w:t>
      </w:r>
      <w:r>
        <w:rPr>
          <w:rFonts w:ascii="Times New Roman" w:hAnsi="Times New Roman" w:cs="Times New Roman" w:eastAsia="Times New Roman" w:hint="default"/>
          <w:spacing w:val="-1"/>
        </w:rPr>
        <w:t>9,</w:t>
      </w:r>
      <w:r>
        <w:rPr>
          <w:rFonts w:ascii="Times New Roman" w:hAnsi="Times New Roman" w:cs="Times New Roman" w:eastAsia="Times New Roman" w:hint="default"/>
        </w:rPr>
        <w:t>4</w:t>
      </w:r>
      <w:r>
        <w:rPr>
          <w:rFonts w:ascii="Times New Roman" w:hAnsi="Times New Roman" w:cs="Times New Roman" w:eastAsia="Times New Roman" w:hint="default"/>
          <w:spacing w:val="-1"/>
        </w:rPr>
        <w:t>8</w:t>
      </w:r>
      <w:r>
        <w:rPr>
          <w:rFonts w:ascii="Times New Roman" w:hAnsi="Times New Roman" w:cs="Times New Roman" w:eastAsia="Times New Roman" w:hint="default"/>
        </w:rPr>
        <w:t>0 </w:t>
      </w:r>
      <w:r>
        <w:rPr/>
        <w:t>万元</w:t>
      </w:r>
      <w:r>
        <w:rPr>
          <w:spacing w:val="-2"/>
        </w:rPr>
        <w:t>（</w:t>
      </w:r>
      <w:r>
        <w:rPr/>
        <w:t>含税</w:t>
      </w:r>
      <w:r>
        <w:rPr>
          <w:spacing w:val="-105"/>
        </w:rPr>
        <w:t>）</w:t>
      </w:r>
      <w:r>
        <w:rPr/>
        <w:t>，剩</w:t>
      </w:r>
      <w:r>
        <w:rPr>
          <w:spacing w:val="-2"/>
        </w:rPr>
        <w:t>余</w:t>
      </w:r>
      <w:r>
        <w:rPr/>
        <w:t>未分配利润结转以后年</w:t>
      </w:r>
      <w:r>
        <w:rPr>
          <w:spacing w:val="1"/>
        </w:rPr>
        <w:t>度</w:t>
      </w:r>
      <w:r>
        <w:rPr/>
        <w:t>。</w:t>
      </w:r>
    </w:p>
    <w:p>
      <w:pPr>
        <w:pStyle w:val="BodyText"/>
        <w:spacing w:line="240" w:lineRule="auto" w:before="79"/>
        <w:ind w:left="854" w:right="184"/>
        <w:jc w:val="left"/>
      </w:pPr>
      <w:r>
        <w:rPr>
          <w:spacing w:val="-4"/>
        </w:rPr>
        <w:t>同时，拟以</w:t>
      </w:r>
      <w:r>
        <w:rPr>
          <w:spacing w:val="-57"/>
        </w:rPr>
        <w:t> </w:t>
      </w:r>
      <w:r>
        <w:rPr>
          <w:rFonts w:ascii="Times New Roman" w:hAnsi="Times New Roman" w:cs="Times New Roman" w:eastAsia="Times New Roman" w:hint="default"/>
        </w:rPr>
        <w:t>2010</w:t>
      </w:r>
      <w:r>
        <w:rPr>
          <w:rFonts w:ascii="Times New Roman" w:hAnsi="Times New Roman" w:cs="Times New Roman" w:eastAsia="Times New Roman" w:hint="default"/>
          <w:spacing w:val="-4"/>
        </w:rPr>
        <w:t> </w:t>
      </w:r>
      <w:r>
        <w:rPr/>
        <w:t>年</w:t>
      </w:r>
      <w:r>
        <w:rPr>
          <w:spacing w:val="-58"/>
        </w:rPr>
        <w:t> </w:t>
      </w:r>
      <w:r>
        <w:rPr>
          <w:rFonts w:ascii="Times New Roman" w:hAnsi="Times New Roman" w:cs="Times New Roman" w:eastAsia="Times New Roman" w:hint="default"/>
        </w:rPr>
        <w:t>12</w:t>
      </w:r>
      <w:r>
        <w:rPr>
          <w:rFonts w:ascii="Times New Roman" w:hAnsi="Times New Roman" w:cs="Times New Roman" w:eastAsia="Times New Roman" w:hint="default"/>
          <w:spacing w:val="-5"/>
        </w:rPr>
        <w:t> </w:t>
      </w:r>
      <w:r>
        <w:rPr/>
        <w:t>月</w:t>
      </w:r>
      <w:r>
        <w:rPr>
          <w:spacing w:val="-58"/>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t>日公司总股本</w:t>
      </w:r>
      <w:r>
        <w:rPr>
          <w:spacing w:val="-57"/>
        </w:rPr>
        <w:t> </w:t>
      </w:r>
      <w:r>
        <w:rPr>
          <w:rFonts w:ascii="Times New Roman" w:hAnsi="Times New Roman" w:cs="Times New Roman" w:eastAsia="Times New Roman" w:hint="default"/>
        </w:rPr>
        <w:t>31,600</w:t>
      </w:r>
      <w:r>
        <w:rPr>
          <w:rFonts w:ascii="Times New Roman" w:hAnsi="Times New Roman" w:cs="Times New Roman" w:eastAsia="Times New Roman" w:hint="default"/>
          <w:spacing w:val="-5"/>
        </w:rPr>
        <w:t> </w:t>
      </w:r>
      <w:r>
        <w:rPr/>
        <w:t>万股为基数，以资本公积金向全体股东</w:t>
      </w:r>
    </w:p>
    <w:p>
      <w:pPr>
        <w:pStyle w:val="BodyText"/>
        <w:spacing w:line="240" w:lineRule="auto" w:before="79"/>
        <w:ind w:left="854" w:right="184"/>
        <w:jc w:val="left"/>
      </w:pPr>
      <w:r>
        <w:rPr/>
        <w:t>每</w:t>
      </w:r>
      <w:r>
        <w:rPr>
          <w:spacing w:val="-54"/>
        </w:rPr>
        <w:t> </w:t>
      </w:r>
      <w:r>
        <w:rPr>
          <w:rFonts w:ascii="Times New Roman" w:hAnsi="Times New Roman" w:cs="Times New Roman" w:eastAsia="Times New Roman" w:hint="default"/>
        </w:rPr>
        <w:t>10</w:t>
      </w:r>
      <w:r>
        <w:rPr>
          <w:rFonts w:ascii="Times New Roman" w:hAnsi="Times New Roman" w:cs="Times New Roman" w:eastAsia="Times New Roman" w:hint="default"/>
          <w:spacing w:val="50"/>
        </w:rPr>
        <w:t> </w:t>
      </w:r>
      <w:r>
        <w:rPr/>
        <w:t>股转增</w:t>
      </w:r>
      <w:r>
        <w:rPr>
          <w:spacing w:val="-54"/>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股，合计转增股本</w:t>
      </w:r>
      <w:r>
        <w:rPr>
          <w:spacing w:val="-54"/>
        </w:rPr>
        <w:t> </w:t>
      </w:r>
      <w:r>
        <w:rPr>
          <w:rFonts w:ascii="Times New Roman" w:hAnsi="Times New Roman" w:cs="Times New Roman" w:eastAsia="Times New Roman" w:hint="default"/>
        </w:rPr>
        <w:t>6,320</w:t>
      </w:r>
      <w:r>
        <w:rPr>
          <w:rFonts w:ascii="Times New Roman" w:hAnsi="Times New Roman" w:cs="Times New Roman" w:eastAsia="Times New Roman" w:hint="default"/>
          <w:spacing w:val="-1"/>
        </w:rPr>
        <w:t> </w:t>
      </w:r>
      <w:r>
        <w:rPr/>
        <w:t>万股。</w:t>
      </w:r>
    </w:p>
    <w:p>
      <w:pPr>
        <w:pStyle w:val="BodyText"/>
        <w:spacing w:line="240" w:lineRule="auto" w:before="80"/>
        <w:ind w:left="854" w:right="184"/>
        <w:jc w:val="left"/>
      </w:pPr>
      <w:r>
        <w:rPr/>
        <w:t>上述预案尚需提交公司</w:t>
      </w:r>
      <w:r>
        <w:rPr>
          <w:spacing w:val="-55"/>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年股东大会审议批准。</w:t>
      </w:r>
    </w:p>
    <w:p>
      <w:pPr>
        <w:spacing w:line="240" w:lineRule="auto" w:before="0"/>
        <w:rPr>
          <w:rFonts w:ascii="宋体" w:hAnsi="宋体" w:cs="宋体" w:eastAsia="宋体" w:hint="default"/>
          <w:sz w:val="22"/>
          <w:szCs w:val="22"/>
        </w:rPr>
      </w:pPr>
    </w:p>
    <w:p>
      <w:pPr>
        <w:pStyle w:val="Heading2"/>
        <w:tabs>
          <w:tab w:pos="850" w:val="left" w:leader="none"/>
        </w:tabs>
        <w:spacing w:line="240" w:lineRule="auto" w:before="160"/>
        <w:ind w:left="122" w:right="184"/>
        <w:jc w:val="left"/>
        <w:rPr>
          <w:b w:val="0"/>
          <w:bCs w:val="0"/>
        </w:rPr>
      </w:pP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重大对外投资的情况说明</w:t>
      </w:r>
      <w:r>
        <w:rPr>
          <w:b w:val="0"/>
          <w:bCs w:val="0"/>
        </w:rPr>
      </w:r>
    </w:p>
    <w:p>
      <w:pPr>
        <w:pStyle w:val="BodyText"/>
        <w:spacing w:line="240" w:lineRule="auto" w:before="110"/>
        <w:ind w:left="854" w:right="184"/>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月</w:t>
      </w:r>
      <w:r>
        <w:rPr>
          <w:spacing w:val="-56"/>
        </w:rPr>
        <w:t> </w:t>
      </w:r>
      <w:r>
        <w:rPr>
          <w:rFonts w:ascii="Times New Roman" w:hAnsi="Times New Roman" w:cs="Times New Roman" w:eastAsia="Times New Roman" w:hint="default"/>
        </w:rPr>
        <w:t>9</w:t>
      </w:r>
      <w:r>
        <w:rPr>
          <w:rFonts w:ascii="Times New Roman" w:hAnsi="Times New Roman" w:cs="Times New Roman" w:eastAsia="Times New Roman" w:hint="default"/>
          <w:spacing w:val="-3"/>
        </w:rPr>
        <w:t> </w:t>
      </w:r>
      <w:r>
        <w:rPr/>
        <w:t>日，经公司第四届董事会第九次会议通过如下决议：</w:t>
      </w:r>
    </w:p>
    <w:p>
      <w:pPr>
        <w:pStyle w:val="BodyText"/>
        <w:spacing w:line="304" w:lineRule="auto" w:before="79"/>
        <w:ind w:left="854" w:right="97"/>
        <w:jc w:val="left"/>
      </w:pPr>
      <w:r>
        <w:rPr/>
        <w:t>（</w:t>
      </w:r>
      <w:r>
        <w:rPr>
          <w:rFonts w:ascii="Times New Roman" w:hAnsi="Times New Roman" w:cs="Times New Roman" w:eastAsia="Times New Roman" w:hint="default"/>
        </w:rPr>
        <w:t>1</w:t>
      </w:r>
      <w:r>
        <w:rPr/>
        <w:t>）使用自有资金</w:t>
      </w:r>
      <w:r>
        <w:rPr>
          <w:spacing w:val="-60"/>
        </w:rPr>
        <w:t> </w:t>
      </w:r>
      <w:r>
        <w:rPr>
          <w:rFonts w:ascii="Times New Roman" w:hAnsi="Times New Roman" w:cs="Times New Roman" w:eastAsia="Times New Roman" w:hint="default"/>
        </w:rPr>
        <w:t>20,000</w:t>
      </w:r>
      <w:r>
        <w:rPr>
          <w:rFonts w:ascii="Times New Roman" w:hAnsi="Times New Roman" w:cs="Times New Roman" w:eastAsia="Times New Roman" w:hint="default"/>
          <w:spacing w:val="-6"/>
        </w:rPr>
        <w:t> </w:t>
      </w:r>
      <w:r>
        <w:rPr/>
        <w:t>万元对广东中科白云投资管理有限公司（简称</w:t>
      </w:r>
      <w:r>
        <w:rPr>
          <w:rFonts w:ascii="Times New Roman" w:hAnsi="Times New Roman" w:cs="Times New Roman" w:eastAsia="Times New Roman" w:hint="default"/>
        </w:rPr>
        <w:t>“</w:t>
      </w:r>
      <w:r>
        <w:rPr/>
        <w:t>中科白云</w:t>
      </w:r>
      <w:r>
        <w:rPr>
          <w:rFonts w:ascii="Times New Roman" w:hAnsi="Times New Roman" w:cs="Times New Roman" w:eastAsia="Times New Roman" w:hint="default"/>
        </w:rPr>
        <w:t>”</w:t>
      </w:r>
      <w:r>
        <w:rPr/>
        <w:t>）进</w:t>
      </w:r>
      <w:r>
        <w:rPr>
          <w:spacing w:val="-5"/>
        </w:rPr>
        <w:t> </w:t>
      </w:r>
      <w:r>
        <w:rPr>
          <w:spacing w:val="-3"/>
        </w:rPr>
        <w:t>行增资，占中科白云注册资本的</w:t>
      </w:r>
      <w:r>
        <w:rPr>
          <w:spacing w:val="-46"/>
        </w:rPr>
        <w:t> </w:t>
      </w:r>
      <w:r>
        <w:rPr>
          <w:rFonts w:ascii="Times New Roman" w:hAnsi="Times New Roman" w:cs="Times New Roman" w:eastAsia="Times New Roman" w:hint="default"/>
          <w:spacing w:val="-4"/>
        </w:rPr>
        <w:t>11.1111%</w:t>
      </w:r>
      <w:r>
        <w:rPr>
          <w:spacing w:val="-4"/>
        </w:rPr>
        <w:t>（中科白云增资后的注册资本为</w:t>
      </w:r>
      <w:r>
        <w:rPr>
          <w:spacing w:val="-46"/>
        </w:rPr>
        <w:t> </w:t>
      </w:r>
      <w:r>
        <w:rPr>
          <w:rFonts w:ascii="Times New Roman" w:hAnsi="Times New Roman" w:cs="Times New Roman" w:eastAsia="Times New Roman" w:hint="default"/>
          <w:spacing w:val="-1"/>
        </w:rPr>
        <w:t>180,000</w:t>
      </w:r>
      <w:r>
        <w:rPr>
          <w:rFonts w:ascii="Times New Roman" w:hAnsi="Times New Roman" w:cs="Times New Roman" w:eastAsia="Times New Roman" w:hint="default"/>
          <w:spacing w:val="7"/>
        </w:rPr>
        <w:t> </w:t>
      </w:r>
      <w:r>
        <w:rPr>
          <w:spacing w:val="-27"/>
        </w:rPr>
        <w:t>万元）。</w:t>
      </w:r>
    </w:p>
    <w:p>
      <w:pPr>
        <w:pStyle w:val="BodyText"/>
        <w:spacing w:line="304" w:lineRule="auto" w:before="17"/>
        <w:ind w:left="854" w:right="97"/>
        <w:jc w:val="left"/>
      </w:pPr>
      <w:r>
        <w:rPr/>
        <w:t>（</w:t>
      </w:r>
      <w:r>
        <w:rPr>
          <w:rFonts w:ascii="Times New Roman" w:hAnsi="Times New Roman" w:cs="Times New Roman" w:eastAsia="Times New Roman" w:hint="default"/>
        </w:rPr>
        <w:t>2</w:t>
      </w:r>
      <w:r>
        <w:rPr/>
        <w:t>） 使用自有资金 </w:t>
      </w:r>
      <w:r>
        <w:rPr>
          <w:rFonts w:ascii="Times New Roman" w:hAnsi="Times New Roman" w:cs="Times New Roman" w:eastAsia="Times New Roman" w:hint="default"/>
        </w:rPr>
        <w:t>1,485</w:t>
      </w:r>
      <w:r>
        <w:rPr>
          <w:rFonts w:ascii="Times New Roman" w:hAnsi="Times New Roman" w:cs="Times New Roman" w:eastAsia="Times New Roman" w:hint="default"/>
          <w:spacing w:val="21"/>
        </w:rPr>
        <w:t> </w:t>
      </w:r>
      <w:r>
        <w:rPr/>
        <w:t>万元对事天讯通（北京）信息技术有限公司（以下简称</w:t>
      </w:r>
      <w:r>
        <w:rPr>
          <w:rFonts w:ascii="Times New Roman" w:hAnsi="Times New Roman" w:cs="Times New Roman" w:eastAsia="Times New Roman" w:hint="default"/>
        </w:rPr>
        <w:t>“</w:t>
      </w:r>
      <w:r>
        <w:rPr/>
        <w:t>事天 </w:t>
      </w:r>
      <w:r>
        <w:rPr>
          <w:spacing w:val="-6"/>
        </w:rPr>
        <w:t>讯通</w:t>
      </w:r>
      <w:r>
        <w:rPr>
          <w:rFonts w:ascii="Times New Roman" w:hAnsi="Times New Roman" w:cs="Times New Roman" w:eastAsia="Times New Roman" w:hint="default"/>
          <w:spacing w:val="-6"/>
        </w:rPr>
        <w:t>”</w:t>
      </w:r>
      <w:r>
        <w:rPr>
          <w:spacing w:val="-6"/>
        </w:rPr>
        <w:t>）进行增资，占事天讯通注册资本的</w:t>
      </w:r>
      <w:r>
        <w:rPr>
          <w:spacing w:val="-50"/>
        </w:rPr>
        <w:t> </w:t>
      </w:r>
      <w:r>
        <w:rPr>
          <w:rFonts w:ascii="Times New Roman" w:hAnsi="Times New Roman" w:cs="Times New Roman" w:eastAsia="Times New Roman" w:hint="default"/>
          <w:spacing w:val="-6"/>
        </w:rPr>
        <w:t>18.94%</w:t>
      </w:r>
      <w:r>
        <w:rPr>
          <w:spacing w:val="-6"/>
        </w:rPr>
        <w:t>（其中</w:t>
      </w:r>
      <w:r>
        <w:rPr>
          <w:spacing w:val="-50"/>
        </w:rPr>
        <w:t> </w:t>
      </w:r>
      <w:r>
        <w:rPr>
          <w:rFonts w:ascii="Times New Roman" w:hAnsi="Times New Roman" w:cs="Times New Roman" w:eastAsia="Times New Roman" w:hint="default"/>
        </w:rPr>
        <w:t>275</w:t>
      </w:r>
      <w:r>
        <w:rPr>
          <w:rFonts w:ascii="Times New Roman" w:hAnsi="Times New Roman" w:cs="Times New Roman" w:eastAsia="Times New Roman" w:hint="default"/>
          <w:spacing w:val="3"/>
        </w:rPr>
        <w:t> </w:t>
      </w:r>
      <w:r>
        <w:rPr/>
        <w:t>万元作为增资后的注册资本， </w:t>
      </w:r>
      <w:r>
        <w:rPr>
          <w:spacing w:val="-7"/>
        </w:rPr>
        <w:t>其余计入事天讯通的资本公积金）。</w:t>
      </w:r>
    </w:p>
    <w:p>
      <w:pPr>
        <w:pStyle w:val="BodyText"/>
        <w:spacing w:line="304" w:lineRule="auto" w:before="39"/>
        <w:ind w:left="854" w:right="105"/>
        <w:jc w:val="both"/>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1"/>
        </w:rPr>
        <w:t> </w:t>
      </w:r>
      <w:r>
        <w:rPr/>
        <w:t>年</w:t>
      </w:r>
      <w:r>
        <w:rPr>
          <w:spacing w:val="-52"/>
        </w:rPr>
        <w:t> </w:t>
      </w:r>
      <w:r>
        <w:rPr>
          <w:rFonts w:ascii="Times New Roman" w:hAnsi="Times New Roman" w:cs="Times New Roman" w:eastAsia="Times New Roman" w:hint="default"/>
        </w:rPr>
        <w:t>3 </w:t>
      </w:r>
      <w:r>
        <w:rPr/>
        <w:t>月</w:t>
      </w:r>
      <w:r>
        <w:rPr>
          <w:spacing w:val="-52"/>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日，经公司第四届董事会第十次会议决议通过以超募资金</w:t>
      </w:r>
      <w:r>
        <w:rPr>
          <w:spacing w:val="-52"/>
        </w:rPr>
        <w:t> </w:t>
      </w:r>
      <w:r>
        <w:rPr>
          <w:rFonts w:ascii="Times New Roman" w:hAnsi="Times New Roman" w:cs="Times New Roman" w:eastAsia="Times New Roman" w:hint="default"/>
        </w:rPr>
        <w:t>2,050</w:t>
      </w:r>
      <w:r>
        <w:rPr>
          <w:rFonts w:ascii="Times New Roman" w:hAnsi="Times New Roman" w:cs="Times New Roman" w:eastAsia="Times New Roman" w:hint="default"/>
          <w:spacing w:val="1"/>
        </w:rPr>
        <w:t> </w:t>
      </w:r>
      <w:r>
        <w:rPr/>
        <w:t>万元对 奇点新源国际技术开发（北京）有限公司（以下简称</w:t>
      </w:r>
      <w:r>
        <w:rPr>
          <w:rFonts w:ascii="Times New Roman" w:hAnsi="Times New Roman" w:cs="Times New Roman" w:eastAsia="Times New Roman" w:hint="default"/>
        </w:rPr>
        <w:t>“</w:t>
      </w:r>
      <w:r>
        <w:rPr/>
        <w:t>奇点国际</w:t>
      </w:r>
      <w:r>
        <w:rPr>
          <w:rFonts w:ascii="Times New Roman" w:hAnsi="Times New Roman" w:cs="Times New Roman" w:eastAsia="Times New Roman" w:hint="default"/>
        </w:rPr>
        <w:t>”</w:t>
      </w:r>
      <w:r>
        <w:rPr/>
        <w:t>）进行收购及增资，其中 收购款项为</w:t>
      </w:r>
      <w:r>
        <w:rPr>
          <w:spacing w:val="-55"/>
        </w:rPr>
        <w:t> </w:t>
      </w:r>
      <w:r>
        <w:rPr>
          <w:rFonts w:ascii="Times New Roman" w:hAnsi="Times New Roman" w:cs="Times New Roman" w:eastAsia="Times New Roman" w:hint="default"/>
        </w:rPr>
        <w:t>1,450</w:t>
      </w:r>
      <w:r>
        <w:rPr>
          <w:rFonts w:ascii="Times New Roman" w:hAnsi="Times New Roman" w:cs="Times New Roman" w:eastAsia="Times New Roman" w:hint="default"/>
          <w:spacing w:val="-2"/>
        </w:rPr>
        <w:t> </w:t>
      </w:r>
      <w:r>
        <w:rPr>
          <w:spacing w:val="-3"/>
        </w:rPr>
        <w:t>万元，增资款项</w:t>
      </w:r>
      <w:r>
        <w:rPr>
          <w:spacing w:val="-55"/>
        </w:rPr>
        <w:t> </w:t>
      </w:r>
      <w:r>
        <w:rPr>
          <w:rFonts w:ascii="Times New Roman" w:hAnsi="Times New Roman" w:cs="Times New Roman" w:eastAsia="Times New Roman" w:hint="default"/>
        </w:rPr>
        <w:t>600</w:t>
      </w:r>
      <w:r>
        <w:rPr>
          <w:rFonts w:ascii="Times New Roman" w:hAnsi="Times New Roman" w:cs="Times New Roman" w:eastAsia="Times New Roman" w:hint="default"/>
          <w:spacing w:val="-2"/>
        </w:rPr>
        <w:t> </w:t>
      </w:r>
      <w:r>
        <w:rPr/>
        <w:t>万元，同时邵起明对奇点国际增资</w:t>
      </w:r>
      <w:r>
        <w:rPr>
          <w:spacing w:val="-55"/>
        </w:rPr>
        <w:t> </w:t>
      </w:r>
      <w:r>
        <w:rPr>
          <w:rFonts w:ascii="Times New Roman" w:hAnsi="Times New Roman" w:cs="Times New Roman" w:eastAsia="Times New Roman" w:hint="default"/>
        </w:rPr>
        <w:t>200</w:t>
      </w:r>
      <w:r>
        <w:rPr>
          <w:rFonts w:ascii="Times New Roman" w:hAnsi="Times New Roman" w:cs="Times New Roman" w:eastAsia="Times New Roman" w:hint="default"/>
          <w:spacing w:val="-2"/>
        </w:rPr>
        <w:t> </w:t>
      </w:r>
      <w:r>
        <w:rPr>
          <w:spacing w:val="-4"/>
        </w:rPr>
        <w:t>万元。本次</w:t>
      </w:r>
      <w:r>
        <w:rPr/>
        <w:t> </w:t>
      </w:r>
      <w:r>
        <w:rPr>
          <w:spacing w:val="-6"/>
        </w:rPr>
        <w:t>收购及增资完成后，公司占奇点国际注册资本的</w:t>
      </w:r>
      <w:r>
        <w:rPr>
          <w:spacing w:val="-47"/>
        </w:rPr>
        <w:t> </w:t>
      </w:r>
      <w:r>
        <w:rPr>
          <w:rFonts w:ascii="Times New Roman" w:hAnsi="Times New Roman" w:cs="Times New Roman" w:eastAsia="Times New Roman" w:hint="default"/>
          <w:spacing w:val="-7"/>
        </w:rPr>
        <w:t>80%</w:t>
      </w:r>
      <w:r>
        <w:rPr>
          <w:spacing w:val="-7"/>
        </w:rPr>
        <w:t>，邵起明占奇点国际注册资本的</w:t>
      </w:r>
      <w:r>
        <w:rPr>
          <w:spacing w:val="-47"/>
        </w:rPr>
        <w:t> </w:t>
      </w:r>
      <w:r>
        <w:rPr>
          <w:rFonts w:ascii="Times New Roman" w:hAnsi="Times New Roman" w:cs="Times New Roman" w:eastAsia="Times New Roman" w:hint="default"/>
          <w:spacing w:val="-1"/>
        </w:rPr>
        <w:t>20%</w:t>
      </w:r>
      <w:r>
        <w:rPr>
          <w:spacing w:val="-1"/>
        </w:rPr>
        <w:t>。</w:t>
      </w:r>
    </w:p>
    <w:p>
      <w:pPr>
        <w:spacing w:line="240" w:lineRule="auto" w:before="6"/>
        <w:rPr>
          <w:rFonts w:ascii="宋体" w:hAnsi="宋体" w:cs="宋体" w:eastAsia="宋体" w:hint="default"/>
          <w:sz w:val="29"/>
          <w:szCs w:val="29"/>
        </w:rPr>
      </w:pPr>
    </w:p>
    <w:p>
      <w:pPr>
        <w:pStyle w:val="Heading2"/>
        <w:tabs>
          <w:tab w:pos="850" w:val="left" w:leader="none"/>
        </w:tabs>
        <w:spacing w:line="240" w:lineRule="auto"/>
        <w:ind w:left="121" w:right="184"/>
        <w:jc w:val="left"/>
        <w:rPr>
          <w:b w:val="0"/>
          <w:bCs w:val="0"/>
        </w:rPr>
      </w:pPr>
      <w:r>
        <w:rPr>
          <w:rFonts w:ascii="Times New Roman" w:hAnsi="Times New Roman" w:cs="Times New Roman" w:eastAsia="Times New Roman" w:hint="default"/>
          <w:w w:val="95"/>
        </w:rPr>
        <w:t>(</w:t>
      </w:r>
      <w:r>
        <w:rPr>
          <w:w w:val="95"/>
        </w:rPr>
        <w:t>三</w:t>
      </w:r>
      <w:r>
        <w:rPr>
          <w:rFonts w:ascii="Times New Roman" w:hAnsi="Times New Roman" w:cs="Times New Roman" w:eastAsia="Times New Roman" w:hint="default"/>
          <w:w w:val="95"/>
        </w:rPr>
        <w:t>)</w:t>
        <w:tab/>
      </w:r>
      <w:r>
        <w:rPr/>
        <w:t>股权激励计划的进展</w:t>
      </w:r>
      <w:r>
        <w:rPr>
          <w:b w:val="0"/>
          <w:bCs w:val="0"/>
        </w:rPr>
      </w:r>
    </w:p>
    <w:p>
      <w:pPr>
        <w:pStyle w:val="BodyText"/>
        <w:spacing w:line="304" w:lineRule="auto" w:before="80"/>
        <w:ind w:left="853" w:right="200"/>
        <w:jc w:val="left"/>
      </w:pPr>
      <w:r>
        <w:rPr>
          <w:rFonts w:ascii="Times New Roman" w:hAnsi="Times New Roman" w:cs="Times New Roman" w:eastAsia="Times New Roman" w:hint="default"/>
        </w:rPr>
        <w:t>2010</w:t>
      </w:r>
      <w:r>
        <w:rPr>
          <w:rFonts w:ascii="Times New Roman" w:hAnsi="Times New Roman" w:cs="Times New Roman" w:eastAsia="Times New Roman" w:hint="default"/>
          <w:spacing w:val="11"/>
        </w:rPr>
        <w:t> </w:t>
      </w:r>
      <w:r>
        <w:rPr/>
        <w:t>年</w:t>
      </w:r>
      <w:r>
        <w:rPr>
          <w:spacing w:val="-42"/>
        </w:rPr>
        <w:t> </w:t>
      </w:r>
      <w:r>
        <w:rPr>
          <w:rFonts w:ascii="Times New Roman" w:hAnsi="Times New Roman" w:cs="Times New Roman" w:eastAsia="Times New Roman" w:hint="default"/>
        </w:rPr>
        <w:t>8</w:t>
      </w:r>
      <w:r>
        <w:rPr>
          <w:rFonts w:ascii="Times New Roman" w:hAnsi="Times New Roman" w:cs="Times New Roman" w:eastAsia="Times New Roman" w:hint="default"/>
          <w:spacing w:val="13"/>
        </w:rPr>
        <w:t> </w:t>
      </w:r>
      <w:r>
        <w:rPr/>
        <w:t>月</w:t>
      </w:r>
      <w:r>
        <w:rPr>
          <w:spacing w:val="-42"/>
        </w:rPr>
        <w:t> </w:t>
      </w:r>
      <w:r>
        <w:rPr>
          <w:rFonts w:ascii="Times New Roman" w:hAnsi="Times New Roman" w:cs="Times New Roman" w:eastAsia="Times New Roman" w:hint="default"/>
        </w:rPr>
        <w:t>4</w:t>
      </w:r>
      <w:r>
        <w:rPr>
          <w:rFonts w:ascii="Times New Roman" w:hAnsi="Times New Roman" w:cs="Times New Roman" w:eastAsia="Times New Roman" w:hint="default"/>
          <w:spacing w:val="13"/>
        </w:rPr>
        <w:t> </w:t>
      </w:r>
      <w:r>
        <w:rPr/>
        <w:t>日，经公司第四届董事会第九次会议审议通过《关于公司股票期权激励计 </w:t>
      </w:r>
      <w:r>
        <w:rPr>
          <w:spacing w:val="-6"/>
        </w:rPr>
        <w:t>划（草案）的议案》，拟向激励对象授予</w:t>
      </w:r>
      <w:r>
        <w:rPr>
          <w:spacing w:val="-53"/>
        </w:rPr>
        <w:t> </w:t>
      </w:r>
      <w:r>
        <w:rPr>
          <w:rFonts w:ascii="Times New Roman" w:hAnsi="Times New Roman" w:cs="Times New Roman" w:eastAsia="Times New Roman" w:hint="default"/>
          <w:spacing w:val="-1"/>
        </w:rPr>
        <w:t>450</w:t>
      </w:r>
      <w:r>
        <w:rPr>
          <w:rFonts w:ascii="Times New Roman" w:hAnsi="Times New Roman" w:cs="Times New Roman" w:eastAsia="Times New Roman" w:hint="default"/>
        </w:rPr>
        <w:t> </w:t>
      </w:r>
      <w:r>
        <w:rPr>
          <w:spacing w:val="-1"/>
        </w:rPr>
        <w:t>万份股票期权（其中预留</w:t>
      </w:r>
      <w:r>
        <w:rPr>
          <w:spacing w:val="-53"/>
        </w:rPr>
        <w:t> </w:t>
      </w:r>
      <w:r>
        <w:rPr>
          <w:rFonts w:ascii="Times New Roman" w:hAnsi="Times New Roman" w:cs="Times New Roman" w:eastAsia="Times New Roman" w:hint="default"/>
          <w:spacing w:val="-22"/>
        </w:rPr>
        <w:t>10%</w:t>
      </w:r>
      <w:r>
        <w:rPr>
          <w:spacing w:val="-22"/>
        </w:rPr>
        <w:t>）。</w:t>
      </w:r>
      <w:r>
        <w:rPr>
          <w:spacing w:val="-92"/>
        </w:rPr>
        <w:t> </w:t>
      </w:r>
      <w:r>
        <w:rPr>
          <w:spacing w:val="-92"/>
        </w:rPr>
      </w:r>
      <w:r>
        <w:rPr/>
        <w:t>近日，该事项已通过中国证监会的备案审核，公司将按有关规定履行后续相关程序。</w:t>
      </w:r>
    </w:p>
    <w:p>
      <w:pPr>
        <w:spacing w:line="240" w:lineRule="auto" w:before="0"/>
        <w:rPr>
          <w:rFonts w:ascii="宋体" w:hAnsi="宋体" w:cs="宋体" w:eastAsia="宋体" w:hint="default"/>
          <w:sz w:val="20"/>
          <w:szCs w:val="20"/>
        </w:rPr>
      </w:pPr>
    </w:p>
    <w:p>
      <w:pPr>
        <w:pStyle w:val="Heading1"/>
        <w:tabs>
          <w:tab w:pos="851" w:val="left" w:leader="none"/>
        </w:tabs>
        <w:spacing w:line="240" w:lineRule="auto" w:before="163"/>
        <w:ind w:left="123" w:right="184"/>
        <w:jc w:val="left"/>
        <w:rPr>
          <w:b w:val="0"/>
          <w:bCs w:val="0"/>
        </w:rPr>
      </w:pPr>
      <w:r>
        <w:rPr>
          <w:w w:val="95"/>
        </w:rPr>
        <w:t>十、</w:t>
        <w:tab/>
      </w:r>
      <w:r>
        <w:rPr/>
        <w:t>其他重要事项说明</w:t>
      </w:r>
      <w:r>
        <w:rPr>
          <w:b w:val="0"/>
          <w:bCs w:val="0"/>
        </w:rPr>
      </w:r>
    </w:p>
    <w:p>
      <w:pPr>
        <w:pStyle w:val="BodyText"/>
        <w:spacing w:line="240" w:lineRule="auto" w:before="129"/>
        <w:ind w:left="846" w:right="184"/>
        <w:jc w:val="left"/>
      </w:pPr>
      <w:r>
        <w:rPr/>
        <w:t>公司无其他需要说明的重要事项。</w:t>
      </w:r>
    </w:p>
    <w:p>
      <w:pPr>
        <w:spacing w:after="0" w:line="240" w:lineRule="auto"/>
        <w:jc w:val="left"/>
        <w:sectPr>
          <w:pgSz w:w="11910" w:h="16840"/>
          <w:pgMar w:header="851" w:footer="982" w:top="1360" w:bottom="1180" w:left="1660" w:right="108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pStyle w:val="Heading1"/>
        <w:spacing w:line="240" w:lineRule="auto"/>
        <w:ind w:left="123" w:right="3579"/>
        <w:jc w:val="left"/>
        <w:rPr>
          <w:b w:val="0"/>
          <w:bCs w:val="0"/>
        </w:rPr>
      </w:pPr>
      <w:r>
        <w:rPr/>
        <w:t>十一、母公司财务报表主要项目注释</w:t>
      </w:r>
      <w:r>
        <w:rPr>
          <w:b w:val="0"/>
          <w:bCs w:val="0"/>
        </w:rPr>
      </w:r>
    </w:p>
    <w:p>
      <w:pPr>
        <w:pStyle w:val="Heading2"/>
        <w:tabs>
          <w:tab w:pos="851" w:val="left" w:leader="none"/>
        </w:tabs>
        <w:spacing w:line="240" w:lineRule="auto" w:before="130"/>
        <w:ind w:left="123" w:right="3579"/>
        <w:jc w:val="left"/>
        <w:rPr>
          <w:b w:val="0"/>
          <w:bCs w:val="0"/>
        </w:rPr>
      </w:pP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spacing w:val="1"/>
        </w:rPr>
        <w:t>应收账款</w:t>
      </w:r>
      <w:r>
        <w:rPr>
          <w:b w:val="0"/>
          <w:bCs w:val="0"/>
        </w:rPr>
      </w:r>
    </w:p>
    <w:p>
      <w:pPr>
        <w:tabs>
          <w:tab w:pos="538" w:val="left" w:leader="none"/>
        </w:tabs>
        <w:spacing w:before="109"/>
        <w:ind w:left="0" w:right="5135" w:firstLine="0"/>
        <w:jc w:val="center"/>
        <w:rPr>
          <w:rFonts w:ascii="宋体" w:hAnsi="宋体" w:cs="宋体" w:eastAsia="宋体" w:hint="default"/>
          <w:sz w:val="21"/>
          <w:szCs w:val="21"/>
        </w:rPr>
      </w:pPr>
      <w:r>
        <w:rPr/>
        <w:pict>
          <v:group style="position:absolute;margin-left:146.009995pt;margin-top:40.807953pt;width:395.8pt;height:287.850pt;mso-position-horizontal-relative:page;mso-position-vertical-relative:paragraph;z-index:-706072" coordorigin="2920,816" coordsize="7916,5757">
            <v:group style="position:absolute;left:2957;top:831;width:7857;height:2" coordorigin="2957,831" coordsize="7857,2">
              <v:shape style="position:absolute;left:2957;top:831;width:7857;height:2" coordorigin="2957,831" coordsize="7857,0" path="m2957,831l10813,831e" filled="false" stroked="true" strokeweight="1.5pt" strokecolor="#000000">
                <v:path arrowok="t"/>
              </v:shape>
              <v:shape style="position:absolute;left:4183;top:827;width:3402;height:413" type="#_x0000_t75" stroked="false">
                <v:imagedata r:id="rId286" o:title=""/>
              </v:shape>
              <v:shape style="position:absolute;left:4183;top:1201;width:6650;height:1181" type="#_x0000_t75" stroked="false">
                <v:imagedata r:id="rId287" o:title=""/>
              </v:shape>
            </v:group>
            <v:group style="position:absolute;left:2935;top:6558;width:1268;height:2" coordorigin="2935,6558" coordsize="1268,2">
              <v:shape style="position:absolute;left:2935;top:6558;width:1268;height:2" coordorigin="2935,6558" coordsize="1268,0" path="m2935,6558l4202,6558e" filled="false" stroked="true" strokeweight="1.5pt" strokecolor="#000000">
                <v:path arrowok="t"/>
              </v:shape>
            </v:group>
            <v:group style="position:absolute;left:4202;top:6558;width:1113;height:2" coordorigin="4202,6558" coordsize="1113,2">
              <v:shape style="position:absolute;left:4202;top:6558;width:1113;height:2" coordorigin="4202,6558" coordsize="1113,0" path="m4202,6558l5315,6558e" filled="false" stroked="true" strokeweight="1.5pt" strokecolor="#000000">
                <v:path arrowok="t"/>
              </v:shape>
            </v:group>
            <v:group style="position:absolute;left:5315;top:6558;width:720;height:2" coordorigin="5315,6558" coordsize="720,2">
              <v:shape style="position:absolute;left:5315;top:6558;width:720;height:2" coordorigin="5315,6558" coordsize="720,0" path="m5315,6558l6035,6558e" filled="false" stroked="true" strokeweight="1.5pt" strokecolor="#000000">
                <v:path arrowok="t"/>
              </v:shape>
            </v:group>
            <v:group style="position:absolute;left:6035;top:6558;width:982;height:2" coordorigin="6035,6558" coordsize="982,2">
              <v:shape style="position:absolute;left:6035;top:6558;width:982;height:2" coordorigin="6035,6558" coordsize="982,0" path="m6035,6558l7016,6558e" filled="false" stroked="true" strokeweight="1.5pt" strokecolor="#000000">
                <v:path arrowok="t"/>
              </v:shape>
            </v:group>
            <v:group style="position:absolute;left:7016;top:6558;width:540;height:2" coordorigin="7016,6558" coordsize="540,2">
              <v:shape style="position:absolute;left:7016;top:6558;width:540;height:2" coordorigin="7016,6558" coordsize="540,0" path="m7016,6558l7556,6558e" filled="false" stroked="true" strokeweight="1.5pt" strokecolor="#000000">
                <v:path arrowok="t"/>
              </v:shape>
            </v:group>
            <v:group style="position:absolute;left:7556;top:6558;width:1019;height:2" coordorigin="7556,6558" coordsize="1019,2">
              <v:shape style="position:absolute;left:7556;top:6558;width:1019;height:2" coordorigin="7556,6558" coordsize="1019,0" path="m7556,6558l8575,6558e" filled="false" stroked="true" strokeweight="1.5pt" strokecolor="#000000">
                <v:path arrowok="t"/>
              </v:shape>
            </v:group>
            <v:group style="position:absolute;left:8575;top:6558;width:752;height:2" coordorigin="8575,6558" coordsize="752,2">
              <v:shape style="position:absolute;left:8575;top:6558;width:752;height:2" coordorigin="8575,6558" coordsize="752,0" path="m8575,6558l9326,6558e" filled="false" stroked="true" strokeweight="1.5pt" strokecolor="#000000">
                <v:path arrowok="t"/>
              </v:shape>
            </v:group>
            <v:group style="position:absolute;left:9326;top:6558;width:950;height:2" coordorigin="9326,6558" coordsize="950,2">
              <v:shape style="position:absolute;left:9326;top:6558;width:950;height:2" coordorigin="9326,6558" coordsize="950,0" path="m9326,6558l10276,6558e" filled="false" stroked="true" strokeweight="1.5pt" strokecolor="#000000">
                <v:path arrowok="t"/>
              </v:shape>
              <v:shape style="position:absolute;left:2930;top:2350;width:7902;height:4192" type="#_x0000_t75" stroked="false">
                <v:imagedata r:id="rId288" o:title=""/>
              </v:shape>
            </v:group>
            <v:group style="position:absolute;left:10276;top:6558;width:545;height:2" coordorigin="10276,6558" coordsize="545,2">
              <v:shape style="position:absolute;left:10276;top:6558;width:545;height:2" coordorigin="10276,6558" coordsize="545,0" path="m10276,6558l10820,6558e" filled="false" stroked="true" strokeweight="1.5pt" strokecolor="#000000">
                <v:path arrowok="t"/>
              </v:shape>
              <v:shape style="position:absolute;left:5623;top:968;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期末余额</w:t>
                      </w:r>
                      <w:r>
                        <w:rPr>
                          <w:rFonts w:ascii="宋体" w:hAnsi="宋体" w:cs="宋体" w:eastAsia="宋体" w:hint="default"/>
                          <w:sz w:val="13"/>
                          <w:szCs w:val="13"/>
                        </w:rPr>
                      </w:r>
                    </w:p>
                  </w:txbxContent>
                </v:textbox>
                <w10:wrap type="none"/>
              </v:shape>
              <v:shape style="position:absolute;left:8932;top:968;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年初余额</w:t>
                      </w:r>
                      <w:r>
                        <w:rPr>
                          <w:rFonts w:ascii="宋体" w:hAnsi="宋体" w:cs="宋体" w:eastAsia="宋体" w:hint="default"/>
                          <w:sz w:val="13"/>
                          <w:szCs w:val="13"/>
                        </w:rPr>
                      </w:r>
                    </w:p>
                  </w:txbxContent>
                </v:textbox>
                <w10:wrap type="none"/>
              </v:shape>
              <v:shape style="position:absolute;left:4862;top:1352;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账面余额</w:t>
                      </w:r>
                      <w:r>
                        <w:rPr>
                          <w:rFonts w:ascii="宋体" w:hAnsi="宋体" w:cs="宋体" w:eastAsia="宋体" w:hint="default"/>
                          <w:sz w:val="13"/>
                          <w:szCs w:val="13"/>
                        </w:rPr>
                      </w:r>
                    </w:p>
                  </w:txbxContent>
                </v:textbox>
                <w10:wrap type="none"/>
              </v:shape>
              <v:shape style="position:absolute;left:6541;top:1352;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xbxContent>
                </v:textbox>
                <w10:wrap type="none"/>
              </v:shape>
              <v:shape style="position:absolute;left:8186;top:1352;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账面余额</w:t>
                      </w:r>
                      <w:r>
                        <w:rPr>
                          <w:rFonts w:ascii="宋体" w:hAnsi="宋体" w:cs="宋体" w:eastAsia="宋体" w:hint="default"/>
                          <w:sz w:val="13"/>
                          <w:szCs w:val="13"/>
                        </w:rPr>
                      </w:r>
                    </w:p>
                  </w:txbxContent>
                </v:textbox>
                <w10:wrap type="none"/>
              </v:shape>
              <v:shape style="position:absolute;left:9817;top:1352;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xbxContent>
                </v:textbox>
                <w10:wrap type="none"/>
              </v:shape>
              <v:shape style="position:absolute;left:3449;top:1524;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种类</w:t>
                      </w:r>
                      <w:r>
                        <w:rPr>
                          <w:rFonts w:ascii="宋体" w:hAnsi="宋体" w:cs="宋体" w:eastAsia="宋体" w:hint="default"/>
                          <w:sz w:val="13"/>
                          <w:szCs w:val="13"/>
                        </w:rPr>
                      </w:r>
                    </w:p>
                  </w:txbxContent>
                </v:textbox>
                <w10:wrap type="none"/>
              </v:shape>
              <v:shape style="position:absolute;left:3058;top:2494;width:1041;height:3926"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单项金额重大并单</w:t>
                      </w:r>
                    </w:p>
                    <w:p>
                      <w:pPr>
                        <w:spacing w:line="240" w:lineRule="auto" w:before="8"/>
                        <w:rPr>
                          <w:rFonts w:ascii="宋体" w:hAnsi="宋体" w:cs="宋体" w:eastAsia="宋体" w:hint="default"/>
                          <w:sz w:val="15"/>
                          <w:szCs w:val="15"/>
                        </w:rPr>
                      </w:pPr>
                    </w:p>
                    <w:p>
                      <w:pPr>
                        <w:spacing w:line="535" w:lineRule="auto" w:before="0"/>
                        <w:ind w:left="0" w:right="0" w:firstLine="0"/>
                        <w:jc w:val="left"/>
                        <w:rPr>
                          <w:rFonts w:ascii="宋体" w:hAnsi="宋体" w:cs="宋体" w:eastAsia="宋体" w:hint="default"/>
                          <w:sz w:val="13"/>
                          <w:szCs w:val="13"/>
                        </w:rPr>
                      </w:pPr>
                      <w:r>
                        <w:rPr>
                          <w:rFonts w:ascii="宋体" w:hAnsi="宋体" w:cs="宋体" w:eastAsia="宋体" w:hint="default"/>
                          <w:sz w:val="13"/>
                          <w:szCs w:val="13"/>
                        </w:rPr>
                        <w:t>项计提坏账准备的</w:t>
                      </w:r>
                      <w:r>
                        <w:rPr>
                          <w:rFonts w:ascii="宋体" w:hAnsi="宋体" w:cs="宋体" w:eastAsia="宋体" w:hint="default"/>
                          <w:w w:val="99"/>
                          <w:sz w:val="13"/>
                          <w:szCs w:val="13"/>
                        </w:rPr>
                        <w:t> </w:t>
                      </w:r>
                      <w:r>
                        <w:rPr>
                          <w:rFonts w:ascii="宋体" w:hAnsi="宋体" w:cs="宋体" w:eastAsia="宋体" w:hint="default"/>
                          <w:sz w:val="13"/>
                          <w:szCs w:val="13"/>
                        </w:rPr>
                        <w:t>应收账款</w:t>
                      </w:r>
                      <w:r>
                        <w:rPr>
                          <w:rFonts w:ascii="宋体" w:hAnsi="宋体" w:cs="宋体" w:eastAsia="宋体" w:hint="default"/>
                          <w:w w:val="99"/>
                          <w:sz w:val="13"/>
                          <w:szCs w:val="13"/>
                        </w:rPr>
                        <w:t> </w:t>
                      </w:r>
                      <w:r>
                        <w:rPr>
                          <w:rFonts w:ascii="宋体" w:hAnsi="宋体" w:cs="宋体" w:eastAsia="宋体" w:hint="default"/>
                          <w:sz w:val="13"/>
                          <w:szCs w:val="13"/>
                        </w:rPr>
                        <w:t>按组合计提坏账准</w:t>
                      </w:r>
                      <w:r>
                        <w:rPr>
                          <w:rFonts w:ascii="宋体" w:hAnsi="宋体" w:cs="宋体" w:eastAsia="宋体" w:hint="default"/>
                          <w:w w:val="99"/>
                          <w:sz w:val="13"/>
                          <w:szCs w:val="13"/>
                        </w:rPr>
                        <w:t> </w:t>
                      </w:r>
                      <w:r>
                        <w:rPr>
                          <w:rFonts w:ascii="宋体" w:hAnsi="宋体" w:cs="宋体" w:eastAsia="宋体" w:hint="default"/>
                          <w:sz w:val="13"/>
                          <w:szCs w:val="13"/>
                        </w:rPr>
                        <w:t>备的应收账款</w:t>
                      </w:r>
                      <w:r>
                        <w:rPr>
                          <w:rFonts w:ascii="宋体" w:hAnsi="宋体" w:cs="宋体" w:eastAsia="宋体" w:hint="default"/>
                          <w:w w:val="99"/>
                          <w:sz w:val="13"/>
                          <w:szCs w:val="13"/>
                        </w:rPr>
                        <w:t> </w:t>
                      </w:r>
                      <w:r>
                        <w:rPr>
                          <w:rFonts w:ascii="宋体" w:hAnsi="宋体" w:cs="宋体" w:eastAsia="宋体" w:hint="default"/>
                          <w:sz w:val="13"/>
                          <w:szCs w:val="13"/>
                        </w:rPr>
                        <w:t>账龄分析法</w:t>
                      </w:r>
                      <w:r>
                        <w:rPr>
                          <w:rFonts w:ascii="宋体" w:hAnsi="宋体" w:cs="宋体" w:eastAsia="宋体" w:hint="default"/>
                          <w:w w:val="99"/>
                          <w:sz w:val="13"/>
                          <w:szCs w:val="13"/>
                        </w:rPr>
                        <w:t> </w:t>
                      </w:r>
                      <w:r>
                        <w:rPr>
                          <w:rFonts w:ascii="宋体" w:hAnsi="宋体" w:cs="宋体" w:eastAsia="宋体" w:hint="default"/>
                          <w:sz w:val="13"/>
                          <w:szCs w:val="13"/>
                        </w:rPr>
                        <w:t>组合小计</w:t>
                      </w:r>
                      <w:r>
                        <w:rPr>
                          <w:rFonts w:ascii="宋体" w:hAnsi="宋体" w:cs="宋体" w:eastAsia="宋体" w:hint="default"/>
                          <w:w w:val="99"/>
                          <w:sz w:val="13"/>
                          <w:szCs w:val="13"/>
                        </w:rPr>
                        <w:t> </w:t>
                      </w:r>
                      <w:r>
                        <w:rPr>
                          <w:rFonts w:ascii="宋体" w:hAnsi="宋体" w:cs="宋体" w:eastAsia="宋体" w:hint="default"/>
                          <w:sz w:val="13"/>
                          <w:szCs w:val="13"/>
                        </w:rPr>
                        <w:t>单项金额虽不重大</w:t>
                      </w:r>
                      <w:r>
                        <w:rPr>
                          <w:rFonts w:ascii="宋体" w:hAnsi="宋体" w:cs="宋体" w:eastAsia="宋体" w:hint="default"/>
                          <w:w w:val="99"/>
                          <w:sz w:val="13"/>
                          <w:szCs w:val="13"/>
                        </w:rPr>
                        <w:t> </w:t>
                      </w:r>
                      <w:r>
                        <w:rPr>
                          <w:rFonts w:ascii="宋体" w:hAnsi="宋体" w:cs="宋体" w:eastAsia="宋体" w:hint="default"/>
                          <w:sz w:val="13"/>
                          <w:szCs w:val="13"/>
                        </w:rPr>
                        <w:t>但单项计提坏账准</w:t>
                      </w:r>
                      <w:r>
                        <w:rPr>
                          <w:rFonts w:ascii="宋体" w:hAnsi="宋体" w:cs="宋体" w:eastAsia="宋体" w:hint="default"/>
                          <w:w w:val="99"/>
                          <w:sz w:val="13"/>
                          <w:szCs w:val="13"/>
                        </w:rPr>
                        <w:t> </w:t>
                      </w:r>
                      <w:r>
                        <w:rPr>
                          <w:rFonts w:ascii="宋体" w:hAnsi="宋体" w:cs="宋体" w:eastAsia="宋体" w:hint="default"/>
                          <w:sz w:val="13"/>
                          <w:szCs w:val="13"/>
                        </w:rPr>
                        <w:t>备的应收账款</w:t>
                      </w:r>
                    </w:p>
                    <w:p>
                      <w:pPr>
                        <w:spacing w:before="54"/>
                        <w:ind w:left="1" w:right="0" w:firstLine="0"/>
                        <w:jc w:val="center"/>
                        <w:rPr>
                          <w:rFonts w:ascii="宋体" w:hAnsi="宋体" w:cs="宋体" w:eastAsia="宋体" w:hint="default"/>
                          <w:sz w:val="13"/>
                          <w:szCs w:val="13"/>
                        </w:rPr>
                      </w:pPr>
                      <w:r>
                        <w:rPr>
                          <w:rFonts w:ascii="宋体" w:hAnsi="宋体" w:cs="宋体" w:eastAsia="宋体" w:hint="default"/>
                          <w:sz w:val="13"/>
                          <w:szCs w:val="13"/>
                        </w:rPr>
                        <w:t>合计</w:t>
                      </w:r>
                    </w:p>
                  </w:txbxContent>
                </v:textbox>
                <w10:wrap type="none"/>
              </v:shape>
            </v:group>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应收账款按种类披露</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8"/>
          <w:szCs w:val="18"/>
        </w:rPr>
      </w:pPr>
    </w:p>
    <w:tbl>
      <w:tblPr>
        <w:tblW w:w="0" w:type="auto"/>
        <w:jc w:val="left"/>
        <w:tblInd w:w="2704" w:type="dxa"/>
        <w:tblLayout w:type="fixed"/>
        <w:tblCellMar>
          <w:top w:w="0" w:type="dxa"/>
          <w:left w:w="0" w:type="dxa"/>
          <w:bottom w:w="0" w:type="dxa"/>
          <w:right w:w="0" w:type="dxa"/>
        </w:tblCellMar>
        <w:tblLook w:val="01E0"/>
      </w:tblPr>
      <w:tblGrid>
        <w:gridCol w:w="955"/>
        <w:gridCol w:w="762"/>
        <w:gridCol w:w="940"/>
        <w:gridCol w:w="590"/>
        <w:gridCol w:w="969"/>
        <w:gridCol w:w="809"/>
        <w:gridCol w:w="892"/>
        <w:gridCol w:w="509"/>
      </w:tblGrid>
      <w:tr>
        <w:trPr>
          <w:trHeight w:val="391" w:hRule="exact"/>
        </w:trPr>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57"/>
              <w:jc w:val="center"/>
              <w:rPr>
                <w:rFonts w:ascii="宋体" w:hAnsi="宋体" w:cs="宋体" w:eastAsia="宋体" w:hint="default"/>
                <w:sz w:val="13"/>
                <w:szCs w:val="13"/>
              </w:rPr>
            </w:pPr>
            <w:r>
              <w:rPr>
                <w:rFonts w:ascii="宋体" w:hAnsi="宋体" w:cs="宋体" w:eastAsia="宋体" w:hint="default"/>
                <w:sz w:val="13"/>
                <w:szCs w:val="13"/>
              </w:rPr>
              <w:t>金额</w:t>
            </w:r>
          </w:p>
        </w:tc>
        <w:tc>
          <w:tcPr>
            <w:tcW w:w="76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22" w:right="0"/>
              <w:jc w:val="center"/>
              <w:rPr>
                <w:rFonts w:ascii="宋体" w:hAnsi="宋体" w:cs="宋体" w:eastAsia="宋体" w:hint="default"/>
                <w:sz w:val="13"/>
                <w:szCs w:val="13"/>
              </w:rPr>
            </w:pPr>
            <w:r>
              <w:rPr>
                <w:rFonts w:ascii="宋体" w:hAnsi="宋体" w:cs="宋体" w:eastAsia="宋体" w:hint="default"/>
                <w:w w:val="99"/>
                <w:sz w:val="13"/>
                <w:szCs w:val="13"/>
              </w:rPr>
              <w:t>比</w:t>
            </w:r>
            <w:r>
              <w:rPr>
                <w:rFonts w:ascii="宋体" w:hAnsi="宋体" w:cs="宋体" w:eastAsia="宋体" w:hint="default"/>
                <w:spacing w:val="-59"/>
                <w:w w:val="99"/>
                <w:sz w:val="13"/>
                <w:szCs w:val="13"/>
              </w:rPr>
              <w:t>例</w:t>
            </w:r>
            <w:r>
              <w:rPr>
                <w:rFonts w:ascii="宋体" w:hAnsi="宋体" w:cs="宋体" w:eastAsia="宋体" w:hint="default"/>
                <w:w w:val="99"/>
                <w:sz w:val="13"/>
                <w:szCs w:val="13"/>
              </w:rPr>
              <w:t>（</w:t>
            </w:r>
            <w:r>
              <w:rPr>
                <w:rFonts w:ascii="Times New Roman" w:hAnsi="Times New Roman" w:cs="Times New Roman" w:eastAsia="Times New Roman" w:hint="default"/>
                <w:w w:val="99"/>
                <w:sz w:val="13"/>
                <w:szCs w:val="13"/>
              </w:rPr>
              <w:t>%</w:t>
            </w:r>
            <w:r>
              <w:rPr>
                <w:rFonts w:ascii="宋体" w:hAnsi="宋体" w:cs="宋体" w:eastAsia="宋体" w:hint="default"/>
                <w:w w:val="99"/>
                <w:sz w:val="13"/>
                <w:szCs w:val="13"/>
              </w:rPr>
              <w:t>）</w:t>
            </w:r>
            <w:r>
              <w:rPr>
                <w:rFonts w:ascii="宋体" w:hAnsi="宋体" w:cs="宋体" w:eastAsia="宋体" w:hint="default"/>
                <w:sz w:val="13"/>
                <w:szCs w:val="13"/>
              </w:rPr>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39"/>
              <w:jc w:val="center"/>
              <w:rPr>
                <w:rFonts w:ascii="宋体" w:hAnsi="宋体" w:cs="宋体" w:eastAsia="宋体" w:hint="default"/>
                <w:sz w:val="13"/>
                <w:szCs w:val="13"/>
              </w:rPr>
            </w:pPr>
            <w:r>
              <w:rPr>
                <w:rFonts w:ascii="宋体" w:hAnsi="宋体" w:cs="宋体" w:eastAsia="宋体" w:hint="default"/>
                <w:sz w:val="13"/>
                <w:szCs w:val="13"/>
              </w:rPr>
              <w:t>金额</w:t>
            </w:r>
          </w:p>
        </w:tc>
        <w:tc>
          <w:tcPr>
            <w:tcW w:w="59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89"/>
              <w:jc w:val="righ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c>
        <w:tc>
          <w:tcPr>
            <w:tcW w:w="96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49"/>
              <w:jc w:val="center"/>
              <w:rPr>
                <w:rFonts w:ascii="宋体" w:hAnsi="宋体" w:cs="宋体" w:eastAsia="宋体" w:hint="default"/>
                <w:sz w:val="13"/>
                <w:szCs w:val="13"/>
              </w:rPr>
            </w:pPr>
            <w:r>
              <w:rPr>
                <w:rFonts w:ascii="宋体" w:hAnsi="宋体" w:cs="宋体" w:eastAsia="宋体" w:hint="default"/>
                <w:sz w:val="13"/>
                <w:szCs w:val="13"/>
              </w:rPr>
              <w:t>金额</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07" w:right="0"/>
              <w:jc w:val="left"/>
              <w:rPr>
                <w:rFonts w:ascii="宋体" w:hAnsi="宋体" w:cs="宋体" w:eastAsia="宋体" w:hint="default"/>
                <w:sz w:val="13"/>
                <w:szCs w:val="13"/>
              </w:rPr>
            </w:pPr>
            <w:r>
              <w:rPr>
                <w:rFonts w:ascii="宋体" w:hAnsi="宋体" w:cs="宋体" w:eastAsia="宋体" w:hint="default"/>
                <w:spacing w:val="-6"/>
                <w:sz w:val="13"/>
                <w:szCs w:val="13"/>
              </w:rPr>
              <w:t>比例（</w:t>
            </w:r>
            <w:r>
              <w:rPr>
                <w:rFonts w:ascii="Times New Roman" w:hAnsi="Times New Roman" w:cs="Times New Roman" w:eastAsia="Times New Roman" w:hint="default"/>
                <w:spacing w:val="-6"/>
                <w:sz w:val="13"/>
                <w:szCs w:val="13"/>
              </w:rPr>
              <w:t>%</w:t>
            </w:r>
            <w:r>
              <w:rPr>
                <w:rFonts w:ascii="宋体" w:hAnsi="宋体" w:cs="宋体" w:eastAsia="宋体" w:hint="default"/>
                <w:spacing w:val="-6"/>
                <w:sz w:val="13"/>
                <w:szCs w:val="13"/>
              </w:rPr>
              <w:t>）</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55"/>
              <w:jc w:val="center"/>
              <w:rPr>
                <w:rFonts w:ascii="宋体" w:hAnsi="宋体" w:cs="宋体" w:eastAsia="宋体" w:hint="default"/>
                <w:sz w:val="13"/>
                <w:szCs w:val="13"/>
              </w:rPr>
            </w:pPr>
            <w:r>
              <w:rPr>
                <w:rFonts w:ascii="宋体" w:hAnsi="宋体" w:cs="宋体" w:eastAsia="宋体" w:hint="default"/>
                <w:sz w:val="13"/>
                <w:szCs w:val="13"/>
              </w:rPr>
              <w:t>金额</w:t>
            </w:r>
          </w:p>
        </w:tc>
        <w:tc>
          <w:tcPr>
            <w:tcW w:w="509" w:type="dxa"/>
            <w:tcBorders>
              <w:top w:val="nil" w:sz="6" w:space="0" w:color="auto"/>
              <w:left w:val="nil" w:sz="6" w:space="0" w:color="auto"/>
              <w:bottom w:val="nil" w:sz="6" w:space="0" w:color="auto"/>
              <w:right w:val="nil" w:sz="6" w:space="0" w:color="auto"/>
            </w:tcBorders>
          </w:tcPr>
          <w:p>
            <w:pPr>
              <w:pStyle w:val="TableParagraph"/>
              <w:spacing w:line="240" w:lineRule="auto" w:before="1"/>
              <w:ind w:left="26" w:right="0"/>
              <w:jc w:val="center"/>
              <w:rPr>
                <w:rFonts w:ascii="宋体" w:hAnsi="宋体" w:cs="宋体" w:eastAsia="宋体" w:hint="default"/>
                <w:sz w:val="13"/>
                <w:szCs w:val="13"/>
              </w:rPr>
            </w:pPr>
            <w:r>
              <w:rPr>
                <w:rFonts w:ascii="宋体" w:hAnsi="宋体" w:cs="宋体" w:eastAsia="宋体" w:hint="default"/>
                <w:sz w:val="13"/>
                <w:szCs w:val="13"/>
              </w:rPr>
              <w:t>比例</w:t>
            </w:r>
          </w:p>
        </w:tc>
      </w:tr>
      <w:tr>
        <w:trPr>
          <w:trHeight w:val="1235" w:hRule="exact"/>
        </w:trPr>
        <w:tc>
          <w:tcPr>
            <w:tcW w:w="955" w:type="dxa"/>
            <w:tcBorders>
              <w:top w:val="nil" w:sz="6" w:space="0" w:color="auto"/>
              <w:left w:val="nil" w:sz="6" w:space="0" w:color="auto"/>
              <w:bottom w:val="nil" w:sz="6" w:space="0" w:color="auto"/>
              <w:right w:val="nil" w:sz="6" w:space="0" w:color="auto"/>
            </w:tcBorders>
          </w:tcPr>
          <w:p>
            <w:pPr/>
          </w:p>
        </w:tc>
        <w:tc>
          <w:tcPr>
            <w:tcW w:w="762" w:type="dxa"/>
            <w:tcBorders>
              <w:top w:val="nil" w:sz="6" w:space="0" w:color="auto"/>
              <w:left w:val="nil" w:sz="6" w:space="0" w:color="auto"/>
              <w:bottom w:val="nil" w:sz="6" w:space="0" w:color="auto"/>
              <w:right w:val="nil" w:sz="6" w:space="0" w:color="auto"/>
            </w:tcBorders>
          </w:tcPr>
          <w:p>
            <w:pPr/>
          </w:p>
        </w:tc>
        <w:tc>
          <w:tcPr>
            <w:tcW w:w="940" w:type="dxa"/>
            <w:tcBorders>
              <w:top w:val="nil" w:sz="6" w:space="0" w:color="auto"/>
              <w:left w:val="nil" w:sz="6" w:space="0" w:color="auto"/>
              <w:bottom w:val="nil" w:sz="6" w:space="0" w:color="auto"/>
              <w:right w:val="nil" w:sz="6" w:space="0" w:color="auto"/>
            </w:tcBorders>
          </w:tcPr>
          <w:p>
            <w:pPr/>
          </w:p>
        </w:tc>
        <w:tc>
          <w:tcPr>
            <w:tcW w:w="590" w:type="dxa"/>
            <w:tcBorders>
              <w:top w:val="nil" w:sz="6" w:space="0" w:color="auto"/>
              <w:left w:val="nil" w:sz="6" w:space="0" w:color="auto"/>
              <w:bottom w:val="nil" w:sz="6" w:space="0" w:color="auto"/>
              <w:right w:val="nil" w:sz="6" w:space="0" w:color="auto"/>
            </w:tcBorders>
          </w:tcPr>
          <w:p>
            <w:pPr>
              <w:pStyle w:val="TableParagraph"/>
              <w:spacing w:line="165" w:lineRule="exact"/>
              <w:ind w:right="112"/>
              <w:jc w:val="right"/>
              <w:rPr>
                <w:rFonts w:ascii="宋体" w:hAnsi="宋体" w:cs="宋体" w:eastAsia="宋体" w:hint="default"/>
                <w:sz w:val="13"/>
                <w:szCs w:val="13"/>
              </w:rPr>
            </w:pPr>
            <w:r>
              <w:rPr>
                <w:rFonts w:ascii="宋体" w:hAnsi="宋体" w:cs="宋体" w:eastAsia="宋体" w:hint="default"/>
                <w:w w:val="95"/>
                <w:sz w:val="13"/>
                <w:szCs w:val="13"/>
              </w:rPr>
              <w:t>（</w:t>
            </w:r>
            <w:r>
              <w:rPr>
                <w:rFonts w:ascii="Times New Roman" w:hAnsi="Times New Roman" w:cs="Times New Roman" w:eastAsia="Times New Roman" w:hint="default"/>
                <w:w w:val="95"/>
                <w:sz w:val="13"/>
                <w:szCs w:val="13"/>
              </w:rPr>
              <w:t>%</w:t>
            </w:r>
            <w:r>
              <w:rPr>
                <w:rFonts w:ascii="宋体" w:hAnsi="宋体" w:cs="宋体" w:eastAsia="宋体" w:hint="default"/>
                <w:w w:val="95"/>
                <w:sz w:val="13"/>
                <w:szCs w:val="13"/>
              </w:rPr>
              <w:t>）</w:t>
            </w:r>
            <w:r>
              <w:rPr>
                <w:rFonts w:ascii="宋体" w:hAnsi="宋体" w:cs="宋体" w:eastAsia="宋体" w:hint="default"/>
                <w:sz w:val="13"/>
                <w:szCs w:val="13"/>
              </w:rPr>
            </w:r>
          </w:p>
        </w:tc>
        <w:tc>
          <w:tcPr>
            <w:tcW w:w="969" w:type="dxa"/>
            <w:tcBorders>
              <w:top w:val="nil" w:sz="6" w:space="0" w:color="auto"/>
              <w:left w:val="nil" w:sz="6" w:space="0" w:color="auto"/>
              <w:bottom w:val="nil" w:sz="6" w:space="0" w:color="auto"/>
              <w:right w:val="nil" w:sz="6" w:space="0" w:color="auto"/>
            </w:tcBorders>
          </w:tcPr>
          <w:p>
            <w:pPr/>
          </w:p>
        </w:tc>
        <w:tc>
          <w:tcPr>
            <w:tcW w:w="809" w:type="dxa"/>
            <w:tcBorders>
              <w:top w:val="nil" w:sz="6" w:space="0" w:color="auto"/>
              <w:left w:val="nil" w:sz="6" w:space="0" w:color="auto"/>
              <w:bottom w:val="nil" w:sz="6" w:space="0" w:color="auto"/>
              <w:right w:val="nil" w:sz="6" w:space="0" w:color="auto"/>
            </w:tcBorders>
          </w:tcPr>
          <w:p>
            <w:pPr/>
          </w:p>
        </w:tc>
        <w:tc>
          <w:tcPr>
            <w:tcW w:w="892" w:type="dxa"/>
            <w:tcBorders>
              <w:top w:val="nil" w:sz="6" w:space="0" w:color="auto"/>
              <w:left w:val="nil" w:sz="6" w:space="0" w:color="auto"/>
              <w:bottom w:val="nil" w:sz="6" w:space="0" w:color="auto"/>
              <w:right w:val="nil" w:sz="6" w:space="0" w:color="auto"/>
            </w:tcBorders>
          </w:tcPr>
          <w:p>
            <w:pPr/>
          </w:p>
        </w:tc>
        <w:tc>
          <w:tcPr>
            <w:tcW w:w="509" w:type="dxa"/>
            <w:tcBorders>
              <w:top w:val="nil" w:sz="6" w:space="0" w:color="auto"/>
              <w:left w:val="nil" w:sz="6" w:space="0" w:color="auto"/>
              <w:bottom w:val="nil" w:sz="6" w:space="0" w:color="auto"/>
              <w:right w:val="nil" w:sz="6" w:space="0" w:color="auto"/>
            </w:tcBorders>
          </w:tcPr>
          <w:p>
            <w:pPr>
              <w:pStyle w:val="TableParagraph"/>
              <w:spacing w:line="165" w:lineRule="exact"/>
              <w:ind w:left="72" w:right="0"/>
              <w:jc w:val="center"/>
              <w:rPr>
                <w:rFonts w:ascii="宋体" w:hAnsi="宋体" w:cs="宋体" w:eastAsia="宋体" w:hint="default"/>
                <w:sz w:val="13"/>
                <w:szCs w:val="13"/>
              </w:rPr>
            </w:pPr>
            <w:r>
              <w:rPr>
                <w:rFonts w:ascii="宋体" w:hAnsi="宋体" w:cs="宋体" w:eastAsia="宋体" w:hint="default"/>
                <w:sz w:val="13"/>
                <w:szCs w:val="13"/>
              </w:rPr>
              <w:t>（</w:t>
            </w:r>
            <w:r>
              <w:rPr>
                <w:rFonts w:ascii="Times New Roman" w:hAnsi="Times New Roman" w:cs="Times New Roman" w:eastAsia="Times New Roman" w:hint="default"/>
                <w:sz w:val="13"/>
                <w:szCs w:val="13"/>
              </w:rPr>
              <w:t>%</w:t>
            </w:r>
            <w:r>
              <w:rPr>
                <w:rFonts w:ascii="宋体" w:hAnsi="宋体" w:cs="宋体" w:eastAsia="宋体" w:hint="default"/>
                <w:sz w:val="13"/>
                <w:szCs w:val="13"/>
              </w:rPr>
              <w:t>）</w:t>
            </w:r>
          </w:p>
        </w:tc>
      </w:tr>
      <w:tr>
        <w:trPr>
          <w:trHeight w:val="1331" w:hRule="exact"/>
        </w:trPr>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
              <w:ind w:right="0"/>
              <w:jc w:val="left"/>
              <w:rPr>
                <w:rFonts w:ascii="宋体" w:hAnsi="宋体" w:cs="宋体" w:eastAsia="宋体" w:hint="default"/>
                <w:b/>
                <w:bCs/>
                <w:sz w:val="8"/>
                <w:szCs w:val="8"/>
              </w:rPr>
            </w:pPr>
          </w:p>
          <w:p>
            <w:pPr>
              <w:pStyle w:val="TableParagraph"/>
              <w:spacing w:line="240" w:lineRule="auto"/>
              <w:ind w:right="71"/>
              <w:jc w:val="center"/>
              <w:rPr>
                <w:rFonts w:ascii="Times New Roman" w:hAnsi="Times New Roman" w:cs="Times New Roman" w:eastAsia="Times New Roman" w:hint="default"/>
                <w:sz w:val="13"/>
                <w:szCs w:val="13"/>
              </w:rPr>
            </w:pPr>
            <w:r>
              <w:rPr>
                <w:rFonts w:ascii="Times New Roman"/>
                <w:sz w:val="13"/>
              </w:rPr>
              <w:t>177,788,736.37</w:t>
            </w:r>
          </w:p>
        </w:tc>
        <w:tc>
          <w:tcPr>
            <w:tcW w:w="76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
              <w:ind w:right="0"/>
              <w:jc w:val="left"/>
              <w:rPr>
                <w:rFonts w:ascii="宋体" w:hAnsi="宋体" w:cs="宋体" w:eastAsia="宋体" w:hint="default"/>
                <w:b/>
                <w:bCs/>
                <w:sz w:val="8"/>
                <w:szCs w:val="8"/>
              </w:rPr>
            </w:pPr>
          </w:p>
          <w:p>
            <w:pPr>
              <w:pStyle w:val="TableParagraph"/>
              <w:spacing w:line="240" w:lineRule="auto"/>
              <w:ind w:left="106" w:right="0"/>
              <w:jc w:val="center"/>
              <w:rPr>
                <w:rFonts w:ascii="Times New Roman" w:hAnsi="Times New Roman" w:cs="Times New Roman" w:eastAsia="Times New Roman" w:hint="default"/>
                <w:sz w:val="13"/>
                <w:szCs w:val="13"/>
              </w:rPr>
            </w:pPr>
            <w:r>
              <w:rPr>
                <w:rFonts w:ascii="Times New Roman"/>
                <w:sz w:val="13"/>
              </w:rPr>
              <w:t>100.00</w:t>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
              <w:ind w:right="0"/>
              <w:jc w:val="left"/>
              <w:rPr>
                <w:rFonts w:ascii="宋体" w:hAnsi="宋体" w:cs="宋体" w:eastAsia="宋体" w:hint="default"/>
                <w:b/>
                <w:bCs/>
                <w:sz w:val="8"/>
                <w:szCs w:val="8"/>
              </w:rPr>
            </w:pPr>
          </w:p>
          <w:p>
            <w:pPr>
              <w:pStyle w:val="TableParagraph"/>
              <w:spacing w:line="240" w:lineRule="auto"/>
              <w:ind w:right="20"/>
              <w:jc w:val="center"/>
              <w:rPr>
                <w:rFonts w:ascii="Times New Roman" w:hAnsi="Times New Roman" w:cs="Times New Roman" w:eastAsia="Times New Roman" w:hint="default"/>
                <w:sz w:val="13"/>
                <w:szCs w:val="13"/>
              </w:rPr>
            </w:pPr>
            <w:r>
              <w:rPr>
                <w:rFonts w:ascii="Times New Roman"/>
                <w:sz w:val="13"/>
              </w:rPr>
              <w:t>12,291,409.28</w:t>
            </w:r>
          </w:p>
        </w:tc>
        <w:tc>
          <w:tcPr>
            <w:tcW w:w="59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
              <w:ind w:right="0"/>
              <w:jc w:val="left"/>
              <w:rPr>
                <w:rFonts w:ascii="宋体" w:hAnsi="宋体" w:cs="宋体" w:eastAsia="宋体" w:hint="default"/>
                <w:b/>
                <w:bCs/>
                <w:sz w:val="8"/>
                <w:szCs w:val="8"/>
              </w:rPr>
            </w:pPr>
          </w:p>
          <w:p>
            <w:pPr>
              <w:pStyle w:val="TableParagraph"/>
              <w:spacing w:line="240" w:lineRule="auto"/>
              <w:ind w:right="155"/>
              <w:jc w:val="right"/>
              <w:rPr>
                <w:rFonts w:ascii="Times New Roman" w:hAnsi="Times New Roman" w:cs="Times New Roman" w:eastAsia="Times New Roman" w:hint="default"/>
                <w:sz w:val="13"/>
                <w:szCs w:val="13"/>
              </w:rPr>
            </w:pPr>
            <w:r>
              <w:rPr>
                <w:rFonts w:ascii="Times New Roman"/>
                <w:w w:val="95"/>
                <w:sz w:val="13"/>
              </w:rPr>
              <w:t>6.91</w:t>
            </w:r>
            <w:r>
              <w:rPr>
                <w:rFonts w:ascii="Times New Roman"/>
                <w:sz w:val="13"/>
              </w:rPr>
            </w:r>
          </w:p>
        </w:tc>
        <w:tc>
          <w:tcPr>
            <w:tcW w:w="96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
              <w:ind w:right="0"/>
              <w:jc w:val="left"/>
              <w:rPr>
                <w:rFonts w:ascii="宋体" w:hAnsi="宋体" w:cs="宋体" w:eastAsia="宋体" w:hint="default"/>
                <w:b/>
                <w:bCs/>
                <w:sz w:val="8"/>
                <w:szCs w:val="8"/>
              </w:rPr>
            </w:pPr>
          </w:p>
          <w:p>
            <w:pPr>
              <w:pStyle w:val="TableParagraph"/>
              <w:spacing w:line="240" w:lineRule="auto"/>
              <w:ind w:left="6" w:right="0"/>
              <w:jc w:val="center"/>
              <w:rPr>
                <w:rFonts w:ascii="Times New Roman" w:hAnsi="Times New Roman" w:cs="Times New Roman" w:eastAsia="Times New Roman" w:hint="default"/>
                <w:sz w:val="13"/>
                <w:szCs w:val="13"/>
              </w:rPr>
            </w:pPr>
            <w:r>
              <w:rPr>
                <w:rFonts w:ascii="Times New Roman"/>
                <w:sz w:val="13"/>
              </w:rPr>
              <w:t>84,480,092.48</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
              <w:ind w:right="0"/>
              <w:jc w:val="left"/>
              <w:rPr>
                <w:rFonts w:ascii="宋体" w:hAnsi="宋体" w:cs="宋体" w:eastAsia="宋体" w:hint="default"/>
                <w:b/>
                <w:bCs/>
                <w:sz w:val="8"/>
                <w:szCs w:val="8"/>
              </w:rPr>
            </w:pPr>
          </w:p>
          <w:p>
            <w:pPr>
              <w:pStyle w:val="TableParagraph"/>
              <w:spacing w:line="240" w:lineRule="auto"/>
              <w:ind w:left="286" w:right="0"/>
              <w:jc w:val="left"/>
              <w:rPr>
                <w:rFonts w:ascii="Times New Roman" w:hAnsi="Times New Roman" w:cs="Times New Roman" w:eastAsia="Times New Roman" w:hint="default"/>
                <w:sz w:val="13"/>
                <w:szCs w:val="13"/>
              </w:rPr>
            </w:pPr>
            <w:r>
              <w:rPr>
                <w:rFonts w:ascii="Times New Roman"/>
                <w:sz w:val="13"/>
              </w:rPr>
              <w:t>100.00</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
              <w:ind w:right="0"/>
              <w:jc w:val="left"/>
              <w:rPr>
                <w:rFonts w:ascii="宋体" w:hAnsi="宋体" w:cs="宋体" w:eastAsia="宋体" w:hint="default"/>
                <w:b/>
                <w:bCs/>
                <w:sz w:val="8"/>
                <w:szCs w:val="8"/>
              </w:rPr>
            </w:pPr>
          </w:p>
          <w:p>
            <w:pPr>
              <w:pStyle w:val="TableParagraph"/>
              <w:spacing w:line="240" w:lineRule="auto"/>
              <w:ind w:right="2"/>
              <w:jc w:val="center"/>
              <w:rPr>
                <w:rFonts w:ascii="Times New Roman" w:hAnsi="Times New Roman" w:cs="Times New Roman" w:eastAsia="Times New Roman" w:hint="default"/>
                <w:sz w:val="13"/>
                <w:szCs w:val="13"/>
              </w:rPr>
            </w:pPr>
            <w:r>
              <w:rPr>
                <w:rFonts w:ascii="Times New Roman"/>
                <w:sz w:val="13"/>
              </w:rPr>
              <w:t>5,950,990.34</w:t>
            </w:r>
          </w:p>
        </w:tc>
        <w:tc>
          <w:tcPr>
            <w:tcW w:w="5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
              <w:ind w:right="0"/>
              <w:jc w:val="left"/>
              <w:rPr>
                <w:rFonts w:ascii="宋体" w:hAnsi="宋体" w:cs="宋体" w:eastAsia="宋体" w:hint="default"/>
                <w:b/>
                <w:bCs/>
                <w:sz w:val="8"/>
                <w:szCs w:val="8"/>
              </w:rPr>
            </w:pPr>
          </w:p>
          <w:p>
            <w:pPr>
              <w:pStyle w:val="TableParagraph"/>
              <w:spacing w:line="240" w:lineRule="auto"/>
              <w:ind w:left="126" w:right="0"/>
              <w:jc w:val="center"/>
              <w:rPr>
                <w:rFonts w:ascii="Times New Roman" w:hAnsi="Times New Roman" w:cs="Times New Roman" w:eastAsia="Times New Roman" w:hint="default"/>
                <w:sz w:val="13"/>
                <w:szCs w:val="13"/>
              </w:rPr>
            </w:pPr>
            <w:r>
              <w:rPr>
                <w:rFonts w:ascii="Times New Roman"/>
                <w:sz w:val="13"/>
              </w:rPr>
              <w:t>7.04</w:t>
            </w:r>
          </w:p>
        </w:tc>
      </w:tr>
      <w:tr>
        <w:trPr>
          <w:trHeight w:val="952" w:hRule="exact"/>
        </w:trPr>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8"/>
                <w:szCs w:val="8"/>
              </w:rPr>
            </w:pPr>
          </w:p>
          <w:p>
            <w:pPr>
              <w:pStyle w:val="TableParagraph"/>
              <w:spacing w:line="240" w:lineRule="auto"/>
              <w:ind w:right="71"/>
              <w:jc w:val="center"/>
              <w:rPr>
                <w:rFonts w:ascii="Times New Roman" w:hAnsi="Times New Roman" w:cs="Times New Roman" w:eastAsia="Times New Roman" w:hint="default"/>
                <w:sz w:val="13"/>
                <w:szCs w:val="13"/>
              </w:rPr>
            </w:pPr>
            <w:r>
              <w:rPr>
                <w:rFonts w:ascii="Times New Roman"/>
                <w:sz w:val="13"/>
              </w:rPr>
              <w:t>177,788,736.37</w:t>
            </w:r>
          </w:p>
        </w:tc>
        <w:tc>
          <w:tcPr>
            <w:tcW w:w="76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8"/>
                <w:szCs w:val="8"/>
              </w:rPr>
            </w:pPr>
          </w:p>
          <w:p>
            <w:pPr>
              <w:pStyle w:val="TableParagraph"/>
              <w:spacing w:line="240" w:lineRule="auto"/>
              <w:ind w:left="106" w:right="0"/>
              <w:jc w:val="center"/>
              <w:rPr>
                <w:rFonts w:ascii="Times New Roman" w:hAnsi="Times New Roman" w:cs="Times New Roman" w:eastAsia="Times New Roman" w:hint="default"/>
                <w:sz w:val="13"/>
                <w:szCs w:val="13"/>
              </w:rPr>
            </w:pPr>
            <w:r>
              <w:rPr>
                <w:rFonts w:ascii="Times New Roman"/>
                <w:sz w:val="13"/>
              </w:rPr>
              <w:t>100.00</w:t>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8"/>
                <w:szCs w:val="8"/>
              </w:rPr>
            </w:pPr>
          </w:p>
          <w:p>
            <w:pPr>
              <w:pStyle w:val="TableParagraph"/>
              <w:spacing w:line="240" w:lineRule="auto"/>
              <w:ind w:right="20"/>
              <w:jc w:val="center"/>
              <w:rPr>
                <w:rFonts w:ascii="Times New Roman" w:hAnsi="Times New Roman" w:cs="Times New Roman" w:eastAsia="Times New Roman" w:hint="default"/>
                <w:sz w:val="13"/>
                <w:szCs w:val="13"/>
              </w:rPr>
            </w:pPr>
            <w:r>
              <w:rPr>
                <w:rFonts w:ascii="Times New Roman"/>
                <w:sz w:val="13"/>
              </w:rPr>
              <w:t>12,291,409.28</w:t>
            </w:r>
          </w:p>
        </w:tc>
        <w:tc>
          <w:tcPr>
            <w:tcW w:w="59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8"/>
                <w:szCs w:val="8"/>
              </w:rPr>
            </w:pPr>
          </w:p>
          <w:p>
            <w:pPr>
              <w:pStyle w:val="TableParagraph"/>
              <w:spacing w:line="240" w:lineRule="auto"/>
              <w:ind w:right="155"/>
              <w:jc w:val="right"/>
              <w:rPr>
                <w:rFonts w:ascii="Times New Roman" w:hAnsi="Times New Roman" w:cs="Times New Roman" w:eastAsia="Times New Roman" w:hint="default"/>
                <w:sz w:val="13"/>
                <w:szCs w:val="13"/>
              </w:rPr>
            </w:pPr>
            <w:r>
              <w:rPr>
                <w:rFonts w:ascii="Times New Roman"/>
                <w:w w:val="95"/>
                <w:sz w:val="13"/>
              </w:rPr>
              <w:t>6.91</w:t>
            </w:r>
            <w:r>
              <w:rPr>
                <w:rFonts w:ascii="Times New Roman"/>
                <w:sz w:val="13"/>
              </w:rPr>
            </w:r>
          </w:p>
        </w:tc>
        <w:tc>
          <w:tcPr>
            <w:tcW w:w="96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8"/>
                <w:szCs w:val="8"/>
              </w:rPr>
            </w:pPr>
          </w:p>
          <w:p>
            <w:pPr>
              <w:pStyle w:val="TableParagraph"/>
              <w:spacing w:line="240" w:lineRule="auto"/>
              <w:ind w:left="6" w:right="0"/>
              <w:jc w:val="center"/>
              <w:rPr>
                <w:rFonts w:ascii="Times New Roman" w:hAnsi="Times New Roman" w:cs="Times New Roman" w:eastAsia="Times New Roman" w:hint="default"/>
                <w:sz w:val="13"/>
                <w:szCs w:val="13"/>
              </w:rPr>
            </w:pPr>
            <w:r>
              <w:rPr>
                <w:rFonts w:ascii="Times New Roman"/>
                <w:sz w:val="13"/>
              </w:rPr>
              <w:t>84,480,092.48</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8"/>
                <w:szCs w:val="8"/>
              </w:rPr>
            </w:pPr>
          </w:p>
          <w:p>
            <w:pPr>
              <w:pStyle w:val="TableParagraph"/>
              <w:spacing w:line="240" w:lineRule="auto"/>
              <w:ind w:left="286" w:right="0"/>
              <w:jc w:val="left"/>
              <w:rPr>
                <w:rFonts w:ascii="Times New Roman" w:hAnsi="Times New Roman" w:cs="Times New Roman" w:eastAsia="Times New Roman" w:hint="default"/>
                <w:sz w:val="13"/>
                <w:szCs w:val="13"/>
              </w:rPr>
            </w:pPr>
            <w:r>
              <w:rPr>
                <w:rFonts w:ascii="Times New Roman"/>
                <w:sz w:val="13"/>
              </w:rPr>
              <w:t>100.00</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8"/>
                <w:szCs w:val="8"/>
              </w:rPr>
            </w:pPr>
          </w:p>
          <w:p>
            <w:pPr>
              <w:pStyle w:val="TableParagraph"/>
              <w:spacing w:line="240" w:lineRule="auto"/>
              <w:ind w:right="2"/>
              <w:jc w:val="center"/>
              <w:rPr>
                <w:rFonts w:ascii="Times New Roman" w:hAnsi="Times New Roman" w:cs="Times New Roman" w:eastAsia="Times New Roman" w:hint="default"/>
                <w:sz w:val="13"/>
                <w:szCs w:val="13"/>
              </w:rPr>
            </w:pPr>
            <w:r>
              <w:rPr>
                <w:rFonts w:ascii="Times New Roman"/>
                <w:sz w:val="13"/>
              </w:rPr>
              <w:t>5,950,990.34</w:t>
            </w:r>
          </w:p>
        </w:tc>
        <w:tc>
          <w:tcPr>
            <w:tcW w:w="5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8"/>
                <w:szCs w:val="8"/>
              </w:rPr>
            </w:pPr>
          </w:p>
          <w:p>
            <w:pPr>
              <w:pStyle w:val="TableParagraph"/>
              <w:spacing w:line="240" w:lineRule="auto"/>
              <w:ind w:left="126" w:right="0"/>
              <w:jc w:val="center"/>
              <w:rPr>
                <w:rFonts w:ascii="Times New Roman" w:hAnsi="Times New Roman" w:cs="Times New Roman" w:eastAsia="Times New Roman" w:hint="default"/>
                <w:sz w:val="13"/>
                <w:szCs w:val="13"/>
              </w:rPr>
            </w:pPr>
            <w:r>
              <w:rPr>
                <w:rFonts w:ascii="Times New Roman"/>
                <w:sz w:val="13"/>
              </w:rPr>
              <w:t>7.04</w:t>
            </w:r>
          </w:p>
        </w:tc>
      </w:tr>
      <w:tr>
        <w:trPr>
          <w:trHeight w:val="924" w:hRule="exact"/>
        </w:trPr>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71"/>
              <w:jc w:val="center"/>
              <w:rPr>
                <w:rFonts w:ascii="Times New Roman" w:hAnsi="Times New Roman" w:cs="Times New Roman" w:eastAsia="Times New Roman" w:hint="default"/>
                <w:sz w:val="13"/>
                <w:szCs w:val="13"/>
              </w:rPr>
            </w:pPr>
            <w:r>
              <w:rPr>
                <w:rFonts w:ascii="Times New Roman"/>
                <w:sz w:val="13"/>
              </w:rPr>
              <w:t>177,788,736.37</w:t>
            </w:r>
          </w:p>
        </w:tc>
        <w:tc>
          <w:tcPr>
            <w:tcW w:w="76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6" w:right="0"/>
              <w:jc w:val="center"/>
              <w:rPr>
                <w:rFonts w:ascii="Times New Roman" w:hAnsi="Times New Roman" w:cs="Times New Roman" w:eastAsia="Times New Roman" w:hint="default"/>
                <w:sz w:val="13"/>
                <w:szCs w:val="13"/>
              </w:rPr>
            </w:pPr>
            <w:r>
              <w:rPr>
                <w:rFonts w:ascii="Times New Roman"/>
                <w:sz w:val="13"/>
              </w:rPr>
              <w:t>100.00</w:t>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0"/>
              <w:jc w:val="center"/>
              <w:rPr>
                <w:rFonts w:ascii="Times New Roman" w:hAnsi="Times New Roman" w:cs="Times New Roman" w:eastAsia="Times New Roman" w:hint="default"/>
                <w:sz w:val="13"/>
                <w:szCs w:val="13"/>
              </w:rPr>
            </w:pPr>
            <w:r>
              <w:rPr>
                <w:rFonts w:ascii="Times New Roman"/>
                <w:sz w:val="13"/>
              </w:rPr>
              <w:t>12,291,409.28</w:t>
            </w:r>
          </w:p>
        </w:tc>
        <w:tc>
          <w:tcPr>
            <w:tcW w:w="590" w:type="dxa"/>
            <w:tcBorders>
              <w:top w:val="nil" w:sz="6" w:space="0" w:color="auto"/>
              <w:left w:val="nil" w:sz="6" w:space="0" w:color="auto"/>
              <w:bottom w:val="nil" w:sz="6" w:space="0" w:color="auto"/>
              <w:right w:val="nil" w:sz="6" w:space="0" w:color="auto"/>
            </w:tcBorders>
          </w:tcPr>
          <w:p>
            <w:pPr/>
          </w:p>
        </w:tc>
        <w:tc>
          <w:tcPr>
            <w:tcW w:w="96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6" w:right="0"/>
              <w:jc w:val="center"/>
              <w:rPr>
                <w:rFonts w:ascii="Times New Roman" w:hAnsi="Times New Roman" w:cs="Times New Roman" w:eastAsia="Times New Roman" w:hint="default"/>
                <w:sz w:val="13"/>
                <w:szCs w:val="13"/>
              </w:rPr>
            </w:pPr>
            <w:r>
              <w:rPr>
                <w:rFonts w:ascii="Times New Roman"/>
                <w:sz w:val="13"/>
              </w:rPr>
              <w:t>84,480,092.48</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286" w:right="0"/>
              <w:jc w:val="left"/>
              <w:rPr>
                <w:rFonts w:ascii="Times New Roman" w:hAnsi="Times New Roman" w:cs="Times New Roman" w:eastAsia="Times New Roman" w:hint="default"/>
                <w:sz w:val="13"/>
                <w:szCs w:val="13"/>
              </w:rPr>
            </w:pPr>
            <w:r>
              <w:rPr>
                <w:rFonts w:ascii="Times New Roman"/>
                <w:sz w:val="13"/>
              </w:rPr>
              <w:t>100.00</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
              <w:jc w:val="center"/>
              <w:rPr>
                <w:rFonts w:ascii="Times New Roman" w:hAnsi="Times New Roman" w:cs="Times New Roman" w:eastAsia="Times New Roman" w:hint="default"/>
                <w:sz w:val="13"/>
                <w:szCs w:val="13"/>
              </w:rPr>
            </w:pPr>
            <w:r>
              <w:rPr>
                <w:rFonts w:ascii="Times New Roman"/>
                <w:sz w:val="13"/>
              </w:rPr>
              <w:t>5,950,990.34</w:t>
            </w:r>
          </w:p>
        </w:tc>
        <w:tc>
          <w:tcPr>
            <w:tcW w:w="509"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8"/>
          <w:szCs w:val="18"/>
        </w:rPr>
      </w:pPr>
    </w:p>
    <w:p>
      <w:pPr>
        <w:pStyle w:val="BodyText"/>
        <w:spacing w:line="348" w:lineRule="auto" w:before="35"/>
        <w:ind w:left="855" w:right="3579"/>
        <w:jc w:val="left"/>
      </w:pPr>
      <w:r>
        <w:rPr/>
        <w:pict>
          <v:group style="position:absolute;margin-left:119.399994pt;margin-top:52.653957pt;width:421.5pt;height:211.95pt;mso-position-horizontal-relative:page;mso-position-vertical-relative:paragraph;z-index:-706000" coordorigin="2388,1053" coordsize="8430,4239">
            <v:group style="position:absolute;left:2414;top:1068;width:8379;height:2" coordorigin="2414,1068" coordsize="8379,2">
              <v:shape style="position:absolute;left:2414;top:1068;width:8379;height:2" coordorigin="2414,1068" coordsize="8379,0" path="m2414,1068l10793,1068e" filled="false" stroked="true" strokeweight="1.5pt" strokecolor="#000000">
                <v:path arrowok="t"/>
              </v:shape>
              <v:shape style="position:absolute;left:3574;top:1064;width:3778;height:413" type="#_x0000_t75" stroked="false">
                <v:imagedata r:id="rId289" o:title=""/>
              </v:shape>
              <v:shape style="position:absolute;left:3580;top:1445;width:7232;height:411" type="#_x0000_t75" stroked="false">
                <v:imagedata r:id="rId290" o:title=""/>
              </v:shape>
              <v:shape style="position:absolute;left:3574;top:1823;width:5996;height:797" type="#_x0000_t75" stroked="false">
                <v:imagedata r:id="rId291" o:title=""/>
              </v:shape>
              <v:shape style="position:absolute;left:2388;top:2582;width:8430;height:2710" type="#_x0000_t75" stroked="false">
                <v:imagedata r:id="rId292" o:title=""/>
              </v:shape>
              <v:shape style="position:absolute;left:5101;top:118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702;top:118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group>
            <w10:wrap type="none"/>
          </v:group>
        </w:pict>
      </w:r>
      <w:r>
        <w:rPr/>
        <w:t>应收账款种类的说明： 组合中，采用账龄分析法计提坏账准备的应收账款：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0"/>
          <w:szCs w:val="10"/>
        </w:rPr>
      </w:pPr>
    </w:p>
    <w:tbl>
      <w:tblPr>
        <w:tblW w:w="0" w:type="auto"/>
        <w:jc w:val="left"/>
        <w:tblInd w:w="819" w:type="dxa"/>
        <w:tblLayout w:type="fixed"/>
        <w:tblCellMar>
          <w:top w:w="0" w:type="dxa"/>
          <w:left w:w="0" w:type="dxa"/>
          <w:bottom w:w="0" w:type="dxa"/>
          <w:right w:w="0" w:type="dxa"/>
        </w:tblCellMar>
        <w:tblLook w:val="01E0"/>
      </w:tblPr>
      <w:tblGrid>
        <w:gridCol w:w="1108"/>
        <w:gridCol w:w="1641"/>
        <w:gridCol w:w="782"/>
        <w:gridCol w:w="1438"/>
        <w:gridCol w:w="1414"/>
        <w:gridCol w:w="731"/>
        <w:gridCol w:w="1135"/>
      </w:tblGrid>
      <w:tr>
        <w:trPr>
          <w:trHeight w:val="464" w:hRule="exact"/>
        </w:trPr>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403"/>
              <w:jc w:val="right"/>
              <w:rPr>
                <w:rFonts w:ascii="宋体" w:hAnsi="宋体" w:cs="宋体" w:eastAsia="宋体" w:hint="default"/>
                <w:sz w:val="18"/>
                <w:szCs w:val="18"/>
              </w:rPr>
            </w:pPr>
            <w:r>
              <w:rPr>
                <w:rFonts w:ascii="宋体" w:hAnsi="宋体" w:cs="宋体" w:eastAsia="宋体" w:hint="default"/>
                <w:sz w:val="18"/>
                <w:szCs w:val="18"/>
              </w:rPr>
              <w:t>账龄</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95"/>
              <w:jc w:val="right"/>
              <w:rPr>
                <w:rFonts w:ascii="宋体" w:hAnsi="宋体" w:cs="宋体" w:eastAsia="宋体" w:hint="default"/>
                <w:sz w:val="18"/>
                <w:szCs w:val="18"/>
              </w:rPr>
            </w:pPr>
            <w:r>
              <w:rPr>
                <w:rFonts w:ascii="宋体" w:hAnsi="宋体" w:cs="宋体" w:eastAsia="宋体" w:hint="default"/>
                <w:sz w:val="18"/>
                <w:szCs w:val="18"/>
              </w:rPr>
              <w:t>账面余额</w:t>
            </w:r>
          </w:p>
        </w:tc>
        <w:tc>
          <w:tcPr>
            <w:tcW w:w="782" w:type="dxa"/>
            <w:tcBorders>
              <w:top w:val="nil" w:sz="6" w:space="0" w:color="auto"/>
              <w:left w:val="nil" w:sz="6" w:space="0" w:color="auto"/>
              <w:bottom w:val="nil" w:sz="6" w:space="0" w:color="auto"/>
              <w:right w:val="nil" w:sz="6" w:space="0" w:color="auto"/>
            </w:tcBorders>
          </w:tcPr>
          <w:p>
            <w:pPr/>
          </w:p>
        </w:tc>
        <w:tc>
          <w:tcPr>
            <w:tcW w:w="1438" w:type="dxa"/>
            <w:tcBorders>
              <w:top w:val="nil" w:sz="6" w:space="0" w:color="auto"/>
              <w:left w:val="nil" w:sz="6" w:space="0" w:color="auto"/>
              <w:bottom w:val="nil" w:sz="6" w:space="0" w:color="auto"/>
              <w:right w:val="nil" w:sz="6" w:space="0" w:color="auto"/>
            </w:tcBorders>
          </w:tcPr>
          <w:p>
            <w:pPr/>
          </w:p>
        </w:tc>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2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865" w:type="dxa"/>
            <w:gridSpan w:val="2"/>
            <w:tcBorders>
              <w:top w:val="nil" w:sz="6" w:space="0" w:color="auto"/>
              <w:left w:val="nil" w:sz="6" w:space="0" w:color="auto"/>
              <w:bottom w:val="nil" w:sz="6" w:space="0" w:color="auto"/>
              <w:right w:val="nil" w:sz="6" w:space="0" w:color="auto"/>
            </w:tcBorders>
          </w:tcPr>
          <w:p>
            <w:pPr/>
          </w:p>
        </w:tc>
      </w:tr>
      <w:tr>
        <w:trPr>
          <w:trHeight w:val="683" w:hRule="exact"/>
        </w:trPr>
        <w:tc>
          <w:tcPr>
            <w:tcW w:w="1108" w:type="dxa"/>
            <w:tcBorders>
              <w:top w:val="nil" w:sz="6" w:space="0" w:color="auto"/>
              <w:left w:val="nil" w:sz="6" w:space="0" w:color="auto"/>
              <w:bottom w:val="nil" w:sz="6" w:space="0" w:color="auto"/>
              <w:right w:val="nil" w:sz="6" w:space="0" w:color="auto"/>
            </w:tcBorders>
          </w:tcPr>
          <w:p>
            <w:pP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153"/>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782" w:type="dxa"/>
            <w:tcBorders>
              <w:top w:val="nil" w:sz="6" w:space="0" w:color="auto"/>
              <w:left w:val="nil" w:sz="6" w:space="0" w:color="auto"/>
              <w:bottom w:val="nil" w:sz="6" w:space="0" w:color="auto"/>
              <w:right w:val="nil" w:sz="6" w:space="0" w:color="auto"/>
            </w:tcBorders>
          </w:tcPr>
          <w:p>
            <w:pPr>
              <w:pStyle w:val="TableParagraph"/>
              <w:spacing w:line="202" w:lineRule="exact"/>
              <w:ind w:left="172"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39"/>
              <w:ind w:left="97"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438" w:type="dxa"/>
            <w:tcBorders>
              <w:top w:val="nil" w:sz="6" w:space="0" w:color="auto"/>
              <w:left w:val="nil" w:sz="6" w:space="0" w:color="auto"/>
              <w:bottom w:val="nil" w:sz="6" w:space="0" w:color="auto"/>
              <w:right w:val="nil" w:sz="6" w:space="0" w:color="auto"/>
            </w:tcBorders>
          </w:tcPr>
          <w:p>
            <w:pPr>
              <w:pStyle w:val="TableParagraph"/>
              <w:spacing w:line="191" w:lineRule="exact"/>
              <w:ind w:left="26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before="153"/>
              <w:ind w:left="44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31" w:type="dxa"/>
            <w:tcBorders>
              <w:top w:val="nil" w:sz="6" w:space="0" w:color="auto"/>
              <w:left w:val="nil" w:sz="6" w:space="0" w:color="auto"/>
              <w:bottom w:val="nil" w:sz="6" w:space="0" w:color="auto"/>
              <w:right w:val="nil" w:sz="6" w:space="0" w:color="auto"/>
            </w:tcBorders>
          </w:tcPr>
          <w:p>
            <w:pPr>
              <w:pStyle w:val="TableParagraph"/>
              <w:spacing w:line="202" w:lineRule="exact"/>
              <w:ind w:left="140"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39"/>
              <w:ind w:left="66"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35" w:type="dxa"/>
            <w:tcBorders>
              <w:top w:val="nil" w:sz="6" w:space="0" w:color="auto"/>
              <w:left w:val="nil" w:sz="6" w:space="0" w:color="auto"/>
              <w:bottom w:val="nil" w:sz="6" w:space="0" w:color="auto"/>
              <w:right w:val="nil" w:sz="6" w:space="0" w:color="auto"/>
            </w:tcBorders>
          </w:tcPr>
          <w:p>
            <w:pPr>
              <w:pStyle w:val="TableParagraph"/>
              <w:spacing w:line="191" w:lineRule="exact"/>
              <w:ind w:left="220"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84" w:hRule="exact"/>
        </w:trPr>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14"/>
              <w:jc w:val="right"/>
              <w:rPr>
                <w:rFonts w:ascii="Times New Roman" w:hAnsi="Times New Roman" w:cs="Times New Roman" w:eastAsia="Times New Roman" w:hint="default"/>
                <w:sz w:val="18"/>
                <w:szCs w:val="18"/>
              </w:rPr>
            </w:pPr>
            <w:r>
              <w:rPr>
                <w:rFonts w:ascii="Times New Roman"/>
                <w:spacing w:val="-1"/>
                <w:sz w:val="18"/>
              </w:rPr>
              <w:t>152,130,331.71</w:t>
            </w:r>
          </w:p>
        </w:tc>
        <w:tc>
          <w:tcPr>
            <w:tcW w:w="782" w:type="dxa"/>
            <w:tcBorders>
              <w:top w:val="nil" w:sz="6" w:space="0" w:color="auto"/>
              <w:left w:val="nil" w:sz="6" w:space="0" w:color="auto"/>
              <w:bottom w:val="nil" w:sz="6" w:space="0" w:color="auto"/>
              <w:right w:val="nil" w:sz="6" w:space="0" w:color="auto"/>
            </w:tcBorders>
          </w:tcPr>
          <w:p>
            <w:pPr>
              <w:pStyle w:val="TableParagraph"/>
              <w:spacing w:line="240" w:lineRule="auto" w:before="81"/>
              <w:ind w:left="28" w:right="0"/>
              <w:jc w:val="center"/>
              <w:rPr>
                <w:rFonts w:ascii="Times New Roman" w:hAnsi="Times New Roman" w:cs="Times New Roman" w:eastAsia="Times New Roman" w:hint="default"/>
                <w:sz w:val="18"/>
                <w:szCs w:val="18"/>
              </w:rPr>
            </w:pPr>
            <w:r>
              <w:rPr>
                <w:rFonts w:ascii="Times New Roman"/>
                <w:sz w:val="18"/>
              </w:rPr>
              <w:t>85.57</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26"/>
              <w:jc w:val="right"/>
              <w:rPr>
                <w:rFonts w:ascii="Times New Roman" w:hAnsi="Times New Roman" w:cs="Times New Roman" w:eastAsia="Times New Roman" w:hint="default"/>
                <w:sz w:val="18"/>
                <w:szCs w:val="18"/>
              </w:rPr>
            </w:pPr>
            <w:r>
              <w:rPr>
                <w:rFonts w:ascii="Times New Roman"/>
                <w:spacing w:val="-1"/>
                <w:sz w:val="18"/>
              </w:rPr>
              <w:t>7,606,516.59</w:t>
            </w:r>
          </w:p>
        </w:tc>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before="81"/>
              <w:ind w:left="227" w:right="0"/>
              <w:jc w:val="left"/>
              <w:rPr>
                <w:rFonts w:ascii="Times New Roman" w:hAnsi="Times New Roman" w:cs="Times New Roman" w:eastAsia="Times New Roman" w:hint="default"/>
                <w:sz w:val="18"/>
                <w:szCs w:val="18"/>
              </w:rPr>
            </w:pPr>
            <w:r>
              <w:rPr>
                <w:rFonts w:ascii="Times New Roman"/>
                <w:sz w:val="18"/>
              </w:rPr>
              <w:t>72,418,466.97</w:t>
            </w:r>
          </w:p>
        </w:tc>
        <w:tc>
          <w:tcPr>
            <w:tcW w:w="73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52"/>
              <w:jc w:val="right"/>
              <w:rPr>
                <w:rFonts w:ascii="Times New Roman" w:hAnsi="Times New Roman" w:cs="Times New Roman" w:eastAsia="Times New Roman" w:hint="default"/>
                <w:sz w:val="18"/>
                <w:szCs w:val="18"/>
              </w:rPr>
            </w:pPr>
            <w:r>
              <w:rPr>
                <w:rFonts w:ascii="Times New Roman"/>
                <w:sz w:val="18"/>
              </w:rPr>
              <w:t>85.72</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pacing w:val="-1"/>
                <w:sz w:val="18"/>
              </w:rPr>
              <w:t>3,620,923.35</w:t>
            </w:r>
          </w:p>
        </w:tc>
      </w:tr>
      <w:tr>
        <w:trPr>
          <w:trHeight w:val="385" w:hRule="exact"/>
        </w:trPr>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16"/>
              <w:jc w:val="right"/>
              <w:rPr>
                <w:rFonts w:ascii="Times New Roman" w:hAnsi="Times New Roman" w:cs="Times New Roman" w:eastAsia="Times New Roman" w:hint="default"/>
                <w:sz w:val="18"/>
                <w:szCs w:val="18"/>
              </w:rPr>
            </w:pPr>
            <w:r>
              <w:rPr>
                <w:rFonts w:ascii="Times New Roman"/>
                <w:spacing w:val="-1"/>
                <w:sz w:val="18"/>
              </w:rPr>
              <w:t>18,605,795.35</w:t>
            </w:r>
          </w:p>
        </w:tc>
        <w:tc>
          <w:tcPr>
            <w:tcW w:w="782" w:type="dxa"/>
            <w:tcBorders>
              <w:top w:val="nil" w:sz="6" w:space="0" w:color="auto"/>
              <w:left w:val="nil" w:sz="6" w:space="0" w:color="auto"/>
              <w:bottom w:val="nil" w:sz="6" w:space="0" w:color="auto"/>
              <w:right w:val="nil" w:sz="6" w:space="0" w:color="auto"/>
            </w:tcBorders>
          </w:tcPr>
          <w:p>
            <w:pPr>
              <w:pStyle w:val="TableParagraph"/>
              <w:spacing w:line="240" w:lineRule="auto" w:before="81"/>
              <w:ind w:left="28" w:right="0"/>
              <w:jc w:val="center"/>
              <w:rPr>
                <w:rFonts w:ascii="Times New Roman" w:hAnsi="Times New Roman" w:cs="Times New Roman" w:eastAsia="Times New Roman" w:hint="default"/>
                <w:sz w:val="18"/>
                <w:szCs w:val="18"/>
              </w:rPr>
            </w:pPr>
            <w:r>
              <w:rPr>
                <w:rFonts w:ascii="Times New Roman"/>
                <w:sz w:val="18"/>
              </w:rPr>
              <w:t>10.47</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25"/>
              <w:jc w:val="right"/>
              <w:rPr>
                <w:rFonts w:ascii="Times New Roman" w:hAnsi="Times New Roman" w:cs="Times New Roman" w:eastAsia="Times New Roman" w:hint="default"/>
                <w:sz w:val="18"/>
                <w:szCs w:val="18"/>
              </w:rPr>
            </w:pPr>
            <w:r>
              <w:rPr>
                <w:rFonts w:ascii="Times New Roman"/>
                <w:spacing w:val="-1"/>
                <w:sz w:val="18"/>
              </w:rPr>
              <w:t>1,860,579.54</w:t>
            </w:r>
          </w:p>
        </w:tc>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17" w:right="0"/>
              <w:jc w:val="left"/>
              <w:rPr>
                <w:rFonts w:ascii="Times New Roman" w:hAnsi="Times New Roman" w:cs="Times New Roman" w:eastAsia="Times New Roman" w:hint="default"/>
                <w:sz w:val="18"/>
                <w:szCs w:val="18"/>
              </w:rPr>
            </w:pPr>
            <w:r>
              <w:rPr>
                <w:rFonts w:ascii="Times New Roman"/>
                <w:sz w:val="18"/>
              </w:rPr>
              <w:t>7,680,276.97</w:t>
            </w:r>
          </w:p>
        </w:tc>
        <w:tc>
          <w:tcPr>
            <w:tcW w:w="73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52"/>
              <w:jc w:val="right"/>
              <w:rPr>
                <w:rFonts w:ascii="Times New Roman" w:hAnsi="Times New Roman" w:cs="Times New Roman" w:eastAsia="Times New Roman" w:hint="default"/>
                <w:sz w:val="18"/>
                <w:szCs w:val="18"/>
              </w:rPr>
            </w:pPr>
            <w:r>
              <w:rPr>
                <w:rFonts w:ascii="Times New Roman"/>
                <w:sz w:val="18"/>
              </w:rPr>
              <w:t>9.09</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768,027.70</w:t>
            </w:r>
          </w:p>
        </w:tc>
      </w:tr>
      <w:tr>
        <w:trPr>
          <w:trHeight w:val="385" w:hRule="exact"/>
        </w:trPr>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5"/>
              <w:jc w:val="right"/>
              <w:rPr>
                <w:rFonts w:ascii="Times New Roman" w:hAnsi="Times New Roman" w:cs="Times New Roman" w:eastAsia="Times New Roman" w:hint="default"/>
                <w:sz w:val="18"/>
                <w:szCs w:val="18"/>
              </w:rPr>
            </w:pPr>
            <w:r>
              <w:rPr>
                <w:rFonts w:ascii="Times New Roman"/>
                <w:spacing w:val="-1"/>
                <w:sz w:val="18"/>
              </w:rPr>
              <w:t>4,531,887.45</w:t>
            </w:r>
          </w:p>
        </w:tc>
        <w:tc>
          <w:tcPr>
            <w:tcW w:w="782"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18" w:right="0"/>
              <w:jc w:val="center"/>
              <w:rPr>
                <w:rFonts w:ascii="Times New Roman" w:hAnsi="Times New Roman" w:cs="Times New Roman" w:eastAsia="Times New Roman" w:hint="default"/>
                <w:sz w:val="18"/>
                <w:szCs w:val="18"/>
              </w:rPr>
            </w:pPr>
            <w:r>
              <w:rPr>
                <w:rFonts w:ascii="Times New Roman"/>
                <w:sz w:val="18"/>
              </w:rPr>
              <w:t>2.55</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6"/>
              <w:jc w:val="right"/>
              <w:rPr>
                <w:rFonts w:ascii="Times New Roman" w:hAnsi="Times New Roman" w:cs="Times New Roman" w:eastAsia="Times New Roman" w:hint="default"/>
                <w:sz w:val="18"/>
                <w:szCs w:val="18"/>
              </w:rPr>
            </w:pPr>
            <w:r>
              <w:rPr>
                <w:rFonts w:ascii="Times New Roman"/>
                <w:spacing w:val="-1"/>
                <w:sz w:val="18"/>
              </w:rPr>
              <w:t>1,359,566.24</w:t>
            </w:r>
          </w:p>
        </w:tc>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17" w:right="0"/>
              <w:jc w:val="left"/>
              <w:rPr>
                <w:rFonts w:ascii="Times New Roman" w:hAnsi="Times New Roman" w:cs="Times New Roman" w:eastAsia="Times New Roman" w:hint="default"/>
                <w:sz w:val="18"/>
                <w:szCs w:val="18"/>
              </w:rPr>
            </w:pPr>
            <w:r>
              <w:rPr>
                <w:rFonts w:ascii="Times New Roman"/>
                <w:sz w:val="18"/>
              </w:rPr>
              <w:t>3,143,174.95</w:t>
            </w:r>
          </w:p>
        </w:tc>
        <w:tc>
          <w:tcPr>
            <w:tcW w:w="73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2"/>
              <w:jc w:val="right"/>
              <w:rPr>
                <w:rFonts w:ascii="Times New Roman" w:hAnsi="Times New Roman" w:cs="Times New Roman" w:eastAsia="Times New Roman" w:hint="default"/>
                <w:sz w:val="18"/>
                <w:szCs w:val="18"/>
              </w:rPr>
            </w:pPr>
            <w:r>
              <w:rPr>
                <w:rFonts w:ascii="Times New Roman"/>
                <w:sz w:val="18"/>
              </w:rPr>
              <w:t>3.72</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942,952.49</w:t>
            </w:r>
          </w:p>
        </w:tc>
      </w:tr>
      <w:tr>
        <w:trPr>
          <w:trHeight w:val="384" w:hRule="exact"/>
        </w:trPr>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16"/>
              <w:jc w:val="right"/>
              <w:rPr>
                <w:rFonts w:ascii="Times New Roman" w:hAnsi="Times New Roman" w:cs="Times New Roman" w:eastAsia="Times New Roman" w:hint="default"/>
                <w:sz w:val="18"/>
                <w:szCs w:val="18"/>
              </w:rPr>
            </w:pPr>
            <w:r>
              <w:rPr>
                <w:rFonts w:ascii="Times New Roman"/>
                <w:spacing w:val="-1"/>
                <w:sz w:val="18"/>
              </w:rPr>
              <w:t>1,839,435.27</w:t>
            </w:r>
          </w:p>
        </w:tc>
        <w:tc>
          <w:tcPr>
            <w:tcW w:w="782"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17" w:right="0"/>
              <w:jc w:val="center"/>
              <w:rPr>
                <w:rFonts w:ascii="Times New Roman" w:hAnsi="Times New Roman" w:cs="Times New Roman" w:eastAsia="Times New Roman" w:hint="default"/>
                <w:sz w:val="18"/>
                <w:szCs w:val="18"/>
              </w:rPr>
            </w:pPr>
            <w:r>
              <w:rPr>
                <w:rFonts w:ascii="Times New Roman"/>
                <w:sz w:val="18"/>
              </w:rPr>
              <w:t>1.03</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25"/>
              <w:jc w:val="right"/>
              <w:rPr>
                <w:rFonts w:ascii="Times New Roman" w:hAnsi="Times New Roman" w:cs="Times New Roman" w:eastAsia="Times New Roman" w:hint="default"/>
                <w:sz w:val="18"/>
                <w:szCs w:val="18"/>
              </w:rPr>
            </w:pPr>
            <w:r>
              <w:rPr>
                <w:rFonts w:ascii="Times New Roman"/>
                <w:sz w:val="18"/>
              </w:rPr>
              <w:t>919,717.64</w:t>
            </w:r>
          </w:p>
        </w:tc>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18" w:right="0"/>
              <w:jc w:val="left"/>
              <w:rPr>
                <w:rFonts w:ascii="Times New Roman" w:hAnsi="Times New Roman" w:cs="Times New Roman" w:eastAsia="Times New Roman" w:hint="default"/>
                <w:sz w:val="18"/>
                <w:szCs w:val="18"/>
              </w:rPr>
            </w:pPr>
            <w:r>
              <w:rPr>
                <w:rFonts w:ascii="Times New Roman"/>
                <w:sz w:val="18"/>
              </w:rPr>
              <w:t>1,238,173.59</w:t>
            </w:r>
          </w:p>
        </w:tc>
        <w:tc>
          <w:tcPr>
            <w:tcW w:w="73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52"/>
              <w:jc w:val="right"/>
              <w:rPr>
                <w:rFonts w:ascii="Times New Roman" w:hAnsi="Times New Roman" w:cs="Times New Roman" w:eastAsia="Times New Roman" w:hint="default"/>
                <w:sz w:val="18"/>
                <w:szCs w:val="18"/>
              </w:rPr>
            </w:pPr>
            <w:r>
              <w:rPr>
                <w:rFonts w:ascii="Times New Roman"/>
                <w:sz w:val="18"/>
              </w:rPr>
              <w:t>1.47</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619,086.80</w:t>
            </w:r>
          </w:p>
        </w:tc>
      </w:tr>
      <w:tr>
        <w:trPr>
          <w:trHeight w:val="385" w:hRule="exact"/>
        </w:trPr>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17"/>
              <w:jc w:val="right"/>
              <w:rPr>
                <w:rFonts w:ascii="Times New Roman" w:hAnsi="Times New Roman" w:cs="Times New Roman" w:eastAsia="Times New Roman" w:hint="default"/>
                <w:sz w:val="18"/>
                <w:szCs w:val="18"/>
              </w:rPr>
            </w:pPr>
            <w:r>
              <w:rPr>
                <w:rFonts w:ascii="Times New Roman"/>
                <w:sz w:val="18"/>
              </w:rPr>
              <w:t>681,286.59</w:t>
            </w:r>
          </w:p>
        </w:tc>
        <w:tc>
          <w:tcPr>
            <w:tcW w:w="782"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18" w:right="0"/>
              <w:jc w:val="center"/>
              <w:rPr>
                <w:rFonts w:ascii="Times New Roman" w:hAnsi="Times New Roman" w:cs="Times New Roman" w:eastAsia="Times New Roman" w:hint="default"/>
                <w:sz w:val="18"/>
                <w:szCs w:val="18"/>
              </w:rPr>
            </w:pPr>
            <w:r>
              <w:rPr>
                <w:rFonts w:ascii="Times New Roman"/>
                <w:sz w:val="18"/>
              </w:rPr>
              <w:t>0.38</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26"/>
              <w:jc w:val="right"/>
              <w:rPr>
                <w:rFonts w:ascii="Times New Roman" w:hAnsi="Times New Roman" w:cs="Times New Roman" w:eastAsia="Times New Roman" w:hint="default"/>
                <w:sz w:val="18"/>
                <w:szCs w:val="18"/>
              </w:rPr>
            </w:pPr>
            <w:r>
              <w:rPr>
                <w:rFonts w:ascii="Times New Roman"/>
                <w:sz w:val="18"/>
              </w:rPr>
              <w:t>545,029.27</w:t>
            </w:r>
          </w:p>
        </w:tc>
        <w:tc>
          <w:tcPr>
            <w:tcW w:w="1414" w:type="dxa"/>
            <w:tcBorders>
              <w:top w:val="nil" w:sz="6" w:space="0" w:color="auto"/>
              <w:left w:val="nil" w:sz="6" w:space="0" w:color="auto"/>
              <w:bottom w:val="nil" w:sz="6" w:space="0" w:color="auto"/>
              <w:right w:val="nil" w:sz="6" w:space="0" w:color="auto"/>
            </w:tcBorders>
          </w:tcPr>
          <w:p>
            <w:pPr/>
          </w:p>
        </w:tc>
        <w:tc>
          <w:tcPr>
            <w:tcW w:w="731"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r>
      <w:tr>
        <w:trPr>
          <w:trHeight w:val="385" w:hRule="exact"/>
        </w:trPr>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641" w:type="dxa"/>
            <w:tcBorders>
              <w:top w:val="nil" w:sz="6" w:space="0" w:color="auto"/>
              <w:left w:val="nil" w:sz="6" w:space="0" w:color="auto"/>
              <w:bottom w:val="nil" w:sz="6" w:space="0" w:color="auto"/>
              <w:right w:val="nil" w:sz="6" w:space="0" w:color="auto"/>
            </w:tcBorders>
          </w:tcPr>
          <w:p>
            <w:pPr/>
          </w:p>
        </w:tc>
        <w:tc>
          <w:tcPr>
            <w:tcW w:w="782" w:type="dxa"/>
            <w:tcBorders>
              <w:top w:val="nil" w:sz="6" w:space="0" w:color="auto"/>
              <w:left w:val="nil" w:sz="6" w:space="0" w:color="auto"/>
              <w:bottom w:val="nil" w:sz="6" w:space="0" w:color="auto"/>
              <w:right w:val="nil" w:sz="6" w:space="0" w:color="auto"/>
            </w:tcBorders>
          </w:tcPr>
          <w:p>
            <w:pPr/>
          </w:p>
        </w:tc>
        <w:tc>
          <w:tcPr>
            <w:tcW w:w="1438" w:type="dxa"/>
            <w:tcBorders>
              <w:top w:val="nil" w:sz="6" w:space="0" w:color="auto"/>
              <w:left w:val="nil" w:sz="6" w:space="0" w:color="auto"/>
              <w:bottom w:val="nil" w:sz="6" w:space="0" w:color="auto"/>
              <w:right w:val="nil" w:sz="6" w:space="0" w:color="auto"/>
            </w:tcBorders>
          </w:tcPr>
          <w:p>
            <w:pPr/>
          </w:p>
        </w:tc>
        <w:tc>
          <w:tcPr>
            <w:tcW w:w="1414" w:type="dxa"/>
            <w:tcBorders>
              <w:top w:val="nil" w:sz="6" w:space="0" w:color="auto"/>
              <w:left w:val="nil" w:sz="6" w:space="0" w:color="auto"/>
              <w:bottom w:val="nil" w:sz="6" w:space="0" w:color="auto"/>
              <w:right w:val="nil" w:sz="6" w:space="0" w:color="auto"/>
            </w:tcBorders>
          </w:tcPr>
          <w:p>
            <w:pPr/>
          </w:p>
        </w:tc>
        <w:tc>
          <w:tcPr>
            <w:tcW w:w="731"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r>
      <w:tr>
        <w:trPr>
          <w:trHeight w:val="389" w:hRule="exact"/>
        </w:trPr>
        <w:tc>
          <w:tcPr>
            <w:tcW w:w="1108"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right="403"/>
              <w:jc w:val="right"/>
              <w:rPr>
                <w:rFonts w:ascii="宋体" w:hAnsi="宋体" w:cs="宋体" w:eastAsia="宋体" w:hint="default"/>
                <w:sz w:val="18"/>
                <w:szCs w:val="18"/>
              </w:rPr>
            </w:pPr>
            <w:r>
              <w:rPr>
                <w:rFonts w:ascii="宋体" w:hAnsi="宋体" w:cs="宋体" w:eastAsia="宋体" w:hint="default"/>
                <w:sz w:val="18"/>
                <w:szCs w:val="18"/>
              </w:rPr>
              <w:t>合计</w:t>
            </w:r>
          </w:p>
        </w:tc>
        <w:tc>
          <w:tcPr>
            <w:tcW w:w="1641"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15"/>
              <w:jc w:val="right"/>
              <w:rPr>
                <w:rFonts w:ascii="Times New Roman" w:hAnsi="Times New Roman" w:cs="Times New Roman" w:eastAsia="Times New Roman" w:hint="default"/>
                <w:sz w:val="18"/>
                <w:szCs w:val="18"/>
              </w:rPr>
            </w:pPr>
            <w:r>
              <w:rPr>
                <w:rFonts w:ascii="Times New Roman"/>
                <w:spacing w:val="-1"/>
                <w:sz w:val="18"/>
              </w:rPr>
              <w:t>177,788,736.37</w:t>
            </w:r>
          </w:p>
        </w:tc>
        <w:tc>
          <w:tcPr>
            <w:tcW w:w="782"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60"/>
              <w:jc w:val="center"/>
              <w:rPr>
                <w:rFonts w:ascii="Times New Roman" w:hAnsi="Times New Roman" w:cs="Times New Roman" w:eastAsia="Times New Roman" w:hint="default"/>
                <w:sz w:val="18"/>
                <w:szCs w:val="18"/>
              </w:rPr>
            </w:pPr>
            <w:r>
              <w:rPr>
                <w:rFonts w:ascii="Times New Roman"/>
                <w:sz w:val="18"/>
              </w:rPr>
              <w:t>100.00</w:t>
            </w:r>
          </w:p>
        </w:tc>
        <w:tc>
          <w:tcPr>
            <w:tcW w:w="1438"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226"/>
              <w:jc w:val="right"/>
              <w:rPr>
                <w:rFonts w:ascii="Times New Roman" w:hAnsi="Times New Roman" w:cs="Times New Roman" w:eastAsia="Times New Roman" w:hint="default"/>
                <w:sz w:val="18"/>
                <w:szCs w:val="18"/>
              </w:rPr>
            </w:pPr>
            <w:r>
              <w:rPr>
                <w:rFonts w:ascii="Times New Roman"/>
                <w:spacing w:val="-1"/>
                <w:sz w:val="18"/>
              </w:rPr>
              <w:t>12,291,409.28</w:t>
            </w:r>
          </w:p>
        </w:tc>
        <w:tc>
          <w:tcPr>
            <w:tcW w:w="1414"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left="228" w:right="0"/>
              <w:jc w:val="left"/>
              <w:rPr>
                <w:rFonts w:ascii="Times New Roman" w:hAnsi="Times New Roman" w:cs="Times New Roman" w:eastAsia="Times New Roman" w:hint="default"/>
                <w:sz w:val="18"/>
                <w:szCs w:val="18"/>
              </w:rPr>
            </w:pPr>
            <w:r>
              <w:rPr>
                <w:rFonts w:ascii="Times New Roman"/>
                <w:sz w:val="18"/>
              </w:rPr>
              <w:t>84,480,092.48</w:t>
            </w:r>
          </w:p>
        </w:tc>
        <w:tc>
          <w:tcPr>
            <w:tcW w:w="731"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52"/>
              <w:jc w:val="right"/>
              <w:rPr>
                <w:rFonts w:ascii="Times New Roman" w:hAnsi="Times New Roman" w:cs="Times New Roman" w:eastAsia="Times New Roman" w:hint="default"/>
                <w:sz w:val="18"/>
                <w:szCs w:val="18"/>
              </w:rPr>
            </w:pPr>
            <w:r>
              <w:rPr>
                <w:rFonts w:ascii="Times New Roman"/>
                <w:sz w:val="18"/>
              </w:rPr>
              <w:t>100.00</w:t>
            </w:r>
          </w:p>
        </w:tc>
        <w:tc>
          <w:tcPr>
            <w:tcW w:w="1135"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pacing w:val="-1"/>
                <w:sz w:val="18"/>
              </w:rPr>
              <w:t>5,950,990.34</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82" w:top="1360" w:bottom="1180" w:left="1660" w:right="960"/>
        </w:sectPr>
      </w:pPr>
    </w:p>
    <w:p>
      <w:pPr>
        <w:spacing w:line="240" w:lineRule="auto" w:before="6"/>
        <w:rPr>
          <w:rFonts w:ascii="宋体" w:hAnsi="宋体" w:cs="宋体" w:eastAsia="宋体" w:hint="default"/>
          <w:sz w:val="10"/>
          <w:szCs w:val="10"/>
        </w:rPr>
      </w:pPr>
    </w:p>
    <w:p>
      <w:pPr>
        <w:pStyle w:val="Heading2"/>
        <w:tabs>
          <w:tab w:pos="1393" w:val="left" w:leader="none"/>
        </w:tabs>
        <w:spacing w:line="240" w:lineRule="auto" w:before="35"/>
        <w:ind w:left="855" w:right="224"/>
        <w:jc w:val="left"/>
        <w:rPr>
          <w:b w:val="0"/>
          <w:bCs w:val="0"/>
        </w:rPr>
      </w:pPr>
      <w:r>
        <w:rPr>
          <w:rFonts w:ascii="Times New Roman" w:hAnsi="Times New Roman" w:cs="Times New Roman" w:eastAsia="Times New Roman" w:hint="default"/>
          <w:w w:val="95"/>
        </w:rPr>
        <w:t>2</w:t>
      </w:r>
      <w:r>
        <w:rPr>
          <w:w w:val="95"/>
        </w:rPr>
        <w:t>、</w:t>
        <w:tab/>
      </w:r>
      <w:r>
        <w:rPr/>
        <w:t>期末应收账款中无持本公司</w:t>
      </w:r>
      <w:r>
        <w:rPr>
          <w:spacing w:val="-62"/>
        </w:rPr>
        <w:t> </w:t>
      </w:r>
      <w:r>
        <w:rPr>
          <w:rFonts w:ascii="Times New Roman" w:hAnsi="Times New Roman" w:cs="Times New Roman" w:eastAsia="Times New Roman" w:hint="default"/>
        </w:rPr>
        <w:t>5</w:t>
      </w:r>
      <w:r>
        <w:rPr/>
        <w:t>％以上（含</w:t>
      </w:r>
      <w:r>
        <w:rPr>
          <w:spacing w:val="-62"/>
        </w:rPr>
        <w:t> </w:t>
      </w:r>
      <w:r>
        <w:rPr>
          <w:rFonts w:ascii="Times New Roman" w:hAnsi="Times New Roman" w:cs="Times New Roman" w:eastAsia="Times New Roman" w:hint="default"/>
        </w:rPr>
        <w:t>5</w:t>
      </w:r>
      <w:r>
        <w:rPr/>
        <w:t>％）表决权股份的股东单位欠款。</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1393" w:val="left" w:leader="none"/>
        </w:tabs>
        <w:spacing w:before="0"/>
        <w:ind w:left="854" w:right="224" w:firstLine="0"/>
        <w:jc w:val="left"/>
        <w:rPr>
          <w:rFonts w:ascii="宋体" w:hAnsi="宋体" w:cs="宋体" w:eastAsia="宋体" w:hint="default"/>
          <w:sz w:val="21"/>
          <w:szCs w:val="21"/>
        </w:rPr>
      </w:pPr>
      <w:r>
        <w:rPr/>
        <w:pict>
          <v:group style="position:absolute;margin-left:146.520004pt;margin-top:31.468491pt;width:390.8pt;height:149.65pt;mso-position-horizontal-relative:page;mso-position-vertical-relative:paragraph;z-index:-705544" coordorigin="2930,629" coordsize="7816,2993">
            <v:shape style="position:absolute;left:5761;top:629;width:3574;height:787" type="#_x0000_t75" stroked="false">
              <v:imagedata r:id="rId293" o:title=""/>
            </v:shape>
            <v:shape style="position:absolute;left:2930;top:1378;width:7816;height:2244" type="#_x0000_t75" stroked="false">
              <v:imagedata r:id="rId294" o:title=""/>
            </v:shape>
            <w10:wrap type="none"/>
          </v:group>
        </w:pict>
      </w: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应收账款中欠款金额前五名</w:t>
      </w:r>
      <w:r>
        <w:rPr>
          <w:rFonts w:ascii="宋体" w:hAnsi="宋体" w:cs="宋体" w:eastAsia="宋体" w:hint="default"/>
          <w:sz w:val="21"/>
          <w:szCs w:val="21"/>
        </w:rPr>
      </w:r>
    </w:p>
    <w:p>
      <w:pPr>
        <w:spacing w:line="240" w:lineRule="auto" w:before="1"/>
        <w:rPr>
          <w:rFonts w:ascii="宋体" w:hAnsi="宋体" w:cs="宋体" w:eastAsia="宋体" w:hint="default"/>
          <w:b/>
          <w:bCs/>
          <w:sz w:val="25"/>
          <w:szCs w:val="25"/>
        </w:rPr>
      </w:pPr>
    </w:p>
    <w:tbl>
      <w:tblPr>
        <w:tblW w:w="0" w:type="auto"/>
        <w:jc w:val="left"/>
        <w:tblInd w:w="1289" w:type="dxa"/>
        <w:tblLayout w:type="fixed"/>
        <w:tblCellMar>
          <w:top w:w="0" w:type="dxa"/>
          <w:left w:w="0" w:type="dxa"/>
          <w:bottom w:w="0" w:type="dxa"/>
          <w:right w:w="0" w:type="dxa"/>
        </w:tblCellMar>
        <w:tblLook w:val="01E0"/>
      </w:tblPr>
      <w:tblGrid>
        <w:gridCol w:w="2831"/>
        <w:gridCol w:w="1052"/>
        <w:gridCol w:w="1344"/>
        <w:gridCol w:w="1133"/>
        <w:gridCol w:w="1412"/>
      </w:tblGrid>
      <w:tr>
        <w:trPr>
          <w:trHeight w:val="792" w:hRule="exact"/>
        </w:trPr>
        <w:tc>
          <w:tcPr>
            <w:tcW w:w="2831"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3"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052" w:type="dxa"/>
            <w:tcBorders>
              <w:top w:val="single" w:sz="12" w:space="0" w:color="000000"/>
              <w:left w:val="nil" w:sz="6" w:space="0" w:color="auto"/>
              <w:bottom w:val="nil" w:sz="6" w:space="0" w:color="auto"/>
              <w:right w:val="nil" w:sz="6" w:space="0" w:color="auto"/>
            </w:tcBorders>
          </w:tcPr>
          <w:p>
            <w:pPr>
              <w:pStyle w:val="TableParagraph"/>
              <w:spacing w:line="381" w:lineRule="auto" w:before="41"/>
              <w:ind w:left="312" w:right="198" w:hanging="180"/>
              <w:jc w:val="left"/>
              <w:rPr>
                <w:rFonts w:ascii="宋体" w:hAnsi="宋体" w:cs="宋体" w:eastAsia="宋体" w:hint="default"/>
                <w:sz w:val="18"/>
                <w:szCs w:val="18"/>
              </w:rPr>
            </w:pPr>
            <w:r>
              <w:rPr>
                <w:rFonts w:ascii="宋体" w:hAnsi="宋体" w:cs="宋体" w:eastAsia="宋体" w:hint="default"/>
                <w:sz w:val="18"/>
                <w:szCs w:val="18"/>
              </w:rPr>
              <w:t>与本公司 关系</w:t>
            </w:r>
          </w:p>
        </w:tc>
        <w:tc>
          <w:tcPr>
            <w:tcW w:w="1344"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27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33"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年限</w:t>
            </w:r>
          </w:p>
        </w:tc>
        <w:tc>
          <w:tcPr>
            <w:tcW w:w="1412" w:type="dxa"/>
            <w:tcBorders>
              <w:top w:val="single" w:sz="12" w:space="0" w:color="000000"/>
              <w:left w:val="nil" w:sz="6" w:space="0" w:color="auto"/>
              <w:bottom w:val="nil" w:sz="6" w:space="0" w:color="auto"/>
              <w:right w:val="nil" w:sz="6" w:space="0" w:color="auto"/>
            </w:tcBorders>
          </w:tcPr>
          <w:p>
            <w:pPr>
              <w:pStyle w:val="TableParagraph"/>
              <w:spacing w:line="381" w:lineRule="auto" w:before="41"/>
              <w:ind w:left="214" w:right="159" w:hanging="45"/>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占应收账款总 额的比例</w:t>
            </w:r>
            <w:r>
              <w:rPr>
                <w:rFonts w:ascii="Times New Roman" w:hAnsi="Times New Roman" w:cs="Times New Roman" w:eastAsia="Times New Roman" w:hint="default"/>
                <w:sz w:val="18"/>
                <w:szCs w:val="18"/>
              </w:rPr>
              <w:t>(%)</w:t>
            </w:r>
          </w:p>
        </w:tc>
      </w:tr>
      <w:tr>
        <w:trPr>
          <w:trHeight w:val="440" w:hRule="exact"/>
        </w:trPr>
        <w:tc>
          <w:tcPr>
            <w:tcW w:w="2831" w:type="dxa"/>
            <w:tcBorders>
              <w:top w:val="nil" w:sz="6" w:space="0" w:color="auto"/>
              <w:left w:val="nil" w:sz="6" w:space="0" w:color="auto"/>
              <w:bottom w:val="nil" w:sz="6" w:space="0" w:color="auto"/>
              <w:right w:val="nil" w:sz="6" w:space="0" w:color="auto"/>
            </w:tcBorders>
          </w:tcPr>
          <w:p>
            <w:pPr>
              <w:pStyle w:val="TableParagraph"/>
              <w:spacing w:line="240" w:lineRule="auto" w:before="60"/>
              <w:ind w:left="198" w:right="0"/>
              <w:jc w:val="left"/>
              <w:rPr>
                <w:rFonts w:ascii="宋体" w:hAnsi="宋体" w:cs="宋体" w:eastAsia="宋体" w:hint="default"/>
                <w:sz w:val="18"/>
                <w:szCs w:val="18"/>
              </w:rPr>
            </w:pPr>
            <w:r>
              <w:rPr>
                <w:rFonts w:ascii="宋体" w:hAnsi="宋体" w:cs="宋体" w:eastAsia="宋体" w:hint="default"/>
                <w:sz w:val="18"/>
                <w:szCs w:val="18"/>
              </w:rPr>
              <w:t>中国移动通信集团重庆有限公司</w:t>
            </w:r>
          </w:p>
        </w:tc>
        <w:tc>
          <w:tcPr>
            <w:tcW w:w="105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04"/>
              <w:jc w:val="center"/>
              <w:rPr>
                <w:rFonts w:ascii="宋体" w:hAnsi="宋体" w:cs="宋体" w:eastAsia="宋体" w:hint="default"/>
                <w:sz w:val="18"/>
                <w:szCs w:val="18"/>
              </w:rPr>
            </w:pPr>
            <w:r>
              <w:rPr>
                <w:rFonts w:ascii="宋体" w:hAnsi="宋体" w:cs="宋体" w:eastAsia="宋体" w:hint="default"/>
                <w:sz w:val="18"/>
                <w:szCs w:val="18"/>
              </w:rPr>
              <w:t>主要客户</w:t>
            </w:r>
          </w:p>
        </w:tc>
        <w:tc>
          <w:tcPr>
            <w:tcW w:w="134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pacing w:val="-1"/>
                <w:sz w:val="18"/>
              </w:rPr>
              <w:t>17,508,373.24</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6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*1</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8"/>
              <w:jc w:val="right"/>
              <w:rPr>
                <w:rFonts w:ascii="Times New Roman" w:hAnsi="Times New Roman" w:cs="Times New Roman" w:eastAsia="Times New Roman" w:hint="default"/>
                <w:sz w:val="18"/>
                <w:szCs w:val="18"/>
              </w:rPr>
            </w:pPr>
            <w:r>
              <w:rPr>
                <w:rFonts w:ascii="Times New Roman"/>
                <w:sz w:val="18"/>
              </w:rPr>
              <w:t>9.85</w:t>
            </w:r>
          </w:p>
        </w:tc>
      </w:tr>
      <w:tr>
        <w:trPr>
          <w:trHeight w:val="442" w:hRule="exact"/>
        </w:trPr>
        <w:tc>
          <w:tcPr>
            <w:tcW w:w="2831"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08" w:right="0"/>
              <w:jc w:val="left"/>
              <w:rPr>
                <w:rFonts w:ascii="宋体" w:hAnsi="宋体" w:cs="宋体" w:eastAsia="宋体" w:hint="default"/>
                <w:sz w:val="18"/>
                <w:szCs w:val="18"/>
              </w:rPr>
            </w:pPr>
            <w:r>
              <w:rPr>
                <w:rFonts w:ascii="宋体" w:hAnsi="宋体" w:cs="宋体" w:eastAsia="宋体" w:hint="default"/>
                <w:sz w:val="18"/>
                <w:szCs w:val="18"/>
              </w:rPr>
              <w:t>中国移动通信集团广东有限公司</w:t>
            </w:r>
          </w:p>
        </w:tc>
        <w:tc>
          <w:tcPr>
            <w:tcW w:w="105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4"/>
              <w:jc w:val="center"/>
              <w:rPr>
                <w:rFonts w:ascii="宋体" w:hAnsi="宋体" w:cs="宋体" w:eastAsia="宋体" w:hint="default"/>
                <w:sz w:val="18"/>
                <w:szCs w:val="18"/>
              </w:rPr>
            </w:pPr>
            <w:r>
              <w:rPr>
                <w:rFonts w:ascii="宋体" w:hAnsi="宋体" w:cs="宋体" w:eastAsia="宋体" w:hint="default"/>
                <w:sz w:val="18"/>
                <w:szCs w:val="18"/>
              </w:rPr>
              <w:t>主要客户</w:t>
            </w:r>
          </w:p>
        </w:tc>
        <w:tc>
          <w:tcPr>
            <w:tcW w:w="1344"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06"/>
              <w:jc w:val="right"/>
              <w:rPr>
                <w:rFonts w:ascii="Times New Roman" w:hAnsi="Times New Roman" w:cs="Times New Roman" w:eastAsia="Times New Roman" w:hint="default"/>
                <w:sz w:val="18"/>
                <w:szCs w:val="18"/>
              </w:rPr>
            </w:pPr>
            <w:r>
              <w:rPr>
                <w:rFonts w:ascii="Times New Roman"/>
                <w:spacing w:val="-1"/>
                <w:sz w:val="18"/>
              </w:rPr>
              <w:t>15,897,986.46</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6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*2</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98"/>
              <w:jc w:val="right"/>
              <w:rPr>
                <w:rFonts w:ascii="Times New Roman" w:hAnsi="Times New Roman" w:cs="Times New Roman" w:eastAsia="Times New Roman" w:hint="default"/>
                <w:sz w:val="18"/>
                <w:szCs w:val="18"/>
              </w:rPr>
            </w:pPr>
            <w:r>
              <w:rPr>
                <w:rFonts w:ascii="Times New Roman"/>
                <w:sz w:val="18"/>
              </w:rPr>
              <w:t>8.94</w:t>
            </w:r>
          </w:p>
        </w:tc>
      </w:tr>
      <w:tr>
        <w:trPr>
          <w:trHeight w:val="422" w:hRule="exact"/>
        </w:trPr>
        <w:tc>
          <w:tcPr>
            <w:tcW w:w="2831"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08" w:right="0"/>
              <w:jc w:val="left"/>
              <w:rPr>
                <w:rFonts w:ascii="宋体" w:hAnsi="宋体" w:cs="宋体" w:eastAsia="宋体" w:hint="default"/>
                <w:sz w:val="18"/>
                <w:szCs w:val="18"/>
              </w:rPr>
            </w:pPr>
            <w:r>
              <w:rPr>
                <w:rFonts w:ascii="宋体" w:hAnsi="宋体" w:cs="宋体" w:eastAsia="宋体" w:hint="default"/>
                <w:sz w:val="18"/>
                <w:szCs w:val="18"/>
              </w:rPr>
              <w:t>中国人寿保险股份有限公司</w:t>
            </w:r>
          </w:p>
        </w:tc>
        <w:tc>
          <w:tcPr>
            <w:tcW w:w="105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04"/>
              <w:jc w:val="center"/>
              <w:rPr>
                <w:rFonts w:ascii="宋体" w:hAnsi="宋体" w:cs="宋体" w:eastAsia="宋体" w:hint="default"/>
                <w:sz w:val="18"/>
                <w:szCs w:val="18"/>
              </w:rPr>
            </w:pPr>
            <w:r>
              <w:rPr>
                <w:rFonts w:ascii="宋体" w:hAnsi="宋体" w:cs="宋体" w:eastAsia="宋体" w:hint="default"/>
                <w:sz w:val="18"/>
                <w:szCs w:val="18"/>
              </w:rPr>
              <w:t>主要客户</w:t>
            </w:r>
          </w:p>
        </w:tc>
        <w:tc>
          <w:tcPr>
            <w:tcW w:w="134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pacing w:val="-1"/>
                <w:sz w:val="18"/>
              </w:rPr>
              <w:t>13,258,567.11</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6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*3</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8"/>
                <w:szCs w:val="18"/>
              </w:rPr>
            </w:pPr>
            <w:r>
              <w:rPr>
                <w:rFonts w:ascii="Times New Roman"/>
                <w:sz w:val="18"/>
              </w:rPr>
              <w:t>7.46</w:t>
            </w:r>
          </w:p>
        </w:tc>
      </w:tr>
      <w:tr>
        <w:trPr>
          <w:trHeight w:val="440" w:hRule="exact"/>
        </w:trPr>
        <w:tc>
          <w:tcPr>
            <w:tcW w:w="2831" w:type="dxa"/>
            <w:tcBorders>
              <w:top w:val="nil" w:sz="6" w:space="0" w:color="auto"/>
              <w:left w:val="nil" w:sz="6" w:space="0" w:color="auto"/>
              <w:bottom w:val="nil" w:sz="6" w:space="0" w:color="auto"/>
              <w:right w:val="nil" w:sz="6" w:space="0" w:color="auto"/>
            </w:tcBorders>
          </w:tcPr>
          <w:p>
            <w:pPr>
              <w:pStyle w:val="TableParagraph"/>
              <w:spacing w:line="240" w:lineRule="auto" w:before="60"/>
              <w:ind w:left="108" w:right="0"/>
              <w:jc w:val="left"/>
              <w:rPr>
                <w:rFonts w:ascii="宋体" w:hAnsi="宋体" w:cs="宋体" w:eastAsia="宋体" w:hint="default"/>
                <w:sz w:val="18"/>
                <w:szCs w:val="18"/>
              </w:rPr>
            </w:pPr>
            <w:r>
              <w:rPr>
                <w:rFonts w:ascii="宋体" w:hAnsi="宋体" w:cs="宋体" w:eastAsia="宋体" w:hint="default"/>
                <w:sz w:val="18"/>
                <w:szCs w:val="18"/>
              </w:rPr>
              <w:t>中国移动通信集团北京有限公司</w:t>
            </w:r>
          </w:p>
        </w:tc>
        <w:tc>
          <w:tcPr>
            <w:tcW w:w="105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04"/>
              <w:jc w:val="center"/>
              <w:rPr>
                <w:rFonts w:ascii="宋体" w:hAnsi="宋体" w:cs="宋体" w:eastAsia="宋体" w:hint="default"/>
                <w:sz w:val="18"/>
                <w:szCs w:val="18"/>
              </w:rPr>
            </w:pPr>
            <w:r>
              <w:rPr>
                <w:rFonts w:ascii="宋体" w:hAnsi="宋体" w:cs="宋体" w:eastAsia="宋体" w:hint="default"/>
                <w:sz w:val="18"/>
                <w:szCs w:val="18"/>
              </w:rPr>
              <w:t>主要客户</w:t>
            </w:r>
          </w:p>
        </w:tc>
        <w:tc>
          <w:tcPr>
            <w:tcW w:w="134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pacing w:val="-1"/>
                <w:sz w:val="18"/>
              </w:rPr>
              <w:t>12,228,251.08</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6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*4</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8"/>
              <w:jc w:val="right"/>
              <w:rPr>
                <w:rFonts w:ascii="Times New Roman" w:hAnsi="Times New Roman" w:cs="Times New Roman" w:eastAsia="Times New Roman" w:hint="default"/>
                <w:sz w:val="18"/>
                <w:szCs w:val="18"/>
              </w:rPr>
            </w:pPr>
            <w:r>
              <w:rPr>
                <w:rFonts w:ascii="Times New Roman"/>
                <w:sz w:val="18"/>
              </w:rPr>
              <w:t>6.88</w:t>
            </w:r>
          </w:p>
        </w:tc>
      </w:tr>
      <w:tr>
        <w:trPr>
          <w:trHeight w:val="467" w:hRule="exact"/>
        </w:trPr>
        <w:tc>
          <w:tcPr>
            <w:tcW w:w="2831"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left="108" w:right="0"/>
              <w:jc w:val="left"/>
              <w:rPr>
                <w:rFonts w:ascii="宋体" w:hAnsi="宋体" w:cs="宋体" w:eastAsia="宋体" w:hint="default"/>
                <w:sz w:val="18"/>
                <w:szCs w:val="18"/>
              </w:rPr>
            </w:pPr>
            <w:r>
              <w:rPr>
                <w:rFonts w:ascii="宋体" w:hAnsi="宋体" w:cs="宋体" w:eastAsia="宋体" w:hint="default"/>
                <w:sz w:val="18"/>
                <w:szCs w:val="18"/>
              </w:rPr>
              <w:t>中国移动通信集团河北有限公司</w:t>
            </w:r>
          </w:p>
        </w:tc>
        <w:tc>
          <w:tcPr>
            <w:tcW w:w="1052"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right="104"/>
              <w:jc w:val="center"/>
              <w:rPr>
                <w:rFonts w:ascii="宋体" w:hAnsi="宋体" w:cs="宋体" w:eastAsia="宋体" w:hint="default"/>
                <w:sz w:val="18"/>
                <w:szCs w:val="18"/>
              </w:rPr>
            </w:pPr>
            <w:r>
              <w:rPr>
                <w:rFonts w:ascii="宋体" w:hAnsi="宋体" w:cs="宋体" w:eastAsia="宋体" w:hint="default"/>
                <w:sz w:val="18"/>
                <w:szCs w:val="18"/>
              </w:rPr>
              <w:t>主要客户</w:t>
            </w:r>
          </w:p>
        </w:tc>
        <w:tc>
          <w:tcPr>
            <w:tcW w:w="1344"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106"/>
              <w:jc w:val="right"/>
              <w:rPr>
                <w:rFonts w:ascii="Times New Roman" w:hAnsi="Times New Roman" w:cs="Times New Roman" w:eastAsia="Times New Roman" w:hint="default"/>
                <w:sz w:val="18"/>
                <w:szCs w:val="18"/>
              </w:rPr>
            </w:pPr>
            <w:r>
              <w:rPr>
                <w:rFonts w:ascii="Times New Roman"/>
                <w:spacing w:val="-1"/>
                <w:sz w:val="18"/>
              </w:rPr>
              <w:t>9,351,486.79</w:t>
            </w:r>
          </w:p>
        </w:tc>
        <w:tc>
          <w:tcPr>
            <w:tcW w:w="1133"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right="6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*5</w:t>
            </w:r>
          </w:p>
        </w:tc>
        <w:tc>
          <w:tcPr>
            <w:tcW w:w="1412"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98"/>
              <w:jc w:val="right"/>
              <w:rPr>
                <w:rFonts w:ascii="Times New Roman" w:hAnsi="Times New Roman" w:cs="Times New Roman" w:eastAsia="Times New Roman" w:hint="default"/>
                <w:sz w:val="18"/>
                <w:szCs w:val="18"/>
              </w:rPr>
            </w:pPr>
            <w:r>
              <w:rPr>
                <w:rFonts w:ascii="Times New Roman"/>
                <w:sz w:val="18"/>
              </w:rPr>
              <w:t>5.26</w:t>
            </w:r>
          </w:p>
        </w:tc>
      </w:tr>
    </w:tbl>
    <w:p>
      <w:pPr>
        <w:spacing w:line="240" w:lineRule="auto" w:before="4"/>
        <w:rPr>
          <w:rFonts w:ascii="宋体" w:hAnsi="宋体" w:cs="宋体" w:eastAsia="宋体" w:hint="default"/>
          <w:b/>
          <w:bCs/>
          <w:sz w:val="28"/>
          <w:szCs w:val="28"/>
        </w:rPr>
      </w:pPr>
    </w:p>
    <w:p>
      <w:pPr>
        <w:pStyle w:val="BodyText"/>
        <w:spacing w:line="240" w:lineRule="auto" w:before="35"/>
        <w:ind w:left="1397" w:right="224"/>
        <w:jc w:val="left"/>
      </w:pPr>
      <w:r>
        <w:rPr>
          <w:spacing w:val="-16"/>
        </w:rPr>
        <w:t>*1：其中：1</w:t>
      </w:r>
      <w:r>
        <w:rPr>
          <w:spacing w:val="-54"/>
        </w:rPr>
        <w:t> </w:t>
      </w:r>
      <w:r>
        <w:rPr/>
        <w:t>年以内</w:t>
      </w:r>
      <w:r>
        <w:rPr>
          <w:spacing w:val="-54"/>
        </w:rPr>
        <w:t> </w:t>
      </w:r>
      <w:r>
        <w:rPr/>
        <w:t>11,532,338.00</w:t>
      </w:r>
      <w:r>
        <w:rPr>
          <w:spacing w:val="-53"/>
        </w:rPr>
        <w:t> </w:t>
      </w:r>
      <w:r>
        <w:rPr>
          <w:spacing w:val="-12"/>
        </w:rPr>
        <w:t>元；1-2</w:t>
      </w:r>
      <w:r>
        <w:rPr>
          <w:spacing w:val="-54"/>
        </w:rPr>
        <w:t> </w:t>
      </w:r>
      <w:r>
        <w:rPr/>
        <w:t>年</w:t>
      </w:r>
      <w:r>
        <w:rPr>
          <w:spacing w:val="-54"/>
        </w:rPr>
        <w:t> </w:t>
      </w:r>
      <w:r>
        <w:rPr/>
        <w:t>5,206,702.12</w:t>
      </w:r>
      <w:r>
        <w:rPr>
          <w:spacing w:val="-53"/>
        </w:rPr>
        <w:t> </w:t>
      </w:r>
      <w:r>
        <w:rPr>
          <w:spacing w:val="-12"/>
        </w:rPr>
        <w:t>元；3-4</w:t>
      </w:r>
      <w:r>
        <w:rPr>
          <w:spacing w:val="-54"/>
        </w:rPr>
        <w:t> </w:t>
      </w:r>
      <w:r>
        <w:rPr/>
        <w:t>年</w:t>
      </w:r>
      <w:r>
        <w:rPr>
          <w:spacing w:val="-54"/>
        </w:rPr>
        <w:t> </w:t>
      </w:r>
      <w:r>
        <w:rPr/>
        <w:t>769,333.12</w:t>
      </w:r>
    </w:p>
    <w:p>
      <w:pPr>
        <w:pStyle w:val="BodyText"/>
        <w:spacing w:line="240" w:lineRule="auto" w:before="125"/>
        <w:ind w:left="1397" w:right="224"/>
        <w:jc w:val="left"/>
      </w:pPr>
      <w:r>
        <w:rPr/>
        <w:t>元。</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BodyText"/>
        <w:spacing w:line="240" w:lineRule="auto"/>
        <w:ind w:left="1397" w:right="224"/>
        <w:jc w:val="left"/>
      </w:pPr>
      <w:r>
        <w:rPr/>
        <w:t>*2：其中：1</w:t>
      </w:r>
      <w:r>
        <w:rPr>
          <w:spacing w:val="-56"/>
        </w:rPr>
        <w:t> </w:t>
      </w:r>
      <w:r>
        <w:rPr/>
        <w:t>年以内</w:t>
      </w:r>
      <w:r>
        <w:rPr>
          <w:spacing w:val="-56"/>
        </w:rPr>
        <w:t> </w:t>
      </w:r>
      <w:r>
        <w:rPr/>
        <w:t>15,887,437.46</w:t>
      </w:r>
      <w:r>
        <w:rPr>
          <w:spacing w:val="-55"/>
        </w:rPr>
        <w:t> </w:t>
      </w:r>
      <w:r>
        <w:rPr/>
        <w:t>元；1-2</w:t>
      </w:r>
      <w:r>
        <w:rPr>
          <w:spacing w:val="-55"/>
        </w:rPr>
        <w:t> </w:t>
      </w:r>
      <w:r>
        <w:rPr/>
        <w:t>年</w:t>
      </w:r>
      <w:r>
        <w:rPr>
          <w:spacing w:val="-57"/>
        </w:rPr>
        <w:t> </w:t>
      </w:r>
      <w:r>
        <w:rPr/>
        <w:t>10,549.00</w:t>
      </w:r>
      <w:r>
        <w:rPr>
          <w:spacing w:val="-55"/>
        </w:rPr>
        <w:t> </w:t>
      </w:r>
      <w:r>
        <w:rPr/>
        <w:t>元。</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BodyText"/>
        <w:spacing w:line="240" w:lineRule="auto"/>
        <w:ind w:left="1397" w:right="224"/>
        <w:jc w:val="left"/>
      </w:pPr>
      <w:r>
        <w:rPr/>
        <w:t>*3:</w:t>
      </w:r>
      <w:r>
        <w:rPr>
          <w:spacing w:val="-5"/>
        </w:rPr>
        <w:t> </w:t>
      </w:r>
      <w:r>
        <w:rPr/>
        <w:t>其中：1</w:t>
      </w:r>
      <w:r>
        <w:rPr>
          <w:spacing w:val="-56"/>
        </w:rPr>
        <w:t> </w:t>
      </w:r>
      <w:r>
        <w:rPr/>
        <w:t>年以内</w:t>
      </w:r>
      <w:r>
        <w:rPr>
          <w:spacing w:val="-56"/>
        </w:rPr>
        <w:t> </w:t>
      </w:r>
      <w:r>
        <w:rPr/>
        <w:t>13,092,325.11</w:t>
      </w:r>
      <w:r>
        <w:rPr>
          <w:spacing w:val="-55"/>
        </w:rPr>
        <w:t> </w:t>
      </w:r>
      <w:r>
        <w:rPr/>
        <w:t>元；1-2</w:t>
      </w:r>
      <w:r>
        <w:rPr>
          <w:spacing w:val="-55"/>
        </w:rPr>
        <w:t> </w:t>
      </w:r>
      <w:r>
        <w:rPr/>
        <w:t>年</w:t>
      </w:r>
      <w:r>
        <w:rPr>
          <w:spacing w:val="-57"/>
        </w:rPr>
        <w:t> </w:t>
      </w:r>
      <w:r>
        <w:rPr/>
        <w:t>166,242.00</w:t>
      </w:r>
      <w:r>
        <w:rPr>
          <w:spacing w:val="-55"/>
        </w:rPr>
        <w:t> </w:t>
      </w:r>
      <w:r>
        <w:rPr/>
        <w:t>元。</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BodyText"/>
        <w:spacing w:line="240" w:lineRule="auto"/>
        <w:ind w:left="1397" w:right="224"/>
        <w:jc w:val="left"/>
      </w:pPr>
      <w:r>
        <w:rPr/>
        <w:t>*4：其中：1</w:t>
      </w:r>
      <w:r>
        <w:rPr>
          <w:spacing w:val="-56"/>
        </w:rPr>
        <w:t> </w:t>
      </w:r>
      <w:r>
        <w:rPr/>
        <w:t>年以内</w:t>
      </w:r>
      <w:r>
        <w:rPr>
          <w:spacing w:val="-56"/>
        </w:rPr>
        <w:t> </w:t>
      </w:r>
      <w:r>
        <w:rPr/>
        <w:t>12,226,480.00</w:t>
      </w:r>
      <w:r>
        <w:rPr>
          <w:spacing w:val="-55"/>
        </w:rPr>
        <w:t> </w:t>
      </w:r>
      <w:r>
        <w:rPr/>
        <w:t>元；1-2</w:t>
      </w:r>
      <w:r>
        <w:rPr>
          <w:spacing w:val="-55"/>
        </w:rPr>
        <w:t> </w:t>
      </w:r>
      <w:r>
        <w:rPr/>
        <w:t>年</w:t>
      </w:r>
      <w:r>
        <w:rPr>
          <w:spacing w:val="-57"/>
        </w:rPr>
        <w:t> </w:t>
      </w:r>
      <w:r>
        <w:rPr/>
        <w:t>17,64.60</w:t>
      </w:r>
      <w:r>
        <w:rPr>
          <w:spacing w:val="-55"/>
        </w:rPr>
        <w:t> </w:t>
      </w:r>
      <w:r>
        <w:rPr/>
        <w:t>元；2-3</w:t>
      </w:r>
      <w:r>
        <w:rPr>
          <w:spacing w:val="-55"/>
        </w:rPr>
        <w:t> </w:t>
      </w:r>
      <w:r>
        <w:rPr/>
        <w:t>年</w:t>
      </w:r>
      <w:r>
        <w:rPr>
          <w:spacing w:val="-57"/>
        </w:rPr>
        <w:t> </w:t>
      </w:r>
      <w:r>
        <w:rPr/>
        <w:t>6.48</w:t>
      </w:r>
      <w:r>
        <w:rPr>
          <w:spacing w:val="-55"/>
        </w:rPr>
        <w:t> </w:t>
      </w:r>
      <w:r>
        <w:rPr/>
        <w:t>元。</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BodyText"/>
        <w:spacing w:line="348" w:lineRule="auto"/>
        <w:ind w:left="1397" w:right="144"/>
        <w:jc w:val="left"/>
      </w:pPr>
      <w:r>
        <w:rPr>
          <w:spacing w:val="-12"/>
        </w:rPr>
        <w:t>*5：其中：1</w:t>
      </w:r>
      <w:r>
        <w:rPr>
          <w:spacing w:val="-55"/>
        </w:rPr>
        <w:t> </w:t>
      </w:r>
      <w:r>
        <w:rPr/>
        <w:t>年以内</w:t>
      </w:r>
      <w:r>
        <w:rPr>
          <w:spacing w:val="-55"/>
        </w:rPr>
        <w:t> </w:t>
      </w:r>
      <w:r>
        <w:rPr/>
        <w:t>8,920,830.00</w:t>
      </w:r>
      <w:r>
        <w:rPr>
          <w:spacing w:val="-54"/>
        </w:rPr>
        <w:t> </w:t>
      </w:r>
      <w:r>
        <w:rPr>
          <w:spacing w:val="-9"/>
        </w:rPr>
        <w:t>元；1-2</w:t>
      </w:r>
      <w:r>
        <w:rPr>
          <w:spacing w:val="-54"/>
        </w:rPr>
        <w:t> </w:t>
      </w:r>
      <w:r>
        <w:rPr/>
        <w:t>年</w:t>
      </w:r>
      <w:r>
        <w:rPr>
          <w:spacing w:val="-56"/>
        </w:rPr>
        <w:t> </w:t>
      </w:r>
      <w:r>
        <w:rPr/>
        <w:t>88,200.00</w:t>
      </w:r>
      <w:r>
        <w:rPr>
          <w:spacing w:val="-54"/>
        </w:rPr>
        <w:t> </w:t>
      </w:r>
      <w:r>
        <w:rPr>
          <w:spacing w:val="-9"/>
        </w:rPr>
        <w:t>元；2-3</w:t>
      </w:r>
      <w:r>
        <w:rPr>
          <w:spacing w:val="-55"/>
        </w:rPr>
        <w:t> </w:t>
      </w:r>
      <w:r>
        <w:rPr/>
        <w:t>年</w:t>
      </w:r>
      <w:r>
        <w:rPr>
          <w:spacing w:val="-55"/>
        </w:rPr>
        <w:t> </w:t>
      </w:r>
      <w:r>
        <w:rPr/>
        <w:t>245,139.20</w:t>
      </w:r>
      <w:r>
        <w:rPr>
          <w:spacing w:val="-54"/>
        </w:rPr>
        <w:t> </w:t>
      </w:r>
      <w:r>
        <w:rPr/>
        <w:t>元；</w:t>
      </w:r>
      <w:r>
        <w:rPr>
          <w:spacing w:val="-1"/>
        </w:rPr>
        <w:t> </w:t>
      </w:r>
      <w:r>
        <w:rPr/>
        <w:t>4-5</w:t>
      </w:r>
      <w:r>
        <w:rPr>
          <w:spacing w:val="-54"/>
        </w:rPr>
        <w:t> </w:t>
      </w:r>
      <w:r>
        <w:rPr/>
        <w:t>年</w:t>
      </w:r>
      <w:r>
        <w:rPr>
          <w:spacing w:val="-56"/>
        </w:rPr>
        <w:t> </w:t>
      </w:r>
      <w:r>
        <w:rPr/>
        <w:t>97,317.59</w:t>
      </w:r>
      <w:r>
        <w:rPr>
          <w:spacing w:val="-54"/>
        </w:rPr>
        <w:t> </w:t>
      </w:r>
      <w:r>
        <w:rPr/>
        <w:t>元。</w:t>
      </w:r>
    </w:p>
    <w:p>
      <w:pPr>
        <w:spacing w:line="240" w:lineRule="auto" w:before="0"/>
        <w:rPr>
          <w:rFonts w:ascii="宋体" w:hAnsi="宋体" w:cs="宋体" w:eastAsia="宋体" w:hint="default"/>
          <w:sz w:val="20"/>
          <w:szCs w:val="20"/>
        </w:rPr>
      </w:pPr>
    </w:p>
    <w:p>
      <w:pPr>
        <w:pStyle w:val="Heading2"/>
        <w:tabs>
          <w:tab w:pos="851" w:val="left" w:leader="none"/>
        </w:tabs>
        <w:spacing w:line="240" w:lineRule="auto" w:before="169"/>
        <w:ind w:left="123" w:right="224"/>
        <w:jc w:val="left"/>
        <w:rPr>
          <w:b w:val="0"/>
          <w:bCs w:val="0"/>
        </w:rPr>
      </w:pP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其他应收款</w:t>
      </w:r>
      <w:r>
        <w:rPr>
          <w:b w:val="0"/>
          <w:bCs w:val="0"/>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410" w:val="left" w:leader="none"/>
        </w:tabs>
        <w:spacing w:before="0"/>
        <w:ind w:left="854" w:right="224"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其他应收款按种类披露：</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p>
      <w:pPr>
        <w:spacing w:line="2336" w:lineRule="exact"/>
        <w:ind w:left="1260" w:right="0" w:firstLine="0"/>
        <w:rPr>
          <w:rFonts w:ascii="宋体" w:hAnsi="宋体" w:cs="宋体" w:eastAsia="宋体" w:hint="default"/>
          <w:sz w:val="20"/>
          <w:szCs w:val="20"/>
        </w:rPr>
      </w:pPr>
      <w:r>
        <w:rPr>
          <w:rFonts w:ascii="宋体" w:hAnsi="宋体" w:cs="宋体" w:eastAsia="宋体" w:hint="default"/>
          <w:position w:val="-46"/>
          <w:sz w:val="20"/>
          <w:szCs w:val="20"/>
        </w:rPr>
        <w:pict>
          <v:group style="width:387pt;height:116.85pt;mso-position-horizontal-relative:char;mso-position-vertical-relative:line" coordorigin="0,0" coordsize="7740,2337">
            <v:group style="position:absolute;left:37;top:15;width:7677;height:2" coordorigin="37,15" coordsize="7677,2">
              <v:shape style="position:absolute;left:37;top:15;width:7677;height:2" coordorigin="37,15" coordsize="7677,0" path="m37,15l7713,15e" filled="false" stroked="true" strokeweight="1.5pt" strokecolor="#000000">
                <v:path arrowok="t"/>
              </v:shape>
              <v:shape style="position:absolute;left:1263;top:11;width:3222;height:413" type="#_x0000_t75" stroked="false">
                <v:imagedata r:id="rId295" o:title=""/>
              </v:shape>
            </v:group>
            <v:group style="position:absolute;left:15;top:2321;width:1268;height:2" coordorigin="15,2321" coordsize="1268,2">
              <v:shape style="position:absolute;left:15;top:2321;width:1268;height:2" coordorigin="15,2321" coordsize="1268,0" path="m15,2321l1282,2321e" filled="false" stroked="true" strokeweight="1.5pt" strokecolor="#000000">
                <v:path arrowok="t"/>
              </v:shape>
              <v:shape style="position:absolute;left:10;top:385;width:7729;height:1940" type="#_x0000_t75" stroked="false">
                <v:imagedata r:id="rId296" o:title=""/>
              </v:shape>
            </v:group>
            <v:group style="position:absolute;left:1282;top:2321;width:1074;height:2" coordorigin="1282,2321" coordsize="1074,2">
              <v:shape style="position:absolute;left:1282;top:2321;width:1074;height:2" coordorigin="1282,2321" coordsize="1074,0" path="m1282,2321l2356,2321e" filled="false" stroked="true" strokeweight="1.5pt" strokecolor="#000000">
                <v:path arrowok="t"/>
              </v:shape>
              <v:shape style="position:absolute;left:2337;top:1538;width:48;height:787" type="#_x0000_t75" stroked="false">
                <v:imagedata r:id="rId259" o:title=""/>
              </v:shape>
            </v:group>
            <v:group style="position:absolute;left:2356;top:2321;width:708;height:2" coordorigin="2356,2321" coordsize="708,2">
              <v:shape style="position:absolute;left:2356;top:2321;width:708;height:2" coordorigin="2356,2321" coordsize="708,0" path="m2356,2321l3064,2321e" filled="false" stroked="true" strokeweight="1.5pt" strokecolor="#000000">
                <v:path arrowok="t"/>
              </v:shape>
              <v:shape style="position:absolute;left:3045;top:1538;width:48;height:787" type="#_x0000_t75" stroked="false">
                <v:imagedata r:id="rId259" o:title=""/>
              </v:shape>
            </v:group>
            <v:group style="position:absolute;left:3064;top:2321;width:852;height:2" coordorigin="3064,2321" coordsize="852,2">
              <v:shape style="position:absolute;left:3064;top:2321;width:852;height:2" coordorigin="3064,2321" coordsize="852,0" path="m3064,2321l3916,2321e" filled="false" stroked="true" strokeweight="1.5pt" strokecolor="#000000">
                <v:path arrowok="t"/>
              </v:shape>
              <v:shape style="position:absolute;left:3897;top:1538;width:48;height:787" type="#_x0000_t75" stroked="false">
                <v:imagedata r:id="rId259" o:title=""/>
              </v:shape>
            </v:group>
            <v:group style="position:absolute;left:3916;top:2321;width:540;height:2" coordorigin="3916,2321" coordsize="540,2">
              <v:shape style="position:absolute;left:3916;top:2321;width:540;height:2" coordorigin="3916,2321" coordsize="540,0" path="m3916,2321l4456,2321e" filled="false" stroked="true" strokeweight="1.5pt" strokecolor="#000000">
                <v:path arrowok="t"/>
              </v:shape>
              <v:shape style="position:absolute;left:4437;top:1538;width:48;height:787" type="#_x0000_t75" stroked="false">
                <v:imagedata r:id="rId259" o:title=""/>
              </v:shape>
            </v:group>
            <v:group style="position:absolute;left:4456;top:2321;width:1019;height:2" coordorigin="4456,2321" coordsize="1019,2">
              <v:shape style="position:absolute;left:4456;top:2321;width:1019;height:2" coordorigin="4456,2321" coordsize="1019,0" path="m4456,2321l5475,2321e" filled="false" stroked="true" strokeweight="1.5pt" strokecolor="#000000">
                <v:path arrowok="t"/>
              </v:shape>
              <v:shape style="position:absolute;left:5456;top:1538;width:48;height:787" type="#_x0000_t75" stroked="false">
                <v:imagedata r:id="rId259" o:title=""/>
              </v:shape>
            </v:group>
            <v:group style="position:absolute;left:5475;top:2321;width:767;height:2" coordorigin="5475,2321" coordsize="767,2">
              <v:shape style="position:absolute;left:5475;top:2321;width:767;height:2" coordorigin="5475,2321" coordsize="767,0" path="m5475,2321l6242,2321e" filled="false" stroked="true" strokeweight="1.5pt" strokecolor="#000000">
                <v:path arrowok="t"/>
              </v:shape>
              <v:shape style="position:absolute;left:6223;top:1538;width:48;height:768" type="#_x0000_t75" stroked="false">
                <v:imagedata r:id="rId297" o:title=""/>
              </v:shape>
            </v:group>
            <v:group style="position:absolute;left:6242;top:2321;width:934;height:2" coordorigin="6242,2321" coordsize="934,2">
              <v:shape style="position:absolute;left:6242;top:2321;width:934;height:2" coordorigin="6242,2321" coordsize="934,0" path="m6242,2321l7175,2321e" filled="false" stroked="true" strokeweight="1.5pt" strokecolor="#000000">
                <v:path arrowok="t"/>
              </v:shape>
              <v:shape style="position:absolute;left:7156;top:1538;width:48;height:787" type="#_x0000_t75" stroked="false">
                <v:imagedata r:id="rId259" o:title=""/>
              </v:shape>
            </v:group>
            <v:group style="position:absolute;left:7175;top:2321;width:545;height:2" coordorigin="7175,2321" coordsize="545,2">
              <v:shape style="position:absolute;left:7175;top:2321;width:545;height:2" coordorigin="7175,2321" coordsize="545,0" path="m7175,2321l7720,2321e" filled="false" stroked="true" strokeweight="1.5pt" strokecolor="#000000">
                <v:path arrowok="t"/>
              </v:shape>
              <v:shape style="position:absolute;left:2613;top:151;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期末余额</w:t>
                      </w:r>
                      <w:r>
                        <w:rPr>
                          <w:rFonts w:ascii="宋体" w:hAnsi="宋体" w:cs="宋体" w:eastAsia="宋体" w:hint="default"/>
                          <w:sz w:val="13"/>
                          <w:szCs w:val="13"/>
                        </w:rPr>
                      </w:r>
                    </w:p>
                  </w:txbxContent>
                </v:textbox>
                <w10:wrap type="none"/>
              </v:shape>
              <v:shape style="position:absolute;left:5831;top:151;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年初余额</w:t>
                      </w:r>
                      <w:r>
                        <w:rPr>
                          <w:rFonts w:ascii="宋体" w:hAnsi="宋体" w:cs="宋体" w:eastAsia="宋体" w:hint="default"/>
                          <w:sz w:val="13"/>
                          <w:szCs w:val="13"/>
                        </w:rPr>
                      </w:r>
                    </w:p>
                  </w:txbxContent>
                </v:textbox>
                <w10:wrap type="none"/>
              </v:shape>
              <v:shape style="position:absolute;left:1917;top:535;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账面余额</w:t>
                      </w:r>
                      <w:r>
                        <w:rPr>
                          <w:rFonts w:ascii="宋体" w:hAnsi="宋体" w:cs="宋体" w:eastAsia="宋体" w:hint="default"/>
                          <w:sz w:val="13"/>
                          <w:szCs w:val="13"/>
                        </w:rPr>
                      </w:r>
                    </w:p>
                  </w:txbxContent>
                </v:textbox>
                <w10:wrap type="none"/>
              </v:shape>
              <v:shape style="position:absolute;left:3505;top:535;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xbxContent>
                </v:textbox>
                <w10:wrap type="none"/>
              </v:shape>
              <v:shape style="position:absolute;left:5095;top:535;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账面余额</w:t>
                      </w:r>
                      <w:r>
                        <w:rPr>
                          <w:rFonts w:ascii="宋体" w:hAnsi="宋体" w:cs="宋体" w:eastAsia="宋体" w:hint="default"/>
                          <w:sz w:val="13"/>
                          <w:szCs w:val="13"/>
                        </w:rPr>
                      </w:r>
                    </w:p>
                  </w:txbxContent>
                </v:textbox>
                <w10:wrap type="none"/>
              </v:shape>
              <v:shape style="position:absolute;left:6724;top:535;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xbxContent>
                </v:textbox>
                <w10:wrap type="none"/>
              </v:shape>
              <v:shape style="position:absolute;left:529;top:708;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种类</w:t>
                      </w:r>
                      <w:r>
                        <w:rPr>
                          <w:rFonts w:ascii="宋体" w:hAnsi="宋体" w:cs="宋体" w:eastAsia="宋体" w:hint="default"/>
                          <w:sz w:val="13"/>
                          <w:szCs w:val="13"/>
                        </w:rPr>
                      </w:r>
                    </w:p>
                  </w:txbxContent>
                </v:textbox>
                <w10:wrap type="none"/>
              </v:shape>
              <v:shape style="position:absolute;left:2584;top:919;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xbxContent>
                </v:textbox>
                <w10:wrap type="none"/>
              </v:shape>
              <v:shape style="position:absolute;left:4060;top:920;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xbxContent>
                </v:textbox>
                <w10:wrap type="none"/>
              </v:shape>
              <v:shape style="position:absolute;left:7320;top:920;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xbxContent>
                </v:textbox>
                <w10:wrap type="none"/>
              </v:shape>
              <v:shape style="position:absolute;left:1693;top:1107;width:5963;height:325" type="#_x0000_t202" filled="false" stroked="false">
                <v:textbox inset="0,0,0,0">
                  <w:txbxContent>
                    <w:p>
                      <w:pPr>
                        <w:tabs>
                          <w:tab w:pos="1671" w:val="left" w:leader="none"/>
                          <w:tab w:pos="3147" w:val="left" w:leader="none"/>
                          <w:tab w:pos="3895" w:val="left" w:leader="none"/>
                          <w:tab w:pos="4891" w:val="left" w:leader="none"/>
                        </w:tabs>
                        <w:spacing w:line="14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金额</w:t>
                        <w:tab/>
                        <w:t>金额</w:t>
                        <w:tab/>
                        <w:t>金额</w:t>
                        <w:tab/>
                      </w:r>
                      <w:r>
                        <w:rPr>
                          <w:rFonts w:ascii="宋体" w:hAnsi="宋体" w:cs="宋体" w:eastAsia="宋体" w:hint="default"/>
                          <w:spacing w:val="-3"/>
                          <w:sz w:val="13"/>
                          <w:szCs w:val="13"/>
                        </w:rPr>
                        <w:t>比例（</w:t>
                      </w:r>
                      <w:r>
                        <w:rPr>
                          <w:rFonts w:ascii="Times New Roman" w:hAnsi="Times New Roman" w:cs="Times New Roman" w:eastAsia="Times New Roman" w:hint="default"/>
                          <w:spacing w:val="-3"/>
                          <w:sz w:val="13"/>
                          <w:szCs w:val="13"/>
                        </w:rPr>
                        <w:t>%</w:t>
                      </w:r>
                      <w:r>
                        <w:rPr>
                          <w:rFonts w:ascii="宋体" w:hAnsi="宋体" w:cs="宋体" w:eastAsia="宋体" w:hint="default"/>
                          <w:spacing w:val="-3"/>
                          <w:sz w:val="13"/>
                          <w:szCs w:val="13"/>
                        </w:rPr>
                        <w:t>）</w:t>
                        <w:tab/>
                      </w:r>
                      <w:r>
                        <w:rPr>
                          <w:rFonts w:ascii="宋体" w:hAnsi="宋体" w:cs="宋体" w:eastAsia="宋体" w:hint="default"/>
                          <w:sz w:val="13"/>
                          <w:szCs w:val="13"/>
                        </w:rPr>
                        <w:t>金额</w:t>
                      </w:r>
                    </w:p>
                    <w:p>
                      <w:pPr>
                        <w:tabs>
                          <w:tab w:pos="2336" w:val="left" w:leader="none"/>
                          <w:tab w:pos="5595" w:val="left" w:leader="none"/>
                        </w:tabs>
                        <w:spacing w:line="177" w:lineRule="exact" w:before="7"/>
                        <w:ind w:left="838" w:right="0" w:firstLine="0"/>
                        <w:jc w:val="left"/>
                        <w:rPr>
                          <w:rFonts w:ascii="宋体" w:hAnsi="宋体" w:cs="宋体" w:eastAsia="宋体" w:hint="default"/>
                          <w:sz w:val="13"/>
                          <w:szCs w:val="13"/>
                        </w:rPr>
                      </w:pPr>
                      <w:r>
                        <w:rPr>
                          <w:rFonts w:ascii="宋体" w:hAnsi="宋体" w:cs="宋体" w:eastAsia="宋体" w:hint="default"/>
                          <w:w w:val="95"/>
                          <w:sz w:val="13"/>
                          <w:szCs w:val="13"/>
                        </w:rPr>
                        <w:t>（</w:t>
                      </w:r>
                      <w:r>
                        <w:rPr>
                          <w:rFonts w:ascii="Times New Roman" w:hAnsi="Times New Roman" w:cs="Times New Roman" w:eastAsia="Times New Roman" w:hint="default"/>
                          <w:w w:val="95"/>
                          <w:sz w:val="13"/>
                          <w:szCs w:val="13"/>
                        </w:rPr>
                        <w:t>%</w:t>
                      </w:r>
                      <w:r>
                        <w:rPr>
                          <w:rFonts w:ascii="宋体" w:hAnsi="宋体" w:cs="宋体" w:eastAsia="宋体" w:hint="default"/>
                          <w:w w:val="95"/>
                          <w:sz w:val="13"/>
                          <w:szCs w:val="13"/>
                        </w:rPr>
                        <w:t>）</w:t>
                        <w:tab/>
                        <w:t>（</w:t>
                      </w:r>
                      <w:r>
                        <w:rPr>
                          <w:rFonts w:ascii="Times New Roman" w:hAnsi="Times New Roman" w:cs="Times New Roman" w:eastAsia="Times New Roman" w:hint="default"/>
                          <w:w w:val="95"/>
                          <w:sz w:val="13"/>
                          <w:szCs w:val="13"/>
                        </w:rPr>
                        <w:t>%</w:t>
                      </w:r>
                      <w:r>
                        <w:rPr>
                          <w:rFonts w:ascii="宋体" w:hAnsi="宋体" w:cs="宋体" w:eastAsia="宋体" w:hint="default"/>
                          <w:w w:val="95"/>
                          <w:sz w:val="13"/>
                          <w:szCs w:val="13"/>
                        </w:rPr>
                        <w:t>）</w:t>
                        <w:tab/>
                        <w:t>（</w:t>
                      </w:r>
                      <w:r>
                        <w:rPr>
                          <w:rFonts w:ascii="Times New Roman" w:hAnsi="Times New Roman" w:cs="Times New Roman" w:eastAsia="Times New Roman" w:hint="default"/>
                          <w:w w:val="95"/>
                          <w:sz w:val="13"/>
                          <w:szCs w:val="13"/>
                        </w:rPr>
                        <w:t>%</w:t>
                      </w:r>
                      <w:r>
                        <w:rPr>
                          <w:rFonts w:ascii="宋体" w:hAnsi="宋体" w:cs="宋体" w:eastAsia="宋体" w:hint="default"/>
                          <w:w w:val="95"/>
                          <w:sz w:val="13"/>
                          <w:szCs w:val="13"/>
                        </w:rPr>
                        <w:t>）</w:t>
                      </w:r>
                      <w:r>
                        <w:rPr>
                          <w:rFonts w:ascii="宋体" w:hAnsi="宋体" w:cs="宋体" w:eastAsia="宋体" w:hint="default"/>
                          <w:sz w:val="13"/>
                          <w:szCs w:val="13"/>
                        </w:rPr>
                      </w:r>
                    </w:p>
                  </w:txbxContent>
                </v:textbox>
                <w10:wrap type="none"/>
              </v:shape>
              <v:shape style="position:absolute;left:137;top:1679;width:1041;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单项金额重大并单</w:t>
                      </w:r>
                    </w:p>
                  </w:txbxContent>
                </v:textbox>
                <w10:wrap type="none"/>
              </v:shape>
              <v:shape style="position:absolute;left:1445;top:1873;width:807;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spacing w:val="-1"/>
                          <w:sz w:val="13"/>
                        </w:rPr>
                        <w:t>110,871,278.18</w:t>
                      </w:r>
                    </w:p>
                  </w:txbxContent>
                </v:textbox>
                <w10:wrap type="none"/>
              </v:shape>
              <v:shape style="position:absolute;left:2670;top:1873;width:292;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94.87</w:t>
                      </w:r>
                      <w:r>
                        <w:rPr>
                          <w:rFonts w:ascii="Times New Roman"/>
                          <w:sz w:val="13"/>
                        </w:rPr>
                      </w:r>
                    </w:p>
                  </w:txbxContent>
                </v:textbox>
                <w10:wrap type="none"/>
              </v:shape>
              <v:shape style="position:absolute;left:4690;top:1873;width:682;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6,635,480.56</w:t>
                      </w:r>
                      <w:r>
                        <w:rPr>
                          <w:rFonts w:ascii="Times New Roman"/>
                          <w:sz w:val="13"/>
                        </w:rPr>
                      </w:r>
                    </w:p>
                  </w:txbxContent>
                </v:textbox>
                <w10:wrap type="none"/>
              </v:shape>
              <v:shape style="position:absolute;left:5847;top:1873;width:292;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52.08</w:t>
                      </w:r>
                      <w:r>
                        <w:rPr>
                          <w:rFonts w:ascii="Times New Roman"/>
                          <w:sz w:val="13"/>
                        </w:rPr>
                      </w:r>
                    </w:p>
                  </w:txbxContent>
                </v:textbox>
                <w10:wrap type="none"/>
              </v:shape>
              <v:shape style="position:absolute;left:137;top:2053;width:1041;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项计提坏账准备的</w:t>
                      </w:r>
                    </w:p>
                  </w:txbxContent>
                </v:textbox>
                <w10:wrap type="none"/>
              </v:shape>
            </v:group>
          </v:group>
        </w:pict>
      </w:r>
      <w:r>
        <w:rPr>
          <w:rFonts w:ascii="宋体" w:hAnsi="宋体" w:cs="宋体" w:eastAsia="宋体" w:hint="default"/>
          <w:position w:val="-46"/>
          <w:sz w:val="20"/>
          <w:szCs w:val="20"/>
        </w:rPr>
      </w:r>
    </w:p>
    <w:p>
      <w:pPr>
        <w:spacing w:after="0" w:line="2336" w:lineRule="exact"/>
        <w:rPr>
          <w:rFonts w:ascii="宋体" w:hAnsi="宋体" w:cs="宋体" w:eastAsia="宋体" w:hint="default"/>
          <w:sz w:val="20"/>
          <w:szCs w:val="20"/>
        </w:rPr>
        <w:sectPr>
          <w:pgSz w:w="11910" w:h="16840"/>
          <w:pgMar w:header="851" w:footer="982" w:top="1360" w:bottom="1180" w:left="1660" w:right="104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tbl>
      <w:tblPr>
        <w:tblW w:w="0" w:type="auto"/>
        <w:jc w:val="left"/>
        <w:tblInd w:w="1275" w:type="dxa"/>
        <w:tblLayout w:type="fixed"/>
        <w:tblCellMar>
          <w:top w:w="0" w:type="dxa"/>
          <w:left w:w="0" w:type="dxa"/>
          <w:bottom w:w="0" w:type="dxa"/>
          <w:right w:w="0" w:type="dxa"/>
        </w:tblCellMar>
        <w:tblLook w:val="01E0"/>
      </w:tblPr>
      <w:tblGrid>
        <w:gridCol w:w="1102"/>
        <w:gridCol w:w="1312"/>
        <w:gridCol w:w="667"/>
        <w:gridCol w:w="874"/>
        <w:gridCol w:w="553"/>
        <w:gridCol w:w="1055"/>
        <w:gridCol w:w="737"/>
        <w:gridCol w:w="883"/>
        <w:gridCol w:w="524"/>
      </w:tblGrid>
      <w:tr>
        <w:trPr>
          <w:trHeight w:val="632" w:hRule="exact"/>
        </w:trPr>
        <w:tc>
          <w:tcPr>
            <w:tcW w:w="7705" w:type="dxa"/>
            <w:gridSpan w:val="9"/>
            <w:tcBorders>
              <w:top w:val="nil" w:sz="6" w:space="0" w:color="auto"/>
              <w:left w:val="nil" w:sz="6" w:space="0" w:color="auto"/>
              <w:bottom w:val="nil" w:sz="6" w:space="0" w:color="auto"/>
              <w:right w:val="nil" w:sz="6" w:space="0" w:color="auto"/>
            </w:tcBorders>
          </w:tcPr>
          <w:p>
            <w:pPr>
              <w:pStyle w:val="TableParagraph"/>
              <w:spacing w:line="130" w:lineRule="exact"/>
              <w:ind w:left="122" w:right="0"/>
              <w:jc w:val="left"/>
              <w:rPr>
                <w:rFonts w:ascii="宋体" w:hAnsi="宋体" w:cs="宋体" w:eastAsia="宋体" w:hint="default"/>
                <w:sz w:val="13"/>
                <w:szCs w:val="13"/>
              </w:rPr>
            </w:pPr>
            <w:r>
              <w:rPr>
                <w:rFonts w:ascii="宋体" w:hAnsi="宋体" w:cs="宋体" w:eastAsia="宋体" w:hint="default"/>
                <w:sz w:val="13"/>
                <w:szCs w:val="13"/>
              </w:rPr>
              <w:t>按组合计提坏账准</w:t>
            </w: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22" w:right="0"/>
              <w:jc w:val="left"/>
              <w:rPr>
                <w:rFonts w:ascii="宋体" w:hAnsi="宋体" w:cs="宋体" w:eastAsia="宋体" w:hint="default"/>
                <w:sz w:val="13"/>
                <w:szCs w:val="13"/>
              </w:rPr>
            </w:pPr>
            <w:r>
              <w:rPr>
                <w:rFonts w:ascii="宋体" w:hAnsi="宋体" w:cs="宋体" w:eastAsia="宋体" w:hint="default"/>
                <w:sz w:val="13"/>
                <w:szCs w:val="13"/>
              </w:rPr>
              <w:t>备的其他应收款</w:t>
            </w:r>
          </w:p>
        </w:tc>
      </w:tr>
      <w:tr>
        <w:trPr>
          <w:trHeight w:val="388"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87"/>
              <w:ind w:left="122" w:right="0"/>
              <w:jc w:val="left"/>
              <w:rPr>
                <w:rFonts w:ascii="宋体" w:hAnsi="宋体" w:cs="宋体" w:eastAsia="宋体" w:hint="default"/>
                <w:sz w:val="13"/>
                <w:szCs w:val="13"/>
              </w:rPr>
            </w:pPr>
            <w:r>
              <w:rPr>
                <w:rFonts w:ascii="宋体" w:hAnsi="宋体" w:cs="宋体" w:eastAsia="宋体" w:hint="default"/>
                <w:sz w:val="13"/>
                <w:szCs w:val="13"/>
              </w:rPr>
              <w:t>账龄分析法</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9"/>
                <w:szCs w:val="9"/>
              </w:rPr>
            </w:pPr>
          </w:p>
          <w:p>
            <w:pPr>
              <w:pStyle w:val="TableParagraph"/>
              <w:spacing w:line="240" w:lineRule="auto"/>
              <w:ind w:right="174"/>
              <w:jc w:val="right"/>
              <w:rPr>
                <w:rFonts w:ascii="Times New Roman" w:hAnsi="Times New Roman" w:cs="Times New Roman" w:eastAsia="Times New Roman" w:hint="default"/>
                <w:sz w:val="13"/>
                <w:szCs w:val="13"/>
              </w:rPr>
            </w:pPr>
            <w:r>
              <w:rPr>
                <w:rFonts w:ascii="Times New Roman"/>
                <w:w w:val="95"/>
                <w:sz w:val="13"/>
              </w:rPr>
              <w:t>5,990,775.69</w:t>
            </w:r>
            <w:r>
              <w:rPr>
                <w:rFonts w:ascii="Times New Roman"/>
                <w:sz w:val="13"/>
              </w:rPr>
            </w:r>
          </w:p>
        </w:tc>
        <w:tc>
          <w:tcPr>
            <w:tcW w:w="66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9"/>
                <w:szCs w:val="9"/>
              </w:rPr>
            </w:pPr>
          </w:p>
          <w:p>
            <w:pPr>
              <w:pStyle w:val="TableParagraph"/>
              <w:spacing w:line="240" w:lineRule="auto"/>
              <w:ind w:right="131"/>
              <w:jc w:val="right"/>
              <w:rPr>
                <w:rFonts w:ascii="Times New Roman" w:hAnsi="Times New Roman" w:cs="Times New Roman" w:eastAsia="Times New Roman" w:hint="default"/>
                <w:sz w:val="13"/>
                <w:szCs w:val="13"/>
              </w:rPr>
            </w:pPr>
            <w:r>
              <w:rPr>
                <w:rFonts w:ascii="Times New Roman"/>
                <w:w w:val="95"/>
                <w:sz w:val="13"/>
              </w:rPr>
              <w:t>5.13</w:t>
            </w:r>
            <w:r>
              <w:rPr>
                <w:rFonts w:ascii="Times New Roman"/>
                <w:sz w:val="13"/>
              </w:rPr>
            </w:r>
          </w:p>
        </w:tc>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9"/>
                <w:szCs w:val="9"/>
              </w:rPr>
            </w:pPr>
          </w:p>
          <w:p>
            <w:pPr>
              <w:pStyle w:val="TableParagraph"/>
              <w:spacing w:line="240" w:lineRule="auto"/>
              <w:ind w:right="21"/>
              <w:jc w:val="center"/>
              <w:rPr>
                <w:rFonts w:ascii="Times New Roman" w:hAnsi="Times New Roman" w:cs="Times New Roman" w:eastAsia="Times New Roman" w:hint="default"/>
                <w:sz w:val="13"/>
                <w:szCs w:val="13"/>
              </w:rPr>
            </w:pPr>
            <w:r>
              <w:rPr>
                <w:rFonts w:ascii="Times New Roman"/>
                <w:sz w:val="13"/>
              </w:rPr>
              <w:t>419,662.70</w:t>
            </w:r>
          </w:p>
        </w:tc>
        <w:tc>
          <w:tcPr>
            <w:tcW w:w="55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9"/>
                <w:szCs w:val="9"/>
              </w:rPr>
            </w:pPr>
          </w:p>
          <w:p>
            <w:pPr>
              <w:pStyle w:val="TableParagraph"/>
              <w:spacing w:line="240" w:lineRule="auto"/>
              <w:ind w:right="9"/>
              <w:jc w:val="center"/>
              <w:rPr>
                <w:rFonts w:ascii="Times New Roman" w:hAnsi="Times New Roman" w:cs="Times New Roman" w:eastAsia="Times New Roman" w:hint="default"/>
                <w:sz w:val="13"/>
                <w:szCs w:val="13"/>
              </w:rPr>
            </w:pPr>
            <w:r>
              <w:rPr>
                <w:rFonts w:ascii="Times New Roman"/>
                <w:sz w:val="13"/>
              </w:rPr>
              <w:t>7.01</w:t>
            </w:r>
          </w:p>
        </w:tc>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9"/>
                <w:szCs w:val="9"/>
              </w:rPr>
            </w:pPr>
          </w:p>
          <w:p>
            <w:pPr>
              <w:pStyle w:val="TableParagraph"/>
              <w:spacing w:line="240" w:lineRule="auto"/>
              <w:ind w:right="203"/>
              <w:jc w:val="right"/>
              <w:rPr>
                <w:rFonts w:ascii="Times New Roman" w:hAnsi="Times New Roman" w:cs="Times New Roman" w:eastAsia="Times New Roman" w:hint="default"/>
                <w:sz w:val="13"/>
                <w:szCs w:val="13"/>
              </w:rPr>
            </w:pPr>
            <w:r>
              <w:rPr>
                <w:rFonts w:ascii="Times New Roman"/>
                <w:w w:val="95"/>
                <w:sz w:val="13"/>
              </w:rPr>
              <w:t>6,105,697.38</w:t>
            </w:r>
            <w:r>
              <w:rPr>
                <w:rFonts w:ascii="Times New Roman"/>
                <w:sz w:val="13"/>
              </w:rPr>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9"/>
                <w:szCs w:val="9"/>
              </w:rPr>
            </w:pPr>
          </w:p>
          <w:p>
            <w:pPr>
              <w:pStyle w:val="TableParagraph"/>
              <w:spacing w:line="240" w:lineRule="auto"/>
              <w:ind w:right="173"/>
              <w:jc w:val="right"/>
              <w:rPr>
                <w:rFonts w:ascii="Times New Roman" w:hAnsi="Times New Roman" w:cs="Times New Roman" w:eastAsia="Times New Roman" w:hint="default"/>
                <w:sz w:val="13"/>
                <w:szCs w:val="13"/>
              </w:rPr>
            </w:pPr>
            <w:r>
              <w:rPr>
                <w:rFonts w:ascii="Times New Roman"/>
                <w:w w:val="95"/>
                <w:sz w:val="13"/>
              </w:rPr>
              <w:t>47.92</w:t>
            </w:r>
            <w:r>
              <w:rPr>
                <w:rFonts w:ascii="Times New Roman"/>
                <w:sz w:val="13"/>
              </w:rPr>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9"/>
                <w:szCs w:val="9"/>
              </w:rPr>
            </w:pPr>
          </w:p>
          <w:p>
            <w:pPr>
              <w:pStyle w:val="TableParagraph"/>
              <w:spacing w:line="240" w:lineRule="auto"/>
              <w:ind w:right="122"/>
              <w:jc w:val="right"/>
              <w:rPr>
                <w:rFonts w:ascii="Times New Roman" w:hAnsi="Times New Roman" w:cs="Times New Roman" w:eastAsia="Times New Roman" w:hint="default"/>
                <w:sz w:val="13"/>
                <w:szCs w:val="13"/>
              </w:rPr>
            </w:pPr>
            <w:r>
              <w:rPr>
                <w:rFonts w:ascii="Times New Roman"/>
                <w:w w:val="95"/>
                <w:sz w:val="13"/>
              </w:rPr>
              <w:t>660,703.25</w:t>
            </w:r>
            <w:r>
              <w:rPr>
                <w:rFonts w:ascii="Times New Roman"/>
                <w:sz w:val="13"/>
              </w:rPr>
            </w:r>
          </w:p>
        </w:tc>
        <w:tc>
          <w:tcPr>
            <w:tcW w:w="52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9"/>
                <w:szCs w:val="9"/>
              </w:rPr>
            </w:pPr>
          </w:p>
          <w:p>
            <w:pPr>
              <w:pStyle w:val="TableParagraph"/>
              <w:spacing w:line="240" w:lineRule="auto"/>
              <w:ind w:right="105"/>
              <w:jc w:val="right"/>
              <w:rPr>
                <w:rFonts w:ascii="Times New Roman" w:hAnsi="Times New Roman" w:cs="Times New Roman" w:eastAsia="Times New Roman" w:hint="default"/>
                <w:sz w:val="13"/>
                <w:szCs w:val="13"/>
              </w:rPr>
            </w:pPr>
            <w:r>
              <w:rPr>
                <w:rFonts w:ascii="Times New Roman"/>
                <w:w w:val="95"/>
                <w:sz w:val="13"/>
              </w:rPr>
              <w:t>10.82</w:t>
            </w:r>
            <w:r>
              <w:rPr>
                <w:rFonts w:ascii="Times New Roman"/>
                <w:sz w:val="13"/>
              </w:rPr>
            </w:r>
          </w:p>
        </w:tc>
      </w:tr>
      <w:tr>
        <w:trPr>
          <w:trHeight w:val="384"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22" w:right="0"/>
              <w:jc w:val="left"/>
              <w:rPr>
                <w:rFonts w:ascii="宋体" w:hAnsi="宋体" w:cs="宋体" w:eastAsia="宋体" w:hint="default"/>
                <w:sz w:val="13"/>
                <w:szCs w:val="13"/>
              </w:rPr>
            </w:pPr>
            <w:r>
              <w:rPr>
                <w:rFonts w:ascii="宋体" w:hAnsi="宋体" w:cs="宋体" w:eastAsia="宋体" w:hint="default"/>
                <w:sz w:val="13"/>
                <w:szCs w:val="13"/>
              </w:rPr>
              <w:t>组合小计</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8"/>
                <w:szCs w:val="8"/>
              </w:rPr>
            </w:pPr>
          </w:p>
          <w:p>
            <w:pPr>
              <w:pStyle w:val="TableParagraph"/>
              <w:spacing w:line="240" w:lineRule="auto"/>
              <w:ind w:right="174"/>
              <w:jc w:val="right"/>
              <w:rPr>
                <w:rFonts w:ascii="Times New Roman" w:hAnsi="Times New Roman" w:cs="Times New Roman" w:eastAsia="Times New Roman" w:hint="default"/>
                <w:sz w:val="13"/>
                <w:szCs w:val="13"/>
              </w:rPr>
            </w:pPr>
            <w:r>
              <w:rPr>
                <w:rFonts w:ascii="Times New Roman"/>
                <w:w w:val="95"/>
                <w:sz w:val="13"/>
              </w:rPr>
              <w:t>5,990,775.69</w:t>
            </w:r>
            <w:r>
              <w:rPr>
                <w:rFonts w:ascii="Times New Roman"/>
                <w:sz w:val="13"/>
              </w:rPr>
            </w:r>
          </w:p>
        </w:tc>
        <w:tc>
          <w:tcPr>
            <w:tcW w:w="66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8"/>
                <w:szCs w:val="8"/>
              </w:rPr>
            </w:pPr>
          </w:p>
          <w:p>
            <w:pPr>
              <w:pStyle w:val="TableParagraph"/>
              <w:spacing w:line="240" w:lineRule="auto"/>
              <w:ind w:right="131"/>
              <w:jc w:val="right"/>
              <w:rPr>
                <w:rFonts w:ascii="Times New Roman" w:hAnsi="Times New Roman" w:cs="Times New Roman" w:eastAsia="Times New Roman" w:hint="default"/>
                <w:sz w:val="13"/>
                <w:szCs w:val="13"/>
              </w:rPr>
            </w:pPr>
            <w:r>
              <w:rPr>
                <w:rFonts w:ascii="Times New Roman"/>
                <w:w w:val="95"/>
                <w:sz w:val="13"/>
              </w:rPr>
              <w:t>5.13</w:t>
            </w:r>
            <w:r>
              <w:rPr>
                <w:rFonts w:ascii="Times New Roman"/>
                <w:sz w:val="13"/>
              </w:rPr>
            </w:r>
          </w:p>
        </w:tc>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8"/>
                <w:szCs w:val="8"/>
              </w:rPr>
            </w:pPr>
          </w:p>
          <w:p>
            <w:pPr>
              <w:pStyle w:val="TableParagraph"/>
              <w:spacing w:line="240" w:lineRule="auto"/>
              <w:ind w:right="21"/>
              <w:jc w:val="center"/>
              <w:rPr>
                <w:rFonts w:ascii="Times New Roman" w:hAnsi="Times New Roman" w:cs="Times New Roman" w:eastAsia="Times New Roman" w:hint="default"/>
                <w:sz w:val="13"/>
                <w:szCs w:val="13"/>
              </w:rPr>
            </w:pPr>
            <w:r>
              <w:rPr>
                <w:rFonts w:ascii="Times New Roman"/>
                <w:sz w:val="13"/>
              </w:rPr>
              <w:t>419,662.70</w:t>
            </w:r>
          </w:p>
        </w:tc>
        <w:tc>
          <w:tcPr>
            <w:tcW w:w="55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8"/>
                <w:szCs w:val="8"/>
              </w:rPr>
            </w:pPr>
          </w:p>
          <w:p>
            <w:pPr>
              <w:pStyle w:val="TableParagraph"/>
              <w:spacing w:line="240" w:lineRule="auto"/>
              <w:ind w:right="9"/>
              <w:jc w:val="center"/>
              <w:rPr>
                <w:rFonts w:ascii="Times New Roman" w:hAnsi="Times New Roman" w:cs="Times New Roman" w:eastAsia="Times New Roman" w:hint="default"/>
                <w:sz w:val="13"/>
                <w:szCs w:val="13"/>
              </w:rPr>
            </w:pPr>
            <w:r>
              <w:rPr>
                <w:rFonts w:ascii="Times New Roman"/>
                <w:sz w:val="13"/>
              </w:rPr>
              <w:t>7.01</w:t>
            </w:r>
          </w:p>
        </w:tc>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8"/>
                <w:szCs w:val="8"/>
              </w:rPr>
            </w:pPr>
          </w:p>
          <w:p>
            <w:pPr>
              <w:pStyle w:val="TableParagraph"/>
              <w:spacing w:line="240" w:lineRule="auto"/>
              <w:ind w:right="203"/>
              <w:jc w:val="right"/>
              <w:rPr>
                <w:rFonts w:ascii="Times New Roman" w:hAnsi="Times New Roman" w:cs="Times New Roman" w:eastAsia="Times New Roman" w:hint="default"/>
                <w:sz w:val="13"/>
                <w:szCs w:val="13"/>
              </w:rPr>
            </w:pPr>
            <w:r>
              <w:rPr>
                <w:rFonts w:ascii="Times New Roman"/>
                <w:w w:val="95"/>
                <w:sz w:val="13"/>
              </w:rPr>
              <w:t>6,105,697.38</w:t>
            </w:r>
            <w:r>
              <w:rPr>
                <w:rFonts w:ascii="Times New Roman"/>
                <w:sz w:val="13"/>
              </w:rPr>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8"/>
                <w:szCs w:val="8"/>
              </w:rPr>
            </w:pPr>
          </w:p>
          <w:p>
            <w:pPr>
              <w:pStyle w:val="TableParagraph"/>
              <w:spacing w:line="240" w:lineRule="auto"/>
              <w:ind w:right="173"/>
              <w:jc w:val="right"/>
              <w:rPr>
                <w:rFonts w:ascii="Times New Roman" w:hAnsi="Times New Roman" w:cs="Times New Roman" w:eastAsia="Times New Roman" w:hint="default"/>
                <w:sz w:val="13"/>
                <w:szCs w:val="13"/>
              </w:rPr>
            </w:pPr>
            <w:r>
              <w:rPr>
                <w:rFonts w:ascii="Times New Roman"/>
                <w:w w:val="95"/>
                <w:sz w:val="13"/>
              </w:rPr>
              <w:t>47.92</w:t>
            </w:r>
            <w:r>
              <w:rPr>
                <w:rFonts w:ascii="Times New Roman"/>
                <w:sz w:val="13"/>
              </w:rPr>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8"/>
                <w:szCs w:val="8"/>
              </w:rPr>
            </w:pPr>
          </w:p>
          <w:p>
            <w:pPr>
              <w:pStyle w:val="TableParagraph"/>
              <w:spacing w:line="240" w:lineRule="auto"/>
              <w:ind w:right="122"/>
              <w:jc w:val="right"/>
              <w:rPr>
                <w:rFonts w:ascii="Times New Roman" w:hAnsi="Times New Roman" w:cs="Times New Roman" w:eastAsia="Times New Roman" w:hint="default"/>
                <w:sz w:val="13"/>
                <w:szCs w:val="13"/>
              </w:rPr>
            </w:pPr>
            <w:r>
              <w:rPr>
                <w:rFonts w:ascii="Times New Roman"/>
                <w:w w:val="95"/>
                <w:sz w:val="13"/>
              </w:rPr>
              <w:t>660,703.25</w:t>
            </w:r>
            <w:r>
              <w:rPr>
                <w:rFonts w:ascii="Times New Roman"/>
                <w:sz w:val="13"/>
              </w:rPr>
            </w:r>
          </w:p>
        </w:tc>
        <w:tc>
          <w:tcPr>
            <w:tcW w:w="52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8"/>
                <w:szCs w:val="8"/>
              </w:rPr>
            </w:pPr>
          </w:p>
          <w:p>
            <w:pPr>
              <w:pStyle w:val="TableParagraph"/>
              <w:spacing w:line="240" w:lineRule="auto"/>
              <w:ind w:right="105"/>
              <w:jc w:val="right"/>
              <w:rPr>
                <w:rFonts w:ascii="Times New Roman" w:hAnsi="Times New Roman" w:cs="Times New Roman" w:eastAsia="Times New Roman" w:hint="default"/>
                <w:sz w:val="13"/>
                <w:szCs w:val="13"/>
              </w:rPr>
            </w:pPr>
            <w:r>
              <w:rPr>
                <w:rFonts w:ascii="Times New Roman"/>
                <w:w w:val="95"/>
                <w:sz w:val="13"/>
              </w:rPr>
              <w:t>10.82</w:t>
            </w:r>
            <w:r>
              <w:rPr>
                <w:rFonts w:ascii="Times New Roman"/>
                <w:sz w:val="13"/>
              </w:rPr>
            </w:r>
          </w:p>
        </w:tc>
      </w:tr>
      <w:tr>
        <w:trPr>
          <w:trHeight w:val="1130" w:hRule="exact"/>
        </w:trPr>
        <w:tc>
          <w:tcPr>
            <w:tcW w:w="2413" w:type="dxa"/>
            <w:gridSpan w:val="2"/>
            <w:tcBorders>
              <w:top w:val="nil" w:sz="6" w:space="0" w:color="auto"/>
              <w:left w:val="nil" w:sz="6" w:space="0" w:color="auto"/>
              <w:bottom w:val="nil" w:sz="6" w:space="0" w:color="auto"/>
              <w:right w:val="nil" w:sz="6" w:space="0" w:color="auto"/>
            </w:tcBorders>
          </w:tcPr>
          <w:p>
            <w:pPr>
              <w:pStyle w:val="TableParagraph"/>
              <w:spacing w:line="528" w:lineRule="auto" w:before="83"/>
              <w:ind w:left="122" w:right="1248"/>
              <w:jc w:val="left"/>
              <w:rPr>
                <w:rFonts w:ascii="宋体" w:hAnsi="宋体" w:cs="宋体" w:eastAsia="宋体" w:hint="default"/>
                <w:sz w:val="13"/>
                <w:szCs w:val="13"/>
              </w:rPr>
            </w:pPr>
            <w:r>
              <w:rPr>
                <w:rFonts w:ascii="宋体" w:hAnsi="宋体" w:cs="宋体" w:eastAsia="宋体" w:hint="default"/>
                <w:sz w:val="13"/>
                <w:szCs w:val="13"/>
              </w:rPr>
              <w:t>单项金额虽不重大</w:t>
            </w:r>
            <w:r>
              <w:rPr>
                <w:rFonts w:ascii="宋体" w:hAnsi="宋体" w:cs="宋体" w:eastAsia="宋体" w:hint="default"/>
                <w:w w:val="99"/>
                <w:sz w:val="13"/>
                <w:szCs w:val="13"/>
              </w:rPr>
              <w:t> </w:t>
            </w:r>
            <w:r>
              <w:rPr>
                <w:rFonts w:ascii="宋体" w:hAnsi="宋体" w:cs="宋体" w:eastAsia="宋体" w:hint="default"/>
                <w:sz w:val="13"/>
                <w:szCs w:val="13"/>
              </w:rPr>
              <w:t>但单项计提坏账准</w:t>
            </w:r>
          </w:p>
          <w:p>
            <w:pPr>
              <w:pStyle w:val="TableParagraph"/>
              <w:spacing w:line="240" w:lineRule="auto" w:before="48"/>
              <w:ind w:left="122" w:right="0"/>
              <w:jc w:val="left"/>
              <w:rPr>
                <w:rFonts w:ascii="宋体" w:hAnsi="宋体" w:cs="宋体" w:eastAsia="宋体" w:hint="default"/>
                <w:sz w:val="13"/>
                <w:szCs w:val="13"/>
              </w:rPr>
            </w:pPr>
            <w:r>
              <w:rPr>
                <w:rFonts w:ascii="宋体" w:hAnsi="宋体" w:cs="宋体" w:eastAsia="宋体" w:hint="default"/>
                <w:sz w:val="13"/>
                <w:szCs w:val="13"/>
              </w:rPr>
              <w:t>备的其他应收款</w:t>
            </w:r>
          </w:p>
        </w:tc>
        <w:tc>
          <w:tcPr>
            <w:tcW w:w="667"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c>
          <w:tcPr>
            <w:tcW w:w="553" w:type="dxa"/>
            <w:tcBorders>
              <w:top w:val="nil" w:sz="6" w:space="0" w:color="auto"/>
              <w:left w:val="nil" w:sz="6" w:space="0" w:color="auto"/>
              <w:bottom w:val="nil" w:sz="6" w:space="0" w:color="auto"/>
              <w:right w:val="nil" w:sz="6" w:space="0" w:color="auto"/>
            </w:tcBorders>
          </w:tcPr>
          <w:p>
            <w:pPr/>
          </w:p>
        </w:tc>
        <w:tc>
          <w:tcPr>
            <w:tcW w:w="1055"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
        </w:tc>
        <w:tc>
          <w:tcPr>
            <w:tcW w:w="883" w:type="dxa"/>
            <w:tcBorders>
              <w:top w:val="nil" w:sz="6" w:space="0" w:color="auto"/>
              <w:left w:val="nil" w:sz="6" w:space="0" w:color="auto"/>
              <w:bottom w:val="nil" w:sz="6" w:space="0" w:color="auto"/>
              <w:right w:val="nil" w:sz="6" w:space="0" w:color="auto"/>
            </w:tcBorders>
          </w:tcPr>
          <w:p>
            <w:pPr/>
          </w:p>
        </w:tc>
        <w:tc>
          <w:tcPr>
            <w:tcW w:w="524" w:type="dxa"/>
            <w:tcBorders>
              <w:top w:val="nil" w:sz="6" w:space="0" w:color="auto"/>
              <w:left w:val="nil" w:sz="6" w:space="0" w:color="auto"/>
              <w:bottom w:val="nil" w:sz="6" w:space="0" w:color="auto"/>
              <w:right w:val="nil" w:sz="6" w:space="0" w:color="auto"/>
            </w:tcBorders>
          </w:tcPr>
          <w:p>
            <w:pPr/>
          </w:p>
        </w:tc>
      </w:tr>
      <w:tr>
        <w:trPr>
          <w:trHeight w:val="396" w:hRule="exact"/>
        </w:trPr>
        <w:tc>
          <w:tcPr>
            <w:tcW w:w="1102"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left="513" w:right="0"/>
              <w:jc w:val="left"/>
              <w:rPr>
                <w:rFonts w:ascii="宋体" w:hAnsi="宋体" w:cs="宋体" w:eastAsia="宋体" w:hint="default"/>
                <w:sz w:val="13"/>
                <w:szCs w:val="13"/>
              </w:rPr>
            </w:pPr>
            <w:r>
              <w:rPr>
                <w:rFonts w:ascii="宋体" w:hAnsi="宋体" w:cs="宋体" w:eastAsia="宋体" w:hint="default"/>
                <w:sz w:val="13"/>
                <w:szCs w:val="13"/>
              </w:rPr>
              <w:t>合计</w:t>
            </w:r>
          </w:p>
        </w:tc>
        <w:tc>
          <w:tcPr>
            <w:tcW w:w="1312"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9"/>
                <w:szCs w:val="9"/>
              </w:rPr>
            </w:pPr>
          </w:p>
          <w:p>
            <w:pPr>
              <w:pStyle w:val="TableParagraph"/>
              <w:spacing w:line="240" w:lineRule="auto"/>
              <w:ind w:right="174"/>
              <w:jc w:val="right"/>
              <w:rPr>
                <w:rFonts w:ascii="Times New Roman" w:hAnsi="Times New Roman" w:cs="Times New Roman" w:eastAsia="Times New Roman" w:hint="default"/>
                <w:sz w:val="13"/>
                <w:szCs w:val="13"/>
              </w:rPr>
            </w:pPr>
            <w:r>
              <w:rPr>
                <w:rFonts w:ascii="Times New Roman"/>
                <w:spacing w:val="-1"/>
                <w:sz w:val="13"/>
              </w:rPr>
              <w:t>116,862,053.87</w:t>
            </w:r>
          </w:p>
        </w:tc>
        <w:tc>
          <w:tcPr>
            <w:tcW w:w="667"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9"/>
                <w:szCs w:val="9"/>
              </w:rPr>
            </w:pPr>
          </w:p>
          <w:p>
            <w:pPr>
              <w:pStyle w:val="TableParagraph"/>
              <w:spacing w:line="240" w:lineRule="auto"/>
              <w:ind w:right="131"/>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874"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9"/>
                <w:szCs w:val="9"/>
              </w:rPr>
            </w:pPr>
          </w:p>
          <w:p>
            <w:pPr>
              <w:pStyle w:val="TableParagraph"/>
              <w:spacing w:line="240" w:lineRule="auto"/>
              <w:ind w:right="21"/>
              <w:jc w:val="center"/>
              <w:rPr>
                <w:rFonts w:ascii="Times New Roman" w:hAnsi="Times New Roman" w:cs="Times New Roman" w:eastAsia="Times New Roman" w:hint="default"/>
                <w:sz w:val="13"/>
                <w:szCs w:val="13"/>
              </w:rPr>
            </w:pPr>
            <w:r>
              <w:rPr>
                <w:rFonts w:ascii="Times New Roman"/>
                <w:sz w:val="13"/>
              </w:rPr>
              <w:t>419,662.70</w:t>
            </w:r>
          </w:p>
        </w:tc>
        <w:tc>
          <w:tcPr>
            <w:tcW w:w="553" w:type="dxa"/>
            <w:tcBorders>
              <w:top w:val="nil" w:sz="6" w:space="0" w:color="auto"/>
              <w:left w:val="nil" w:sz="6" w:space="0" w:color="auto"/>
              <w:bottom w:val="single" w:sz="12" w:space="0" w:color="000000"/>
              <w:right w:val="nil" w:sz="6" w:space="0" w:color="auto"/>
            </w:tcBorders>
          </w:tcPr>
          <w:p>
            <w:pPr/>
          </w:p>
        </w:tc>
        <w:tc>
          <w:tcPr>
            <w:tcW w:w="1055"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9"/>
                <w:szCs w:val="9"/>
              </w:rPr>
            </w:pPr>
          </w:p>
          <w:p>
            <w:pPr>
              <w:pStyle w:val="TableParagraph"/>
              <w:spacing w:line="240" w:lineRule="auto"/>
              <w:ind w:right="203"/>
              <w:jc w:val="right"/>
              <w:rPr>
                <w:rFonts w:ascii="Times New Roman" w:hAnsi="Times New Roman" w:cs="Times New Roman" w:eastAsia="Times New Roman" w:hint="default"/>
                <w:sz w:val="13"/>
                <w:szCs w:val="13"/>
              </w:rPr>
            </w:pPr>
            <w:r>
              <w:rPr>
                <w:rFonts w:ascii="Times New Roman"/>
                <w:w w:val="95"/>
                <w:sz w:val="13"/>
              </w:rPr>
              <w:t>12,741,177.94</w:t>
            </w:r>
            <w:r>
              <w:rPr>
                <w:rFonts w:ascii="Times New Roman"/>
                <w:sz w:val="13"/>
              </w:rPr>
            </w:r>
          </w:p>
        </w:tc>
        <w:tc>
          <w:tcPr>
            <w:tcW w:w="737"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9"/>
                <w:szCs w:val="9"/>
              </w:rPr>
            </w:pPr>
          </w:p>
          <w:p>
            <w:pPr>
              <w:pStyle w:val="TableParagraph"/>
              <w:spacing w:line="240" w:lineRule="auto"/>
              <w:ind w:right="173"/>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883"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9"/>
                <w:szCs w:val="9"/>
              </w:rPr>
            </w:pPr>
          </w:p>
          <w:p>
            <w:pPr>
              <w:pStyle w:val="TableParagraph"/>
              <w:spacing w:line="240" w:lineRule="auto"/>
              <w:ind w:right="122"/>
              <w:jc w:val="right"/>
              <w:rPr>
                <w:rFonts w:ascii="Times New Roman" w:hAnsi="Times New Roman" w:cs="Times New Roman" w:eastAsia="Times New Roman" w:hint="default"/>
                <w:sz w:val="13"/>
                <w:szCs w:val="13"/>
              </w:rPr>
            </w:pPr>
            <w:r>
              <w:rPr>
                <w:rFonts w:ascii="Times New Roman"/>
                <w:w w:val="95"/>
                <w:sz w:val="13"/>
              </w:rPr>
              <w:t>660,703.25</w:t>
            </w:r>
            <w:r>
              <w:rPr>
                <w:rFonts w:ascii="Times New Roman"/>
                <w:sz w:val="13"/>
              </w:rPr>
            </w:r>
          </w:p>
        </w:tc>
        <w:tc>
          <w:tcPr>
            <w:tcW w:w="524"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pStyle w:val="BodyText"/>
        <w:spacing w:line="698" w:lineRule="auto" w:before="35"/>
        <w:ind w:left="855" w:right="3399"/>
        <w:jc w:val="left"/>
      </w:pPr>
      <w:r>
        <w:rPr/>
        <w:pict>
          <v:group style="position:absolute;margin-left:146.520004pt;margin-top:-202.882935pt;width:386.1pt;height:178.5pt;mso-position-horizontal-relative:page;mso-position-vertical-relative:paragraph;z-index:-705496" coordorigin="2930,-4058" coordsize="7722,3570">
            <v:group style="position:absolute;left:2950;top:-4043;width:7684;height:2" coordorigin="2950,-4043" coordsize="7684,2">
              <v:shape style="position:absolute;left:2950;top:-4043;width:7684;height:2" coordorigin="2950,-4043" coordsize="7684,0" path="m2950,-4043l10633,-4043e" filled="false" stroked="true" strokeweight="1.5pt" strokecolor="#000000">
                <v:path arrowok="t"/>
              </v:shape>
              <v:shape style="position:absolute;left:4187;top:-4043;width:5934;height:527" type="#_x0000_t75" stroked="false">
                <v:imagedata r:id="rId298" o:title=""/>
              </v:shape>
              <v:shape style="position:absolute;left:2930;top:-3551;width:7722;height:3064" type="#_x0000_t75" stroked="false">
                <v:imagedata r:id="rId299" o:title=""/>
              </v:shape>
              <v:shape style="position:absolute;left:3058;top:-3906;width:65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其他应收款</w:t>
                      </w:r>
                      <w:r>
                        <w:rPr>
                          <w:rFonts w:ascii="宋体" w:hAnsi="宋体" w:cs="宋体" w:eastAsia="宋体" w:hint="default"/>
                          <w:sz w:val="13"/>
                          <w:szCs w:val="13"/>
                        </w:rPr>
                      </w:r>
                    </w:p>
                  </w:txbxContent>
                </v:textbox>
                <w10:wrap type="none"/>
              </v:shape>
            </v:group>
            <w10:wrap type="none"/>
          </v:group>
        </w:pict>
      </w:r>
      <w:r>
        <w:rPr/>
        <w:pict>
          <v:group style="position:absolute;margin-left:119.720001pt;margin-top:77.677063pt;width:409.7pt;height:77.3pt;mso-position-horizontal-relative:page;mso-position-vertical-relative:paragraph;z-index:-705472" coordorigin="2394,1554" coordsize="8194,1546">
            <v:shape style="position:absolute;left:2394;top:1554;width:8194;height:1546" type="#_x0000_t75" stroked="false">
              <v:imagedata r:id="rId300" o:title=""/>
            </v:shape>
            <v:shape style="position:absolute;left:6025;top:1938;width:48;height:1162" type="#_x0000_t75" stroked="false">
              <v:imagedata r:id="rId301" o:title=""/>
            </v:shape>
            <v:shape style="position:absolute;left:7303;top:1938;width:48;height:1162" type="#_x0000_t75" stroked="false">
              <v:imagedata r:id="rId301" o:title=""/>
            </v:shape>
            <v:shape style="position:absolute;left:8454;top:1938;width:48;height:1162" type="#_x0000_t75" stroked="false">
              <v:imagedata r:id="rId301" o:title=""/>
            </v:shape>
            <w10:wrap type="none"/>
          </v:group>
        </w:pict>
      </w:r>
      <w:r>
        <w:rPr/>
        <w:t>其他应收款种类的说明： 期末单项金额重大并单项计提坏账准备的其他应收款</w:t>
      </w:r>
    </w:p>
    <w:p>
      <w:pPr>
        <w:spacing w:line="240" w:lineRule="auto" w:before="5"/>
        <w:rPr>
          <w:rFonts w:ascii="宋体" w:hAnsi="宋体" w:cs="宋体" w:eastAsia="宋体" w:hint="default"/>
          <w:sz w:val="2"/>
          <w:szCs w:val="2"/>
        </w:rPr>
      </w:pPr>
    </w:p>
    <w:tbl>
      <w:tblPr>
        <w:tblW w:w="0" w:type="auto"/>
        <w:jc w:val="left"/>
        <w:tblInd w:w="747" w:type="dxa"/>
        <w:tblLayout w:type="fixed"/>
        <w:tblCellMar>
          <w:top w:w="0" w:type="dxa"/>
          <w:left w:w="0" w:type="dxa"/>
          <w:bottom w:w="0" w:type="dxa"/>
          <w:right w:w="0" w:type="dxa"/>
        </w:tblCellMar>
        <w:tblLook w:val="01E0"/>
      </w:tblPr>
      <w:tblGrid>
        <w:gridCol w:w="2061"/>
        <w:gridCol w:w="1667"/>
        <w:gridCol w:w="1159"/>
        <w:gridCol w:w="1422"/>
        <w:gridCol w:w="1863"/>
      </w:tblGrid>
      <w:tr>
        <w:trPr>
          <w:trHeight w:val="394" w:hRule="exact"/>
        </w:trPr>
        <w:tc>
          <w:tcPr>
            <w:tcW w:w="2061"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90" w:right="0"/>
              <w:jc w:val="left"/>
              <w:rPr>
                <w:rFonts w:ascii="宋体" w:hAnsi="宋体" w:cs="宋体" w:eastAsia="宋体" w:hint="default"/>
                <w:sz w:val="18"/>
                <w:szCs w:val="18"/>
              </w:rPr>
            </w:pPr>
            <w:r>
              <w:rPr>
                <w:rFonts w:ascii="宋体" w:hAnsi="宋体" w:cs="宋体" w:eastAsia="宋体" w:hint="default"/>
                <w:sz w:val="18"/>
                <w:szCs w:val="18"/>
              </w:rPr>
              <w:t>其他应收款内容</w:t>
            </w:r>
          </w:p>
        </w:tc>
        <w:tc>
          <w:tcPr>
            <w:tcW w:w="166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2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5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9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2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46"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86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55" w:right="0"/>
              <w:jc w:val="left"/>
              <w:rPr>
                <w:rFonts w:ascii="宋体" w:hAnsi="宋体" w:cs="宋体" w:eastAsia="宋体" w:hint="default"/>
                <w:sz w:val="18"/>
                <w:szCs w:val="18"/>
              </w:rPr>
            </w:pPr>
            <w:r>
              <w:rPr>
                <w:rFonts w:ascii="宋体" w:hAnsi="宋体" w:cs="宋体" w:eastAsia="宋体" w:hint="default"/>
                <w:sz w:val="18"/>
                <w:szCs w:val="18"/>
              </w:rPr>
              <w:t>计提理由</w:t>
            </w:r>
          </w:p>
        </w:tc>
      </w:tr>
      <w:tr>
        <w:trPr>
          <w:trHeight w:val="1143" w:hRule="exact"/>
        </w:trPr>
        <w:tc>
          <w:tcPr>
            <w:tcW w:w="2061"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381" w:lineRule="auto"/>
              <w:ind w:left="106" w:right="321"/>
              <w:jc w:val="left"/>
              <w:rPr>
                <w:rFonts w:ascii="宋体" w:hAnsi="宋体" w:cs="宋体" w:eastAsia="宋体" w:hint="default"/>
                <w:sz w:val="18"/>
                <w:szCs w:val="18"/>
              </w:rPr>
            </w:pPr>
            <w:r>
              <w:rPr>
                <w:rFonts w:ascii="宋体" w:hAnsi="宋体" w:cs="宋体" w:eastAsia="宋体" w:hint="default"/>
                <w:sz w:val="18"/>
                <w:szCs w:val="18"/>
              </w:rPr>
              <w:t>北京新媒传信科技有</w:t>
            </w:r>
            <w:r>
              <w:rPr>
                <w:rFonts w:ascii="宋体" w:hAnsi="宋体" w:cs="宋体" w:eastAsia="宋体" w:hint="default"/>
                <w:spacing w:val="-82"/>
                <w:sz w:val="18"/>
                <w:szCs w:val="18"/>
              </w:rPr>
              <w:t> </w:t>
            </w:r>
            <w:r>
              <w:rPr>
                <w:rFonts w:ascii="宋体" w:hAnsi="宋体" w:cs="宋体" w:eastAsia="宋体" w:hint="default"/>
                <w:sz w:val="18"/>
                <w:szCs w:val="18"/>
              </w:rPr>
              <w:t>限公司</w:t>
            </w:r>
          </w:p>
        </w:tc>
        <w:tc>
          <w:tcPr>
            <w:tcW w:w="1667"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355" w:right="0"/>
              <w:jc w:val="left"/>
              <w:rPr>
                <w:rFonts w:ascii="Times New Roman" w:hAnsi="Times New Roman" w:cs="Times New Roman" w:eastAsia="Times New Roman" w:hint="default"/>
                <w:sz w:val="18"/>
                <w:szCs w:val="18"/>
              </w:rPr>
            </w:pPr>
            <w:r>
              <w:rPr>
                <w:rFonts w:ascii="Times New Roman"/>
                <w:sz w:val="18"/>
              </w:rPr>
              <w:t>110,871,278.18</w:t>
            </w:r>
          </w:p>
        </w:tc>
        <w:tc>
          <w:tcPr>
            <w:tcW w:w="1159" w:type="dxa"/>
            <w:tcBorders>
              <w:top w:val="nil" w:sz="6" w:space="0" w:color="auto"/>
              <w:left w:val="nil" w:sz="6" w:space="0" w:color="auto"/>
              <w:bottom w:val="single" w:sz="12" w:space="0" w:color="000000"/>
              <w:right w:val="nil" w:sz="6" w:space="0" w:color="auto"/>
            </w:tcBorders>
          </w:tcPr>
          <w:p>
            <w:pPr/>
          </w:p>
        </w:tc>
        <w:tc>
          <w:tcPr>
            <w:tcW w:w="3285" w:type="dxa"/>
            <w:gridSpan w:val="2"/>
            <w:tcBorders>
              <w:top w:val="nil" w:sz="6" w:space="0" w:color="auto"/>
              <w:left w:val="nil" w:sz="6" w:space="0" w:color="auto"/>
              <w:bottom w:val="single" w:sz="12" w:space="0" w:color="000000"/>
              <w:right w:val="nil" w:sz="6" w:space="0" w:color="auto"/>
            </w:tcBorders>
          </w:tcPr>
          <w:p>
            <w:pPr>
              <w:pStyle w:val="TableParagraph"/>
              <w:spacing w:line="381" w:lineRule="auto" w:before="46"/>
              <w:ind w:left="1291" w:right="85"/>
              <w:jc w:val="both"/>
              <w:rPr>
                <w:rFonts w:ascii="宋体" w:hAnsi="宋体" w:cs="宋体" w:eastAsia="宋体" w:hint="default"/>
                <w:sz w:val="18"/>
                <w:szCs w:val="18"/>
              </w:rPr>
            </w:pPr>
            <w:r>
              <w:rPr>
                <w:rFonts w:ascii="宋体" w:hAnsi="宋体" w:cs="宋体" w:eastAsia="宋体" w:hint="default"/>
                <w:spacing w:val="9"/>
                <w:sz w:val="18"/>
                <w:szCs w:val="18"/>
              </w:rPr>
              <w:t>向子公司下拨募投项目</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9"/>
                <w:sz w:val="18"/>
                <w:szCs w:val="18"/>
              </w:rPr>
              <w:t>款项，按公司会计政策不</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计提坏账准备</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pStyle w:val="BodyText"/>
        <w:spacing w:line="240" w:lineRule="auto" w:before="35"/>
        <w:ind w:left="855" w:right="390"/>
        <w:jc w:val="left"/>
      </w:pPr>
      <w:r>
        <w:rPr/>
        <w:pict>
          <v:group style="position:absolute;margin-left:119.399994pt;margin-top:17.136969pt;width:413.5pt;height:211.95pt;mso-position-horizontal-relative:page;mso-position-vertical-relative:paragraph;z-index:-705400" coordorigin="2388,343" coordsize="8270,4239">
            <v:group style="position:absolute;left:2414;top:358;width:8218;height:2" coordorigin="2414,358" coordsize="8218,2">
              <v:shape style="position:absolute;left:2414;top:358;width:8218;height:2" coordorigin="2414,358" coordsize="8218,0" path="m2414,358l10632,358e" filled="false" stroked="true" strokeweight="1.5pt" strokecolor="#000000">
                <v:path arrowok="t"/>
              </v:shape>
              <v:shape style="position:absolute;left:3574;top:354;width:3570;height:413" type="#_x0000_t75" stroked="false">
                <v:imagedata r:id="rId302" o:title=""/>
              </v:shape>
              <v:shape style="position:absolute;left:3574;top:728;width:7084;height:422" type="#_x0000_t75" stroked="false">
                <v:imagedata r:id="rId303" o:title=""/>
              </v:shape>
              <v:shape style="position:absolute;left:3574;top:1112;width:5807;height:797" type="#_x0000_t75" stroked="false">
                <v:imagedata r:id="rId304" o:title=""/>
              </v:shape>
              <v:shape style="position:absolute;left:2388;top:1877;width:8269;height:2704" type="#_x0000_t75" stroked="false">
                <v:imagedata r:id="rId305" o:title=""/>
              </v:shape>
              <v:shape style="position:absolute;left:4998;top:47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519;top:47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group>
            <w10:wrap type="none"/>
          </v:group>
        </w:pict>
      </w:r>
      <w:r>
        <w:rPr/>
        <w:t>组合中，采用账龄分析法计提坏账准备的其他应收款：</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tbl>
      <w:tblPr>
        <w:tblW w:w="0" w:type="auto"/>
        <w:jc w:val="left"/>
        <w:tblInd w:w="819" w:type="dxa"/>
        <w:tblLayout w:type="fixed"/>
        <w:tblCellMar>
          <w:top w:w="0" w:type="dxa"/>
          <w:left w:w="0" w:type="dxa"/>
          <w:bottom w:w="0" w:type="dxa"/>
          <w:right w:w="0" w:type="dxa"/>
        </w:tblCellMar>
        <w:tblLook w:val="01E0"/>
      </w:tblPr>
      <w:tblGrid>
        <w:gridCol w:w="1133"/>
        <w:gridCol w:w="1529"/>
        <w:gridCol w:w="781"/>
        <w:gridCol w:w="1312"/>
        <w:gridCol w:w="1405"/>
        <w:gridCol w:w="805"/>
        <w:gridCol w:w="1123"/>
      </w:tblGrid>
      <w:tr>
        <w:trPr>
          <w:trHeight w:val="464" w:hRule="exact"/>
        </w:trPr>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428"/>
              <w:jc w:val="right"/>
              <w:rPr>
                <w:rFonts w:ascii="宋体" w:hAnsi="宋体" w:cs="宋体" w:eastAsia="宋体" w:hint="default"/>
                <w:sz w:val="18"/>
                <w:szCs w:val="18"/>
              </w:rPr>
            </w:pPr>
            <w:r>
              <w:rPr>
                <w:rFonts w:ascii="宋体" w:hAnsi="宋体" w:cs="宋体" w:eastAsia="宋体" w:hint="default"/>
                <w:sz w:val="18"/>
                <w:szCs w:val="18"/>
              </w:rPr>
              <w:t>账龄</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63"/>
              <w:jc w:val="right"/>
              <w:rPr>
                <w:rFonts w:ascii="宋体" w:hAnsi="宋体" w:cs="宋体" w:eastAsia="宋体" w:hint="default"/>
                <w:sz w:val="18"/>
                <w:szCs w:val="18"/>
              </w:rPr>
            </w:pPr>
            <w:r>
              <w:rPr>
                <w:rFonts w:ascii="宋体" w:hAnsi="宋体" w:cs="宋体" w:eastAsia="宋体" w:hint="default"/>
                <w:sz w:val="18"/>
                <w:szCs w:val="18"/>
              </w:rPr>
              <w:t>账面余额</w:t>
            </w:r>
          </w:p>
        </w:tc>
        <w:tc>
          <w:tcPr>
            <w:tcW w:w="781" w:type="dxa"/>
            <w:tcBorders>
              <w:top w:val="nil" w:sz="6" w:space="0" w:color="auto"/>
              <w:left w:val="nil" w:sz="6" w:space="0" w:color="auto"/>
              <w:bottom w:val="nil" w:sz="6" w:space="0" w:color="auto"/>
              <w:right w:val="nil" w:sz="6" w:space="0" w:color="auto"/>
            </w:tcBorders>
          </w:tcPr>
          <w:p>
            <w:pPr/>
          </w:p>
        </w:tc>
        <w:tc>
          <w:tcPr>
            <w:tcW w:w="1312" w:type="dxa"/>
            <w:tcBorders>
              <w:top w:val="nil" w:sz="6" w:space="0" w:color="auto"/>
              <w:left w:val="nil" w:sz="6" w:space="0" w:color="auto"/>
              <w:bottom w:val="nil" w:sz="6" w:space="0" w:color="auto"/>
              <w:right w:val="nil" w:sz="6" w:space="0" w:color="auto"/>
            </w:tcBorders>
          </w:tcPr>
          <w:p>
            <w:pP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4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928" w:type="dxa"/>
            <w:gridSpan w:val="2"/>
            <w:tcBorders>
              <w:top w:val="nil" w:sz="6" w:space="0" w:color="auto"/>
              <w:left w:val="nil" w:sz="6" w:space="0" w:color="auto"/>
              <w:bottom w:val="nil" w:sz="6" w:space="0" w:color="auto"/>
              <w:right w:val="nil" w:sz="6" w:space="0" w:color="auto"/>
            </w:tcBorders>
          </w:tcPr>
          <w:p>
            <w:pPr/>
          </w:p>
        </w:tc>
      </w:tr>
      <w:tr>
        <w:trPr>
          <w:trHeight w:val="682" w:hRule="exact"/>
        </w:trPr>
        <w:tc>
          <w:tcPr>
            <w:tcW w:w="1133" w:type="dxa"/>
            <w:tcBorders>
              <w:top w:val="nil" w:sz="6" w:space="0" w:color="auto"/>
              <w:left w:val="nil" w:sz="6" w:space="0" w:color="auto"/>
              <w:bottom w:val="nil" w:sz="6" w:space="0" w:color="auto"/>
              <w:right w:val="nil" w:sz="6" w:space="0" w:color="auto"/>
            </w:tcBorders>
          </w:tcPr>
          <w:p>
            <w:pP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65"/>
              <w:jc w:val="center"/>
              <w:rPr>
                <w:rFonts w:ascii="宋体" w:hAnsi="宋体" w:cs="宋体" w:eastAsia="宋体" w:hint="default"/>
                <w:sz w:val="18"/>
                <w:szCs w:val="18"/>
              </w:rPr>
            </w:pPr>
            <w:r>
              <w:rPr>
                <w:rFonts w:ascii="宋体" w:hAnsi="宋体" w:cs="宋体" w:eastAsia="宋体" w:hint="default"/>
                <w:sz w:val="18"/>
                <w:szCs w:val="18"/>
              </w:rPr>
              <w:t>金额</w:t>
            </w:r>
          </w:p>
        </w:tc>
        <w:tc>
          <w:tcPr>
            <w:tcW w:w="781" w:type="dxa"/>
            <w:tcBorders>
              <w:top w:val="nil" w:sz="6" w:space="0" w:color="auto"/>
              <w:left w:val="nil" w:sz="6" w:space="0" w:color="auto"/>
              <w:bottom w:val="nil" w:sz="6" w:space="0" w:color="auto"/>
              <w:right w:val="nil" w:sz="6" w:space="0" w:color="auto"/>
            </w:tcBorders>
          </w:tcPr>
          <w:p>
            <w:pPr>
              <w:pStyle w:val="TableParagraph"/>
              <w:spacing w:line="200" w:lineRule="exact"/>
              <w:ind w:left="140"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39"/>
              <w:ind w:left="6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12" w:type="dxa"/>
            <w:tcBorders>
              <w:top w:val="nil" w:sz="6" w:space="0" w:color="auto"/>
              <w:left w:val="nil" w:sz="6" w:space="0" w:color="auto"/>
              <w:bottom w:val="nil" w:sz="6" w:space="0" w:color="auto"/>
              <w:right w:val="nil" w:sz="6" w:space="0" w:color="auto"/>
            </w:tcBorders>
          </w:tcPr>
          <w:p>
            <w:pPr>
              <w:pStyle w:val="TableParagraph"/>
              <w:spacing w:line="191" w:lineRule="exact"/>
              <w:ind w:left="194"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40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805" w:type="dxa"/>
            <w:tcBorders>
              <w:top w:val="nil" w:sz="6" w:space="0" w:color="auto"/>
              <w:left w:val="nil" w:sz="6" w:space="0" w:color="auto"/>
              <w:bottom w:val="nil" w:sz="6" w:space="0" w:color="auto"/>
              <w:right w:val="nil" w:sz="6" w:space="0" w:color="auto"/>
            </w:tcBorders>
          </w:tcPr>
          <w:p>
            <w:pPr>
              <w:pStyle w:val="TableParagraph"/>
              <w:spacing w:line="200" w:lineRule="exact"/>
              <w:ind w:left="114"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39"/>
              <w:ind w:left="40"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23" w:type="dxa"/>
            <w:tcBorders>
              <w:top w:val="nil" w:sz="6" w:space="0" w:color="auto"/>
              <w:left w:val="nil" w:sz="6" w:space="0" w:color="auto"/>
              <w:bottom w:val="nil" w:sz="6" w:space="0" w:color="auto"/>
              <w:right w:val="nil" w:sz="6" w:space="0" w:color="auto"/>
            </w:tcBorders>
          </w:tcPr>
          <w:p>
            <w:pPr>
              <w:pStyle w:val="TableParagraph"/>
              <w:spacing w:line="191" w:lineRule="exact"/>
              <w:ind w:left="193"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85" w:hRule="exact"/>
        </w:trPr>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81"/>
              <w:ind w:left="423" w:right="0"/>
              <w:jc w:val="left"/>
              <w:rPr>
                <w:rFonts w:ascii="Times New Roman" w:hAnsi="Times New Roman" w:cs="Times New Roman" w:eastAsia="Times New Roman" w:hint="default"/>
                <w:sz w:val="18"/>
                <w:szCs w:val="18"/>
              </w:rPr>
            </w:pPr>
            <w:r>
              <w:rPr>
                <w:rFonts w:ascii="Times New Roman"/>
                <w:sz w:val="18"/>
              </w:rPr>
              <w:t>4,838,310.44</w:t>
            </w:r>
          </w:p>
        </w:tc>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93"/>
              <w:jc w:val="right"/>
              <w:rPr>
                <w:rFonts w:ascii="Times New Roman" w:hAnsi="Times New Roman" w:cs="Times New Roman" w:eastAsia="Times New Roman" w:hint="default"/>
                <w:sz w:val="18"/>
                <w:szCs w:val="18"/>
              </w:rPr>
            </w:pPr>
            <w:r>
              <w:rPr>
                <w:rFonts w:ascii="Times New Roman"/>
                <w:sz w:val="18"/>
              </w:rPr>
              <w:t>80.77</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19"/>
              <w:jc w:val="right"/>
              <w:rPr>
                <w:rFonts w:ascii="Times New Roman" w:hAnsi="Times New Roman" w:cs="Times New Roman" w:eastAsia="Times New Roman" w:hint="default"/>
                <w:sz w:val="18"/>
                <w:szCs w:val="18"/>
              </w:rPr>
            </w:pPr>
            <w:r>
              <w:rPr>
                <w:rFonts w:ascii="Times New Roman"/>
                <w:sz w:val="18"/>
              </w:rPr>
              <w:t>241,915.52</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221" w:right="0"/>
              <w:jc w:val="left"/>
              <w:rPr>
                <w:rFonts w:ascii="Times New Roman" w:hAnsi="Times New Roman" w:cs="Times New Roman" w:eastAsia="Times New Roman" w:hint="default"/>
                <w:sz w:val="18"/>
                <w:szCs w:val="18"/>
              </w:rPr>
            </w:pPr>
            <w:r>
              <w:rPr>
                <w:rFonts w:ascii="Times New Roman"/>
                <w:sz w:val="18"/>
              </w:rPr>
              <w:t>4,814,140.88</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92"/>
              <w:jc w:val="right"/>
              <w:rPr>
                <w:rFonts w:ascii="Times New Roman" w:hAnsi="Times New Roman" w:cs="Times New Roman" w:eastAsia="Times New Roman" w:hint="default"/>
                <w:sz w:val="18"/>
                <w:szCs w:val="18"/>
              </w:rPr>
            </w:pPr>
            <w:r>
              <w:rPr>
                <w:rFonts w:ascii="Times New Roman"/>
                <w:sz w:val="18"/>
              </w:rPr>
              <w:t>78.84</w:t>
            </w: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240,707.05</w:t>
            </w:r>
          </w:p>
        </w:tc>
      </w:tr>
      <w:tr>
        <w:trPr>
          <w:trHeight w:val="385" w:hRule="exact"/>
        </w:trPr>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82"/>
              <w:ind w:left="423" w:right="0"/>
              <w:jc w:val="left"/>
              <w:rPr>
                <w:rFonts w:ascii="Times New Roman" w:hAnsi="Times New Roman" w:cs="Times New Roman" w:eastAsia="Times New Roman" w:hint="default"/>
                <w:sz w:val="18"/>
                <w:szCs w:val="18"/>
              </w:rPr>
            </w:pPr>
            <w:r>
              <w:rPr>
                <w:rFonts w:ascii="Times New Roman"/>
                <w:sz w:val="18"/>
              </w:rPr>
              <w:t>1,073,086.75</w:t>
            </w:r>
          </w:p>
        </w:tc>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93"/>
              <w:jc w:val="right"/>
              <w:rPr>
                <w:rFonts w:ascii="Times New Roman" w:hAnsi="Times New Roman" w:cs="Times New Roman" w:eastAsia="Times New Roman" w:hint="default"/>
                <w:sz w:val="18"/>
                <w:szCs w:val="18"/>
              </w:rPr>
            </w:pPr>
            <w:r>
              <w:rPr>
                <w:rFonts w:ascii="Times New Roman"/>
                <w:sz w:val="18"/>
              </w:rPr>
              <w:t>17.91</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9"/>
              <w:jc w:val="right"/>
              <w:rPr>
                <w:rFonts w:ascii="Times New Roman" w:hAnsi="Times New Roman" w:cs="Times New Roman" w:eastAsia="Times New Roman" w:hint="default"/>
                <w:sz w:val="18"/>
                <w:szCs w:val="18"/>
              </w:rPr>
            </w:pPr>
            <w:r>
              <w:rPr>
                <w:rFonts w:ascii="Times New Roman"/>
                <w:sz w:val="18"/>
              </w:rPr>
              <w:t>107,308.68</w:t>
            </w:r>
          </w:p>
        </w:tc>
        <w:tc>
          <w:tcPr>
            <w:tcW w:w="1405" w:type="dxa"/>
            <w:tcBorders>
              <w:top w:val="nil" w:sz="6" w:space="0" w:color="auto"/>
              <w:left w:val="nil" w:sz="6" w:space="0" w:color="auto"/>
              <w:bottom w:val="nil" w:sz="6" w:space="0" w:color="auto"/>
              <w:right w:val="nil" w:sz="6" w:space="0" w:color="auto"/>
            </w:tcBorders>
          </w:tcPr>
          <w:p>
            <w:pPr/>
          </w:p>
        </w:tc>
        <w:tc>
          <w:tcPr>
            <w:tcW w:w="805" w:type="dxa"/>
            <w:tcBorders>
              <w:top w:val="nil" w:sz="6" w:space="0" w:color="auto"/>
              <w:left w:val="nil" w:sz="6" w:space="0" w:color="auto"/>
              <w:bottom w:val="nil" w:sz="6" w:space="0" w:color="auto"/>
              <w:right w:val="nil" w:sz="6" w:space="0" w:color="auto"/>
            </w:tcBorders>
          </w:tcPr>
          <w:p>
            <w:pPr/>
          </w:p>
        </w:tc>
        <w:tc>
          <w:tcPr>
            <w:tcW w:w="1123" w:type="dxa"/>
            <w:tcBorders>
              <w:top w:val="nil" w:sz="6" w:space="0" w:color="auto"/>
              <w:left w:val="nil" w:sz="6" w:space="0" w:color="auto"/>
              <w:bottom w:val="nil" w:sz="6" w:space="0" w:color="auto"/>
              <w:right w:val="nil" w:sz="6" w:space="0" w:color="auto"/>
            </w:tcBorders>
          </w:tcPr>
          <w:p>
            <w:pPr/>
          </w:p>
        </w:tc>
      </w:tr>
      <w:tr>
        <w:trPr>
          <w:trHeight w:val="384" w:hRule="exact"/>
        </w:trPr>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29" w:type="dxa"/>
            <w:tcBorders>
              <w:top w:val="nil" w:sz="6" w:space="0" w:color="auto"/>
              <w:left w:val="nil" w:sz="6" w:space="0" w:color="auto"/>
              <w:bottom w:val="nil" w:sz="6" w:space="0" w:color="auto"/>
              <w:right w:val="nil" w:sz="6" w:space="0" w:color="auto"/>
            </w:tcBorders>
          </w:tcPr>
          <w:p>
            <w:pPr/>
          </w:p>
        </w:tc>
        <w:tc>
          <w:tcPr>
            <w:tcW w:w="781" w:type="dxa"/>
            <w:tcBorders>
              <w:top w:val="nil" w:sz="6" w:space="0" w:color="auto"/>
              <w:left w:val="nil" w:sz="6" w:space="0" w:color="auto"/>
              <w:bottom w:val="nil" w:sz="6" w:space="0" w:color="auto"/>
              <w:right w:val="nil" w:sz="6" w:space="0" w:color="auto"/>
            </w:tcBorders>
          </w:tcPr>
          <w:p>
            <w:pPr/>
          </w:p>
        </w:tc>
        <w:tc>
          <w:tcPr>
            <w:tcW w:w="1312" w:type="dxa"/>
            <w:tcBorders>
              <w:top w:val="nil" w:sz="6" w:space="0" w:color="auto"/>
              <w:left w:val="nil" w:sz="6" w:space="0" w:color="auto"/>
              <w:bottom w:val="nil" w:sz="6" w:space="0" w:color="auto"/>
              <w:right w:val="nil" w:sz="6" w:space="0" w:color="auto"/>
            </w:tcBorders>
          </w:tcPr>
          <w:p>
            <w:pP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221" w:right="0"/>
              <w:jc w:val="left"/>
              <w:rPr>
                <w:rFonts w:ascii="Times New Roman" w:hAnsi="Times New Roman" w:cs="Times New Roman" w:eastAsia="Times New Roman" w:hint="default"/>
                <w:sz w:val="18"/>
                <w:szCs w:val="18"/>
              </w:rPr>
            </w:pPr>
            <w:r>
              <w:rPr>
                <w:rFonts w:ascii="Times New Roman"/>
                <w:sz w:val="18"/>
              </w:rPr>
              <w:t>1,225,778.00</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92"/>
              <w:jc w:val="right"/>
              <w:rPr>
                <w:rFonts w:ascii="Times New Roman" w:hAnsi="Times New Roman" w:cs="Times New Roman" w:eastAsia="Times New Roman" w:hint="default"/>
                <w:sz w:val="18"/>
                <w:szCs w:val="18"/>
              </w:rPr>
            </w:pPr>
            <w:r>
              <w:rPr>
                <w:rFonts w:ascii="Times New Roman"/>
                <w:sz w:val="18"/>
              </w:rPr>
              <w:t>20.08</w:t>
            </w: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367,733.40</w:t>
            </w:r>
          </w:p>
        </w:tc>
      </w:tr>
      <w:tr>
        <w:trPr>
          <w:trHeight w:val="385" w:hRule="exact"/>
        </w:trPr>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57"/>
              <w:jc w:val="right"/>
              <w:rPr>
                <w:rFonts w:ascii="Times New Roman" w:hAnsi="Times New Roman" w:cs="Times New Roman" w:eastAsia="Times New Roman" w:hint="default"/>
                <w:sz w:val="18"/>
                <w:szCs w:val="18"/>
              </w:rPr>
            </w:pPr>
            <w:r>
              <w:rPr>
                <w:rFonts w:ascii="Times New Roman"/>
                <w:sz w:val="18"/>
              </w:rPr>
              <w:t>14,600.00</w:t>
            </w:r>
          </w:p>
        </w:tc>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94"/>
              <w:jc w:val="right"/>
              <w:rPr>
                <w:rFonts w:ascii="Times New Roman" w:hAnsi="Times New Roman" w:cs="Times New Roman" w:eastAsia="Times New Roman" w:hint="default"/>
                <w:sz w:val="18"/>
                <w:szCs w:val="18"/>
              </w:rPr>
            </w:pPr>
            <w:r>
              <w:rPr>
                <w:rFonts w:ascii="Times New Roman"/>
                <w:sz w:val="18"/>
              </w:rPr>
              <w:t>0.24</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19"/>
              <w:jc w:val="right"/>
              <w:rPr>
                <w:rFonts w:ascii="Times New Roman" w:hAnsi="Times New Roman" w:cs="Times New Roman" w:eastAsia="Times New Roman" w:hint="default"/>
                <w:sz w:val="18"/>
                <w:szCs w:val="18"/>
              </w:rPr>
            </w:pPr>
            <w:r>
              <w:rPr>
                <w:rFonts w:ascii="Times New Roman"/>
                <w:sz w:val="18"/>
              </w:rPr>
              <w:t>7,300.00</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535" w:right="0"/>
              <w:jc w:val="left"/>
              <w:rPr>
                <w:rFonts w:ascii="Times New Roman" w:hAnsi="Times New Roman" w:cs="Times New Roman" w:eastAsia="Times New Roman" w:hint="default"/>
                <w:sz w:val="18"/>
                <w:szCs w:val="18"/>
              </w:rPr>
            </w:pPr>
            <w:r>
              <w:rPr>
                <w:rFonts w:ascii="Times New Roman"/>
                <w:sz w:val="18"/>
              </w:rPr>
              <w:t>9,200.00</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91"/>
              <w:jc w:val="right"/>
              <w:rPr>
                <w:rFonts w:ascii="Times New Roman" w:hAnsi="Times New Roman" w:cs="Times New Roman" w:eastAsia="Times New Roman" w:hint="default"/>
                <w:sz w:val="18"/>
                <w:szCs w:val="18"/>
              </w:rPr>
            </w:pPr>
            <w:r>
              <w:rPr>
                <w:rFonts w:ascii="Times New Roman"/>
                <w:sz w:val="18"/>
              </w:rPr>
              <w:t>0.15</w:t>
            </w: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4,600.00</w:t>
            </w:r>
          </w:p>
        </w:tc>
      </w:tr>
      <w:tr>
        <w:trPr>
          <w:trHeight w:val="385" w:hRule="exact"/>
        </w:trPr>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7"/>
              <w:jc w:val="right"/>
              <w:rPr>
                <w:rFonts w:ascii="Times New Roman" w:hAnsi="Times New Roman" w:cs="Times New Roman" w:eastAsia="Times New Roman" w:hint="default"/>
                <w:sz w:val="18"/>
                <w:szCs w:val="18"/>
              </w:rPr>
            </w:pPr>
            <w:r>
              <w:rPr>
                <w:rFonts w:ascii="Times New Roman"/>
                <w:sz w:val="18"/>
              </w:rPr>
              <w:t>8,200.00</w:t>
            </w:r>
          </w:p>
        </w:tc>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93"/>
              <w:jc w:val="right"/>
              <w:rPr>
                <w:rFonts w:ascii="Times New Roman" w:hAnsi="Times New Roman" w:cs="Times New Roman" w:eastAsia="Times New Roman" w:hint="default"/>
                <w:sz w:val="18"/>
                <w:szCs w:val="18"/>
              </w:rPr>
            </w:pPr>
            <w:r>
              <w:rPr>
                <w:rFonts w:ascii="Times New Roman"/>
                <w:sz w:val="18"/>
              </w:rPr>
              <w:t>0.14</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9"/>
              <w:jc w:val="right"/>
              <w:rPr>
                <w:rFonts w:ascii="Times New Roman" w:hAnsi="Times New Roman" w:cs="Times New Roman" w:eastAsia="Times New Roman" w:hint="default"/>
                <w:sz w:val="18"/>
                <w:szCs w:val="18"/>
              </w:rPr>
            </w:pPr>
            <w:r>
              <w:rPr>
                <w:rFonts w:ascii="Times New Roman"/>
                <w:sz w:val="18"/>
              </w:rPr>
              <w:t>6,560.00</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2"/>
              <w:ind w:left="445" w:right="0"/>
              <w:jc w:val="left"/>
              <w:rPr>
                <w:rFonts w:ascii="Times New Roman" w:hAnsi="Times New Roman" w:cs="Times New Roman" w:eastAsia="Times New Roman" w:hint="default"/>
                <w:sz w:val="18"/>
                <w:szCs w:val="18"/>
              </w:rPr>
            </w:pPr>
            <w:r>
              <w:rPr>
                <w:rFonts w:ascii="Times New Roman"/>
                <w:sz w:val="18"/>
              </w:rPr>
              <w:t>44,578.50</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92"/>
              <w:jc w:val="right"/>
              <w:rPr>
                <w:rFonts w:ascii="Times New Roman" w:hAnsi="Times New Roman" w:cs="Times New Roman" w:eastAsia="Times New Roman" w:hint="default"/>
                <w:sz w:val="18"/>
                <w:szCs w:val="18"/>
              </w:rPr>
            </w:pPr>
            <w:r>
              <w:rPr>
                <w:rFonts w:ascii="Times New Roman"/>
                <w:sz w:val="18"/>
              </w:rPr>
              <w:t>0.73</w:t>
            </w: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35,662.80</w:t>
            </w:r>
          </w:p>
        </w:tc>
      </w:tr>
      <w:tr>
        <w:trPr>
          <w:trHeight w:val="384" w:hRule="exact"/>
        </w:trPr>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57"/>
              <w:jc w:val="right"/>
              <w:rPr>
                <w:rFonts w:ascii="Times New Roman" w:hAnsi="Times New Roman" w:cs="Times New Roman" w:eastAsia="Times New Roman" w:hint="default"/>
                <w:sz w:val="18"/>
                <w:szCs w:val="18"/>
              </w:rPr>
            </w:pPr>
            <w:r>
              <w:rPr>
                <w:rFonts w:ascii="Times New Roman"/>
                <w:sz w:val="18"/>
              </w:rPr>
              <w:t>56,578.50</w:t>
            </w:r>
          </w:p>
        </w:tc>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94"/>
              <w:jc w:val="right"/>
              <w:rPr>
                <w:rFonts w:ascii="Times New Roman" w:hAnsi="Times New Roman" w:cs="Times New Roman" w:eastAsia="Times New Roman" w:hint="default"/>
                <w:sz w:val="18"/>
                <w:szCs w:val="18"/>
              </w:rPr>
            </w:pPr>
            <w:r>
              <w:rPr>
                <w:rFonts w:ascii="Times New Roman"/>
                <w:sz w:val="18"/>
              </w:rPr>
              <w:t>0.94</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19"/>
              <w:jc w:val="right"/>
              <w:rPr>
                <w:rFonts w:ascii="Times New Roman" w:hAnsi="Times New Roman" w:cs="Times New Roman" w:eastAsia="Times New Roman" w:hint="default"/>
                <w:sz w:val="18"/>
                <w:szCs w:val="18"/>
              </w:rPr>
            </w:pPr>
            <w:r>
              <w:rPr>
                <w:rFonts w:ascii="Times New Roman"/>
                <w:sz w:val="18"/>
              </w:rPr>
              <w:t>56,578.50</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445" w:right="0"/>
              <w:jc w:val="left"/>
              <w:rPr>
                <w:rFonts w:ascii="Times New Roman" w:hAnsi="Times New Roman" w:cs="Times New Roman" w:eastAsia="Times New Roman" w:hint="default"/>
                <w:sz w:val="18"/>
                <w:szCs w:val="18"/>
              </w:rPr>
            </w:pPr>
            <w:r>
              <w:rPr>
                <w:rFonts w:ascii="Times New Roman"/>
                <w:sz w:val="18"/>
              </w:rPr>
              <w:t>12,000.00</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91"/>
              <w:jc w:val="right"/>
              <w:rPr>
                <w:rFonts w:ascii="Times New Roman" w:hAnsi="Times New Roman" w:cs="Times New Roman" w:eastAsia="Times New Roman" w:hint="default"/>
                <w:sz w:val="18"/>
                <w:szCs w:val="18"/>
              </w:rPr>
            </w:pPr>
            <w:r>
              <w:rPr>
                <w:rFonts w:ascii="Times New Roman"/>
                <w:sz w:val="18"/>
              </w:rPr>
              <w:t>0.20</w:t>
            </w: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12,000.00</w:t>
            </w:r>
          </w:p>
        </w:tc>
      </w:tr>
      <w:tr>
        <w:trPr>
          <w:trHeight w:val="390" w:hRule="exact"/>
        </w:trPr>
        <w:tc>
          <w:tcPr>
            <w:tcW w:w="1133"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right="428"/>
              <w:jc w:val="right"/>
              <w:rPr>
                <w:rFonts w:ascii="宋体" w:hAnsi="宋体" w:cs="宋体" w:eastAsia="宋体" w:hint="default"/>
                <w:sz w:val="18"/>
                <w:szCs w:val="18"/>
              </w:rPr>
            </w:pPr>
            <w:r>
              <w:rPr>
                <w:rFonts w:ascii="宋体" w:hAnsi="宋体" w:cs="宋体" w:eastAsia="宋体" w:hint="default"/>
                <w:sz w:val="18"/>
                <w:szCs w:val="18"/>
              </w:rPr>
              <w:t>合计</w:t>
            </w:r>
          </w:p>
        </w:tc>
        <w:tc>
          <w:tcPr>
            <w:tcW w:w="1529"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left="423" w:right="0"/>
              <w:jc w:val="left"/>
              <w:rPr>
                <w:rFonts w:ascii="Times New Roman" w:hAnsi="Times New Roman" w:cs="Times New Roman" w:eastAsia="Times New Roman" w:hint="default"/>
                <w:sz w:val="18"/>
                <w:szCs w:val="18"/>
              </w:rPr>
            </w:pPr>
            <w:r>
              <w:rPr>
                <w:rFonts w:ascii="Times New Roman"/>
                <w:sz w:val="18"/>
              </w:rPr>
              <w:t>5,990,775.69</w:t>
            </w:r>
          </w:p>
        </w:tc>
        <w:tc>
          <w:tcPr>
            <w:tcW w:w="781"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93"/>
              <w:jc w:val="right"/>
              <w:rPr>
                <w:rFonts w:ascii="Times New Roman" w:hAnsi="Times New Roman" w:cs="Times New Roman" w:eastAsia="Times New Roman" w:hint="default"/>
                <w:sz w:val="18"/>
                <w:szCs w:val="18"/>
              </w:rPr>
            </w:pPr>
            <w:r>
              <w:rPr>
                <w:rFonts w:ascii="Times New Roman"/>
                <w:sz w:val="18"/>
              </w:rPr>
              <w:t>100.00</w:t>
            </w:r>
          </w:p>
        </w:tc>
        <w:tc>
          <w:tcPr>
            <w:tcW w:w="1312"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219"/>
              <w:jc w:val="right"/>
              <w:rPr>
                <w:rFonts w:ascii="Times New Roman" w:hAnsi="Times New Roman" w:cs="Times New Roman" w:eastAsia="Times New Roman" w:hint="default"/>
                <w:sz w:val="18"/>
                <w:szCs w:val="18"/>
              </w:rPr>
            </w:pPr>
            <w:r>
              <w:rPr>
                <w:rFonts w:ascii="Times New Roman"/>
                <w:sz w:val="18"/>
              </w:rPr>
              <w:t>419,662.70</w:t>
            </w:r>
          </w:p>
        </w:tc>
        <w:tc>
          <w:tcPr>
            <w:tcW w:w="1405"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left="221" w:right="0"/>
              <w:jc w:val="left"/>
              <w:rPr>
                <w:rFonts w:ascii="Times New Roman" w:hAnsi="Times New Roman" w:cs="Times New Roman" w:eastAsia="Times New Roman" w:hint="default"/>
                <w:sz w:val="18"/>
                <w:szCs w:val="18"/>
              </w:rPr>
            </w:pPr>
            <w:r>
              <w:rPr>
                <w:rFonts w:ascii="Times New Roman"/>
                <w:sz w:val="18"/>
              </w:rPr>
              <w:t>6,105,697.38</w:t>
            </w:r>
          </w:p>
        </w:tc>
        <w:tc>
          <w:tcPr>
            <w:tcW w:w="805"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92"/>
              <w:jc w:val="right"/>
              <w:rPr>
                <w:rFonts w:ascii="Times New Roman" w:hAnsi="Times New Roman" w:cs="Times New Roman" w:eastAsia="Times New Roman" w:hint="default"/>
                <w:sz w:val="18"/>
                <w:szCs w:val="18"/>
              </w:rPr>
            </w:pPr>
            <w:r>
              <w:rPr>
                <w:rFonts w:ascii="Times New Roman"/>
                <w:sz w:val="18"/>
              </w:rPr>
              <w:t>100.00</w:t>
            </w:r>
          </w:p>
        </w:tc>
        <w:tc>
          <w:tcPr>
            <w:tcW w:w="1123"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660,703.25</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pStyle w:val="Heading2"/>
        <w:tabs>
          <w:tab w:pos="1393" w:val="left" w:leader="none"/>
        </w:tabs>
        <w:spacing w:line="240" w:lineRule="auto" w:before="35"/>
        <w:ind w:left="855" w:right="390"/>
        <w:jc w:val="left"/>
        <w:rPr>
          <w:b w:val="0"/>
          <w:bCs w:val="0"/>
        </w:rPr>
      </w:pPr>
      <w:r>
        <w:rPr>
          <w:rFonts w:ascii="Times New Roman" w:hAnsi="Times New Roman" w:cs="Times New Roman" w:eastAsia="Times New Roman" w:hint="default"/>
          <w:w w:val="95"/>
        </w:rPr>
        <w:t>2</w:t>
      </w:r>
      <w:r>
        <w:rPr>
          <w:w w:val="95"/>
        </w:rPr>
        <w:t>、</w:t>
        <w:tab/>
      </w:r>
      <w:r>
        <w:rPr/>
        <w:t>期末其他应收款中无持本公司</w:t>
      </w:r>
      <w:r>
        <w:rPr>
          <w:spacing w:val="-62"/>
        </w:rPr>
        <w:t> </w:t>
      </w:r>
      <w:r>
        <w:rPr>
          <w:rFonts w:ascii="Times New Roman" w:hAnsi="Times New Roman" w:cs="Times New Roman" w:eastAsia="Times New Roman" w:hint="default"/>
        </w:rPr>
        <w:t>5</w:t>
      </w:r>
      <w:r>
        <w:rPr/>
        <w:t>％以上（含</w:t>
      </w:r>
      <w:r>
        <w:rPr>
          <w:spacing w:val="-62"/>
        </w:rPr>
        <w:t> </w:t>
      </w:r>
      <w:r>
        <w:rPr>
          <w:rFonts w:ascii="Times New Roman" w:hAnsi="Times New Roman" w:cs="Times New Roman" w:eastAsia="Times New Roman" w:hint="default"/>
        </w:rPr>
        <w:t>5</w:t>
      </w:r>
      <w:r>
        <w:rPr/>
        <w:t>％）表决权股份的股东单位欠款。</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1394" w:val="left" w:leader="none"/>
        </w:tabs>
        <w:spacing w:before="0"/>
        <w:ind w:left="855" w:right="39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其他应收款金额前五名情况</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51" w:footer="982" w:top="1360" w:bottom="1180" w:left="1660" w:right="1140"/>
        </w:sectPr>
      </w:pPr>
    </w:p>
    <w:p>
      <w:pPr>
        <w:spacing w:line="240" w:lineRule="auto" w:before="3"/>
        <w:rPr>
          <w:rFonts w:ascii="宋体" w:hAnsi="宋体" w:cs="宋体" w:eastAsia="宋体" w:hint="default"/>
          <w:b/>
          <w:bCs/>
          <w:sz w:val="2"/>
          <w:szCs w:val="2"/>
        </w:rPr>
      </w:pPr>
      <w:r>
        <w:rPr/>
        <w:pict>
          <v:group style="position:absolute;margin-left:88.379997pt;margin-top:67.680pt;width:443.85pt;height:.1pt;mso-position-horizontal-relative:page;mso-position-vertical-relative:page;z-index:-705376" coordorigin="1768,1354" coordsize="8877,2">
            <v:shape style="position:absolute;left:1768;top:1354;width:8877;height:2" coordorigin="1768,1354" coordsize="8877,0" path="m1768,1354l10644,1354e" filled="false" stroked="true" strokeweight=".72pt" strokecolor="#000000">
              <v:path arrowok="t"/>
            </v:shape>
            <w10:wrap type="none"/>
          </v:group>
        </w:pict>
      </w:r>
    </w:p>
    <w:tbl>
      <w:tblPr>
        <w:tblW w:w="0" w:type="auto"/>
        <w:jc w:val="left"/>
        <w:tblInd w:w="1289" w:type="dxa"/>
        <w:tblLayout w:type="fixed"/>
        <w:tblCellMar>
          <w:top w:w="0" w:type="dxa"/>
          <w:left w:w="0" w:type="dxa"/>
          <w:bottom w:w="0" w:type="dxa"/>
          <w:right w:w="0" w:type="dxa"/>
        </w:tblCellMar>
        <w:tblLook w:val="01E0"/>
      </w:tblPr>
      <w:tblGrid>
        <w:gridCol w:w="1774"/>
        <w:gridCol w:w="1138"/>
        <w:gridCol w:w="1371"/>
        <w:gridCol w:w="940"/>
        <w:gridCol w:w="1213"/>
        <w:gridCol w:w="1337"/>
      </w:tblGrid>
      <w:tr>
        <w:trPr>
          <w:trHeight w:val="1249" w:hRule="exact"/>
        </w:trPr>
        <w:tc>
          <w:tcPr>
            <w:tcW w:w="1774"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505"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138"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381" w:lineRule="auto"/>
              <w:ind w:left="320" w:right="275" w:hanging="180"/>
              <w:jc w:val="left"/>
              <w:rPr>
                <w:rFonts w:ascii="宋体" w:hAnsi="宋体" w:cs="宋体" w:eastAsia="宋体" w:hint="default"/>
                <w:sz w:val="18"/>
                <w:szCs w:val="18"/>
              </w:rPr>
            </w:pPr>
            <w:r>
              <w:rPr>
                <w:rFonts w:ascii="宋体" w:hAnsi="宋体" w:cs="宋体" w:eastAsia="宋体" w:hint="default"/>
                <w:sz w:val="18"/>
                <w:szCs w:val="18"/>
              </w:rPr>
              <w:t>与本公司 关系</w:t>
            </w:r>
          </w:p>
        </w:tc>
        <w:tc>
          <w:tcPr>
            <w:tcW w:w="1371"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27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40"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291" w:right="0"/>
              <w:jc w:val="left"/>
              <w:rPr>
                <w:rFonts w:ascii="宋体" w:hAnsi="宋体" w:cs="宋体" w:eastAsia="宋体" w:hint="default"/>
                <w:sz w:val="18"/>
                <w:szCs w:val="18"/>
              </w:rPr>
            </w:pPr>
            <w:r>
              <w:rPr>
                <w:rFonts w:ascii="宋体" w:hAnsi="宋体" w:cs="宋体" w:eastAsia="宋体" w:hint="default"/>
                <w:sz w:val="18"/>
                <w:szCs w:val="18"/>
              </w:rPr>
              <w:t>年限</w:t>
            </w:r>
          </w:p>
        </w:tc>
        <w:tc>
          <w:tcPr>
            <w:tcW w:w="1213" w:type="dxa"/>
            <w:tcBorders>
              <w:top w:val="single" w:sz="12" w:space="0" w:color="000000"/>
              <w:left w:val="nil" w:sz="6" w:space="0" w:color="auto"/>
              <w:bottom w:val="nil" w:sz="6" w:space="0" w:color="auto"/>
              <w:right w:val="nil" w:sz="6" w:space="0" w:color="auto"/>
            </w:tcBorders>
          </w:tcPr>
          <w:p>
            <w:pPr>
              <w:pStyle w:val="TableParagraph"/>
              <w:spacing w:line="381" w:lineRule="auto" w:before="41"/>
              <w:ind w:left="158" w:right="152"/>
              <w:jc w:val="center"/>
              <w:rPr>
                <w:rFonts w:ascii="Times New Roman" w:hAnsi="Times New Roman" w:cs="Times New Roman" w:eastAsia="Times New Roman" w:hint="default"/>
                <w:sz w:val="18"/>
                <w:szCs w:val="18"/>
              </w:rPr>
            </w:pPr>
            <w:r>
              <w:rPr>
                <w:rFonts w:ascii="宋体" w:hAnsi="宋体" w:cs="宋体" w:eastAsia="宋体" w:hint="default"/>
                <w:sz w:val="18"/>
                <w:szCs w:val="18"/>
              </w:rPr>
              <w:t>占其他应收 款总额的比 例</w:t>
            </w:r>
            <w:r>
              <w:rPr>
                <w:rFonts w:ascii="Times New Roman" w:hAnsi="Times New Roman" w:cs="Times New Roman" w:eastAsia="Times New Roman" w:hint="default"/>
                <w:sz w:val="18"/>
                <w:szCs w:val="18"/>
              </w:rPr>
              <w:t>(%)</w:t>
            </w:r>
          </w:p>
        </w:tc>
        <w:tc>
          <w:tcPr>
            <w:tcW w:w="1337"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222" w:right="0"/>
              <w:jc w:val="left"/>
              <w:rPr>
                <w:rFonts w:ascii="宋体" w:hAnsi="宋体" w:cs="宋体" w:eastAsia="宋体" w:hint="default"/>
                <w:sz w:val="18"/>
                <w:szCs w:val="18"/>
              </w:rPr>
            </w:pPr>
            <w:r>
              <w:rPr>
                <w:rFonts w:ascii="宋体" w:hAnsi="宋体" w:cs="宋体" w:eastAsia="宋体" w:hint="default"/>
                <w:sz w:val="18"/>
                <w:szCs w:val="18"/>
              </w:rPr>
              <w:t>性质或内容</w:t>
            </w:r>
          </w:p>
        </w:tc>
      </w:tr>
      <w:tr>
        <w:trPr>
          <w:trHeight w:val="754" w:hRule="exact"/>
        </w:trPr>
        <w:tc>
          <w:tcPr>
            <w:tcW w:w="1774" w:type="dxa"/>
            <w:tcBorders>
              <w:top w:val="nil" w:sz="6" w:space="0" w:color="auto"/>
              <w:left w:val="nil" w:sz="6" w:space="0" w:color="auto"/>
              <w:bottom w:val="nil" w:sz="6" w:space="0" w:color="auto"/>
              <w:right w:val="nil" w:sz="6" w:space="0" w:color="auto"/>
            </w:tcBorders>
          </w:tcPr>
          <w:p>
            <w:pPr>
              <w:pStyle w:val="TableParagraph"/>
              <w:spacing w:line="381" w:lineRule="auto" w:before="41"/>
              <w:ind w:left="108" w:right="138"/>
              <w:jc w:val="left"/>
              <w:rPr>
                <w:rFonts w:ascii="宋体" w:hAnsi="宋体" w:cs="宋体" w:eastAsia="宋体" w:hint="default"/>
                <w:sz w:val="18"/>
                <w:szCs w:val="18"/>
              </w:rPr>
            </w:pPr>
            <w:r>
              <w:rPr>
                <w:rFonts w:ascii="宋体" w:hAnsi="宋体" w:cs="宋体" w:eastAsia="宋体" w:hint="default"/>
                <w:spacing w:val="9"/>
                <w:sz w:val="18"/>
                <w:szCs w:val="18"/>
              </w:rPr>
              <w:t>北京新媒传信科技</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有限公司</w:t>
            </w:r>
          </w:p>
        </w:tc>
        <w:tc>
          <w:tcPr>
            <w:tcW w:w="1138" w:type="dxa"/>
            <w:tcBorders>
              <w:top w:val="nil" w:sz="6" w:space="0" w:color="auto"/>
              <w:left w:val="nil" w:sz="6" w:space="0" w:color="auto"/>
              <w:bottom w:val="nil" w:sz="6" w:space="0" w:color="auto"/>
              <w:right w:val="nil" w:sz="6" w:space="0" w:color="auto"/>
            </w:tcBorders>
          </w:tcPr>
          <w:p>
            <w:pPr/>
          </w:p>
        </w:tc>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110,871,278.18</w:t>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94.87</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下拨募投资金</w:t>
            </w:r>
          </w:p>
        </w:tc>
      </w:tr>
      <w:tr>
        <w:trPr>
          <w:trHeight w:val="390" w:hRule="exact"/>
        </w:trPr>
        <w:tc>
          <w:tcPr>
            <w:tcW w:w="1774"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8" w:right="0"/>
              <w:jc w:val="left"/>
              <w:rPr>
                <w:rFonts w:ascii="宋体" w:hAnsi="宋体" w:cs="宋体" w:eastAsia="宋体" w:hint="default"/>
                <w:sz w:val="18"/>
                <w:szCs w:val="18"/>
              </w:rPr>
            </w:pPr>
            <w:r>
              <w:rPr>
                <w:rFonts w:ascii="宋体" w:hAnsi="宋体" w:cs="宋体" w:eastAsia="宋体" w:hint="default"/>
                <w:sz w:val="18"/>
                <w:szCs w:val="18"/>
              </w:rPr>
              <w:t>项目实施备用金</w:t>
            </w:r>
          </w:p>
        </w:tc>
        <w:tc>
          <w:tcPr>
            <w:tcW w:w="1138" w:type="dxa"/>
            <w:tcBorders>
              <w:top w:val="nil" w:sz="6" w:space="0" w:color="auto"/>
              <w:left w:val="nil" w:sz="6" w:space="0" w:color="auto"/>
              <w:bottom w:val="nil" w:sz="6" w:space="0" w:color="auto"/>
              <w:right w:val="nil" w:sz="6" w:space="0" w:color="auto"/>
            </w:tcBorders>
          </w:tcPr>
          <w:p>
            <w:pPr/>
          </w:p>
        </w:tc>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spacing w:val="-1"/>
                <w:sz w:val="18"/>
              </w:rPr>
              <w:t>1,197,217.29</w:t>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sz w:val="18"/>
              </w:rPr>
              <w:t>1.02</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8" w:right="0"/>
              <w:jc w:val="left"/>
              <w:rPr>
                <w:rFonts w:ascii="宋体" w:hAnsi="宋体" w:cs="宋体" w:eastAsia="宋体" w:hint="default"/>
                <w:sz w:val="18"/>
                <w:szCs w:val="18"/>
              </w:rPr>
            </w:pPr>
            <w:r>
              <w:rPr>
                <w:rFonts w:ascii="宋体" w:hAnsi="宋体" w:cs="宋体" w:eastAsia="宋体" w:hint="default"/>
                <w:sz w:val="18"/>
                <w:szCs w:val="18"/>
              </w:rPr>
              <w:t>备用金</w:t>
            </w:r>
          </w:p>
        </w:tc>
      </w:tr>
      <w:tr>
        <w:trPr>
          <w:trHeight w:val="385" w:hRule="exact"/>
        </w:trPr>
        <w:tc>
          <w:tcPr>
            <w:tcW w:w="177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8" w:right="0"/>
              <w:jc w:val="left"/>
              <w:rPr>
                <w:rFonts w:ascii="宋体" w:hAnsi="宋体" w:cs="宋体" w:eastAsia="宋体" w:hint="default"/>
                <w:sz w:val="18"/>
                <w:szCs w:val="18"/>
              </w:rPr>
            </w:pPr>
            <w:r>
              <w:rPr>
                <w:rFonts w:ascii="宋体" w:hAnsi="宋体" w:cs="宋体" w:eastAsia="宋体" w:hint="default"/>
                <w:sz w:val="18"/>
                <w:szCs w:val="18"/>
              </w:rPr>
              <w:t>中信国际招标公司</w:t>
            </w:r>
          </w:p>
        </w:tc>
        <w:tc>
          <w:tcPr>
            <w:tcW w:w="1138" w:type="dxa"/>
            <w:tcBorders>
              <w:top w:val="nil" w:sz="6" w:space="0" w:color="auto"/>
              <w:left w:val="nil" w:sz="6" w:space="0" w:color="auto"/>
              <w:bottom w:val="nil" w:sz="6" w:space="0" w:color="auto"/>
              <w:right w:val="nil" w:sz="6" w:space="0" w:color="auto"/>
            </w:tcBorders>
          </w:tcPr>
          <w:p>
            <w:pPr/>
          </w:p>
        </w:tc>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z w:val="18"/>
              </w:rPr>
              <w:t>656,000.00</w:t>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8"/>
                <w:szCs w:val="18"/>
              </w:rPr>
            </w:pPr>
            <w:r>
              <w:rPr>
                <w:rFonts w:ascii="Times New Roman"/>
                <w:sz w:val="18"/>
              </w:rPr>
              <w:t>0.56</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8" w:right="0"/>
              <w:jc w:val="left"/>
              <w:rPr>
                <w:rFonts w:ascii="宋体" w:hAnsi="宋体" w:cs="宋体" w:eastAsia="宋体" w:hint="default"/>
                <w:sz w:val="18"/>
                <w:szCs w:val="18"/>
              </w:rPr>
            </w:pPr>
            <w:r>
              <w:rPr>
                <w:rFonts w:ascii="宋体" w:hAnsi="宋体" w:cs="宋体" w:eastAsia="宋体" w:hint="default"/>
                <w:sz w:val="18"/>
                <w:szCs w:val="18"/>
              </w:rPr>
              <w:t>投标保证金</w:t>
            </w:r>
          </w:p>
        </w:tc>
      </w:tr>
      <w:tr>
        <w:trPr>
          <w:trHeight w:val="753" w:hRule="exact"/>
        </w:trPr>
        <w:tc>
          <w:tcPr>
            <w:tcW w:w="1774" w:type="dxa"/>
            <w:tcBorders>
              <w:top w:val="nil" w:sz="6" w:space="0" w:color="auto"/>
              <w:left w:val="nil" w:sz="6" w:space="0" w:color="auto"/>
              <w:bottom w:val="nil" w:sz="6" w:space="0" w:color="auto"/>
              <w:right w:val="nil" w:sz="6" w:space="0" w:color="auto"/>
            </w:tcBorders>
          </w:tcPr>
          <w:p>
            <w:pPr>
              <w:pStyle w:val="TableParagraph"/>
              <w:spacing w:line="381" w:lineRule="auto" w:before="41"/>
              <w:ind w:left="108" w:right="138"/>
              <w:jc w:val="left"/>
              <w:rPr>
                <w:rFonts w:ascii="宋体" w:hAnsi="宋体" w:cs="宋体" w:eastAsia="宋体" w:hint="default"/>
                <w:sz w:val="18"/>
                <w:szCs w:val="18"/>
              </w:rPr>
            </w:pPr>
            <w:r>
              <w:rPr>
                <w:rFonts w:ascii="宋体" w:hAnsi="宋体" w:cs="宋体" w:eastAsia="宋体" w:hint="default"/>
                <w:spacing w:val="9"/>
                <w:sz w:val="18"/>
                <w:szCs w:val="18"/>
              </w:rPr>
              <w:t>中国人民银行集中</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采购中心</w:t>
            </w:r>
          </w:p>
        </w:tc>
        <w:tc>
          <w:tcPr>
            <w:tcW w:w="1138" w:type="dxa"/>
            <w:tcBorders>
              <w:top w:val="nil" w:sz="6" w:space="0" w:color="auto"/>
              <w:left w:val="nil" w:sz="6" w:space="0" w:color="auto"/>
              <w:bottom w:val="nil" w:sz="6" w:space="0" w:color="auto"/>
              <w:right w:val="nil" w:sz="6" w:space="0" w:color="auto"/>
            </w:tcBorders>
          </w:tcPr>
          <w:p>
            <w:pPr/>
          </w:p>
        </w:tc>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345,769.90</w:t>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0.30</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履约保证金</w:t>
            </w:r>
          </w:p>
        </w:tc>
      </w:tr>
      <w:tr>
        <w:trPr>
          <w:trHeight w:val="770" w:hRule="exact"/>
        </w:trPr>
        <w:tc>
          <w:tcPr>
            <w:tcW w:w="1774" w:type="dxa"/>
            <w:tcBorders>
              <w:top w:val="nil" w:sz="6" w:space="0" w:color="auto"/>
              <w:left w:val="nil" w:sz="6" w:space="0" w:color="auto"/>
              <w:bottom w:val="single" w:sz="12" w:space="0" w:color="000000"/>
              <w:right w:val="nil" w:sz="6" w:space="0" w:color="auto"/>
            </w:tcBorders>
          </w:tcPr>
          <w:p>
            <w:pPr>
              <w:pStyle w:val="TableParagraph"/>
              <w:spacing w:line="381" w:lineRule="auto" w:before="46"/>
              <w:ind w:left="108" w:right="138"/>
              <w:jc w:val="left"/>
              <w:rPr>
                <w:rFonts w:ascii="宋体" w:hAnsi="宋体" w:cs="宋体" w:eastAsia="宋体" w:hint="default"/>
                <w:sz w:val="18"/>
                <w:szCs w:val="18"/>
              </w:rPr>
            </w:pPr>
            <w:r>
              <w:rPr>
                <w:rFonts w:ascii="宋体" w:hAnsi="宋体" w:cs="宋体" w:eastAsia="宋体" w:hint="default"/>
                <w:spacing w:val="9"/>
                <w:sz w:val="18"/>
                <w:szCs w:val="18"/>
              </w:rPr>
              <w:t>天津信合金融网络</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中心</w:t>
            </w:r>
          </w:p>
        </w:tc>
        <w:tc>
          <w:tcPr>
            <w:tcW w:w="1138" w:type="dxa"/>
            <w:tcBorders>
              <w:top w:val="nil" w:sz="6" w:space="0" w:color="auto"/>
              <w:left w:val="nil" w:sz="6" w:space="0" w:color="auto"/>
              <w:bottom w:val="single" w:sz="12" w:space="0" w:color="000000"/>
              <w:right w:val="nil" w:sz="6" w:space="0" w:color="auto"/>
            </w:tcBorders>
          </w:tcPr>
          <w:p>
            <w:pPr/>
          </w:p>
        </w:tc>
        <w:tc>
          <w:tcPr>
            <w:tcW w:w="1371"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342,003.00</w:t>
            </w:r>
          </w:p>
        </w:tc>
        <w:tc>
          <w:tcPr>
            <w:tcW w:w="940"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13"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0.29</w:t>
            </w:r>
          </w:p>
        </w:tc>
        <w:tc>
          <w:tcPr>
            <w:tcW w:w="1337"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履约保证金</w:t>
            </w:r>
          </w:p>
        </w:tc>
      </w:tr>
    </w:tbl>
    <w:p>
      <w:pPr>
        <w:spacing w:line="240" w:lineRule="auto" w:before="4"/>
        <w:rPr>
          <w:rFonts w:ascii="宋体" w:hAnsi="宋体" w:cs="宋体" w:eastAsia="宋体" w:hint="default"/>
          <w:b/>
          <w:bCs/>
          <w:sz w:val="28"/>
          <w:szCs w:val="28"/>
        </w:rPr>
      </w:pPr>
    </w:p>
    <w:p>
      <w:pPr>
        <w:tabs>
          <w:tab w:pos="1393" w:val="left" w:leader="none"/>
        </w:tabs>
        <w:spacing w:before="35"/>
        <w:ind w:left="855" w:right="312" w:firstLine="0"/>
        <w:jc w:val="left"/>
        <w:rPr>
          <w:rFonts w:ascii="宋体" w:hAnsi="宋体" w:cs="宋体" w:eastAsia="宋体" w:hint="default"/>
          <w:sz w:val="21"/>
          <w:szCs w:val="21"/>
        </w:rPr>
      </w:pPr>
      <w:r>
        <w:rPr/>
        <w:pict>
          <v:group style="position:absolute;margin-left:146.520004pt;margin-top:-229.406052pt;width:390.7pt;height:210.4pt;mso-position-horizontal-relative:page;mso-position-vertical-relative:paragraph;z-index:-705352" coordorigin="2930,-4588" coordsize="7814,4208">
            <v:shape style="position:absolute;left:4656;top:-4588;width:4753;height:1162" type="#_x0000_t75" stroked="false">
              <v:imagedata r:id="rId306" o:title=""/>
            </v:shape>
            <v:shape style="position:absolute;left:2930;top:-3465;width:7813;height:3084" type="#_x0000_t75" stroked="false">
              <v:imagedata r:id="rId307" o:title=""/>
            </v:shape>
            <v:shape style="position:absolute;left:5743;top:-1169;width:48;height:788" type="#_x0000_t75" stroked="false">
              <v:imagedata r:id="rId308" o:title=""/>
            </v:shape>
            <v:shape style="position:absolute;left:7207;top:-1169;width:48;height:788" type="#_x0000_t75" stroked="false">
              <v:imagedata r:id="rId308" o:title=""/>
            </v:shape>
            <v:shape style="position:absolute;left:8153;top:-1169;width:48;height:788" type="#_x0000_t75" stroked="false">
              <v:imagedata r:id="rId308" o:title=""/>
            </v:shape>
            <v:shape style="position:absolute;left:9361;top:-1169;width:48;height:788" type="#_x0000_t75" stroked="false">
              <v:imagedata r:id="rId308" o:title=""/>
            </v:shape>
            <w10:wrap type="none"/>
          </v:group>
        </w:pict>
      </w:r>
      <w:r>
        <w:rPr/>
        <w:pict>
          <v:shape style="position:absolute;margin-left:146.839996pt;margin-top:37.593948pt;width:394.201772pt;height:62.22pt;mso-position-horizontal-relative:page;mso-position-vertical-relative:paragraph;z-index:-705328" type="#_x0000_t75" stroked="false">
            <v:imagedata r:id="rId309" o:title=""/>
          </v:shape>
        </w:pict>
      </w: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应收关联方账款情况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1289" w:type="dxa"/>
        <w:tblLayout w:type="fixed"/>
        <w:tblCellMar>
          <w:top w:w="0" w:type="dxa"/>
          <w:left w:w="0" w:type="dxa"/>
          <w:bottom w:w="0" w:type="dxa"/>
          <w:right w:w="0" w:type="dxa"/>
        </w:tblCellMar>
        <w:tblLook w:val="01E0"/>
      </w:tblPr>
      <w:tblGrid>
        <w:gridCol w:w="2642"/>
        <w:gridCol w:w="1832"/>
        <w:gridCol w:w="1616"/>
        <w:gridCol w:w="1683"/>
      </w:tblGrid>
      <w:tr>
        <w:trPr>
          <w:trHeight w:val="792" w:hRule="exact"/>
        </w:trPr>
        <w:tc>
          <w:tcPr>
            <w:tcW w:w="2642"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34"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832"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616"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42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683" w:type="dxa"/>
            <w:tcBorders>
              <w:top w:val="single" w:sz="12" w:space="0" w:color="000000"/>
              <w:left w:val="nil" w:sz="6" w:space="0" w:color="auto"/>
              <w:bottom w:val="nil" w:sz="6" w:space="0" w:color="auto"/>
              <w:right w:val="nil" w:sz="6" w:space="0" w:color="auto"/>
            </w:tcBorders>
          </w:tcPr>
          <w:p>
            <w:pPr>
              <w:pStyle w:val="TableParagraph"/>
              <w:spacing w:line="381" w:lineRule="auto" w:before="41"/>
              <w:ind w:left="433" w:right="121" w:hanging="315"/>
              <w:jc w:val="left"/>
              <w:rPr>
                <w:rFonts w:ascii="Times New Roman" w:hAnsi="Times New Roman" w:cs="Times New Roman" w:eastAsia="Times New Roman" w:hint="default"/>
                <w:sz w:val="18"/>
                <w:szCs w:val="18"/>
              </w:rPr>
            </w:pPr>
            <w:r>
              <w:rPr>
                <w:rFonts w:ascii="宋体" w:hAnsi="宋体" w:cs="宋体" w:eastAsia="宋体" w:hint="default"/>
                <w:sz w:val="18"/>
                <w:szCs w:val="18"/>
              </w:rPr>
              <w:t>占其他应收款总额 的比例</w:t>
            </w:r>
            <w:r>
              <w:rPr>
                <w:rFonts w:ascii="Times New Roman" w:hAnsi="Times New Roman" w:cs="Times New Roman" w:eastAsia="Times New Roman" w:hint="default"/>
                <w:sz w:val="18"/>
                <w:szCs w:val="18"/>
              </w:rPr>
              <w:t>(%)</w:t>
            </w:r>
          </w:p>
        </w:tc>
      </w:tr>
      <w:tr>
        <w:trPr>
          <w:trHeight w:val="447" w:hRule="exact"/>
        </w:trPr>
        <w:tc>
          <w:tcPr>
            <w:tcW w:w="2642" w:type="dxa"/>
            <w:tcBorders>
              <w:top w:val="nil" w:sz="6" w:space="0" w:color="auto"/>
              <w:left w:val="nil" w:sz="6" w:space="0" w:color="auto"/>
              <w:bottom w:val="single" w:sz="12" w:space="0" w:color="000000"/>
              <w:right w:val="nil" w:sz="6" w:space="0" w:color="auto"/>
            </w:tcBorders>
          </w:tcPr>
          <w:p>
            <w:pPr>
              <w:pStyle w:val="TableParagraph"/>
              <w:spacing w:line="240" w:lineRule="auto" w:before="60"/>
              <w:ind w:left="108" w:right="0"/>
              <w:jc w:val="left"/>
              <w:rPr>
                <w:rFonts w:ascii="宋体" w:hAnsi="宋体" w:cs="宋体" w:eastAsia="宋体" w:hint="default"/>
                <w:sz w:val="18"/>
                <w:szCs w:val="18"/>
              </w:rPr>
            </w:pPr>
            <w:r>
              <w:rPr>
                <w:rFonts w:ascii="宋体" w:hAnsi="宋体" w:cs="宋体" w:eastAsia="宋体" w:hint="default"/>
                <w:sz w:val="18"/>
                <w:szCs w:val="18"/>
              </w:rPr>
              <w:t>北京新媒传信科技有限公司</w:t>
            </w:r>
          </w:p>
        </w:tc>
        <w:tc>
          <w:tcPr>
            <w:tcW w:w="1832" w:type="dxa"/>
            <w:tcBorders>
              <w:top w:val="nil" w:sz="6" w:space="0" w:color="auto"/>
              <w:left w:val="nil" w:sz="6" w:space="0" w:color="auto"/>
              <w:bottom w:val="single" w:sz="12" w:space="0" w:color="000000"/>
              <w:right w:val="nil" w:sz="6" w:space="0" w:color="auto"/>
            </w:tcBorders>
          </w:tcPr>
          <w:p>
            <w:pPr>
              <w:pStyle w:val="TableParagraph"/>
              <w:spacing w:line="240" w:lineRule="auto" w:before="60"/>
              <w:ind w:right="2"/>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616"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left="377" w:right="0"/>
              <w:jc w:val="left"/>
              <w:rPr>
                <w:rFonts w:ascii="Times New Roman" w:hAnsi="Times New Roman" w:cs="Times New Roman" w:eastAsia="Times New Roman" w:hint="default"/>
                <w:sz w:val="18"/>
                <w:szCs w:val="18"/>
              </w:rPr>
            </w:pPr>
            <w:r>
              <w:rPr>
                <w:rFonts w:ascii="Times New Roman"/>
                <w:sz w:val="18"/>
              </w:rPr>
              <w:t>110,871,278.18</w:t>
            </w:r>
          </w:p>
        </w:tc>
        <w:tc>
          <w:tcPr>
            <w:tcW w:w="1683"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z w:val="18"/>
              </w:rPr>
              <w:t>94.87</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82" w:top="1300" w:bottom="1180" w:left="1660" w:right="1060"/>
        </w:sectPr>
      </w:pPr>
    </w:p>
    <w:p>
      <w:pPr>
        <w:spacing w:line="240" w:lineRule="auto" w:before="7"/>
        <w:rPr>
          <w:rFonts w:ascii="宋体" w:hAnsi="宋体" w:cs="宋体" w:eastAsia="宋体" w:hint="default"/>
          <w:b/>
          <w:bCs/>
          <w:sz w:val="19"/>
          <w:szCs w:val="19"/>
        </w:rPr>
      </w:pPr>
    </w:p>
    <w:p>
      <w:pPr>
        <w:spacing w:before="44"/>
        <w:ind w:left="7555" w:right="0" w:firstLine="0"/>
        <w:jc w:val="left"/>
        <w:rPr>
          <w:rFonts w:ascii="宋体" w:hAnsi="宋体" w:cs="宋体" w:eastAsia="宋体" w:hint="default"/>
          <w:sz w:val="18"/>
          <w:szCs w:val="18"/>
        </w:rPr>
      </w:pPr>
      <w:r>
        <w:rPr/>
        <w:pict>
          <v:shape style="position:absolute;margin-left:214.610992pt;margin-top:-8.468244pt;width:98.130005pt;height:21.119995pt;mso-position-horizontal-relative:page;mso-position-vertical-relative:paragraph;z-index:8464" type="#_x0000_t75" stroked="false">
            <v:imagedata r:id="rId139" o:title=""/>
          </v:shape>
        </w:pict>
      </w:r>
      <w:r>
        <w:rPr>
          <w:rFonts w:ascii="宋体" w:hAnsi="宋体" w:cs="宋体" w:eastAsia="宋体" w:hint="default"/>
          <w:sz w:val="18"/>
          <w:szCs w:val="18"/>
        </w:rPr>
        <w:t>北京神州泰岳软件股份有限公司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年度报告</w:t>
      </w:r>
    </w:p>
    <w:p>
      <w:pPr>
        <w:spacing w:line="240" w:lineRule="auto" w:before="7"/>
        <w:rPr>
          <w:rFonts w:ascii="宋体" w:hAnsi="宋体" w:cs="宋体" w:eastAsia="宋体" w:hint="default"/>
          <w:sz w:val="2"/>
          <w:szCs w:val="2"/>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701.65pt;height:.75pt;mso-position-horizontal-relative:char;mso-position-vertical-relative:line" coordorigin="0,0" coordsize="14033,15">
            <v:group style="position:absolute;left:7;top:7;width:14019;height:2" coordorigin="7,7" coordsize="14019,2">
              <v:shape style="position:absolute;left:7;top:7;width:14019;height:2" coordorigin="7,7" coordsize="14019,0" path="m7,7l14026,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7"/>
          <w:szCs w:val="27"/>
        </w:rPr>
      </w:pPr>
    </w:p>
    <w:p>
      <w:pPr>
        <w:pStyle w:val="Heading2"/>
        <w:tabs>
          <w:tab w:pos="853" w:val="left" w:leader="none"/>
          <w:tab w:pos="11180" w:val="left" w:leader="none"/>
        </w:tabs>
        <w:spacing w:line="240" w:lineRule="auto" w:before="35"/>
        <w:ind w:right="0"/>
        <w:jc w:val="left"/>
        <w:rPr>
          <w:b w:val="0"/>
          <w:bCs w:val="0"/>
        </w:rPr>
      </w:pPr>
      <w:r>
        <w:rPr/>
        <w:pict>
          <v:group style="position:absolute;margin-left:101.511002pt;margin-top:42.629181pt;width:693.55pt;height:343.95pt;mso-position-horizontal-relative:page;mso-position-vertical-relative:paragraph;z-index:-705256" coordorigin="2030,853" coordsize="13871,6879">
            <v:shape style="position:absolute;left:4095;top:853;width:10567;height:1536" type="#_x0000_t75" stroked="false">
              <v:imagedata r:id="rId312" o:title=""/>
            </v:shape>
            <v:shape style="position:absolute;left:2030;top:2350;width:13871;height:5381" type="#_x0000_t75" stroked="false">
              <v:imagedata r:id="rId313" o:title=""/>
            </v:shape>
            <w10:wrap type="none"/>
          </v:group>
        </w:pict>
      </w:r>
      <w:r>
        <w:rPr>
          <w:rFonts w:ascii="Times New Roman" w:hAnsi="Times New Roman" w:cs="Times New Roman" w:eastAsia="Times New Roman" w:hint="default"/>
          <w:w w:val="95"/>
        </w:rPr>
        <w:t>(</w:t>
      </w:r>
      <w:r>
        <w:rPr>
          <w:w w:val="95"/>
        </w:rPr>
        <w:t>三</w:t>
      </w:r>
      <w:r>
        <w:rPr>
          <w:rFonts w:ascii="Times New Roman" w:hAnsi="Times New Roman" w:cs="Times New Roman" w:eastAsia="Times New Roman" w:hint="default"/>
          <w:w w:val="95"/>
        </w:rPr>
        <w:t>)</w:t>
        <w:tab/>
      </w:r>
      <w:r>
        <w:rPr>
          <w:w w:val="95"/>
        </w:rPr>
        <w:t>长期股权投资</w:t>
        <w:tab/>
      </w:r>
      <w:r>
        <w:rPr/>
        <w:t>单位：人民币元</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749" w:type="dxa"/>
        <w:tblLayout w:type="fixed"/>
        <w:tblCellMar>
          <w:top w:w="0" w:type="dxa"/>
          <w:left w:w="0" w:type="dxa"/>
          <w:bottom w:w="0" w:type="dxa"/>
          <w:right w:w="0" w:type="dxa"/>
        </w:tblCellMar>
        <w:tblLook w:val="01E0"/>
      </w:tblPr>
      <w:tblGrid>
        <w:gridCol w:w="2043"/>
        <w:gridCol w:w="891"/>
        <w:gridCol w:w="1187"/>
        <w:gridCol w:w="1157"/>
        <w:gridCol w:w="1347"/>
        <w:gridCol w:w="1292"/>
        <w:gridCol w:w="1009"/>
        <w:gridCol w:w="1043"/>
        <w:gridCol w:w="1208"/>
        <w:gridCol w:w="566"/>
        <w:gridCol w:w="869"/>
        <w:gridCol w:w="1216"/>
      </w:tblGrid>
      <w:tr>
        <w:trPr>
          <w:trHeight w:val="1516" w:hRule="exact"/>
        </w:trPr>
        <w:tc>
          <w:tcPr>
            <w:tcW w:w="2043"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19"/>
                <w:szCs w:val="19"/>
              </w:rPr>
            </w:pPr>
          </w:p>
          <w:p>
            <w:pPr>
              <w:pStyle w:val="TableParagraph"/>
              <w:spacing w:line="240" w:lineRule="auto"/>
              <w:ind w:left="659" w:right="0"/>
              <w:jc w:val="left"/>
              <w:rPr>
                <w:rFonts w:ascii="宋体" w:hAnsi="宋体" w:cs="宋体" w:eastAsia="宋体" w:hint="default"/>
                <w:sz w:val="15"/>
                <w:szCs w:val="15"/>
              </w:rPr>
            </w:pPr>
            <w:r>
              <w:rPr>
                <w:rFonts w:ascii="宋体" w:hAnsi="宋体" w:cs="宋体" w:eastAsia="宋体" w:hint="default"/>
                <w:sz w:val="15"/>
                <w:szCs w:val="15"/>
              </w:rPr>
              <w:t>被投资单位</w:t>
            </w:r>
          </w:p>
        </w:tc>
        <w:tc>
          <w:tcPr>
            <w:tcW w:w="891"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19"/>
                <w:szCs w:val="19"/>
              </w:rPr>
            </w:pPr>
          </w:p>
          <w:p>
            <w:pPr>
              <w:pStyle w:val="TableParagraph"/>
              <w:spacing w:line="240" w:lineRule="auto"/>
              <w:ind w:left="166" w:right="0"/>
              <w:jc w:val="left"/>
              <w:rPr>
                <w:rFonts w:ascii="宋体" w:hAnsi="宋体" w:cs="宋体" w:eastAsia="宋体" w:hint="default"/>
                <w:sz w:val="15"/>
                <w:szCs w:val="15"/>
              </w:rPr>
            </w:pPr>
            <w:r>
              <w:rPr>
                <w:rFonts w:ascii="宋体" w:hAnsi="宋体" w:cs="宋体" w:eastAsia="宋体" w:hint="default"/>
                <w:sz w:val="15"/>
                <w:szCs w:val="15"/>
              </w:rPr>
              <w:t>核算方法</w:t>
            </w:r>
          </w:p>
        </w:tc>
        <w:tc>
          <w:tcPr>
            <w:tcW w:w="1187"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19"/>
                <w:szCs w:val="19"/>
              </w:rPr>
            </w:pPr>
          </w:p>
          <w:p>
            <w:pPr>
              <w:pStyle w:val="TableParagraph"/>
              <w:spacing w:line="240" w:lineRule="auto"/>
              <w:ind w:left="293" w:right="0"/>
              <w:jc w:val="left"/>
              <w:rPr>
                <w:rFonts w:ascii="宋体" w:hAnsi="宋体" w:cs="宋体" w:eastAsia="宋体" w:hint="default"/>
                <w:sz w:val="15"/>
                <w:szCs w:val="15"/>
              </w:rPr>
            </w:pPr>
            <w:r>
              <w:rPr>
                <w:rFonts w:ascii="宋体" w:hAnsi="宋体" w:cs="宋体" w:eastAsia="宋体" w:hint="default"/>
                <w:sz w:val="15"/>
                <w:szCs w:val="15"/>
              </w:rPr>
              <w:t>投资成本</w:t>
            </w:r>
          </w:p>
        </w:tc>
        <w:tc>
          <w:tcPr>
            <w:tcW w:w="1157"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19"/>
                <w:szCs w:val="19"/>
              </w:rPr>
            </w:pPr>
          </w:p>
          <w:p>
            <w:pPr>
              <w:pStyle w:val="TableParagraph"/>
              <w:spacing w:line="240" w:lineRule="auto"/>
              <w:ind w:left="239" w:right="0"/>
              <w:jc w:val="left"/>
              <w:rPr>
                <w:rFonts w:ascii="宋体" w:hAnsi="宋体" w:cs="宋体" w:eastAsia="宋体" w:hint="default"/>
                <w:sz w:val="15"/>
                <w:szCs w:val="15"/>
              </w:rPr>
            </w:pPr>
            <w:r>
              <w:rPr>
                <w:rFonts w:ascii="宋体" w:hAnsi="宋体" w:cs="宋体" w:eastAsia="宋体" w:hint="default"/>
                <w:sz w:val="15"/>
                <w:szCs w:val="15"/>
              </w:rPr>
              <w:t>年初余额</w:t>
            </w:r>
          </w:p>
        </w:tc>
        <w:tc>
          <w:tcPr>
            <w:tcW w:w="1347"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19"/>
                <w:szCs w:val="19"/>
              </w:rPr>
            </w:pPr>
          </w:p>
          <w:p>
            <w:pPr>
              <w:pStyle w:val="TableParagraph"/>
              <w:spacing w:line="240" w:lineRule="auto"/>
              <w:ind w:left="277" w:right="0"/>
              <w:jc w:val="left"/>
              <w:rPr>
                <w:rFonts w:ascii="宋体" w:hAnsi="宋体" w:cs="宋体" w:eastAsia="宋体" w:hint="default"/>
                <w:sz w:val="15"/>
                <w:szCs w:val="15"/>
              </w:rPr>
            </w:pPr>
            <w:r>
              <w:rPr>
                <w:rFonts w:ascii="宋体" w:hAnsi="宋体" w:cs="宋体" w:eastAsia="宋体" w:hint="default"/>
                <w:sz w:val="15"/>
                <w:szCs w:val="15"/>
              </w:rPr>
              <w:t>增减变动</w:t>
            </w:r>
          </w:p>
        </w:tc>
        <w:tc>
          <w:tcPr>
            <w:tcW w:w="1292"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19"/>
                <w:szCs w:val="19"/>
              </w:rPr>
            </w:pPr>
          </w:p>
          <w:p>
            <w:pPr>
              <w:pStyle w:val="TableParagraph"/>
              <w:spacing w:line="240" w:lineRule="auto"/>
              <w:ind w:left="276" w:right="0"/>
              <w:jc w:val="left"/>
              <w:rPr>
                <w:rFonts w:ascii="宋体" w:hAnsi="宋体" w:cs="宋体" w:eastAsia="宋体" w:hint="default"/>
                <w:sz w:val="15"/>
                <w:szCs w:val="15"/>
              </w:rPr>
            </w:pPr>
            <w:r>
              <w:rPr>
                <w:rFonts w:ascii="宋体" w:hAnsi="宋体" w:cs="宋体" w:eastAsia="宋体" w:hint="default"/>
                <w:sz w:val="15"/>
                <w:szCs w:val="15"/>
              </w:rPr>
              <w:t>期末余额</w:t>
            </w:r>
          </w:p>
        </w:tc>
        <w:tc>
          <w:tcPr>
            <w:tcW w:w="1009" w:type="dxa"/>
            <w:tcBorders>
              <w:top w:val="single" w:sz="12"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477" w:lineRule="auto"/>
              <w:ind w:left="114" w:right="143"/>
              <w:jc w:val="center"/>
              <w:rPr>
                <w:rFonts w:ascii="Times New Roman" w:hAnsi="Times New Roman" w:cs="Times New Roman" w:eastAsia="Times New Roman" w:hint="default"/>
                <w:sz w:val="15"/>
                <w:szCs w:val="15"/>
              </w:rPr>
            </w:pPr>
            <w:r>
              <w:rPr>
                <w:rFonts w:ascii="宋体" w:hAnsi="宋体" w:cs="宋体" w:eastAsia="宋体" w:hint="default"/>
                <w:sz w:val="15"/>
                <w:szCs w:val="15"/>
              </w:rPr>
              <w:t>在被投资单 位持股比例 </w:t>
            </w:r>
            <w:r>
              <w:rPr>
                <w:rFonts w:ascii="Times New Roman" w:hAnsi="Times New Roman" w:cs="Times New Roman" w:eastAsia="Times New Roman" w:hint="default"/>
                <w:sz w:val="15"/>
                <w:szCs w:val="15"/>
              </w:rPr>
              <w:t>(%)</w:t>
            </w:r>
          </w:p>
        </w:tc>
        <w:tc>
          <w:tcPr>
            <w:tcW w:w="1043" w:type="dxa"/>
            <w:tcBorders>
              <w:top w:val="single" w:sz="12"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458" w:lineRule="auto"/>
              <w:ind w:left="129" w:right="161"/>
              <w:jc w:val="center"/>
              <w:rPr>
                <w:rFonts w:ascii="Times New Roman" w:hAnsi="Times New Roman" w:cs="Times New Roman" w:eastAsia="Times New Roman" w:hint="default"/>
                <w:sz w:val="15"/>
                <w:szCs w:val="15"/>
              </w:rPr>
            </w:pPr>
            <w:r>
              <w:rPr>
                <w:rFonts w:ascii="宋体" w:hAnsi="宋体" w:cs="宋体" w:eastAsia="宋体" w:hint="default"/>
                <w:sz w:val="15"/>
                <w:szCs w:val="15"/>
              </w:rPr>
              <w:t>在被投资单 位表决权比 例</w:t>
            </w:r>
            <w:r>
              <w:rPr>
                <w:rFonts w:ascii="Times New Roman" w:hAnsi="Times New Roman" w:cs="Times New Roman" w:eastAsia="Times New Roman" w:hint="default"/>
                <w:sz w:val="15"/>
                <w:szCs w:val="15"/>
              </w:rPr>
              <w:t>(%)</w:t>
            </w:r>
          </w:p>
        </w:tc>
        <w:tc>
          <w:tcPr>
            <w:tcW w:w="1208" w:type="dxa"/>
            <w:tcBorders>
              <w:top w:val="single" w:sz="12" w:space="0" w:color="000000"/>
              <w:left w:val="nil" w:sz="6" w:space="0" w:color="auto"/>
              <w:bottom w:val="nil" w:sz="6" w:space="0" w:color="auto"/>
              <w:right w:val="nil" w:sz="6" w:space="0" w:color="auto"/>
            </w:tcBorders>
          </w:tcPr>
          <w:p>
            <w:pPr>
              <w:pStyle w:val="TableParagraph"/>
              <w:spacing w:line="458" w:lineRule="auto" w:before="65"/>
              <w:ind w:left="163" w:right="143"/>
              <w:jc w:val="center"/>
              <w:rPr>
                <w:rFonts w:ascii="宋体" w:hAnsi="宋体" w:cs="宋体" w:eastAsia="宋体" w:hint="default"/>
                <w:sz w:val="15"/>
                <w:szCs w:val="15"/>
              </w:rPr>
            </w:pPr>
            <w:r>
              <w:rPr>
                <w:rFonts w:ascii="宋体" w:hAnsi="宋体" w:cs="宋体" w:eastAsia="宋体" w:hint="default"/>
                <w:sz w:val="15"/>
                <w:szCs w:val="15"/>
              </w:rPr>
              <w:t>在被投资单位 持股比例与表 决权比例不一 致的说明</w:t>
            </w:r>
          </w:p>
        </w:tc>
        <w:tc>
          <w:tcPr>
            <w:tcW w:w="566"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9"/>
                <w:szCs w:val="19"/>
              </w:rPr>
            </w:pPr>
          </w:p>
          <w:p>
            <w:pPr>
              <w:pStyle w:val="TableParagraph"/>
              <w:spacing w:line="458" w:lineRule="auto"/>
              <w:ind w:left="145" w:right="118"/>
              <w:jc w:val="left"/>
              <w:rPr>
                <w:rFonts w:ascii="宋体" w:hAnsi="宋体" w:cs="宋体" w:eastAsia="宋体" w:hint="default"/>
                <w:sz w:val="15"/>
                <w:szCs w:val="15"/>
              </w:rPr>
            </w:pPr>
            <w:r>
              <w:rPr>
                <w:rFonts w:ascii="宋体" w:hAnsi="宋体" w:cs="宋体" w:eastAsia="宋体" w:hint="default"/>
                <w:sz w:val="15"/>
                <w:szCs w:val="15"/>
              </w:rPr>
              <w:t>减值 准备</w:t>
            </w:r>
          </w:p>
        </w:tc>
        <w:tc>
          <w:tcPr>
            <w:tcW w:w="869"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9"/>
                <w:szCs w:val="19"/>
              </w:rPr>
            </w:pPr>
          </w:p>
          <w:p>
            <w:pPr>
              <w:pStyle w:val="TableParagraph"/>
              <w:spacing w:line="458" w:lineRule="auto"/>
              <w:ind w:left="120" w:right="146"/>
              <w:jc w:val="left"/>
              <w:rPr>
                <w:rFonts w:ascii="宋体" w:hAnsi="宋体" w:cs="宋体" w:eastAsia="宋体" w:hint="default"/>
                <w:sz w:val="15"/>
                <w:szCs w:val="15"/>
              </w:rPr>
            </w:pPr>
            <w:r>
              <w:rPr>
                <w:rFonts w:ascii="宋体" w:hAnsi="宋体" w:cs="宋体" w:eastAsia="宋体" w:hint="default"/>
                <w:sz w:val="15"/>
                <w:szCs w:val="15"/>
              </w:rPr>
              <w:t>本期计提 减值准备</w:t>
            </w:r>
          </w:p>
        </w:tc>
        <w:tc>
          <w:tcPr>
            <w:tcW w:w="1216"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19"/>
                <w:szCs w:val="19"/>
              </w:rPr>
            </w:pPr>
          </w:p>
          <w:p>
            <w:pPr>
              <w:pStyle w:val="TableParagraph"/>
              <w:spacing w:line="240" w:lineRule="auto"/>
              <w:ind w:left="148" w:right="0"/>
              <w:jc w:val="left"/>
              <w:rPr>
                <w:rFonts w:ascii="宋体" w:hAnsi="宋体" w:cs="宋体" w:eastAsia="宋体" w:hint="default"/>
                <w:sz w:val="15"/>
                <w:szCs w:val="15"/>
              </w:rPr>
            </w:pPr>
            <w:r>
              <w:rPr>
                <w:rFonts w:ascii="宋体" w:hAnsi="宋体" w:cs="宋体" w:eastAsia="宋体" w:hint="default"/>
                <w:sz w:val="15"/>
                <w:szCs w:val="15"/>
              </w:rPr>
              <w:t>本期现金红利</w:t>
            </w:r>
          </w:p>
        </w:tc>
      </w:tr>
      <w:tr>
        <w:trPr>
          <w:trHeight w:val="384" w:hRule="exact"/>
        </w:trPr>
        <w:tc>
          <w:tcPr>
            <w:tcW w:w="2043"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07" w:right="0"/>
              <w:jc w:val="left"/>
              <w:rPr>
                <w:rFonts w:ascii="宋体" w:hAnsi="宋体" w:cs="宋体" w:eastAsia="宋体" w:hint="default"/>
                <w:sz w:val="15"/>
                <w:szCs w:val="15"/>
              </w:rPr>
            </w:pPr>
            <w:r>
              <w:rPr>
                <w:rFonts w:ascii="宋体" w:hAnsi="宋体" w:cs="宋体" w:eastAsia="宋体" w:hint="default"/>
                <w:sz w:val="15"/>
                <w:szCs w:val="15"/>
              </w:rPr>
              <w:t>联营企业：</w:t>
            </w:r>
          </w:p>
        </w:tc>
        <w:tc>
          <w:tcPr>
            <w:tcW w:w="891" w:type="dxa"/>
            <w:tcBorders>
              <w:top w:val="nil" w:sz="6" w:space="0" w:color="auto"/>
              <w:left w:val="nil" w:sz="6" w:space="0" w:color="auto"/>
              <w:bottom w:val="nil" w:sz="6" w:space="0" w:color="auto"/>
              <w:right w:val="nil" w:sz="6" w:space="0" w:color="auto"/>
            </w:tcBorders>
          </w:tcPr>
          <w:p>
            <w:pPr/>
          </w:p>
        </w:tc>
        <w:tc>
          <w:tcPr>
            <w:tcW w:w="1187" w:type="dxa"/>
            <w:tcBorders>
              <w:top w:val="nil" w:sz="6" w:space="0" w:color="auto"/>
              <w:left w:val="nil" w:sz="6" w:space="0" w:color="auto"/>
              <w:bottom w:val="nil" w:sz="6" w:space="0" w:color="auto"/>
              <w:right w:val="nil" w:sz="6" w:space="0" w:color="auto"/>
            </w:tcBorders>
          </w:tcPr>
          <w:p>
            <w:pPr/>
          </w:p>
        </w:tc>
        <w:tc>
          <w:tcPr>
            <w:tcW w:w="1157"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nil" w:sz="6" w:space="0" w:color="auto"/>
            </w:tcBorders>
          </w:tcPr>
          <w:p>
            <w:pPr/>
          </w:p>
        </w:tc>
        <w:tc>
          <w:tcPr>
            <w:tcW w:w="1292" w:type="dxa"/>
            <w:tcBorders>
              <w:top w:val="nil" w:sz="6" w:space="0" w:color="auto"/>
              <w:left w:val="nil" w:sz="6" w:space="0" w:color="auto"/>
              <w:bottom w:val="nil" w:sz="6" w:space="0" w:color="auto"/>
              <w:right w:val="nil" w:sz="6" w:space="0" w:color="auto"/>
            </w:tcBorders>
          </w:tcPr>
          <w:p>
            <w:pPr/>
          </w:p>
        </w:tc>
        <w:tc>
          <w:tcPr>
            <w:tcW w:w="1009" w:type="dxa"/>
            <w:tcBorders>
              <w:top w:val="nil" w:sz="6" w:space="0" w:color="auto"/>
              <w:left w:val="nil" w:sz="6" w:space="0" w:color="auto"/>
              <w:bottom w:val="nil" w:sz="6" w:space="0" w:color="auto"/>
              <w:right w:val="nil" w:sz="6" w:space="0" w:color="auto"/>
            </w:tcBorders>
          </w:tcPr>
          <w:p>
            <w:pPr/>
          </w:p>
        </w:tc>
        <w:tc>
          <w:tcPr>
            <w:tcW w:w="1043" w:type="dxa"/>
            <w:tcBorders>
              <w:top w:val="nil" w:sz="6" w:space="0" w:color="auto"/>
              <w:left w:val="nil" w:sz="6" w:space="0" w:color="auto"/>
              <w:bottom w:val="nil" w:sz="6" w:space="0" w:color="auto"/>
              <w:right w:val="nil" w:sz="6" w:space="0" w:color="auto"/>
            </w:tcBorders>
          </w:tcPr>
          <w:p>
            <w:pPr/>
          </w:p>
        </w:tc>
        <w:tc>
          <w:tcPr>
            <w:tcW w:w="1208" w:type="dxa"/>
            <w:tcBorders>
              <w:top w:val="nil" w:sz="6" w:space="0" w:color="auto"/>
              <w:left w:val="nil" w:sz="6" w:space="0" w:color="auto"/>
              <w:bottom w:val="nil" w:sz="6" w:space="0" w:color="auto"/>
              <w:right w:val="nil" w:sz="6" w:space="0" w:color="auto"/>
            </w:tcBorders>
          </w:tcPr>
          <w:p>
            <w:pPr/>
          </w:p>
        </w:tc>
        <w:tc>
          <w:tcPr>
            <w:tcW w:w="566"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r>
      <w:tr>
        <w:trPr>
          <w:trHeight w:val="758" w:hRule="exact"/>
        </w:trPr>
        <w:tc>
          <w:tcPr>
            <w:tcW w:w="2043" w:type="dxa"/>
            <w:tcBorders>
              <w:top w:val="nil" w:sz="6" w:space="0" w:color="auto"/>
              <w:left w:val="nil" w:sz="6" w:space="0" w:color="auto"/>
              <w:bottom w:val="nil" w:sz="6" w:space="0" w:color="auto"/>
              <w:right w:val="nil" w:sz="6" w:space="0" w:color="auto"/>
            </w:tcBorders>
          </w:tcPr>
          <w:p>
            <w:pPr>
              <w:pStyle w:val="TableParagraph"/>
              <w:spacing w:line="458" w:lineRule="auto" w:before="70"/>
              <w:ind w:left="107" w:right="134"/>
              <w:jc w:val="left"/>
              <w:rPr>
                <w:rFonts w:ascii="宋体" w:hAnsi="宋体" w:cs="宋体" w:eastAsia="宋体" w:hint="default"/>
                <w:sz w:val="15"/>
                <w:szCs w:val="15"/>
              </w:rPr>
            </w:pPr>
            <w:r>
              <w:rPr>
                <w:rFonts w:ascii="宋体" w:hAnsi="宋体" w:cs="宋体" w:eastAsia="宋体" w:hint="default"/>
                <w:sz w:val="15"/>
                <w:szCs w:val="15"/>
              </w:rPr>
              <w:t>大连华信计算机技术股份有 限公司</w:t>
            </w:r>
          </w:p>
        </w:tc>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9"/>
                <w:szCs w:val="19"/>
              </w:rPr>
            </w:pPr>
          </w:p>
          <w:p>
            <w:pPr>
              <w:pStyle w:val="TableParagraph"/>
              <w:spacing w:line="240" w:lineRule="auto"/>
              <w:ind w:left="134" w:right="0"/>
              <w:jc w:val="left"/>
              <w:rPr>
                <w:rFonts w:ascii="宋体" w:hAnsi="宋体" w:cs="宋体" w:eastAsia="宋体" w:hint="default"/>
                <w:sz w:val="15"/>
                <w:szCs w:val="15"/>
              </w:rPr>
            </w:pPr>
            <w:r>
              <w:rPr>
                <w:rFonts w:ascii="宋体" w:hAnsi="宋体" w:cs="宋体" w:eastAsia="宋体" w:hint="default"/>
                <w:sz w:val="15"/>
                <w:szCs w:val="15"/>
              </w:rPr>
              <w:t>权益法</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right="122"/>
              <w:jc w:val="right"/>
              <w:rPr>
                <w:rFonts w:ascii="Times New Roman" w:hAnsi="Times New Roman" w:cs="Times New Roman" w:eastAsia="Times New Roman" w:hint="default"/>
                <w:sz w:val="15"/>
                <w:szCs w:val="15"/>
              </w:rPr>
            </w:pPr>
            <w:r>
              <w:rPr>
                <w:rFonts w:ascii="Times New Roman"/>
                <w:spacing w:val="-1"/>
                <w:sz w:val="15"/>
              </w:rPr>
              <w:t>72,303,840.00</w:t>
            </w:r>
          </w:p>
        </w:tc>
        <w:tc>
          <w:tcPr>
            <w:tcW w:w="1157"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right="237"/>
              <w:jc w:val="right"/>
              <w:rPr>
                <w:rFonts w:ascii="Times New Roman" w:hAnsi="Times New Roman" w:cs="Times New Roman" w:eastAsia="Times New Roman" w:hint="default"/>
                <w:sz w:val="15"/>
                <w:szCs w:val="15"/>
              </w:rPr>
            </w:pPr>
            <w:r>
              <w:rPr>
                <w:rFonts w:ascii="Times New Roman"/>
                <w:spacing w:val="-1"/>
                <w:sz w:val="15"/>
              </w:rPr>
              <w:t>75,874,851.28</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right="112"/>
              <w:jc w:val="right"/>
              <w:rPr>
                <w:rFonts w:ascii="Times New Roman" w:hAnsi="Times New Roman" w:cs="Times New Roman" w:eastAsia="Times New Roman" w:hint="default"/>
                <w:sz w:val="15"/>
                <w:szCs w:val="15"/>
              </w:rPr>
            </w:pPr>
            <w:r>
              <w:rPr>
                <w:rFonts w:ascii="Times New Roman"/>
                <w:spacing w:val="-1"/>
                <w:sz w:val="15"/>
              </w:rPr>
              <w:t>75,874,851.28</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right="127"/>
              <w:jc w:val="right"/>
              <w:rPr>
                <w:rFonts w:ascii="Times New Roman" w:hAnsi="Times New Roman" w:cs="Times New Roman" w:eastAsia="Times New Roman" w:hint="default"/>
                <w:sz w:val="15"/>
                <w:szCs w:val="15"/>
              </w:rPr>
            </w:pPr>
            <w:r>
              <w:rPr>
                <w:rFonts w:ascii="Times New Roman"/>
                <w:spacing w:val="-1"/>
                <w:sz w:val="15"/>
              </w:rPr>
              <w:t>8.00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right="115"/>
              <w:jc w:val="right"/>
              <w:rPr>
                <w:rFonts w:ascii="Times New Roman" w:hAnsi="Times New Roman" w:cs="Times New Roman" w:eastAsia="Times New Roman" w:hint="default"/>
                <w:sz w:val="15"/>
                <w:szCs w:val="15"/>
              </w:rPr>
            </w:pPr>
            <w:r>
              <w:rPr>
                <w:rFonts w:ascii="Times New Roman"/>
                <w:spacing w:val="-1"/>
                <w:sz w:val="15"/>
              </w:rPr>
              <w:t>8.00</w:t>
            </w:r>
          </w:p>
        </w:tc>
        <w:tc>
          <w:tcPr>
            <w:tcW w:w="1208" w:type="dxa"/>
            <w:tcBorders>
              <w:top w:val="nil" w:sz="6" w:space="0" w:color="auto"/>
              <w:left w:val="nil" w:sz="6" w:space="0" w:color="auto"/>
              <w:bottom w:val="nil" w:sz="6" w:space="0" w:color="auto"/>
              <w:right w:val="nil" w:sz="6" w:space="0" w:color="auto"/>
            </w:tcBorders>
          </w:tcPr>
          <w:p>
            <w:pPr/>
          </w:p>
        </w:tc>
        <w:tc>
          <w:tcPr>
            <w:tcW w:w="566"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r>
      <w:tr>
        <w:trPr>
          <w:trHeight w:val="388" w:hRule="exact"/>
        </w:trPr>
        <w:tc>
          <w:tcPr>
            <w:tcW w:w="2043"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07" w:right="0"/>
              <w:jc w:val="left"/>
              <w:rPr>
                <w:rFonts w:ascii="宋体" w:hAnsi="宋体" w:cs="宋体" w:eastAsia="宋体" w:hint="default"/>
                <w:sz w:val="15"/>
                <w:szCs w:val="15"/>
              </w:rPr>
            </w:pPr>
            <w:r>
              <w:rPr>
                <w:rFonts w:ascii="宋体" w:hAnsi="宋体" w:cs="宋体" w:eastAsia="宋体" w:hint="default"/>
                <w:sz w:val="15"/>
                <w:szCs w:val="15"/>
              </w:rPr>
              <w:t>权益法小计</w:t>
            </w:r>
          </w:p>
        </w:tc>
        <w:tc>
          <w:tcPr>
            <w:tcW w:w="891" w:type="dxa"/>
            <w:tcBorders>
              <w:top w:val="nil" w:sz="6" w:space="0" w:color="auto"/>
              <w:left w:val="nil" w:sz="6" w:space="0" w:color="auto"/>
              <w:bottom w:val="nil" w:sz="6" w:space="0" w:color="auto"/>
              <w:right w:val="nil" w:sz="6" w:space="0" w:color="auto"/>
            </w:tcBorders>
          </w:tcPr>
          <w:p>
            <w:pPr/>
          </w:p>
        </w:tc>
        <w:tc>
          <w:tcPr>
            <w:tcW w:w="1187" w:type="dxa"/>
            <w:tcBorders>
              <w:top w:val="nil" w:sz="6" w:space="0" w:color="auto"/>
              <w:left w:val="nil" w:sz="6" w:space="0" w:color="auto"/>
              <w:bottom w:val="nil" w:sz="6" w:space="0" w:color="auto"/>
              <w:right w:val="nil" w:sz="6" w:space="0" w:color="auto"/>
            </w:tcBorders>
          </w:tcPr>
          <w:p>
            <w:pPr/>
          </w:p>
        </w:tc>
        <w:tc>
          <w:tcPr>
            <w:tcW w:w="1157"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237"/>
              <w:jc w:val="right"/>
              <w:rPr>
                <w:rFonts w:ascii="Times New Roman" w:hAnsi="Times New Roman" w:cs="Times New Roman" w:eastAsia="Times New Roman" w:hint="default"/>
                <w:sz w:val="15"/>
                <w:szCs w:val="15"/>
              </w:rPr>
            </w:pPr>
            <w:r>
              <w:rPr>
                <w:rFonts w:ascii="Times New Roman"/>
                <w:spacing w:val="-1"/>
                <w:sz w:val="15"/>
              </w:rPr>
              <w:t>75,874,851.28</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12"/>
              <w:jc w:val="right"/>
              <w:rPr>
                <w:rFonts w:ascii="Times New Roman" w:hAnsi="Times New Roman" w:cs="Times New Roman" w:eastAsia="Times New Roman" w:hint="default"/>
                <w:sz w:val="15"/>
                <w:szCs w:val="15"/>
              </w:rPr>
            </w:pPr>
            <w:r>
              <w:rPr>
                <w:rFonts w:ascii="Times New Roman"/>
                <w:spacing w:val="-1"/>
                <w:sz w:val="15"/>
              </w:rPr>
              <w:t>75,874,851.28</w:t>
            </w:r>
          </w:p>
        </w:tc>
        <w:tc>
          <w:tcPr>
            <w:tcW w:w="1009" w:type="dxa"/>
            <w:tcBorders>
              <w:top w:val="nil" w:sz="6" w:space="0" w:color="auto"/>
              <w:left w:val="nil" w:sz="6" w:space="0" w:color="auto"/>
              <w:bottom w:val="nil" w:sz="6" w:space="0" w:color="auto"/>
              <w:right w:val="nil" w:sz="6" w:space="0" w:color="auto"/>
            </w:tcBorders>
          </w:tcPr>
          <w:p>
            <w:pPr/>
          </w:p>
        </w:tc>
        <w:tc>
          <w:tcPr>
            <w:tcW w:w="1043" w:type="dxa"/>
            <w:tcBorders>
              <w:top w:val="nil" w:sz="6" w:space="0" w:color="auto"/>
              <w:left w:val="nil" w:sz="6" w:space="0" w:color="auto"/>
              <w:bottom w:val="nil" w:sz="6" w:space="0" w:color="auto"/>
              <w:right w:val="nil" w:sz="6" w:space="0" w:color="auto"/>
            </w:tcBorders>
          </w:tcPr>
          <w:p>
            <w:pPr/>
          </w:p>
        </w:tc>
        <w:tc>
          <w:tcPr>
            <w:tcW w:w="1208" w:type="dxa"/>
            <w:tcBorders>
              <w:top w:val="nil" w:sz="6" w:space="0" w:color="auto"/>
              <w:left w:val="nil" w:sz="6" w:space="0" w:color="auto"/>
              <w:bottom w:val="nil" w:sz="6" w:space="0" w:color="auto"/>
              <w:right w:val="nil" w:sz="6" w:space="0" w:color="auto"/>
            </w:tcBorders>
          </w:tcPr>
          <w:p>
            <w:pPr/>
          </w:p>
        </w:tc>
        <w:tc>
          <w:tcPr>
            <w:tcW w:w="566"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r>
      <w:tr>
        <w:trPr>
          <w:trHeight w:val="381" w:hRule="exact"/>
        </w:trPr>
        <w:tc>
          <w:tcPr>
            <w:tcW w:w="2043" w:type="dxa"/>
            <w:tcBorders>
              <w:top w:val="nil" w:sz="6" w:space="0" w:color="auto"/>
              <w:left w:val="nil" w:sz="6" w:space="0" w:color="auto"/>
              <w:bottom w:val="nil" w:sz="6" w:space="0" w:color="auto"/>
              <w:right w:val="nil" w:sz="6" w:space="0" w:color="auto"/>
            </w:tcBorders>
          </w:tcPr>
          <w:p>
            <w:pPr>
              <w:pStyle w:val="TableParagraph"/>
              <w:spacing w:line="240" w:lineRule="auto" w:before="68"/>
              <w:ind w:left="107" w:right="0"/>
              <w:jc w:val="left"/>
              <w:rPr>
                <w:rFonts w:ascii="宋体" w:hAnsi="宋体" w:cs="宋体" w:eastAsia="宋体" w:hint="default"/>
                <w:sz w:val="15"/>
                <w:szCs w:val="15"/>
              </w:rPr>
            </w:pPr>
            <w:r>
              <w:rPr>
                <w:rFonts w:ascii="宋体" w:hAnsi="宋体" w:cs="宋体" w:eastAsia="宋体" w:hint="default"/>
                <w:sz w:val="15"/>
                <w:szCs w:val="15"/>
              </w:rPr>
              <w:t>子公司：</w:t>
            </w:r>
          </w:p>
        </w:tc>
        <w:tc>
          <w:tcPr>
            <w:tcW w:w="891" w:type="dxa"/>
            <w:tcBorders>
              <w:top w:val="nil" w:sz="6" w:space="0" w:color="auto"/>
              <w:left w:val="nil" w:sz="6" w:space="0" w:color="auto"/>
              <w:bottom w:val="nil" w:sz="6" w:space="0" w:color="auto"/>
              <w:right w:val="nil" w:sz="6" w:space="0" w:color="auto"/>
            </w:tcBorders>
          </w:tcPr>
          <w:p>
            <w:pPr/>
          </w:p>
        </w:tc>
        <w:tc>
          <w:tcPr>
            <w:tcW w:w="1187" w:type="dxa"/>
            <w:tcBorders>
              <w:top w:val="nil" w:sz="6" w:space="0" w:color="auto"/>
              <w:left w:val="nil" w:sz="6" w:space="0" w:color="auto"/>
              <w:bottom w:val="nil" w:sz="6" w:space="0" w:color="auto"/>
              <w:right w:val="nil" w:sz="6" w:space="0" w:color="auto"/>
            </w:tcBorders>
          </w:tcPr>
          <w:p>
            <w:pPr/>
          </w:p>
        </w:tc>
        <w:tc>
          <w:tcPr>
            <w:tcW w:w="1157"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nil" w:sz="6" w:space="0" w:color="auto"/>
            </w:tcBorders>
          </w:tcPr>
          <w:p>
            <w:pPr/>
          </w:p>
        </w:tc>
        <w:tc>
          <w:tcPr>
            <w:tcW w:w="1292" w:type="dxa"/>
            <w:tcBorders>
              <w:top w:val="nil" w:sz="6" w:space="0" w:color="auto"/>
              <w:left w:val="nil" w:sz="6" w:space="0" w:color="auto"/>
              <w:bottom w:val="nil" w:sz="6" w:space="0" w:color="auto"/>
              <w:right w:val="nil" w:sz="6" w:space="0" w:color="auto"/>
            </w:tcBorders>
          </w:tcPr>
          <w:p>
            <w:pPr/>
          </w:p>
        </w:tc>
        <w:tc>
          <w:tcPr>
            <w:tcW w:w="1009" w:type="dxa"/>
            <w:tcBorders>
              <w:top w:val="nil" w:sz="6" w:space="0" w:color="auto"/>
              <w:left w:val="nil" w:sz="6" w:space="0" w:color="auto"/>
              <w:bottom w:val="nil" w:sz="6" w:space="0" w:color="auto"/>
              <w:right w:val="nil" w:sz="6" w:space="0" w:color="auto"/>
            </w:tcBorders>
          </w:tcPr>
          <w:p>
            <w:pPr/>
          </w:p>
        </w:tc>
        <w:tc>
          <w:tcPr>
            <w:tcW w:w="1043" w:type="dxa"/>
            <w:tcBorders>
              <w:top w:val="nil" w:sz="6" w:space="0" w:color="auto"/>
              <w:left w:val="nil" w:sz="6" w:space="0" w:color="auto"/>
              <w:bottom w:val="nil" w:sz="6" w:space="0" w:color="auto"/>
              <w:right w:val="nil" w:sz="6" w:space="0" w:color="auto"/>
            </w:tcBorders>
          </w:tcPr>
          <w:p>
            <w:pPr/>
          </w:p>
        </w:tc>
        <w:tc>
          <w:tcPr>
            <w:tcW w:w="1208" w:type="dxa"/>
            <w:tcBorders>
              <w:top w:val="nil" w:sz="6" w:space="0" w:color="auto"/>
              <w:left w:val="nil" w:sz="6" w:space="0" w:color="auto"/>
              <w:bottom w:val="nil" w:sz="6" w:space="0" w:color="auto"/>
              <w:right w:val="nil" w:sz="6" w:space="0" w:color="auto"/>
            </w:tcBorders>
          </w:tcPr>
          <w:p>
            <w:pPr/>
          </w:p>
        </w:tc>
        <w:tc>
          <w:tcPr>
            <w:tcW w:w="566"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r>
      <w:tr>
        <w:trPr>
          <w:trHeight w:val="388" w:hRule="exact"/>
        </w:trPr>
        <w:tc>
          <w:tcPr>
            <w:tcW w:w="2043"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07" w:right="0"/>
              <w:jc w:val="left"/>
              <w:rPr>
                <w:rFonts w:ascii="宋体" w:hAnsi="宋体" w:cs="宋体" w:eastAsia="宋体" w:hint="default"/>
                <w:sz w:val="15"/>
                <w:szCs w:val="15"/>
              </w:rPr>
            </w:pPr>
            <w:r>
              <w:rPr>
                <w:rFonts w:ascii="宋体" w:hAnsi="宋体" w:cs="宋体" w:eastAsia="宋体" w:hint="default"/>
                <w:sz w:val="15"/>
                <w:szCs w:val="15"/>
              </w:rPr>
              <w:t>北京新媒传信科技有限公司</w:t>
            </w:r>
          </w:p>
        </w:tc>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34"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22"/>
              <w:jc w:val="right"/>
              <w:rPr>
                <w:rFonts w:ascii="Times New Roman" w:hAnsi="Times New Roman" w:cs="Times New Roman" w:eastAsia="Times New Roman" w:hint="default"/>
                <w:sz w:val="15"/>
                <w:szCs w:val="15"/>
              </w:rPr>
            </w:pPr>
            <w:r>
              <w:rPr>
                <w:rFonts w:ascii="Times New Roman"/>
                <w:spacing w:val="-1"/>
                <w:sz w:val="15"/>
              </w:rPr>
              <w:t>12,348,720.16</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67"/>
              <w:jc w:val="right"/>
              <w:rPr>
                <w:rFonts w:ascii="Times New Roman" w:hAnsi="Times New Roman" w:cs="Times New Roman" w:eastAsia="Times New Roman" w:hint="default"/>
                <w:sz w:val="15"/>
                <w:szCs w:val="15"/>
              </w:rPr>
            </w:pPr>
            <w:r>
              <w:rPr>
                <w:rFonts w:ascii="Times New Roman"/>
                <w:spacing w:val="-1"/>
                <w:sz w:val="15"/>
              </w:rPr>
              <w:t>12,348,720.16</w:t>
            </w:r>
          </w:p>
        </w:tc>
        <w:tc>
          <w:tcPr>
            <w:tcW w:w="1347" w:type="dxa"/>
            <w:tcBorders>
              <w:top w:val="nil" w:sz="6" w:space="0" w:color="auto"/>
              <w:left w:val="nil" w:sz="6" w:space="0" w:color="auto"/>
              <w:bottom w:val="nil" w:sz="6" w:space="0" w:color="auto"/>
              <w:right w:val="nil" w:sz="6" w:space="0" w:color="auto"/>
            </w:tcBorders>
          </w:tcPr>
          <w:p>
            <w:pP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12"/>
              <w:jc w:val="right"/>
              <w:rPr>
                <w:rFonts w:ascii="Times New Roman" w:hAnsi="Times New Roman" w:cs="Times New Roman" w:eastAsia="Times New Roman" w:hint="default"/>
                <w:sz w:val="15"/>
                <w:szCs w:val="15"/>
              </w:rPr>
            </w:pPr>
            <w:r>
              <w:rPr>
                <w:rFonts w:ascii="Times New Roman"/>
                <w:spacing w:val="-1"/>
                <w:sz w:val="15"/>
              </w:rPr>
              <w:t>12,348,720.16</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27"/>
              <w:jc w:val="right"/>
              <w:rPr>
                <w:rFonts w:ascii="Times New Roman" w:hAnsi="Times New Roman" w:cs="Times New Roman" w:eastAsia="Times New Roman" w:hint="default"/>
                <w:sz w:val="15"/>
                <w:szCs w:val="15"/>
              </w:rPr>
            </w:pPr>
            <w:r>
              <w:rPr>
                <w:rFonts w:ascii="Times New Roman"/>
                <w:spacing w:val="-1"/>
                <w:sz w:val="15"/>
              </w:rPr>
              <w:t>100.00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15"/>
              <w:jc w:val="right"/>
              <w:rPr>
                <w:rFonts w:ascii="Times New Roman" w:hAnsi="Times New Roman" w:cs="Times New Roman" w:eastAsia="Times New Roman" w:hint="default"/>
                <w:sz w:val="15"/>
                <w:szCs w:val="15"/>
              </w:rPr>
            </w:pPr>
            <w:r>
              <w:rPr>
                <w:rFonts w:ascii="Times New Roman"/>
                <w:spacing w:val="-1"/>
                <w:sz w:val="15"/>
              </w:rPr>
              <w:t>100.00</w:t>
            </w:r>
          </w:p>
        </w:tc>
        <w:tc>
          <w:tcPr>
            <w:tcW w:w="1208" w:type="dxa"/>
            <w:tcBorders>
              <w:top w:val="nil" w:sz="6" w:space="0" w:color="auto"/>
              <w:left w:val="nil" w:sz="6" w:space="0" w:color="auto"/>
              <w:bottom w:val="nil" w:sz="6" w:space="0" w:color="auto"/>
              <w:right w:val="nil" w:sz="6" w:space="0" w:color="auto"/>
            </w:tcBorders>
          </w:tcPr>
          <w:p>
            <w:pPr/>
          </w:p>
        </w:tc>
        <w:tc>
          <w:tcPr>
            <w:tcW w:w="566"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r>
      <w:tr>
        <w:trPr>
          <w:trHeight w:val="385" w:hRule="exact"/>
        </w:trPr>
        <w:tc>
          <w:tcPr>
            <w:tcW w:w="2043" w:type="dxa"/>
            <w:tcBorders>
              <w:top w:val="nil" w:sz="6" w:space="0" w:color="auto"/>
              <w:left w:val="nil" w:sz="6" w:space="0" w:color="auto"/>
              <w:bottom w:val="nil" w:sz="6" w:space="0" w:color="auto"/>
              <w:right w:val="nil" w:sz="6" w:space="0" w:color="auto"/>
            </w:tcBorders>
          </w:tcPr>
          <w:p>
            <w:pPr>
              <w:pStyle w:val="TableParagraph"/>
              <w:spacing w:line="240" w:lineRule="auto" w:before="67"/>
              <w:ind w:left="107" w:right="0"/>
              <w:jc w:val="left"/>
              <w:rPr>
                <w:rFonts w:ascii="宋体" w:hAnsi="宋体" w:cs="宋体" w:eastAsia="宋体" w:hint="default"/>
                <w:sz w:val="15"/>
                <w:szCs w:val="15"/>
              </w:rPr>
            </w:pPr>
            <w:r>
              <w:rPr>
                <w:rFonts w:ascii="宋体" w:hAnsi="宋体" w:cs="宋体" w:eastAsia="宋体" w:hint="default"/>
                <w:sz w:val="15"/>
                <w:szCs w:val="15"/>
              </w:rPr>
              <w:t>神州泰岳通信技术有限公司</w:t>
            </w:r>
          </w:p>
        </w:tc>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67"/>
              <w:ind w:left="134"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2"/>
              <w:jc w:val="right"/>
              <w:rPr>
                <w:rFonts w:ascii="Times New Roman" w:hAnsi="Times New Roman" w:cs="Times New Roman" w:eastAsia="Times New Roman" w:hint="default"/>
                <w:sz w:val="15"/>
                <w:szCs w:val="15"/>
              </w:rPr>
            </w:pPr>
            <w:r>
              <w:rPr>
                <w:rFonts w:ascii="Times New Roman"/>
                <w:spacing w:val="-1"/>
                <w:sz w:val="15"/>
              </w:rPr>
              <w:t>4,310,800.00</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7"/>
              <w:jc w:val="right"/>
              <w:rPr>
                <w:rFonts w:ascii="Times New Roman" w:hAnsi="Times New Roman" w:cs="Times New Roman" w:eastAsia="Times New Roman" w:hint="default"/>
                <w:sz w:val="15"/>
                <w:szCs w:val="15"/>
              </w:rPr>
            </w:pPr>
            <w:r>
              <w:rPr>
                <w:rFonts w:ascii="Times New Roman"/>
                <w:spacing w:val="-1"/>
                <w:sz w:val="15"/>
              </w:rPr>
              <w:t>3,500,000.00</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9"/>
              <w:jc w:val="right"/>
              <w:rPr>
                <w:rFonts w:ascii="Times New Roman" w:hAnsi="Times New Roman" w:cs="Times New Roman" w:eastAsia="Times New Roman" w:hint="default"/>
                <w:sz w:val="15"/>
                <w:szCs w:val="15"/>
              </w:rPr>
            </w:pPr>
            <w:r>
              <w:rPr>
                <w:rFonts w:ascii="Times New Roman"/>
                <w:spacing w:val="-1"/>
                <w:sz w:val="15"/>
              </w:rPr>
              <w:t>810,800.00</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13"/>
              <w:jc w:val="right"/>
              <w:rPr>
                <w:rFonts w:ascii="Times New Roman" w:hAnsi="Times New Roman" w:cs="Times New Roman" w:eastAsia="Times New Roman" w:hint="default"/>
                <w:sz w:val="15"/>
                <w:szCs w:val="15"/>
              </w:rPr>
            </w:pPr>
            <w:r>
              <w:rPr>
                <w:rFonts w:ascii="Times New Roman"/>
                <w:spacing w:val="-1"/>
                <w:sz w:val="15"/>
              </w:rPr>
              <w:t>4,310,800.00</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7"/>
              <w:jc w:val="right"/>
              <w:rPr>
                <w:rFonts w:ascii="Times New Roman" w:hAnsi="Times New Roman" w:cs="Times New Roman" w:eastAsia="Times New Roman" w:hint="default"/>
                <w:sz w:val="15"/>
                <w:szCs w:val="15"/>
              </w:rPr>
            </w:pPr>
            <w:r>
              <w:rPr>
                <w:rFonts w:ascii="Times New Roman"/>
                <w:spacing w:val="-1"/>
                <w:sz w:val="15"/>
              </w:rPr>
              <w:t>100.00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15"/>
              <w:jc w:val="right"/>
              <w:rPr>
                <w:rFonts w:ascii="Times New Roman" w:hAnsi="Times New Roman" w:cs="Times New Roman" w:eastAsia="Times New Roman" w:hint="default"/>
                <w:sz w:val="15"/>
                <w:szCs w:val="15"/>
              </w:rPr>
            </w:pPr>
            <w:r>
              <w:rPr>
                <w:rFonts w:ascii="Times New Roman"/>
                <w:spacing w:val="-1"/>
                <w:sz w:val="15"/>
              </w:rPr>
              <w:t>100.00</w:t>
            </w:r>
          </w:p>
        </w:tc>
        <w:tc>
          <w:tcPr>
            <w:tcW w:w="1208" w:type="dxa"/>
            <w:tcBorders>
              <w:top w:val="nil" w:sz="6" w:space="0" w:color="auto"/>
              <w:left w:val="nil" w:sz="6" w:space="0" w:color="auto"/>
              <w:bottom w:val="nil" w:sz="6" w:space="0" w:color="auto"/>
              <w:right w:val="nil" w:sz="6" w:space="0" w:color="auto"/>
            </w:tcBorders>
          </w:tcPr>
          <w:p>
            <w:pPr/>
          </w:p>
        </w:tc>
        <w:tc>
          <w:tcPr>
            <w:tcW w:w="566"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r>
      <w:tr>
        <w:trPr>
          <w:trHeight w:val="755" w:hRule="exact"/>
        </w:trPr>
        <w:tc>
          <w:tcPr>
            <w:tcW w:w="2043" w:type="dxa"/>
            <w:tcBorders>
              <w:top w:val="nil" w:sz="6" w:space="0" w:color="auto"/>
              <w:left w:val="nil" w:sz="6" w:space="0" w:color="auto"/>
              <w:bottom w:val="nil" w:sz="6" w:space="0" w:color="auto"/>
              <w:right w:val="nil" w:sz="6" w:space="0" w:color="auto"/>
            </w:tcBorders>
          </w:tcPr>
          <w:p>
            <w:pPr>
              <w:pStyle w:val="TableParagraph"/>
              <w:spacing w:line="458" w:lineRule="auto" w:before="68"/>
              <w:ind w:left="107" w:right="134"/>
              <w:jc w:val="left"/>
              <w:rPr>
                <w:rFonts w:ascii="宋体" w:hAnsi="宋体" w:cs="宋体" w:eastAsia="宋体" w:hint="default"/>
                <w:sz w:val="15"/>
                <w:szCs w:val="15"/>
              </w:rPr>
            </w:pPr>
            <w:r>
              <w:rPr>
                <w:rFonts w:ascii="宋体" w:hAnsi="宋体" w:cs="宋体" w:eastAsia="宋体" w:hint="default"/>
                <w:sz w:val="15"/>
                <w:szCs w:val="15"/>
              </w:rPr>
              <w:t>神州泰岳信息安全技术有限 公司</w:t>
            </w:r>
          </w:p>
        </w:tc>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134"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5"/>
              <w:ind w:right="122"/>
              <w:jc w:val="right"/>
              <w:rPr>
                <w:rFonts w:ascii="Times New Roman" w:hAnsi="Times New Roman" w:cs="Times New Roman" w:eastAsia="Times New Roman" w:hint="default"/>
                <w:sz w:val="15"/>
                <w:szCs w:val="15"/>
              </w:rPr>
            </w:pPr>
            <w:r>
              <w:rPr>
                <w:rFonts w:ascii="Times New Roman"/>
                <w:spacing w:val="-1"/>
                <w:sz w:val="15"/>
              </w:rPr>
              <w:t>20,000,000.00</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5"/>
              <w:ind w:right="167"/>
              <w:jc w:val="right"/>
              <w:rPr>
                <w:rFonts w:ascii="Times New Roman" w:hAnsi="Times New Roman" w:cs="Times New Roman" w:eastAsia="Times New Roman" w:hint="default"/>
                <w:sz w:val="15"/>
                <w:szCs w:val="15"/>
              </w:rPr>
            </w:pPr>
            <w:r>
              <w:rPr>
                <w:rFonts w:ascii="Times New Roman"/>
                <w:spacing w:val="-1"/>
                <w:sz w:val="15"/>
              </w:rPr>
              <w:t>20,000,000.00</w:t>
            </w:r>
          </w:p>
        </w:tc>
        <w:tc>
          <w:tcPr>
            <w:tcW w:w="1347" w:type="dxa"/>
            <w:tcBorders>
              <w:top w:val="nil" w:sz="6" w:space="0" w:color="auto"/>
              <w:left w:val="nil" w:sz="6" w:space="0" w:color="auto"/>
              <w:bottom w:val="nil" w:sz="6" w:space="0" w:color="auto"/>
              <w:right w:val="nil" w:sz="6" w:space="0" w:color="auto"/>
            </w:tcBorders>
          </w:tcPr>
          <w:p>
            <w:pP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5"/>
              <w:ind w:right="112"/>
              <w:jc w:val="right"/>
              <w:rPr>
                <w:rFonts w:ascii="Times New Roman" w:hAnsi="Times New Roman" w:cs="Times New Roman" w:eastAsia="Times New Roman" w:hint="default"/>
                <w:sz w:val="15"/>
                <w:szCs w:val="15"/>
              </w:rPr>
            </w:pPr>
            <w:r>
              <w:rPr>
                <w:rFonts w:ascii="Times New Roman"/>
                <w:spacing w:val="-1"/>
                <w:sz w:val="15"/>
              </w:rPr>
              <w:t>20,000,000.00</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5"/>
              <w:ind w:right="127"/>
              <w:jc w:val="right"/>
              <w:rPr>
                <w:rFonts w:ascii="Times New Roman" w:hAnsi="Times New Roman" w:cs="Times New Roman" w:eastAsia="Times New Roman" w:hint="default"/>
                <w:sz w:val="15"/>
                <w:szCs w:val="15"/>
              </w:rPr>
            </w:pPr>
            <w:r>
              <w:rPr>
                <w:rFonts w:ascii="Times New Roman"/>
                <w:spacing w:val="-1"/>
                <w:sz w:val="15"/>
              </w:rPr>
              <w:t>100.00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5"/>
              <w:ind w:right="115"/>
              <w:jc w:val="right"/>
              <w:rPr>
                <w:rFonts w:ascii="Times New Roman" w:hAnsi="Times New Roman" w:cs="Times New Roman" w:eastAsia="Times New Roman" w:hint="default"/>
                <w:sz w:val="15"/>
                <w:szCs w:val="15"/>
              </w:rPr>
            </w:pPr>
            <w:r>
              <w:rPr>
                <w:rFonts w:ascii="Times New Roman"/>
                <w:spacing w:val="-1"/>
                <w:sz w:val="15"/>
              </w:rPr>
              <w:t>100.00</w:t>
            </w:r>
          </w:p>
        </w:tc>
        <w:tc>
          <w:tcPr>
            <w:tcW w:w="1208" w:type="dxa"/>
            <w:tcBorders>
              <w:top w:val="nil" w:sz="6" w:space="0" w:color="auto"/>
              <w:left w:val="nil" w:sz="6" w:space="0" w:color="auto"/>
              <w:bottom w:val="nil" w:sz="6" w:space="0" w:color="auto"/>
              <w:right w:val="nil" w:sz="6" w:space="0" w:color="auto"/>
            </w:tcBorders>
          </w:tcPr>
          <w:p>
            <w:pPr/>
          </w:p>
        </w:tc>
        <w:tc>
          <w:tcPr>
            <w:tcW w:w="566"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r>
      <w:tr>
        <w:trPr>
          <w:trHeight w:val="388" w:hRule="exact"/>
        </w:trPr>
        <w:tc>
          <w:tcPr>
            <w:tcW w:w="2043"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07" w:right="0"/>
              <w:jc w:val="left"/>
              <w:rPr>
                <w:rFonts w:ascii="宋体" w:hAnsi="宋体" w:cs="宋体" w:eastAsia="宋体" w:hint="default"/>
                <w:sz w:val="15"/>
                <w:szCs w:val="15"/>
              </w:rPr>
            </w:pPr>
            <w:r>
              <w:rPr>
                <w:rFonts w:ascii="宋体" w:hAnsi="宋体" w:cs="宋体" w:eastAsia="宋体" w:hint="default"/>
                <w:sz w:val="15"/>
                <w:szCs w:val="15"/>
              </w:rPr>
              <w:t>重庆新媒农信科技有限公司</w:t>
            </w:r>
          </w:p>
        </w:tc>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34"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22"/>
              <w:jc w:val="right"/>
              <w:rPr>
                <w:rFonts w:ascii="Times New Roman" w:hAnsi="Times New Roman" w:cs="Times New Roman" w:eastAsia="Times New Roman" w:hint="default"/>
                <w:sz w:val="15"/>
                <w:szCs w:val="15"/>
              </w:rPr>
            </w:pPr>
            <w:r>
              <w:rPr>
                <w:rFonts w:ascii="Times New Roman"/>
                <w:spacing w:val="-1"/>
                <w:sz w:val="15"/>
              </w:rPr>
              <w:t>103,300,000.00</w:t>
            </w:r>
          </w:p>
        </w:tc>
        <w:tc>
          <w:tcPr>
            <w:tcW w:w="1157"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239"/>
              <w:jc w:val="right"/>
              <w:rPr>
                <w:rFonts w:ascii="Times New Roman" w:hAnsi="Times New Roman" w:cs="Times New Roman" w:eastAsia="Times New Roman" w:hint="default"/>
                <w:sz w:val="15"/>
                <w:szCs w:val="15"/>
              </w:rPr>
            </w:pPr>
            <w:r>
              <w:rPr>
                <w:rFonts w:ascii="Times New Roman"/>
                <w:spacing w:val="-1"/>
                <w:sz w:val="15"/>
              </w:rPr>
              <w:t>103,300,000.00</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13"/>
              <w:jc w:val="right"/>
              <w:rPr>
                <w:rFonts w:ascii="Times New Roman" w:hAnsi="Times New Roman" w:cs="Times New Roman" w:eastAsia="Times New Roman" w:hint="default"/>
                <w:sz w:val="15"/>
                <w:szCs w:val="15"/>
              </w:rPr>
            </w:pPr>
            <w:r>
              <w:rPr>
                <w:rFonts w:ascii="Times New Roman"/>
                <w:spacing w:val="-1"/>
                <w:sz w:val="15"/>
              </w:rPr>
              <w:t>103,300,000.00</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27"/>
              <w:jc w:val="right"/>
              <w:rPr>
                <w:rFonts w:ascii="Times New Roman" w:hAnsi="Times New Roman" w:cs="Times New Roman" w:eastAsia="Times New Roman" w:hint="default"/>
                <w:sz w:val="15"/>
                <w:szCs w:val="15"/>
              </w:rPr>
            </w:pPr>
            <w:r>
              <w:rPr>
                <w:rFonts w:ascii="Times New Roman"/>
                <w:spacing w:val="-1"/>
                <w:sz w:val="15"/>
              </w:rPr>
              <w:t>100.00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15"/>
              <w:jc w:val="right"/>
              <w:rPr>
                <w:rFonts w:ascii="Times New Roman" w:hAnsi="Times New Roman" w:cs="Times New Roman" w:eastAsia="Times New Roman" w:hint="default"/>
                <w:sz w:val="15"/>
                <w:szCs w:val="15"/>
              </w:rPr>
            </w:pPr>
            <w:r>
              <w:rPr>
                <w:rFonts w:ascii="Times New Roman"/>
                <w:spacing w:val="-1"/>
                <w:sz w:val="15"/>
              </w:rPr>
              <w:t>100.00</w:t>
            </w:r>
          </w:p>
        </w:tc>
        <w:tc>
          <w:tcPr>
            <w:tcW w:w="1208" w:type="dxa"/>
            <w:tcBorders>
              <w:top w:val="nil" w:sz="6" w:space="0" w:color="auto"/>
              <w:left w:val="nil" w:sz="6" w:space="0" w:color="auto"/>
              <w:bottom w:val="nil" w:sz="6" w:space="0" w:color="auto"/>
              <w:right w:val="nil" w:sz="6" w:space="0" w:color="auto"/>
            </w:tcBorders>
          </w:tcPr>
          <w:p>
            <w:pPr/>
          </w:p>
        </w:tc>
        <w:tc>
          <w:tcPr>
            <w:tcW w:w="566"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r>
      <w:tr>
        <w:trPr>
          <w:trHeight w:val="385" w:hRule="exact"/>
        </w:trPr>
        <w:tc>
          <w:tcPr>
            <w:tcW w:w="2043" w:type="dxa"/>
            <w:tcBorders>
              <w:top w:val="nil" w:sz="6" w:space="0" w:color="auto"/>
              <w:left w:val="nil" w:sz="6" w:space="0" w:color="auto"/>
              <w:bottom w:val="nil" w:sz="6" w:space="0" w:color="auto"/>
              <w:right w:val="nil" w:sz="6" w:space="0" w:color="auto"/>
            </w:tcBorders>
          </w:tcPr>
          <w:p>
            <w:pPr>
              <w:pStyle w:val="TableParagraph"/>
              <w:spacing w:line="240" w:lineRule="auto" w:before="67"/>
              <w:ind w:left="107" w:right="0"/>
              <w:jc w:val="left"/>
              <w:rPr>
                <w:rFonts w:ascii="宋体" w:hAnsi="宋体" w:cs="宋体" w:eastAsia="宋体" w:hint="default"/>
                <w:sz w:val="15"/>
                <w:szCs w:val="15"/>
              </w:rPr>
            </w:pPr>
            <w:r>
              <w:rPr>
                <w:rFonts w:ascii="宋体" w:hAnsi="宋体" w:cs="宋体" w:eastAsia="宋体" w:hint="default"/>
                <w:sz w:val="15"/>
                <w:szCs w:val="15"/>
              </w:rPr>
              <w:t>互联时代通讯科技有限公司</w:t>
            </w:r>
          </w:p>
        </w:tc>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67"/>
              <w:ind w:left="134"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2"/>
              <w:jc w:val="right"/>
              <w:rPr>
                <w:rFonts w:ascii="Times New Roman" w:hAnsi="Times New Roman" w:cs="Times New Roman" w:eastAsia="Times New Roman" w:hint="default"/>
                <w:sz w:val="15"/>
                <w:szCs w:val="15"/>
              </w:rPr>
            </w:pPr>
            <w:r>
              <w:rPr>
                <w:rFonts w:ascii="Times New Roman"/>
                <w:spacing w:val="-1"/>
                <w:sz w:val="15"/>
              </w:rPr>
              <w:t>6,977,459.86</w:t>
            </w:r>
          </w:p>
        </w:tc>
        <w:tc>
          <w:tcPr>
            <w:tcW w:w="1157"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9"/>
              <w:jc w:val="right"/>
              <w:rPr>
                <w:rFonts w:ascii="Times New Roman" w:hAnsi="Times New Roman" w:cs="Times New Roman" w:eastAsia="Times New Roman" w:hint="default"/>
                <w:sz w:val="15"/>
                <w:szCs w:val="15"/>
              </w:rPr>
            </w:pPr>
            <w:r>
              <w:rPr>
                <w:rFonts w:ascii="Times New Roman"/>
                <w:spacing w:val="-1"/>
                <w:sz w:val="15"/>
              </w:rPr>
              <w:t>6,977,459.86</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13"/>
              <w:jc w:val="right"/>
              <w:rPr>
                <w:rFonts w:ascii="Times New Roman" w:hAnsi="Times New Roman" w:cs="Times New Roman" w:eastAsia="Times New Roman" w:hint="default"/>
                <w:sz w:val="15"/>
                <w:szCs w:val="15"/>
              </w:rPr>
            </w:pPr>
            <w:r>
              <w:rPr>
                <w:rFonts w:ascii="Times New Roman"/>
                <w:spacing w:val="-1"/>
                <w:sz w:val="15"/>
              </w:rPr>
              <w:t>6,977,459.86</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7"/>
              <w:jc w:val="right"/>
              <w:rPr>
                <w:rFonts w:ascii="Times New Roman" w:hAnsi="Times New Roman" w:cs="Times New Roman" w:eastAsia="Times New Roman" w:hint="default"/>
                <w:sz w:val="15"/>
                <w:szCs w:val="15"/>
              </w:rPr>
            </w:pPr>
            <w:r>
              <w:rPr>
                <w:rFonts w:ascii="Times New Roman"/>
                <w:spacing w:val="-1"/>
                <w:sz w:val="15"/>
              </w:rPr>
              <w:t>100.00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15"/>
              <w:jc w:val="right"/>
              <w:rPr>
                <w:rFonts w:ascii="Times New Roman" w:hAnsi="Times New Roman" w:cs="Times New Roman" w:eastAsia="Times New Roman" w:hint="default"/>
                <w:sz w:val="15"/>
                <w:szCs w:val="15"/>
              </w:rPr>
            </w:pPr>
            <w:r>
              <w:rPr>
                <w:rFonts w:ascii="Times New Roman"/>
                <w:spacing w:val="-1"/>
                <w:sz w:val="15"/>
              </w:rPr>
              <w:t>100.00</w:t>
            </w:r>
          </w:p>
        </w:tc>
        <w:tc>
          <w:tcPr>
            <w:tcW w:w="1208" w:type="dxa"/>
            <w:tcBorders>
              <w:top w:val="nil" w:sz="6" w:space="0" w:color="auto"/>
              <w:left w:val="nil" w:sz="6" w:space="0" w:color="auto"/>
              <w:bottom w:val="nil" w:sz="6" w:space="0" w:color="auto"/>
              <w:right w:val="nil" w:sz="6" w:space="0" w:color="auto"/>
            </w:tcBorders>
          </w:tcPr>
          <w:p>
            <w:pPr/>
          </w:p>
        </w:tc>
        <w:tc>
          <w:tcPr>
            <w:tcW w:w="566"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r>
      <w:tr>
        <w:trPr>
          <w:trHeight w:val="385" w:hRule="exact"/>
        </w:trPr>
        <w:tc>
          <w:tcPr>
            <w:tcW w:w="2043" w:type="dxa"/>
            <w:tcBorders>
              <w:top w:val="nil" w:sz="6" w:space="0" w:color="auto"/>
              <w:left w:val="nil" w:sz="6" w:space="0" w:color="auto"/>
              <w:bottom w:val="nil" w:sz="6" w:space="0" w:color="auto"/>
              <w:right w:val="nil" w:sz="6" w:space="0" w:color="auto"/>
            </w:tcBorders>
          </w:tcPr>
          <w:p>
            <w:pPr>
              <w:pStyle w:val="TableParagraph"/>
              <w:spacing w:line="240" w:lineRule="auto" w:before="68"/>
              <w:ind w:left="107" w:right="0"/>
              <w:jc w:val="left"/>
              <w:rPr>
                <w:rFonts w:ascii="宋体" w:hAnsi="宋体" w:cs="宋体" w:eastAsia="宋体" w:hint="default"/>
                <w:sz w:val="15"/>
                <w:szCs w:val="15"/>
              </w:rPr>
            </w:pPr>
            <w:r>
              <w:rPr>
                <w:rFonts w:ascii="宋体" w:hAnsi="宋体" w:cs="宋体" w:eastAsia="宋体" w:hint="default"/>
                <w:sz w:val="15"/>
                <w:szCs w:val="15"/>
              </w:rPr>
              <w:t>友联创新系统集成有限公司</w:t>
            </w:r>
          </w:p>
        </w:tc>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68"/>
              <w:ind w:left="134"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2"/>
              <w:jc w:val="right"/>
              <w:rPr>
                <w:rFonts w:ascii="Times New Roman" w:hAnsi="Times New Roman" w:cs="Times New Roman" w:eastAsia="Times New Roman" w:hint="default"/>
                <w:sz w:val="15"/>
                <w:szCs w:val="15"/>
              </w:rPr>
            </w:pPr>
            <w:r>
              <w:rPr>
                <w:rFonts w:ascii="Times New Roman"/>
                <w:spacing w:val="-1"/>
                <w:sz w:val="15"/>
              </w:rPr>
              <w:t>59,000,000.00</w:t>
            </w:r>
          </w:p>
        </w:tc>
        <w:tc>
          <w:tcPr>
            <w:tcW w:w="1157"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7"/>
              <w:jc w:val="right"/>
              <w:rPr>
                <w:rFonts w:ascii="Times New Roman" w:hAnsi="Times New Roman" w:cs="Times New Roman" w:eastAsia="Times New Roman" w:hint="default"/>
                <w:sz w:val="15"/>
                <w:szCs w:val="15"/>
              </w:rPr>
            </w:pPr>
            <w:r>
              <w:rPr>
                <w:rFonts w:ascii="Times New Roman"/>
                <w:spacing w:val="-1"/>
                <w:sz w:val="15"/>
              </w:rPr>
              <w:t>59,000,000.00</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12"/>
              <w:jc w:val="right"/>
              <w:rPr>
                <w:rFonts w:ascii="Times New Roman" w:hAnsi="Times New Roman" w:cs="Times New Roman" w:eastAsia="Times New Roman" w:hint="default"/>
                <w:sz w:val="15"/>
                <w:szCs w:val="15"/>
              </w:rPr>
            </w:pPr>
            <w:r>
              <w:rPr>
                <w:rFonts w:ascii="Times New Roman"/>
                <w:spacing w:val="-1"/>
                <w:sz w:val="15"/>
              </w:rPr>
              <w:t>59,000,000.00</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7"/>
              <w:jc w:val="right"/>
              <w:rPr>
                <w:rFonts w:ascii="Times New Roman" w:hAnsi="Times New Roman" w:cs="Times New Roman" w:eastAsia="Times New Roman" w:hint="default"/>
                <w:sz w:val="15"/>
                <w:szCs w:val="15"/>
              </w:rPr>
            </w:pPr>
            <w:r>
              <w:rPr>
                <w:rFonts w:ascii="Times New Roman"/>
                <w:spacing w:val="-1"/>
                <w:sz w:val="15"/>
              </w:rPr>
              <w:t>100.00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15"/>
              <w:jc w:val="right"/>
              <w:rPr>
                <w:rFonts w:ascii="Times New Roman" w:hAnsi="Times New Roman" w:cs="Times New Roman" w:eastAsia="Times New Roman" w:hint="default"/>
                <w:sz w:val="15"/>
                <w:szCs w:val="15"/>
              </w:rPr>
            </w:pPr>
            <w:r>
              <w:rPr>
                <w:rFonts w:ascii="Times New Roman"/>
                <w:spacing w:val="-1"/>
                <w:sz w:val="15"/>
              </w:rPr>
              <w:t>100.00</w:t>
            </w:r>
          </w:p>
        </w:tc>
        <w:tc>
          <w:tcPr>
            <w:tcW w:w="1208" w:type="dxa"/>
            <w:tcBorders>
              <w:top w:val="nil" w:sz="6" w:space="0" w:color="auto"/>
              <w:left w:val="nil" w:sz="6" w:space="0" w:color="auto"/>
              <w:bottom w:val="nil" w:sz="6" w:space="0" w:color="auto"/>
              <w:right w:val="nil" w:sz="6" w:space="0" w:color="auto"/>
            </w:tcBorders>
          </w:tcPr>
          <w:p>
            <w:pPr/>
          </w:p>
        </w:tc>
        <w:tc>
          <w:tcPr>
            <w:tcW w:w="566"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r>
      <w:tr>
        <w:trPr>
          <w:trHeight w:val="384" w:hRule="exact"/>
        </w:trPr>
        <w:tc>
          <w:tcPr>
            <w:tcW w:w="2043" w:type="dxa"/>
            <w:tcBorders>
              <w:top w:val="nil" w:sz="6" w:space="0" w:color="auto"/>
              <w:left w:val="nil" w:sz="6" w:space="0" w:color="auto"/>
              <w:bottom w:val="nil" w:sz="6" w:space="0" w:color="auto"/>
              <w:right w:val="nil" w:sz="6" w:space="0" w:color="auto"/>
            </w:tcBorders>
          </w:tcPr>
          <w:p>
            <w:pPr>
              <w:pStyle w:val="TableParagraph"/>
              <w:spacing w:line="240" w:lineRule="auto" w:before="67"/>
              <w:ind w:left="107" w:right="0"/>
              <w:jc w:val="left"/>
              <w:rPr>
                <w:rFonts w:ascii="宋体" w:hAnsi="宋体" w:cs="宋体" w:eastAsia="宋体" w:hint="default"/>
                <w:sz w:val="15"/>
                <w:szCs w:val="15"/>
              </w:rPr>
            </w:pPr>
            <w:r>
              <w:rPr>
                <w:rFonts w:ascii="宋体" w:hAnsi="宋体" w:cs="宋体" w:eastAsia="宋体" w:hint="default"/>
                <w:sz w:val="15"/>
                <w:szCs w:val="15"/>
              </w:rPr>
              <w:t>成本法小计</w:t>
            </w:r>
          </w:p>
        </w:tc>
        <w:tc>
          <w:tcPr>
            <w:tcW w:w="891" w:type="dxa"/>
            <w:tcBorders>
              <w:top w:val="nil" w:sz="6" w:space="0" w:color="auto"/>
              <w:left w:val="nil" w:sz="6" w:space="0" w:color="auto"/>
              <w:bottom w:val="nil" w:sz="6" w:space="0" w:color="auto"/>
              <w:right w:val="nil" w:sz="6" w:space="0" w:color="auto"/>
            </w:tcBorders>
          </w:tcPr>
          <w:p>
            <w:pPr/>
          </w:p>
        </w:tc>
        <w:tc>
          <w:tcPr>
            <w:tcW w:w="1187" w:type="dxa"/>
            <w:tcBorders>
              <w:top w:val="nil" w:sz="6" w:space="0" w:color="auto"/>
              <w:left w:val="nil" w:sz="6" w:space="0" w:color="auto"/>
              <w:bottom w:val="nil" w:sz="6" w:space="0" w:color="auto"/>
              <w:right w:val="nil" w:sz="6" w:space="0" w:color="auto"/>
            </w:tcBorders>
          </w:tcPr>
          <w:p>
            <w:pP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7"/>
              <w:jc w:val="right"/>
              <w:rPr>
                <w:rFonts w:ascii="Times New Roman" w:hAnsi="Times New Roman" w:cs="Times New Roman" w:eastAsia="Times New Roman" w:hint="default"/>
                <w:sz w:val="15"/>
                <w:szCs w:val="15"/>
              </w:rPr>
            </w:pPr>
            <w:r>
              <w:rPr>
                <w:rFonts w:ascii="Times New Roman"/>
                <w:spacing w:val="-1"/>
                <w:sz w:val="15"/>
              </w:rPr>
              <w:t>35,848,720.16</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9"/>
              <w:jc w:val="right"/>
              <w:rPr>
                <w:rFonts w:ascii="Times New Roman" w:hAnsi="Times New Roman" w:cs="Times New Roman" w:eastAsia="Times New Roman" w:hint="default"/>
                <w:sz w:val="15"/>
                <w:szCs w:val="15"/>
              </w:rPr>
            </w:pPr>
            <w:r>
              <w:rPr>
                <w:rFonts w:ascii="Times New Roman"/>
                <w:spacing w:val="-1"/>
                <w:sz w:val="15"/>
              </w:rPr>
              <w:t>170,088,259.86</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13"/>
              <w:jc w:val="right"/>
              <w:rPr>
                <w:rFonts w:ascii="Times New Roman" w:hAnsi="Times New Roman" w:cs="Times New Roman" w:eastAsia="Times New Roman" w:hint="default"/>
                <w:sz w:val="15"/>
                <w:szCs w:val="15"/>
              </w:rPr>
            </w:pPr>
            <w:r>
              <w:rPr>
                <w:rFonts w:ascii="Times New Roman"/>
                <w:spacing w:val="-1"/>
                <w:sz w:val="15"/>
              </w:rPr>
              <w:t>205,936,980.02</w:t>
            </w:r>
          </w:p>
        </w:tc>
        <w:tc>
          <w:tcPr>
            <w:tcW w:w="1009" w:type="dxa"/>
            <w:tcBorders>
              <w:top w:val="nil" w:sz="6" w:space="0" w:color="auto"/>
              <w:left w:val="nil" w:sz="6" w:space="0" w:color="auto"/>
              <w:bottom w:val="nil" w:sz="6" w:space="0" w:color="auto"/>
              <w:right w:val="nil" w:sz="6" w:space="0" w:color="auto"/>
            </w:tcBorders>
          </w:tcPr>
          <w:p>
            <w:pPr/>
          </w:p>
        </w:tc>
        <w:tc>
          <w:tcPr>
            <w:tcW w:w="1043" w:type="dxa"/>
            <w:tcBorders>
              <w:top w:val="nil" w:sz="6" w:space="0" w:color="auto"/>
              <w:left w:val="nil" w:sz="6" w:space="0" w:color="auto"/>
              <w:bottom w:val="nil" w:sz="6" w:space="0" w:color="auto"/>
              <w:right w:val="nil" w:sz="6" w:space="0" w:color="auto"/>
            </w:tcBorders>
          </w:tcPr>
          <w:p>
            <w:pPr/>
          </w:p>
        </w:tc>
        <w:tc>
          <w:tcPr>
            <w:tcW w:w="1208" w:type="dxa"/>
            <w:tcBorders>
              <w:top w:val="nil" w:sz="6" w:space="0" w:color="auto"/>
              <w:left w:val="nil" w:sz="6" w:space="0" w:color="auto"/>
              <w:bottom w:val="nil" w:sz="6" w:space="0" w:color="auto"/>
              <w:right w:val="nil" w:sz="6" w:space="0" w:color="auto"/>
            </w:tcBorders>
          </w:tcPr>
          <w:p>
            <w:pPr/>
          </w:p>
        </w:tc>
        <w:tc>
          <w:tcPr>
            <w:tcW w:w="566"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r>
      <w:tr>
        <w:trPr>
          <w:trHeight w:val="393" w:hRule="exact"/>
        </w:trPr>
        <w:tc>
          <w:tcPr>
            <w:tcW w:w="2043" w:type="dxa"/>
            <w:tcBorders>
              <w:top w:val="nil" w:sz="6" w:space="0" w:color="auto"/>
              <w:left w:val="nil" w:sz="6" w:space="0" w:color="auto"/>
              <w:bottom w:val="single" w:sz="12" w:space="0" w:color="000000"/>
              <w:right w:val="nil" w:sz="6" w:space="0" w:color="auto"/>
            </w:tcBorders>
          </w:tcPr>
          <w:p>
            <w:pPr>
              <w:pStyle w:val="TableParagraph"/>
              <w:spacing w:line="240" w:lineRule="auto" w:before="67"/>
              <w:ind w:left="25" w:right="0"/>
              <w:jc w:val="center"/>
              <w:rPr>
                <w:rFonts w:ascii="宋体" w:hAnsi="宋体" w:cs="宋体" w:eastAsia="宋体" w:hint="default"/>
                <w:sz w:val="15"/>
                <w:szCs w:val="15"/>
              </w:rPr>
            </w:pPr>
            <w:r>
              <w:rPr>
                <w:rFonts w:ascii="宋体" w:hAnsi="宋体" w:cs="宋体" w:eastAsia="宋体" w:hint="default"/>
                <w:sz w:val="15"/>
                <w:szCs w:val="15"/>
              </w:rPr>
              <w:t>合计</w:t>
            </w:r>
          </w:p>
        </w:tc>
        <w:tc>
          <w:tcPr>
            <w:tcW w:w="891" w:type="dxa"/>
            <w:tcBorders>
              <w:top w:val="nil" w:sz="6" w:space="0" w:color="auto"/>
              <w:left w:val="nil" w:sz="6" w:space="0" w:color="auto"/>
              <w:bottom w:val="single" w:sz="12" w:space="0" w:color="000000"/>
              <w:right w:val="nil" w:sz="6" w:space="0" w:color="auto"/>
            </w:tcBorders>
          </w:tcPr>
          <w:p>
            <w:pPr/>
          </w:p>
        </w:tc>
        <w:tc>
          <w:tcPr>
            <w:tcW w:w="1187" w:type="dxa"/>
            <w:tcBorders>
              <w:top w:val="nil" w:sz="6" w:space="0" w:color="auto"/>
              <w:left w:val="nil" w:sz="6" w:space="0" w:color="auto"/>
              <w:bottom w:val="single" w:sz="12" w:space="0" w:color="000000"/>
              <w:right w:val="nil" w:sz="6" w:space="0" w:color="auto"/>
            </w:tcBorders>
          </w:tcPr>
          <w:p>
            <w:pPr/>
          </w:p>
        </w:tc>
        <w:tc>
          <w:tcPr>
            <w:tcW w:w="1157"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67"/>
              <w:jc w:val="right"/>
              <w:rPr>
                <w:rFonts w:ascii="Times New Roman" w:hAnsi="Times New Roman" w:cs="Times New Roman" w:eastAsia="Times New Roman" w:hint="default"/>
                <w:sz w:val="15"/>
                <w:szCs w:val="15"/>
              </w:rPr>
            </w:pPr>
            <w:r>
              <w:rPr>
                <w:rFonts w:ascii="Times New Roman"/>
                <w:spacing w:val="-1"/>
                <w:sz w:val="15"/>
              </w:rPr>
              <w:t>35,848,720.16</w:t>
            </w:r>
          </w:p>
        </w:tc>
        <w:tc>
          <w:tcPr>
            <w:tcW w:w="1347"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237"/>
              <w:jc w:val="right"/>
              <w:rPr>
                <w:rFonts w:ascii="Times New Roman" w:hAnsi="Times New Roman" w:cs="Times New Roman" w:eastAsia="Times New Roman" w:hint="default"/>
                <w:sz w:val="15"/>
                <w:szCs w:val="15"/>
              </w:rPr>
            </w:pPr>
            <w:r>
              <w:rPr>
                <w:rFonts w:ascii="Times New Roman"/>
                <w:spacing w:val="-2"/>
                <w:sz w:val="15"/>
              </w:rPr>
              <w:t>245,963,111.14</w:t>
            </w:r>
          </w:p>
        </w:tc>
        <w:tc>
          <w:tcPr>
            <w:tcW w:w="1292"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12"/>
              <w:jc w:val="right"/>
              <w:rPr>
                <w:rFonts w:ascii="Times New Roman" w:hAnsi="Times New Roman" w:cs="Times New Roman" w:eastAsia="Times New Roman" w:hint="default"/>
                <w:sz w:val="15"/>
                <w:szCs w:val="15"/>
              </w:rPr>
            </w:pPr>
            <w:r>
              <w:rPr>
                <w:rFonts w:ascii="Times New Roman"/>
                <w:spacing w:val="-1"/>
                <w:sz w:val="15"/>
              </w:rPr>
              <w:t>281,811,831.30</w:t>
            </w:r>
          </w:p>
        </w:tc>
        <w:tc>
          <w:tcPr>
            <w:tcW w:w="1009" w:type="dxa"/>
            <w:tcBorders>
              <w:top w:val="nil" w:sz="6" w:space="0" w:color="auto"/>
              <w:left w:val="nil" w:sz="6" w:space="0" w:color="auto"/>
              <w:bottom w:val="single" w:sz="12" w:space="0" w:color="000000"/>
              <w:right w:val="nil" w:sz="6" w:space="0" w:color="auto"/>
            </w:tcBorders>
          </w:tcPr>
          <w:p>
            <w:pPr/>
          </w:p>
        </w:tc>
        <w:tc>
          <w:tcPr>
            <w:tcW w:w="1043" w:type="dxa"/>
            <w:tcBorders>
              <w:top w:val="nil" w:sz="6" w:space="0" w:color="auto"/>
              <w:left w:val="nil" w:sz="6" w:space="0" w:color="auto"/>
              <w:bottom w:val="single" w:sz="12" w:space="0" w:color="000000"/>
              <w:right w:val="nil" w:sz="6" w:space="0" w:color="auto"/>
            </w:tcBorders>
          </w:tcPr>
          <w:p>
            <w:pPr/>
          </w:p>
        </w:tc>
        <w:tc>
          <w:tcPr>
            <w:tcW w:w="1208" w:type="dxa"/>
            <w:tcBorders>
              <w:top w:val="nil" w:sz="6" w:space="0" w:color="auto"/>
              <w:left w:val="nil" w:sz="6" w:space="0" w:color="auto"/>
              <w:bottom w:val="single" w:sz="12" w:space="0" w:color="000000"/>
              <w:right w:val="nil" w:sz="6" w:space="0" w:color="auto"/>
            </w:tcBorders>
          </w:tcPr>
          <w:p>
            <w:pPr/>
          </w:p>
        </w:tc>
        <w:tc>
          <w:tcPr>
            <w:tcW w:w="566" w:type="dxa"/>
            <w:tcBorders>
              <w:top w:val="nil" w:sz="6" w:space="0" w:color="auto"/>
              <w:left w:val="nil" w:sz="6" w:space="0" w:color="auto"/>
              <w:bottom w:val="single" w:sz="12" w:space="0" w:color="000000"/>
              <w:right w:val="nil" w:sz="6" w:space="0" w:color="auto"/>
            </w:tcBorders>
          </w:tcPr>
          <w:p>
            <w:pPr/>
          </w:p>
        </w:tc>
        <w:tc>
          <w:tcPr>
            <w:tcW w:w="869" w:type="dxa"/>
            <w:tcBorders>
              <w:top w:val="nil" w:sz="6" w:space="0" w:color="auto"/>
              <w:left w:val="nil" w:sz="6" w:space="0" w:color="auto"/>
              <w:bottom w:val="single" w:sz="12" w:space="0" w:color="000000"/>
              <w:right w:val="nil" w:sz="6" w:space="0" w:color="auto"/>
            </w:tcBorders>
          </w:tcPr>
          <w:p>
            <w:pPr/>
          </w:p>
        </w:tc>
        <w:tc>
          <w:tcPr>
            <w:tcW w:w="1216"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6"/>
          <w:szCs w:val="26"/>
        </w:rPr>
      </w:pPr>
    </w:p>
    <w:p>
      <w:pPr>
        <w:spacing w:before="76"/>
        <w:ind w:left="6964" w:right="7445" w:firstLine="0"/>
        <w:jc w:val="center"/>
        <w:rPr>
          <w:rFonts w:ascii="Times New Roman" w:hAnsi="Times New Roman" w:cs="Times New Roman" w:eastAsia="Times New Roman" w:hint="default"/>
          <w:sz w:val="18"/>
          <w:szCs w:val="18"/>
        </w:rPr>
      </w:pPr>
      <w:r>
        <w:rPr>
          <w:rFonts w:ascii="Times New Roman"/>
          <w:sz w:val="18"/>
        </w:rPr>
        <w:t>155</w:t>
      </w:r>
    </w:p>
    <w:p>
      <w:pPr>
        <w:spacing w:after="0"/>
        <w:jc w:val="center"/>
        <w:rPr>
          <w:rFonts w:ascii="Times New Roman" w:hAnsi="Times New Roman" w:cs="Times New Roman" w:eastAsia="Times New Roman" w:hint="default"/>
          <w:sz w:val="18"/>
          <w:szCs w:val="18"/>
        </w:rPr>
        <w:sectPr>
          <w:headerReference w:type="default" r:id="rId310"/>
          <w:footerReference w:type="default" r:id="rId311"/>
          <w:pgSz w:w="16840" w:h="11910" w:orient="landscape"/>
          <w:pgMar w:header="0" w:footer="0" w:top="760" w:bottom="280" w:left="1300" w:right="820"/>
        </w:sectPr>
      </w:pPr>
    </w:p>
    <w:p>
      <w:pPr>
        <w:spacing w:line="240" w:lineRule="auto" w:before="2"/>
        <w:rPr>
          <w:rFonts w:ascii="Times New Roman" w:hAnsi="Times New Roman" w:cs="Times New Roman" w:eastAsia="Times New Roman" w:hint="default"/>
          <w:sz w:val="3"/>
          <w:szCs w:val="3"/>
        </w:rPr>
      </w:pPr>
      <w:r>
        <w:rPr/>
        <w:pict>
          <v:shape style="position:absolute;margin-left:90pt;margin-top:42.540009pt;width:97.822006pt;height:21.119995pt;mso-position-horizontal-relative:page;mso-position-vertical-relative:page;z-index:8536" type="#_x0000_t75" stroked="false">
            <v:imagedata r:id="rId316" o:title=""/>
          </v:shape>
        </w:pict>
      </w:r>
    </w:p>
    <w:p>
      <w:pPr>
        <w:spacing w:line="20" w:lineRule="exact"/>
        <w:ind w:left="10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6"/>
          <w:szCs w:val="26"/>
        </w:rPr>
      </w:pPr>
    </w:p>
    <w:p>
      <w:pPr>
        <w:pStyle w:val="Heading2"/>
        <w:tabs>
          <w:tab w:pos="853" w:val="left" w:leader="none"/>
        </w:tabs>
        <w:spacing w:line="240" w:lineRule="auto" w:before="35"/>
        <w:ind w:right="0"/>
        <w:jc w:val="left"/>
        <w:rPr>
          <w:b w:val="0"/>
          <w:bCs w:val="0"/>
        </w:rPr>
      </w:pPr>
      <w:r>
        <w:rPr>
          <w:rFonts w:ascii="Times New Roman" w:hAnsi="Times New Roman" w:cs="Times New Roman" w:eastAsia="Times New Roman" w:hint="default"/>
          <w:w w:val="95"/>
        </w:rPr>
        <w:t>(</w:t>
      </w:r>
      <w:r>
        <w:rPr>
          <w:w w:val="95"/>
        </w:rPr>
        <w:t>四</w:t>
      </w:r>
      <w:r>
        <w:rPr>
          <w:rFonts w:ascii="Times New Roman" w:hAnsi="Times New Roman" w:cs="Times New Roman" w:eastAsia="Times New Roman" w:hint="default"/>
          <w:w w:val="95"/>
        </w:rPr>
        <w:t>)</w:t>
        <w:tab/>
      </w:r>
      <w:r>
        <w:rPr/>
        <w:t>营业收入和营业成本</w:t>
      </w:r>
      <w:r>
        <w:rPr>
          <w:b w:val="0"/>
          <w:bCs w:val="0"/>
        </w:rPr>
      </w:r>
    </w:p>
    <w:p>
      <w:pPr>
        <w:spacing w:line="240" w:lineRule="auto" w:before="0"/>
        <w:rPr>
          <w:rFonts w:ascii="宋体" w:hAnsi="宋体" w:cs="宋体" w:eastAsia="宋体" w:hint="default"/>
          <w:b/>
          <w:bCs/>
          <w:sz w:val="22"/>
          <w:szCs w:val="22"/>
        </w:rPr>
      </w:pPr>
    </w:p>
    <w:p>
      <w:pPr>
        <w:spacing w:line="240" w:lineRule="auto" w:before="13"/>
        <w:rPr>
          <w:rFonts w:ascii="宋体" w:hAnsi="宋体" w:cs="宋体" w:eastAsia="宋体" w:hint="default"/>
          <w:b/>
          <w:bCs/>
          <w:sz w:val="16"/>
          <w:szCs w:val="16"/>
        </w:rPr>
      </w:pPr>
    </w:p>
    <w:p>
      <w:pPr>
        <w:tabs>
          <w:tab w:pos="1396" w:val="left" w:leader="none"/>
        </w:tabs>
        <w:spacing w:before="0"/>
        <w:ind w:left="857" w:right="0" w:firstLine="0"/>
        <w:jc w:val="left"/>
        <w:rPr>
          <w:rFonts w:ascii="宋体" w:hAnsi="宋体" w:cs="宋体" w:eastAsia="宋体" w:hint="default"/>
          <w:sz w:val="21"/>
          <w:szCs w:val="21"/>
        </w:rPr>
      </w:pPr>
      <w:r>
        <w:rPr/>
        <w:pict>
          <v:group style="position:absolute;margin-left:146.639999pt;margin-top:40.873489pt;width:383.65pt;height:77.350pt;mso-position-horizontal-relative:page;mso-position-vertical-relative:paragraph;z-index:-705184" coordorigin="2933,817" coordsize="7673,1547">
            <v:shape style="position:absolute;left:5378;top:817;width:2683;height:413" type="#_x0000_t75" stroked="false">
              <v:imagedata r:id="rId317" o:title=""/>
            </v:shape>
            <v:shape style="position:absolute;left:2933;top:1192;width:7673;height:1172" type="#_x0000_t75" stroked="false">
              <v:imagedata r:id="rId318" o:title=""/>
            </v:shape>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营业收入、营业成本</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1291" w:type="dxa"/>
        <w:tblLayout w:type="fixed"/>
        <w:tblCellMar>
          <w:top w:w="0" w:type="dxa"/>
          <w:left w:w="0" w:type="dxa"/>
          <w:bottom w:w="0" w:type="dxa"/>
          <w:right w:w="0" w:type="dxa"/>
        </w:tblCellMar>
        <w:tblLook w:val="01E0"/>
      </w:tblPr>
      <w:tblGrid>
        <w:gridCol w:w="2497"/>
        <w:gridCol w:w="2963"/>
        <w:gridCol w:w="2170"/>
      </w:tblGrid>
      <w:tr>
        <w:trPr>
          <w:trHeight w:val="393" w:hRule="exact"/>
        </w:trPr>
        <w:tc>
          <w:tcPr>
            <w:tcW w:w="2497" w:type="dxa"/>
            <w:tcBorders>
              <w:top w:val="single" w:sz="12" w:space="0" w:color="000000"/>
              <w:left w:val="nil" w:sz="6" w:space="0" w:color="auto"/>
              <w:bottom w:val="nil" w:sz="6" w:space="0" w:color="auto"/>
              <w:right w:val="nil" w:sz="6" w:space="0" w:color="auto"/>
            </w:tcBorders>
          </w:tcPr>
          <w:p>
            <w:pPr>
              <w:pStyle w:val="TableParagraph"/>
              <w:tabs>
                <w:tab w:pos="1435" w:val="left" w:leader="none"/>
              </w:tabs>
              <w:spacing w:line="240" w:lineRule="auto" w:before="16"/>
              <w:ind w:left="805"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963"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851"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2170"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481"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90" w:hRule="exact"/>
        </w:trPr>
        <w:tc>
          <w:tcPr>
            <w:tcW w:w="2497"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296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81"/>
              <w:jc w:val="right"/>
              <w:rPr>
                <w:rFonts w:ascii="Times New Roman" w:hAnsi="Times New Roman" w:cs="Times New Roman" w:eastAsia="Times New Roman" w:hint="default"/>
                <w:sz w:val="21"/>
                <w:szCs w:val="21"/>
              </w:rPr>
            </w:pPr>
            <w:r>
              <w:rPr>
                <w:rFonts w:ascii="Times New Roman"/>
                <w:spacing w:val="-1"/>
                <w:sz w:val="21"/>
              </w:rPr>
              <w:t>299,336,529.77</w:t>
            </w:r>
          </w:p>
        </w:tc>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98"/>
              <w:jc w:val="right"/>
              <w:rPr>
                <w:rFonts w:ascii="Times New Roman" w:hAnsi="Times New Roman" w:cs="Times New Roman" w:eastAsia="Times New Roman" w:hint="default"/>
                <w:sz w:val="21"/>
                <w:szCs w:val="21"/>
              </w:rPr>
            </w:pPr>
            <w:r>
              <w:rPr>
                <w:rFonts w:ascii="Times New Roman"/>
                <w:spacing w:val="-1"/>
                <w:sz w:val="21"/>
              </w:rPr>
              <w:t>257,910,065.32</w:t>
            </w:r>
          </w:p>
        </w:tc>
      </w:tr>
      <w:tr>
        <w:trPr>
          <w:trHeight w:val="379" w:hRule="exact"/>
        </w:trPr>
        <w:tc>
          <w:tcPr>
            <w:tcW w:w="2497"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2963" w:type="dxa"/>
            <w:tcBorders>
              <w:top w:val="nil" w:sz="6" w:space="0" w:color="auto"/>
              <w:left w:val="nil" w:sz="6" w:space="0" w:color="auto"/>
              <w:bottom w:val="nil" w:sz="6" w:space="0" w:color="auto"/>
              <w:right w:val="nil" w:sz="6" w:space="0" w:color="auto"/>
            </w:tcBorders>
          </w:tcPr>
          <w:p>
            <w:pPr/>
          </w:p>
        </w:tc>
        <w:tc>
          <w:tcPr>
            <w:tcW w:w="2170" w:type="dxa"/>
            <w:tcBorders>
              <w:top w:val="nil" w:sz="6" w:space="0" w:color="auto"/>
              <w:left w:val="nil" w:sz="6" w:space="0" w:color="auto"/>
              <w:bottom w:val="nil" w:sz="6" w:space="0" w:color="auto"/>
              <w:right w:val="nil" w:sz="6" w:space="0" w:color="auto"/>
            </w:tcBorders>
          </w:tcPr>
          <w:p>
            <w:pPr/>
          </w:p>
        </w:tc>
      </w:tr>
      <w:tr>
        <w:trPr>
          <w:trHeight w:val="396" w:hRule="exact"/>
        </w:trPr>
        <w:tc>
          <w:tcPr>
            <w:tcW w:w="2497"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2963" w:type="dxa"/>
            <w:tcBorders>
              <w:top w:val="nil" w:sz="6" w:space="0" w:color="auto"/>
              <w:left w:val="nil" w:sz="6" w:space="0" w:color="auto"/>
              <w:bottom w:val="single" w:sz="12" w:space="0" w:color="000000"/>
              <w:right w:val="nil" w:sz="6" w:space="0" w:color="auto"/>
            </w:tcBorders>
          </w:tcPr>
          <w:p>
            <w:pPr>
              <w:pStyle w:val="TableParagraph"/>
              <w:spacing w:line="240" w:lineRule="auto" w:before="72"/>
              <w:ind w:right="479"/>
              <w:jc w:val="right"/>
              <w:rPr>
                <w:rFonts w:ascii="Times New Roman" w:hAnsi="Times New Roman" w:cs="Times New Roman" w:eastAsia="Times New Roman" w:hint="default"/>
                <w:sz w:val="21"/>
                <w:szCs w:val="21"/>
              </w:rPr>
            </w:pPr>
            <w:r>
              <w:rPr>
                <w:rFonts w:ascii="Times New Roman"/>
                <w:spacing w:val="-1"/>
                <w:sz w:val="21"/>
              </w:rPr>
              <w:t>71,685,923.23</w:t>
            </w:r>
          </w:p>
        </w:tc>
        <w:tc>
          <w:tcPr>
            <w:tcW w:w="2170" w:type="dxa"/>
            <w:tcBorders>
              <w:top w:val="nil" w:sz="6" w:space="0" w:color="auto"/>
              <w:left w:val="nil" w:sz="6" w:space="0" w:color="auto"/>
              <w:bottom w:val="single" w:sz="12" w:space="0" w:color="000000"/>
              <w:right w:val="nil" w:sz="6" w:space="0" w:color="auto"/>
            </w:tcBorders>
          </w:tcPr>
          <w:p>
            <w:pPr>
              <w:pStyle w:val="TableParagraph"/>
              <w:spacing w:line="240" w:lineRule="auto" w:before="72"/>
              <w:ind w:right="96"/>
              <w:jc w:val="right"/>
              <w:rPr>
                <w:rFonts w:ascii="Times New Roman" w:hAnsi="Times New Roman" w:cs="Times New Roman" w:eastAsia="Times New Roman" w:hint="default"/>
                <w:sz w:val="21"/>
                <w:szCs w:val="21"/>
              </w:rPr>
            </w:pPr>
            <w:r>
              <w:rPr>
                <w:rFonts w:ascii="Times New Roman"/>
                <w:spacing w:val="-1"/>
                <w:sz w:val="21"/>
              </w:rPr>
              <w:t>71,724,875.67</w:t>
            </w:r>
          </w:p>
        </w:tc>
      </w:tr>
    </w:tbl>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tabs>
          <w:tab w:pos="1396" w:val="left" w:leader="none"/>
        </w:tabs>
        <w:spacing w:before="35"/>
        <w:ind w:left="857" w:right="0" w:firstLine="0"/>
        <w:jc w:val="left"/>
        <w:rPr>
          <w:rFonts w:ascii="宋体" w:hAnsi="宋体" w:cs="宋体" w:eastAsia="宋体" w:hint="default"/>
          <w:sz w:val="21"/>
          <w:szCs w:val="21"/>
        </w:rPr>
      </w:pPr>
      <w:r>
        <w:rPr/>
        <w:pict>
          <v:group style="position:absolute;margin-left:146.639999pt;margin-top:42.098488pt;width:385.15pt;height:154.75pt;mso-position-horizontal-relative:page;mso-position-vertical-relative:paragraph;z-index:-704992" coordorigin="2933,842" coordsize="7703,3095">
            <v:group style="position:absolute;left:2959;top:857;width:7655;height:2" coordorigin="2959,857" coordsize="7655,2">
              <v:shape style="position:absolute;left:2959;top:857;width:7655;height:2" coordorigin="2959,857" coordsize="7655,0" path="m2959,857l10614,857e" filled="false" stroked="true" strokeweight="1.5pt" strokecolor="#000000">
                <v:path arrowok="t"/>
              </v:shape>
              <v:shape style="position:absolute;left:4186;top:853;width:3253;height:413" type="#_x0000_t75" stroked="false">
                <v:imagedata r:id="rId319" o:title=""/>
              </v:shape>
              <v:shape style="position:absolute;left:4186;top:1227;width:6450;height:422" type="#_x0000_t75" stroked="false">
                <v:imagedata r:id="rId320" o:title=""/>
              </v:shape>
              <v:shape style="position:absolute;left:2933;top:1611;width:7703;height:2326" type="#_x0000_t75" stroked="false">
                <v:imagedata r:id="rId321" o:title=""/>
              </v:shape>
              <v:shape style="position:absolute;left:5452;top:96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8658;top:96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3401;top:114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650;top:135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w:t>
                      </w:r>
                    </w:p>
                  </w:txbxContent>
                </v:textbox>
                <w10:wrap type="none"/>
              </v:shape>
              <v:shape style="position:absolute;left:6253;top:135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shape style="position:absolute;left:7857;top:135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w:t>
                      </w:r>
                    </w:p>
                  </w:txbxContent>
                </v:textbox>
                <w10:wrap type="none"/>
              </v:shape>
              <v:shape style="position:absolute;left:9460;top:135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group>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主营业务（客户分行业）</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tbl>
      <w:tblPr>
        <w:tblW w:w="0" w:type="auto"/>
        <w:jc w:val="left"/>
        <w:tblInd w:w="1365" w:type="dxa"/>
        <w:tblLayout w:type="fixed"/>
        <w:tblCellMar>
          <w:top w:w="0" w:type="dxa"/>
          <w:left w:w="0" w:type="dxa"/>
          <w:bottom w:w="0" w:type="dxa"/>
          <w:right w:w="0" w:type="dxa"/>
        </w:tblCellMar>
        <w:tblLook w:val="01E0"/>
      </w:tblPr>
      <w:tblGrid>
        <w:gridCol w:w="228"/>
        <w:gridCol w:w="270"/>
        <w:gridCol w:w="715"/>
        <w:gridCol w:w="1751"/>
        <w:gridCol w:w="1558"/>
        <w:gridCol w:w="1648"/>
        <w:gridCol w:w="1354"/>
      </w:tblGrid>
      <w:tr>
        <w:trPr>
          <w:trHeight w:val="386" w:hRule="exact"/>
        </w:trPr>
        <w:tc>
          <w:tcPr>
            <w:tcW w:w="22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2" w:right="0"/>
              <w:jc w:val="center"/>
              <w:rPr>
                <w:rFonts w:ascii="宋体" w:hAnsi="宋体" w:cs="宋体" w:eastAsia="宋体" w:hint="default"/>
                <w:sz w:val="18"/>
                <w:szCs w:val="18"/>
              </w:rPr>
            </w:pPr>
            <w:r>
              <w:rPr>
                <w:rFonts w:ascii="宋体" w:hAnsi="宋体" w:cs="宋体" w:eastAsia="宋体" w:hint="default"/>
                <w:sz w:val="18"/>
                <w:szCs w:val="18"/>
              </w:rPr>
              <w:t>电</w:t>
            </w:r>
          </w:p>
        </w:tc>
        <w:tc>
          <w:tcPr>
            <w:tcW w:w="270" w:type="dxa"/>
            <w:tcBorders>
              <w:top w:val="nil" w:sz="6" w:space="0" w:color="auto"/>
              <w:left w:val="nil" w:sz="6" w:space="0" w:color="auto"/>
              <w:bottom w:val="nil" w:sz="6" w:space="0" w:color="auto"/>
              <w:right w:val="nil" w:sz="6" w:space="0" w:color="auto"/>
            </w:tcBorders>
          </w:tcPr>
          <w:p>
            <w:pPr/>
          </w:p>
        </w:tc>
        <w:tc>
          <w:tcPr>
            <w:tcW w:w="71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7" w:right="0"/>
              <w:jc w:val="left"/>
              <w:rPr>
                <w:rFonts w:ascii="宋体" w:hAnsi="宋体" w:cs="宋体" w:eastAsia="宋体" w:hint="default"/>
                <w:sz w:val="18"/>
                <w:szCs w:val="18"/>
              </w:rPr>
            </w:pPr>
            <w:r>
              <w:rPr>
                <w:rFonts w:ascii="宋体" w:hAnsi="宋体" w:cs="宋体" w:eastAsia="宋体" w:hint="default"/>
                <w:sz w:val="18"/>
                <w:szCs w:val="18"/>
              </w:rPr>
              <w:t>信</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81"/>
              <w:jc w:val="right"/>
              <w:rPr>
                <w:rFonts w:ascii="Times New Roman" w:hAnsi="Times New Roman" w:cs="Times New Roman" w:eastAsia="Times New Roman" w:hint="default"/>
                <w:sz w:val="18"/>
                <w:szCs w:val="18"/>
              </w:rPr>
            </w:pPr>
            <w:r>
              <w:rPr>
                <w:rFonts w:ascii="Times New Roman"/>
                <w:spacing w:val="-1"/>
                <w:sz w:val="18"/>
              </w:rPr>
              <w:t>212,605,179.94</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84"/>
              <w:ind w:left="44" w:right="0"/>
              <w:jc w:val="center"/>
              <w:rPr>
                <w:rFonts w:ascii="Times New Roman" w:hAnsi="Times New Roman" w:cs="Times New Roman" w:eastAsia="Times New Roman" w:hint="default"/>
                <w:sz w:val="18"/>
                <w:szCs w:val="18"/>
              </w:rPr>
            </w:pPr>
            <w:r>
              <w:rPr>
                <w:rFonts w:ascii="Times New Roman"/>
                <w:sz w:val="18"/>
              </w:rPr>
              <w:t>42,157,148.40</w:t>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81"/>
              <w:jc w:val="right"/>
              <w:rPr>
                <w:rFonts w:ascii="Times New Roman" w:hAnsi="Times New Roman" w:cs="Times New Roman" w:eastAsia="Times New Roman" w:hint="default"/>
                <w:sz w:val="18"/>
                <w:szCs w:val="18"/>
              </w:rPr>
            </w:pPr>
            <w:r>
              <w:rPr>
                <w:rFonts w:ascii="Times New Roman"/>
                <w:spacing w:val="-1"/>
                <w:sz w:val="18"/>
              </w:rPr>
              <w:t>189,627,851.70</w:t>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3"/>
              <w:jc w:val="right"/>
              <w:rPr>
                <w:rFonts w:ascii="Times New Roman" w:hAnsi="Times New Roman" w:cs="Times New Roman" w:eastAsia="Times New Roman" w:hint="default"/>
                <w:sz w:val="18"/>
                <w:szCs w:val="18"/>
              </w:rPr>
            </w:pPr>
            <w:r>
              <w:rPr>
                <w:rFonts w:ascii="Times New Roman"/>
                <w:spacing w:val="-1"/>
                <w:sz w:val="18"/>
              </w:rPr>
              <w:t>54,341,737.12</w:t>
            </w:r>
          </w:p>
        </w:tc>
      </w:tr>
      <w:tr>
        <w:trPr>
          <w:trHeight w:val="385" w:hRule="exact"/>
        </w:trPr>
        <w:tc>
          <w:tcPr>
            <w:tcW w:w="228"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2" w:right="0"/>
              <w:jc w:val="center"/>
              <w:rPr>
                <w:rFonts w:ascii="宋体" w:hAnsi="宋体" w:cs="宋体" w:eastAsia="宋体" w:hint="default"/>
                <w:sz w:val="18"/>
                <w:szCs w:val="18"/>
              </w:rPr>
            </w:pPr>
            <w:r>
              <w:rPr>
                <w:rFonts w:ascii="宋体" w:hAnsi="宋体" w:cs="宋体" w:eastAsia="宋体" w:hint="default"/>
                <w:sz w:val="18"/>
                <w:szCs w:val="18"/>
              </w:rPr>
              <w:t>金</w:t>
            </w:r>
          </w:p>
        </w:tc>
        <w:tc>
          <w:tcPr>
            <w:tcW w:w="270" w:type="dxa"/>
            <w:tcBorders>
              <w:top w:val="nil" w:sz="6" w:space="0" w:color="auto"/>
              <w:left w:val="nil" w:sz="6" w:space="0" w:color="auto"/>
              <w:bottom w:val="nil" w:sz="6" w:space="0" w:color="auto"/>
              <w:right w:val="nil" w:sz="6" w:space="0" w:color="auto"/>
            </w:tcBorders>
          </w:tcPr>
          <w:p>
            <w:pPr/>
          </w:p>
        </w:tc>
        <w:tc>
          <w:tcPr>
            <w:tcW w:w="715" w:type="dxa"/>
            <w:tcBorders>
              <w:top w:val="nil" w:sz="6" w:space="0" w:color="auto"/>
              <w:left w:val="nil" w:sz="6" w:space="0" w:color="auto"/>
              <w:bottom w:val="nil" w:sz="6" w:space="0" w:color="auto"/>
              <w:right w:val="nil" w:sz="6" w:space="0" w:color="auto"/>
            </w:tcBorders>
          </w:tcPr>
          <w:p>
            <w:pPr>
              <w:pStyle w:val="TableParagraph"/>
              <w:spacing w:line="240" w:lineRule="auto" w:before="42"/>
              <w:ind w:left="77" w:right="0"/>
              <w:jc w:val="left"/>
              <w:rPr>
                <w:rFonts w:ascii="宋体" w:hAnsi="宋体" w:cs="宋体" w:eastAsia="宋体" w:hint="default"/>
                <w:sz w:val="18"/>
                <w:szCs w:val="18"/>
              </w:rPr>
            </w:pPr>
            <w:r>
              <w:rPr>
                <w:rFonts w:ascii="宋体" w:hAnsi="宋体" w:cs="宋体" w:eastAsia="宋体" w:hint="default"/>
                <w:sz w:val="18"/>
                <w:szCs w:val="18"/>
              </w:rPr>
              <w:t>融</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82"/>
              <w:jc w:val="right"/>
              <w:rPr>
                <w:rFonts w:ascii="Times New Roman" w:hAnsi="Times New Roman" w:cs="Times New Roman" w:eastAsia="Times New Roman" w:hint="default"/>
                <w:sz w:val="18"/>
                <w:szCs w:val="18"/>
              </w:rPr>
            </w:pPr>
            <w:r>
              <w:rPr>
                <w:rFonts w:ascii="Times New Roman"/>
                <w:spacing w:val="-1"/>
                <w:sz w:val="18"/>
              </w:rPr>
              <w:t>42,373,093.70</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33" w:right="0"/>
              <w:jc w:val="center"/>
              <w:rPr>
                <w:rFonts w:ascii="Times New Roman" w:hAnsi="Times New Roman" w:cs="Times New Roman" w:eastAsia="Times New Roman" w:hint="default"/>
                <w:sz w:val="18"/>
                <w:szCs w:val="18"/>
              </w:rPr>
            </w:pPr>
            <w:r>
              <w:rPr>
                <w:rFonts w:ascii="Times New Roman"/>
                <w:sz w:val="18"/>
              </w:rPr>
              <w:t>9,757,584.65</w:t>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82"/>
              <w:jc w:val="right"/>
              <w:rPr>
                <w:rFonts w:ascii="Times New Roman" w:hAnsi="Times New Roman" w:cs="Times New Roman" w:eastAsia="Times New Roman" w:hint="default"/>
                <w:sz w:val="18"/>
                <w:szCs w:val="18"/>
              </w:rPr>
            </w:pPr>
            <w:r>
              <w:rPr>
                <w:rFonts w:ascii="Times New Roman"/>
                <w:spacing w:val="-1"/>
                <w:sz w:val="18"/>
              </w:rPr>
              <w:t>22,071,579.26</w:t>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4,330,102.25</w:t>
            </w:r>
          </w:p>
        </w:tc>
      </w:tr>
      <w:tr>
        <w:trPr>
          <w:trHeight w:val="385" w:hRule="exact"/>
        </w:trPr>
        <w:tc>
          <w:tcPr>
            <w:tcW w:w="228" w:type="dxa"/>
            <w:tcBorders>
              <w:top w:val="nil" w:sz="6" w:space="0" w:color="auto"/>
              <w:left w:val="nil" w:sz="6" w:space="0" w:color="auto"/>
              <w:bottom w:val="nil" w:sz="6" w:space="0" w:color="auto"/>
              <w:right w:val="nil" w:sz="6" w:space="0" w:color="auto"/>
            </w:tcBorders>
          </w:tcPr>
          <w:p>
            <w:pPr>
              <w:pStyle w:val="TableParagraph"/>
              <w:spacing w:line="240" w:lineRule="auto" w:before="43"/>
              <w:ind w:left="22" w:right="0"/>
              <w:jc w:val="center"/>
              <w:rPr>
                <w:rFonts w:ascii="宋体" w:hAnsi="宋体" w:cs="宋体" w:eastAsia="宋体" w:hint="default"/>
                <w:sz w:val="18"/>
                <w:szCs w:val="18"/>
              </w:rPr>
            </w:pPr>
            <w:r>
              <w:rPr>
                <w:rFonts w:ascii="宋体" w:hAnsi="宋体" w:cs="宋体" w:eastAsia="宋体" w:hint="default"/>
                <w:sz w:val="18"/>
                <w:szCs w:val="18"/>
              </w:rPr>
              <w:t>能</w:t>
            </w:r>
          </w:p>
        </w:tc>
        <w:tc>
          <w:tcPr>
            <w:tcW w:w="270" w:type="dxa"/>
            <w:tcBorders>
              <w:top w:val="nil" w:sz="6" w:space="0" w:color="auto"/>
              <w:left w:val="nil" w:sz="6" w:space="0" w:color="auto"/>
              <w:bottom w:val="nil" w:sz="6" w:space="0" w:color="auto"/>
              <w:right w:val="nil" w:sz="6" w:space="0" w:color="auto"/>
            </w:tcBorders>
          </w:tcPr>
          <w:p>
            <w:pPr/>
          </w:p>
        </w:tc>
        <w:tc>
          <w:tcPr>
            <w:tcW w:w="715" w:type="dxa"/>
            <w:tcBorders>
              <w:top w:val="nil" w:sz="6" w:space="0" w:color="auto"/>
              <w:left w:val="nil" w:sz="6" w:space="0" w:color="auto"/>
              <w:bottom w:val="nil" w:sz="6" w:space="0" w:color="auto"/>
              <w:right w:val="nil" w:sz="6" w:space="0" w:color="auto"/>
            </w:tcBorders>
          </w:tcPr>
          <w:p>
            <w:pPr>
              <w:pStyle w:val="TableParagraph"/>
              <w:spacing w:line="240" w:lineRule="auto" w:before="43"/>
              <w:ind w:left="77" w:right="0"/>
              <w:jc w:val="left"/>
              <w:rPr>
                <w:rFonts w:ascii="宋体" w:hAnsi="宋体" w:cs="宋体" w:eastAsia="宋体" w:hint="default"/>
                <w:sz w:val="18"/>
                <w:szCs w:val="18"/>
              </w:rPr>
            </w:pPr>
            <w:r>
              <w:rPr>
                <w:rFonts w:ascii="宋体" w:hAnsi="宋体" w:cs="宋体" w:eastAsia="宋体" w:hint="default"/>
                <w:sz w:val="18"/>
                <w:szCs w:val="18"/>
              </w:rPr>
              <w:t>源</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82"/>
              <w:jc w:val="right"/>
              <w:rPr>
                <w:rFonts w:ascii="Times New Roman" w:hAnsi="Times New Roman" w:cs="Times New Roman" w:eastAsia="Times New Roman" w:hint="default"/>
                <w:sz w:val="18"/>
                <w:szCs w:val="18"/>
              </w:rPr>
            </w:pPr>
            <w:r>
              <w:rPr>
                <w:rFonts w:ascii="Times New Roman"/>
                <w:spacing w:val="-1"/>
                <w:sz w:val="18"/>
              </w:rPr>
              <w:t>8,618,429.00</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33" w:right="0"/>
              <w:jc w:val="center"/>
              <w:rPr>
                <w:rFonts w:ascii="Times New Roman" w:hAnsi="Times New Roman" w:cs="Times New Roman" w:eastAsia="Times New Roman" w:hint="default"/>
                <w:sz w:val="18"/>
                <w:szCs w:val="18"/>
              </w:rPr>
            </w:pPr>
            <w:r>
              <w:rPr>
                <w:rFonts w:ascii="Times New Roman"/>
                <w:sz w:val="18"/>
              </w:rPr>
              <w:t>1,496,034.97</w:t>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82"/>
              <w:jc w:val="right"/>
              <w:rPr>
                <w:rFonts w:ascii="Times New Roman" w:hAnsi="Times New Roman" w:cs="Times New Roman" w:eastAsia="Times New Roman" w:hint="default"/>
                <w:sz w:val="18"/>
                <w:szCs w:val="18"/>
              </w:rPr>
            </w:pPr>
            <w:r>
              <w:rPr>
                <w:rFonts w:ascii="Times New Roman"/>
                <w:spacing w:val="-1"/>
                <w:sz w:val="18"/>
              </w:rPr>
              <w:t>12,847,974.83</w:t>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8"/>
                <w:szCs w:val="18"/>
              </w:rPr>
            </w:pPr>
            <w:r>
              <w:rPr>
                <w:rFonts w:ascii="Times New Roman"/>
                <w:spacing w:val="-1"/>
                <w:sz w:val="18"/>
              </w:rPr>
              <w:t>2,453,690.45</w:t>
            </w:r>
          </w:p>
        </w:tc>
      </w:tr>
      <w:tr>
        <w:trPr>
          <w:trHeight w:val="384" w:hRule="exact"/>
        </w:trPr>
        <w:tc>
          <w:tcPr>
            <w:tcW w:w="228"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2" w:right="0"/>
              <w:jc w:val="center"/>
              <w:rPr>
                <w:rFonts w:ascii="宋体" w:hAnsi="宋体" w:cs="宋体" w:eastAsia="宋体" w:hint="default"/>
                <w:sz w:val="18"/>
                <w:szCs w:val="18"/>
              </w:rPr>
            </w:pPr>
            <w:r>
              <w:rPr>
                <w:rFonts w:ascii="宋体" w:hAnsi="宋体" w:cs="宋体" w:eastAsia="宋体" w:hint="default"/>
                <w:sz w:val="18"/>
                <w:szCs w:val="18"/>
              </w:rPr>
              <w:t>政</w:t>
            </w:r>
          </w:p>
        </w:tc>
        <w:tc>
          <w:tcPr>
            <w:tcW w:w="270" w:type="dxa"/>
            <w:tcBorders>
              <w:top w:val="nil" w:sz="6" w:space="0" w:color="auto"/>
              <w:left w:val="nil" w:sz="6" w:space="0" w:color="auto"/>
              <w:bottom w:val="nil" w:sz="6" w:space="0" w:color="auto"/>
              <w:right w:val="nil" w:sz="6" w:space="0" w:color="auto"/>
            </w:tcBorders>
          </w:tcPr>
          <w:p>
            <w:pPr/>
          </w:p>
        </w:tc>
        <w:tc>
          <w:tcPr>
            <w:tcW w:w="715" w:type="dxa"/>
            <w:tcBorders>
              <w:top w:val="nil" w:sz="6" w:space="0" w:color="auto"/>
              <w:left w:val="nil" w:sz="6" w:space="0" w:color="auto"/>
              <w:bottom w:val="nil" w:sz="6" w:space="0" w:color="auto"/>
              <w:right w:val="nil" w:sz="6" w:space="0" w:color="auto"/>
            </w:tcBorders>
          </w:tcPr>
          <w:p>
            <w:pPr>
              <w:pStyle w:val="TableParagraph"/>
              <w:spacing w:line="240" w:lineRule="auto" w:before="42"/>
              <w:ind w:left="77" w:right="0"/>
              <w:jc w:val="left"/>
              <w:rPr>
                <w:rFonts w:ascii="宋体" w:hAnsi="宋体" w:cs="宋体" w:eastAsia="宋体" w:hint="default"/>
                <w:sz w:val="18"/>
                <w:szCs w:val="18"/>
              </w:rPr>
            </w:pPr>
            <w:r>
              <w:rPr>
                <w:rFonts w:ascii="宋体" w:hAnsi="宋体" w:cs="宋体" w:eastAsia="宋体" w:hint="default"/>
                <w:sz w:val="18"/>
                <w:szCs w:val="18"/>
              </w:rPr>
              <w:t>府</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82"/>
              <w:jc w:val="right"/>
              <w:rPr>
                <w:rFonts w:ascii="Times New Roman" w:hAnsi="Times New Roman" w:cs="Times New Roman" w:eastAsia="Times New Roman" w:hint="default"/>
                <w:sz w:val="18"/>
                <w:szCs w:val="18"/>
              </w:rPr>
            </w:pPr>
            <w:r>
              <w:rPr>
                <w:rFonts w:ascii="Times New Roman"/>
                <w:spacing w:val="-1"/>
                <w:sz w:val="18"/>
              </w:rPr>
              <w:t>12,911,831.92</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33" w:right="0"/>
              <w:jc w:val="center"/>
              <w:rPr>
                <w:rFonts w:ascii="Times New Roman" w:hAnsi="Times New Roman" w:cs="Times New Roman" w:eastAsia="Times New Roman" w:hint="default"/>
                <w:sz w:val="18"/>
                <w:szCs w:val="18"/>
              </w:rPr>
            </w:pPr>
            <w:r>
              <w:rPr>
                <w:rFonts w:ascii="Times New Roman"/>
                <w:sz w:val="18"/>
              </w:rPr>
              <w:t>5,023,787.29</w:t>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82"/>
              <w:jc w:val="right"/>
              <w:rPr>
                <w:rFonts w:ascii="Times New Roman" w:hAnsi="Times New Roman" w:cs="Times New Roman" w:eastAsia="Times New Roman" w:hint="default"/>
                <w:sz w:val="18"/>
                <w:szCs w:val="18"/>
              </w:rPr>
            </w:pPr>
            <w:r>
              <w:rPr>
                <w:rFonts w:ascii="Times New Roman"/>
                <w:spacing w:val="-1"/>
                <w:sz w:val="18"/>
              </w:rPr>
              <w:t>8,906,600.00</w:t>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1,871,976.99</w:t>
            </w:r>
          </w:p>
        </w:tc>
      </w:tr>
      <w:tr>
        <w:trPr>
          <w:trHeight w:val="385" w:hRule="exact"/>
        </w:trPr>
        <w:tc>
          <w:tcPr>
            <w:tcW w:w="228"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2" w:right="0"/>
              <w:jc w:val="center"/>
              <w:rPr>
                <w:rFonts w:ascii="宋体" w:hAnsi="宋体" w:cs="宋体" w:eastAsia="宋体" w:hint="default"/>
                <w:sz w:val="18"/>
                <w:szCs w:val="18"/>
              </w:rPr>
            </w:pPr>
            <w:r>
              <w:rPr>
                <w:rFonts w:ascii="宋体" w:hAnsi="宋体" w:cs="宋体" w:eastAsia="宋体" w:hint="default"/>
                <w:sz w:val="18"/>
                <w:szCs w:val="18"/>
              </w:rPr>
              <w:t>其</w:t>
            </w:r>
          </w:p>
        </w:tc>
        <w:tc>
          <w:tcPr>
            <w:tcW w:w="270" w:type="dxa"/>
            <w:tcBorders>
              <w:top w:val="nil" w:sz="6" w:space="0" w:color="auto"/>
              <w:left w:val="nil" w:sz="6" w:space="0" w:color="auto"/>
              <w:bottom w:val="nil" w:sz="6" w:space="0" w:color="auto"/>
              <w:right w:val="nil" w:sz="6" w:space="0" w:color="auto"/>
            </w:tcBorders>
          </w:tcPr>
          <w:p>
            <w:pPr/>
          </w:p>
        </w:tc>
        <w:tc>
          <w:tcPr>
            <w:tcW w:w="715" w:type="dxa"/>
            <w:tcBorders>
              <w:top w:val="nil" w:sz="6" w:space="0" w:color="auto"/>
              <w:left w:val="nil" w:sz="6" w:space="0" w:color="auto"/>
              <w:bottom w:val="nil" w:sz="6" w:space="0" w:color="auto"/>
              <w:right w:val="nil" w:sz="6" w:space="0" w:color="auto"/>
            </w:tcBorders>
          </w:tcPr>
          <w:p>
            <w:pPr>
              <w:pStyle w:val="TableParagraph"/>
              <w:spacing w:line="240" w:lineRule="auto" w:before="42"/>
              <w:ind w:left="77" w:right="0"/>
              <w:jc w:val="left"/>
              <w:rPr>
                <w:rFonts w:ascii="宋体" w:hAnsi="宋体" w:cs="宋体" w:eastAsia="宋体" w:hint="default"/>
                <w:sz w:val="18"/>
                <w:szCs w:val="18"/>
              </w:rPr>
            </w:pPr>
            <w:r>
              <w:rPr>
                <w:rFonts w:ascii="宋体" w:hAnsi="宋体" w:cs="宋体" w:eastAsia="宋体" w:hint="default"/>
                <w:sz w:val="18"/>
                <w:szCs w:val="18"/>
              </w:rPr>
              <w:t>他</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82"/>
              <w:jc w:val="right"/>
              <w:rPr>
                <w:rFonts w:ascii="Times New Roman" w:hAnsi="Times New Roman" w:cs="Times New Roman" w:eastAsia="Times New Roman" w:hint="default"/>
                <w:sz w:val="18"/>
                <w:szCs w:val="18"/>
              </w:rPr>
            </w:pPr>
            <w:r>
              <w:rPr>
                <w:rFonts w:ascii="Times New Roman"/>
                <w:spacing w:val="-1"/>
                <w:sz w:val="18"/>
              </w:rPr>
              <w:t>22,827,995.21</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82"/>
              <w:ind w:left="43" w:right="0"/>
              <w:jc w:val="center"/>
              <w:rPr>
                <w:rFonts w:ascii="Times New Roman" w:hAnsi="Times New Roman" w:cs="Times New Roman" w:eastAsia="Times New Roman" w:hint="default"/>
                <w:sz w:val="18"/>
                <w:szCs w:val="18"/>
              </w:rPr>
            </w:pPr>
            <w:r>
              <w:rPr>
                <w:rFonts w:ascii="Times New Roman"/>
                <w:sz w:val="18"/>
              </w:rPr>
              <w:t>13,251,367.92</w:t>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82"/>
              <w:jc w:val="right"/>
              <w:rPr>
                <w:rFonts w:ascii="Times New Roman" w:hAnsi="Times New Roman" w:cs="Times New Roman" w:eastAsia="Times New Roman" w:hint="default"/>
                <w:sz w:val="18"/>
                <w:szCs w:val="18"/>
              </w:rPr>
            </w:pPr>
            <w:r>
              <w:rPr>
                <w:rFonts w:ascii="Times New Roman"/>
                <w:spacing w:val="-1"/>
                <w:sz w:val="18"/>
              </w:rPr>
              <w:t>24,456,059.53</w:t>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8,727,368.86</w:t>
            </w:r>
          </w:p>
        </w:tc>
      </w:tr>
      <w:tr>
        <w:trPr>
          <w:trHeight w:val="391" w:hRule="exact"/>
        </w:trPr>
        <w:tc>
          <w:tcPr>
            <w:tcW w:w="228" w:type="dxa"/>
            <w:tcBorders>
              <w:top w:val="nil" w:sz="6" w:space="0" w:color="auto"/>
              <w:left w:val="nil" w:sz="6" w:space="0" w:color="auto"/>
              <w:bottom w:val="single" w:sz="12" w:space="0" w:color="000000"/>
              <w:right w:val="nil" w:sz="6" w:space="0" w:color="auto"/>
            </w:tcBorders>
          </w:tcPr>
          <w:p>
            <w:pPr/>
          </w:p>
        </w:tc>
        <w:tc>
          <w:tcPr>
            <w:tcW w:w="270" w:type="dxa"/>
            <w:tcBorders>
              <w:top w:val="nil" w:sz="6" w:space="0" w:color="auto"/>
              <w:left w:val="nil" w:sz="6" w:space="0" w:color="auto"/>
              <w:bottom w:val="single" w:sz="12" w:space="0" w:color="000000"/>
              <w:right w:val="nil" w:sz="6" w:space="0" w:color="auto"/>
            </w:tcBorders>
          </w:tcPr>
          <w:p>
            <w:pPr>
              <w:pStyle w:val="TableParagraph"/>
              <w:spacing w:line="240" w:lineRule="auto" w:before="43"/>
              <w:ind w:left="12" w:right="0"/>
              <w:jc w:val="left"/>
              <w:rPr>
                <w:rFonts w:ascii="宋体" w:hAnsi="宋体" w:cs="宋体" w:eastAsia="宋体" w:hint="default"/>
                <w:sz w:val="18"/>
                <w:szCs w:val="18"/>
              </w:rPr>
            </w:pPr>
            <w:r>
              <w:rPr>
                <w:rFonts w:ascii="宋体" w:hAnsi="宋体" w:cs="宋体" w:eastAsia="宋体" w:hint="default"/>
                <w:sz w:val="18"/>
                <w:szCs w:val="18"/>
              </w:rPr>
              <w:t>合</w:t>
            </w:r>
          </w:p>
        </w:tc>
        <w:tc>
          <w:tcPr>
            <w:tcW w:w="715" w:type="dxa"/>
            <w:tcBorders>
              <w:top w:val="nil" w:sz="6" w:space="0" w:color="auto"/>
              <w:left w:val="nil" w:sz="6" w:space="0" w:color="auto"/>
              <w:bottom w:val="single" w:sz="12" w:space="0" w:color="000000"/>
              <w:right w:val="nil" w:sz="6" w:space="0" w:color="auto"/>
            </w:tcBorders>
          </w:tcPr>
          <w:p>
            <w:pPr>
              <w:pStyle w:val="TableParagraph"/>
              <w:spacing w:line="240" w:lineRule="auto" w:before="43"/>
              <w:ind w:left="192" w:right="0"/>
              <w:jc w:val="left"/>
              <w:rPr>
                <w:rFonts w:ascii="宋体" w:hAnsi="宋体" w:cs="宋体" w:eastAsia="宋体" w:hint="default"/>
                <w:sz w:val="18"/>
                <w:szCs w:val="18"/>
              </w:rPr>
            </w:pPr>
            <w:r>
              <w:rPr>
                <w:rFonts w:ascii="宋体" w:hAnsi="宋体" w:cs="宋体" w:eastAsia="宋体" w:hint="default"/>
                <w:sz w:val="18"/>
                <w:szCs w:val="18"/>
              </w:rPr>
              <w:t>计</w:t>
            </w:r>
          </w:p>
        </w:tc>
        <w:tc>
          <w:tcPr>
            <w:tcW w:w="1751"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281"/>
              <w:jc w:val="right"/>
              <w:rPr>
                <w:rFonts w:ascii="Times New Roman" w:hAnsi="Times New Roman" w:cs="Times New Roman" w:eastAsia="Times New Roman" w:hint="default"/>
                <w:sz w:val="18"/>
                <w:szCs w:val="18"/>
              </w:rPr>
            </w:pPr>
            <w:r>
              <w:rPr>
                <w:rFonts w:ascii="Times New Roman"/>
                <w:spacing w:val="-1"/>
                <w:sz w:val="18"/>
              </w:rPr>
              <w:t>299,336,529.77</w:t>
            </w:r>
          </w:p>
        </w:tc>
        <w:tc>
          <w:tcPr>
            <w:tcW w:w="1558"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left="44" w:right="0"/>
              <w:jc w:val="center"/>
              <w:rPr>
                <w:rFonts w:ascii="Times New Roman" w:hAnsi="Times New Roman" w:cs="Times New Roman" w:eastAsia="Times New Roman" w:hint="default"/>
                <w:sz w:val="18"/>
                <w:szCs w:val="18"/>
              </w:rPr>
            </w:pPr>
            <w:r>
              <w:rPr>
                <w:rFonts w:ascii="Times New Roman"/>
                <w:sz w:val="18"/>
              </w:rPr>
              <w:t>71,685,923.23</w:t>
            </w:r>
          </w:p>
        </w:tc>
        <w:tc>
          <w:tcPr>
            <w:tcW w:w="1648"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281"/>
              <w:jc w:val="right"/>
              <w:rPr>
                <w:rFonts w:ascii="Times New Roman" w:hAnsi="Times New Roman" w:cs="Times New Roman" w:eastAsia="Times New Roman" w:hint="default"/>
                <w:sz w:val="18"/>
                <w:szCs w:val="18"/>
              </w:rPr>
            </w:pPr>
            <w:r>
              <w:rPr>
                <w:rFonts w:ascii="Times New Roman"/>
                <w:spacing w:val="-1"/>
                <w:sz w:val="18"/>
              </w:rPr>
              <w:t>257,910,065.32</w:t>
            </w:r>
          </w:p>
        </w:tc>
        <w:tc>
          <w:tcPr>
            <w:tcW w:w="1354"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8"/>
                <w:szCs w:val="18"/>
              </w:rPr>
            </w:pPr>
            <w:r>
              <w:rPr>
                <w:rFonts w:ascii="Times New Roman"/>
                <w:spacing w:val="-1"/>
                <w:sz w:val="18"/>
              </w:rPr>
              <w:t>71,724,875.67</w:t>
            </w:r>
          </w:p>
        </w:tc>
      </w:tr>
    </w:tbl>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1"/>
          <w:szCs w:val="21"/>
        </w:rPr>
      </w:pPr>
    </w:p>
    <w:p>
      <w:pPr>
        <w:tabs>
          <w:tab w:pos="1396" w:val="left" w:leader="none"/>
        </w:tabs>
        <w:spacing w:before="35"/>
        <w:ind w:left="857" w:right="0" w:firstLine="0"/>
        <w:jc w:val="left"/>
        <w:rPr>
          <w:rFonts w:ascii="宋体" w:hAnsi="宋体" w:cs="宋体" w:eastAsia="宋体" w:hint="default"/>
          <w:sz w:val="21"/>
          <w:szCs w:val="21"/>
        </w:rPr>
      </w:pPr>
      <w:r>
        <w:rPr/>
        <w:pict>
          <v:group style="position:absolute;margin-left:146.639999pt;margin-top:42.098476pt;width:387.9pt;height:135pt;mso-position-horizontal-relative:page;mso-position-vertical-relative:paragraph;z-index:-704920" coordorigin="2933,842" coordsize="7758,2700">
            <v:group style="position:absolute;left:2959;top:857;width:7710;height:2" coordorigin="2959,857" coordsize="7710,2">
              <v:shape style="position:absolute;left:2959;top:857;width:7710;height:2" coordorigin="2959,857" coordsize="7710,0" path="m2959,857l10669,857e" filled="false" stroked="true" strokeweight="1.5pt" strokecolor="#000000">
                <v:path arrowok="t"/>
              </v:shape>
              <v:shape style="position:absolute;left:4612;top:853;width:2882;height:413" type="#_x0000_t75" stroked="false">
                <v:imagedata r:id="rId322" o:title=""/>
              </v:shape>
              <v:shape style="position:absolute;left:4612;top:1227;width:6079;height:422" type="#_x0000_t75" stroked="false">
                <v:imagedata r:id="rId323" o:title=""/>
              </v:shape>
              <v:shape style="position:absolute;left:2933;top:1611;width:7758;height:1931" type="#_x0000_t75" stroked="false">
                <v:imagedata r:id="rId324" o:title=""/>
              </v:shape>
              <v:shape style="position:absolute;left:5693;top:96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8713;top:96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group>
            <w10:wrap type="none"/>
          </v:group>
        </w:pict>
      </w: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主营业务（分产品）</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tbl>
      <w:tblPr>
        <w:tblW w:w="0" w:type="auto"/>
        <w:jc w:val="left"/>
        <w:tblInd w:w="1365" w:type="dxa"/>
        <w:tblLayout w:type="fixed"/>
        <w:tblCellMar>
          <w:top w:w="0" w:type="dxa"/>
          <w:left w:w="0" w:type="dxa"/>
          <w:bottom w:w="0" w:type="dxa"/>
          <w:right w:w="0" w:type="dxa"/>
        </w:tblCellMar>
        <w:tblLook w:val="01E0"/>
      </w:tblPr>
      <w:tblGrid>
        <w:gridCol w:w="1664"/>
        <w:gridCol w:w="1447"/>
        <w:gridCol w:w="1465"/>
        <w:gridCol w:w="1639"/>
        <w:gridCol w:w="1363"/>
      </w:tblGrid>
      <w:tr>
        <w:trPr>
          <w:trHeight w:val="490" w:hRule="exact"/>
        </w:trPr>
        <w:tc>
          <w:tcPr>
            <w:tcW w:w="1664" w:type="dxa"/>
            <w:tcBorders>
              <w:top w:val="nil" w:sz="6" w:space="0" w:color="auto"/>
              <w:left w:val="nil" w:sz="6" w:space="0" w:color="auto"/>
              <w:bottom w:val="nil" w:sz="6" w:space="0" w:color="auto"/>
              <w:right w:val="nil" w:sz="6" w:space="0" w:color="auto"/>
            </w:tcBorders>
          </w:tcPr>
          <w:p>
            <w:pPr>
              <w:pStyle w:val="TableParagraph"/>
              <w:tabs>
                <w:tab w:pos="948" w:val="left" w:leader="none"/>
              </w:tabs>
              <w:spacing w:line="180" w:lineRule="exact"/>
              <w:ind w:left="408"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294"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264"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310"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274"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477" w:hRule="exact"/>
        </w:trPr>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5"/>
                <w:sz w:val="18"/>
                <w:szCs w:val="18"/>
              </w:rPr>
              <w:t> </w:t>
            </w:r>
            <w:r>
              <w:rPr>
                <w:rFonts w:ascii="宋体" w:hAnsi="宋体" w:cs="宋体" w:eastAsia="宋体" w:hint="default"/>
                <w:spacing w:val="15"/>
                <w:sz w:val="18"/>
                <w:szCs w:val="18"/>
              </w:rPr>
              <w:t>软件</w:t>
            </w:r>
            <w:r>
              <w:rPr>
                <w:rFonts w:ascii="宋体" w:hAnsi="宋体" w:cs="宋体" w:eastAsia="宋体" w:hint="default"/>
                <w:spacing w:val="-62"/>
                <w:sz w:val="18"/>
                <w:szCs w:val="18"/>
              </w:rPr>
              <w:t> </w:t>
            </w:r>
            <w:r>
              <w:rPr>
                <w:rFonts w:ascii="宋体" w:hAnsi="宋体" w:cs="宋体" w:eastAsia="宋体" w:hint="default"/>
                <w:spacing w:val="15"/>
                <w:sz w:val="18"/>
                <w:szCs w:val="18"/>
              </w:rPr>
              <w:t>产品</w:t>
            </w:r>
            <w:r>
              <w:rPr>
                <w:rFonts w:ascii="宋体" w:hAnsi="宋体" w:cs="宋体" w:eastAsia="宋体" w:hint="default"/>
                <w:spacing w:val="-62"/>
                <w:sz w:val="18"/>
                <w:szCs w:val="18"/>
              </w:rPr>
              <w:t> </w:t>
            </w:r>
            <w:r>
              <w:rPr>
                <w:rFonts w:ascii="宋体" w:hAnsi="宋体" w:cs="宋体" w:eastAsia="宋体" w:hint="default"/>
                <w:spacing w:val="15"/>
                <w:sz w:val="18"/>
                <w:szCs w:val="18"/>
              </w:rPr>
              <w:t>开发</w:t>
            </w:r>
            <w:r>
              <w:rPr>
                <w:rFonts w:ascii="宋体" w:hAnsi="宋体" w:cs="宋体" w:eastAsia="宋体" w:hint="default"/>
                <w:spacing w:val="-60"/>
                <w:sz w:val="18"/>
                <w:szCs w:val="18"/>
              </w:rPr>
              <w:t> </w:t>
            </w:r>
            <w:r>
              <w:rPr>
                <w:rFonts w:ascii="宋体" w:hAnsi="宋体" w:cs="宋体" w:eastAsia="宋体" w:hint="default"/>
                <w:sz w:val="18"/>
                <w:szCs w:val="18"/>
              </w:rPr>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188"/>
              <w:jc w:val="right"/>
              <w:rPr>
                <w:rFonts w:ascii="Times New Roman" w:hAnsi="Times New Roman" w:cs="Times New Roman" w:eastAsia="Times New Roman" w:hint="default"/>
                <w:sz w:val="18"/>
                <w:szCs w:val="18"/>
              </w:rPr>
            </w:pPr>
            <w:r>
              <w:rPr>
                <w:rFonts w:ascii="Times New Roman"/>
                <w:spacing w:val="-1"/>
                <w:sz w:val="18"/>
              </w:rPr>
              <w:t>133,476,078.38</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237"/>
              <w:jc w:val="right"/>
              <w:rPr>
                <w:rFonts w:ascii="Times New Roman" w:hAnsi="Times New Roman" w:cs="Times New Roman" w:eastAsia="Times New Roman" w:hint="default"/>
                <w:sz w:val="18"/>
                <w:szCs w:val="18"/>
              </w:rPr>
            </w:pPr>
            <w:r>
              <w:rPr>
                <w:rFonts w:ascii="Times New Roman"/>
                <w:spacing w:val="-1"/>
                <w:sz w:val="18"/>
              </w:rPr>
              <w:t>6,770,102.42</w:t>
            </w: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left="239" w:right="0"/>
              <w:jc w:val="left"/>
              <w:rPr>
                <w:rFonts w:ascii="Times New Roman" w:hAnsi="Times New Roman" w:cs="Times New Roman" w:eastAsia="Times New Roman" w:hint="default"/>
                <w:sz w:val="18"/>
                <w:szCs w:val="18"/>
              </w:rPr>
            </w:pPr>
            <w:r>
              <w:rPr>
                <w:rFonts w:ascii="Times New Roman"/>
                <w:sz w:val="18"/>
              </w:rPr>
              <w:t>141,395,334.12</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7,218,050.92</w:t>
            </w:r>
          </w:p>
        </w:tc>
      </w:tr>
      <w:tr>
        <w:trPr>
          <w:trHeight w:val="282" w:hRule="exact"/>
        </w:trPr>
        <w:tc>
          <w:tcPr>
            <w:tcW w:w="1664"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与销售</w:t>
            </w:r>
          </w:p>
        </w:tc>
        <w:tc>
          <w:tcPr>
            <w:tcW w:w="1447"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c>
          <w:tcPr>
            <w:tcW w:w="1363" w:type="dxa"/>
            <w:tcBorders>
              <w:top w:val="nil" w:sz="6" w:space="0" w:color="auto"/>
              <w:left w:val="nil" w:sz="6" w:space="0" w:color="auto"/>
              <w:bottom w:val="nil" w:sz="6" w:space="0" w:color="auto"/>
              <w:right w:val="nil" w:sz="6" w:space="0" w:color="auto"/>
            </w:tcBorders>
          </w:tcPr>
          <w:p>
            <w:pPr/>
          </w:p>
        </w:tc>
      </w:tr>
      <w:tr>
        <w:trPr>
          <w:trHeight w:val="390" w:hRule="exact"/>
        </w:trPr>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技术服务</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88"/>
              <w:jc w:val="right"/>
              <w:rPr>
                <w:rFonts w:ascii="Times New Roman" w:hAnsi="Times New Roman" w:cs="Times New Roman" w:eastAsia="Times New Roman" w:hint="default"/>
                <w:sz w:val="18"/>
                <w:szCs w:val="18"/>
              </w:rPr>
            </w:pPr>
            <w:r>
              <w:rPr>
                <w:rFonts w:ascii="Times New Roman"/>
                <w:spacing w:val="-1"/>
                <w:sz w:val="18"/>
              </w:rPr>
              <w:t>102,199,212.14</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37"/>
              <w:jc w:val="right"/>
              <w:rPr>
                <w:rFonts w:ascii="Times New Roman" w:hAnsi="Times New Roman" w:cs="Times New Roman" w:eastAsia="Times New Roman" w:hint="default"/>
                <w:sz w:val="18"/>
                <w:szCs w:val="18"/>
              </w:rPr>
            </w:pPr>
            <w:r>
              <w:rPr>
                <w:rFonts w:ascii="Times New Roman"/>
                <w:spacing w:val="-1"/>
                <w:sz w:val="18"/>
              </w:rPr>
              <w:t>13,429,999.17</w:t>
            </w: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73"/>
              <w:jc w:val="right"/>
              <w:rPr>
                <w:rFonts w:ascii="Times New Roman" w:hAnsi="Times New Roman" w:cs="Times New Roman" w:eastAsia="Times New Roman" w:hint="default"/>
                <w:sz w:val="18"/>
                <w:szCs w:val="18"/>
              </w:rPr>
            </w:pPr>
            <w:r>
              <w:rPr>
                <w:rFonts w:ascii="Times New Roman"/>
                <w:spacing w:val="-1"/>
                <w:sz w:val="18"/>
              </w:rPr>
              <w:t>58,621,935.66</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Times New Roman" w:hAnsi="Times New Roman" w:cs="Times New Roman" w:eastAsia="Times New Roman" w:hint="default"/>
                <w:sz w:val="18"/>
                <w:szCs w:val="18"/>
              </w:rPr>
            </w:pPr>
            <w:r>
              <w:rPr>
                <w:rFonts w:ascii="Times New Roman"/>
                <w:spacing w:val="-1"/>
                <w:sz w:val="18"/>
              </w:rPr>
              <w:t>15,840,652.13</w:t>
            </w:r>
          </w:p>
        </w:tc>
      </w:tr>
      <w:tr>
        <w:trPr>
          <w:trHeight w:val="385" w:hRule="exact"/>
        </w:trPr>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系统集成</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89"/>
              <w:jc w:val="right"/>
              <w:rPr>
                <w:rFonts w:ascii="Times New Roman" w:hAnsi="Times New Roman" w:cs="Times New Roman" w:eastAsia="Times New Roman" w:hint="default"/>
                <w:sz w:val="18"/>
                <w:szCs w:val="18"/>
              </w:rPr>
            </w:pPr>
            <w:r>
              <w:rPr>
                <w:rFonts w:ascii="Times New Roman"/>
                <w:spacing w:val="-1"/>
                <w:sz w:val="18"/>
              </w:rPr>
              <w:t>63,661,239.25</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37"/>
              <w:jc w:val="right"/>
              <w:rPr>
                <w:rFonts w:ascii="Times New Roman" w:hAnsi="Times New Roman" w:cs="Times New Roman" w:eastAsia="Times New Roman" w:hint="default"/>
                <w:sz w:val="18"/>
                <w:szCs w:val="18"/>
              </w:rPr>
            </w:pPr>
            <w:r>
              <w:rPr>
                <w:rFonts w:ascii="Times New Roman"/>
                <w:spacing w:val="-1"/>
                <w:sz w:val="18"/>
              </w:rPr>
              <w:t>51,485,821.64</w:t>
            </w: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73"/>
              <w:jc w:val="right"/>
              <w:rPr>
                <w:rFonts w:ascii="Times New Roman" w:hAnsi="Times New Roman" w:cs="Times New Roman" w:eastAsia="Times New Roman" w:hint="default"/>
                <w:sz w:val="18"/>
                <w:szCs w:val="18"/>
              </w:rPr>
            </w:pPr>
            <w:r>
              <w:rPr>
                <w:rFonts w:ascii="Times New Roman"/>
                <w:spacing w:val="-1"/>
                <w:sz w:val="18"/>
              </w:rPr>
              <w:t>57,892,795.54</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48,666,172.62</w:t>
            </w:r>
          </w:p>
        </w:tc>
      </w:tr>
      <w:tr>
        <w:trPr>
          <w:trHeight w:val="389" w:hRule="exact"/>
        </w:trPr>
        <w:tc>
          <w:tcPr>
            <w:tcW w:w="1664" w:type="dxa"/>
            <w:tcBorders>
              <w:top w:val="nil" w:sz="6" w:space="0" w:color="auto"/>
              <w:left w:val="nil" w:sz="6" w:space="0" w:color="auto"/>
              <w:bottom w:val="single" w:sz="12" w:space="0" w:color="000000"/>
              <w:right w:val="nil" w:sz="6" w:space="0" w:color="auto"/>
            </w:tcBorders>
          </w:tcPr>
          <w:p>
            <w:pPr>
              <w:pStyle w:val="TableParagraph"/>
              <w:tabs>
                <w:tab w:pos="903" w:val="left" w:leader="none"/>
              </w:tabs>
              <w:spacing w:line="240" w:lineRule="auto" w:before="41"/>
              <w:ind w:left="453"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447"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88"/>
              <w:jc w:val="right"/>
              <w:rPr>
                <w:rFonts w:ascii="Times New Roman" w:hAnsi="Times New Roman" w:cs="Times New Roman" w:eastAsia="Times New Roman" w:hint="default"/>
                <w:sz w:val="18"/>
                <w:szCs w:val="18"/>
              </w:rPr>
            </w:pPr>
            <w:r>
              <w:rPr>
                <w:rFonts w:ascii="Times New Roman"/>
                <w:spacing w:val="-1"/>
                <w:sz w:val="18"/>
              </w:rPr>
              <w:t>299,336,529.77</w:t>
            </w:r>
          </w:p>
        </w:tc>
        <w:tc>
          <w:tcPr>
            <w:tcW w:w="1465"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237"/>
              <w:jc w:val="right"/>
              <w:rPr>
                <w:rFonts w:ascii="Times New Roman" w:hAnsi="Times New Roman" w:cs="Times New Roman" w:eastAsia="Times New Roman" w:hint="default"/>
                <w:sz w:val="18"/>
                <w:szCs w:val="18"/>
              </w:rPr>
            </w:pPr>
            <w:r>
              <w:rPr>
                <w:rFonts w:ascii="Times New Roman"/>
                <w:spacing w:val="-1"/>
                <w:sz w:val="18"/>
              </w:rPr>
              <w:t>71,685,923.23</w:t>
            </w:r>
          </w:p>
        </w:tc>
        <w:tc>
          <w:tcPr>
            <w:tcW w:w="1639"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left="239" w:right="0"/>
              <w:jc w:val="left"/>
              <w:rPr>
                <w:rFonts w:ascii="Times New Roman" w:hAnsi="Times New Roman" w:cs="Times New Roman" w:eastAsia="Times New Roman" w:hint="default"/>
                <w:sz w:val="18"/>
                <w:szCs w:val="18"/>
              </w:rPr>
            </w:pPr>
            <w:r>
              <w:rPr>
                <w:rFonts w:ascii="Times New Roman"/>
                <w:sz w:val="18"/>
              </w:rPr>
              <w:t>257,910,065.32</w:t>
            </w:r>
          </w:p>
        </w:tc>
        <w:tc>
          <w:tcPr>
            <w:tcW w:w="1363"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pacing w:val="-1"/>
                <w:sz w:val="18"/>
              </w:rPr>
              <w:t>71,724,875.67</w:t>
            </w:r>
          </w:p>
        </w:tc>
      </w:tr>
    </w:tbl>
    <w:p>
      <w:pPr>
        <w:spacing w:after="0" w:line="240" w:lineRule="auto"/>
        <w:jc w:val="right"/>
        <w:rPr>
          <w:rFonts w:ascii="Times New Roman" w:hAnsi="Times New Roman" w:cs="Times New Roman" w:eastAsia="Times New Roman" w:hint="default"/>
          <w:sz w:val="18"/>
          <w:szCs w:val="18"/>
        </w:rPr>
        <w:sectPr>
          <w:headerReference w:type="default" r:id="rId314"/>
          <w:footerReference w:type="default" r:id="rId315"/>
          <w:pgSz w:w="11910" w:h="16840"/>
          <w:pgMar w:header="1110" w:footer="982" w:top="1300" w:bottom="1180" w:left="1660" w:right="1100"/>
          <w:pgNumType w:start="156"/>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5"/>
          <w:szCs w:val="15"/>
        </w:rPr>
      </w:pPr>
    </w:p>
    <w:p>
      <w:pPr>
        <w:pStyle w:val="Heading2"/>
        <w:tabs>
          <w:tab w:pos="1396" w:val="left" w:leader="none"/>
        </w:tabs>
        <w:spacing w:line="240" w:lineRule="auto"/>
        <w:ind w:left="857" w:right="0"/>
        <w:jc w:val="left"/>
        <w:rPr>
          <w:b w:val="0"/>
          <w:bCs w:val="0"/>
        </w:rPr>
      </w:pPr>
      <w:r>
        <w:rPr/>
        <w:pict>
          <v:group style="position:absolute;margin-left:146.639999pt;margin-top:15.868484pt;width:383.65pt;height:161.9pt;mso-position-horizontal-relative:page;mso-position-vertical-relative:paragraph;z-index:-704896" coordorigin="2933,317" coordsize="7673,3238">
            <v:shape style="position:absolute;left:6415;top:317;width:2213;height:787" type="#_x0000_t75" stroked="false">
              <v:imagedata r:id="rId326" o:title=""/>
            </v:shape>
            <v:shape style="position:absolute;left:2933;top:1066;width:7673;height:2489" type="#_x0000_t75" stroked="false">
              <v:imagedata r:id="rId327" o:title=""/>
            </v:shape>
            <v:shape style="position:absolute;left:8580;top:3035;width:48;height:520" type="#_x0000_t75" stroked="false">
              <v:imagedata r:id="rId328" o:title=""/>
            </v:shape>
            <w10:wrap type="none"/>
          </v:group>
        </w:pict>
      </w:r>
      <w:r>
        <w:rPr>
          <w:rFonts w:ascii="Times New Roman" w:hAnsi="Times New Roman" w:cs="Times New Roman" w:eastAsia="Times New Roman" w:hint="default"/>
          <w:w w:val="95"/>
        </w:rPr>
        <w:t>4</w:t>
      </w:r>
      <w:r>
        <w:rPr>
          <w:w w:val="95"/>
        </w:rPr>
        <w:t>、</w:t>
        <w:tab/>
      </w:r>
      <w:r>
        <w:rPr/>
        <w:t>公司前五名客户的营业收入情况</w:t>
      </w:r>
      <w:r>
        <w:rPr>
          <w:b w:val="0"/>
          <w:bCs w:val="0"/>
        </w:rPr>
      </w:r>
    </w:p>
    <w:tbl>
      <w:tblPr>
        <w:tblW w:w="0" w:type="auto"/>
        <w:jc w:val="left"/>
        <w:tblInd w:w="1291" w:type="dxa"/>
        <w:tblLayout w:type="fixed"/>
        <w:tblCellMar>
          <w:top w:w="0" w:type="dxa"/>
          <w:left w:w="0" w:type="dxa"/>
          <w:bottom w:w="0" w:type="dxa"/>
          <w:right w:w="0" w:type="dxa"/>
        </w:tblCellMar>
        <w:tblLook w:val="01E0"/>
      </w:tblPr>
      <w:tblGrid>
        <w:gridCol w:w="3494"/>
        <w:gridCol w:w="2181"/>
        <w:gridCol w:w="1955"/>
      </w:tblGrid>
      <w:tr>
        <w:trPr>
          <w:trHeight w:val="800" w:hRule="exact"/>
        </w:trPr>
        <w:tc>
          <w:tcPr>
            <w:tcW w:w="3494"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4"/>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2181"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445" w:right="0"/>
              <w:jc w:val="left"/>
              <w:rPr>
                <w:rFonts w:ascii="宋体" w:hAnsi="宋体" w:cs="宋体" w:eastAsia="宋体" w:hint="default"/>
                <w:sz w:val="21"/>
                <w:szCs w:val="21"/>
              </w:rPr>
            </w:pPr>
            <w:r>
              <w:rPr>
                <w:rFonts w:ascii="宋体" w:hAnsi="宋体" w:cs="宋体" w:eastAsia="宋体" w:hint="default"/>
                <w:sz w:val="21"/>
                <w:szCs w:val="21"/>
              </w:rPr>
              <w:t>营业收入总额</w:t>
            </w:r>
          </w:p>
        </w:tc>
        <w:tc>
          <w:tcPr>
            <w:tcW w:w="1955" w:type="dxa"/>
            <w:tcBorders>
              <w:top w:val="single" w:sz="12" w:space="0" w:color="000000"/>
              <w:left w:val="nil" w:sz="6" w:space="0" w:color="auto"/>
              <w:bottom w:val="nil" w:sz="6" w:space="0" w:color="auto"/>
              <w:right w:val="nil" w:sz="6" w:space="0" w:color="auto"/>
            </w:tcBorders>
          </w:tcPr>
          <w:p>
            <w:pPr>
              <w:pStyle w:val="TableParagraph"/>
              <w:spacing w:line="326" w:lineRule="auto" w:before="16"/>
              <w:ind w:left="392" w:right="143" w:hanging="263"/>
              <w:jc w:val="left"/>
              <w:rPr>
                <w:rFonts w:ascii="Times New Roman" w:hAnsi="Times New Roman" w:cs="Times New Roman" w:eastAsia="Times New Roman" w:hint="default"/>
                <w:sz w:val="21"/>
                <w:szCs w:val="21"/>
              </w:rPr>
            </w:pPr>
            <w:r>
              <w:rPr>
                <w:rFonts w:ascii="宋体" w:hAnsi="宋体" w:cs="宋体" w:eastAsia="宋体" w:hint="default"/>
                <w:sz w:val="21"/>
                <w:szCs w:val="21"/>
              </w:rPr>
              <w:t>占公司全部营业收 入的比例</w:t>
            </w:r>
            <w:r>
              <w:rPr>
                <w:rFonts w:ascii="Times New Roman" w:hAnsi="Times New Roman" w:cs="Times New Roman" w:eastAsia="Times New Roman" w:hint="default"/>
                <w:sz w:val="21"/>
                <w:szCs w:val="21"/>
              </w:rPr>
              <w:t>(%)</w:t>
            </w:r>
          </w:p>
        </w:tc>
      </w:tr>
      <w:tr>
        <w:trPr>
          <w:trHeight w:val="463" w:hRule="exact"/>
        </w:trPr>
        <w:tc>
          <w:tcPr>
            <w:tcW w:w="349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8" w:right="0"/>
              <w:jc w:val="left"/>
              <w:rPr>
                <w:rFonts w:ascii="宋体" w:hAnsi="宋体" w:cs="宋体" w:eastAsia="宋体" w:hint="default"/>
                <w:sz w:val="21"/>
                <w:szCs w:val="21"/>
              </w:rPr>
            </w:pPr>
            <w:r>
              <w:rPr>
                <w:rFonts w:ascii="宋体" w:hAnsi="宋体" w:cs="宋体" w:eastAsia="宋体" w:hint="default"/>
                <w:sz w:val="21"/>
                <w:szCs w:val="21"/>
              </w:rPr>
              <w:t>中国移动通信集团重庆有限公司</w:t>
            </w:r>
          </w:p>
        </w:tc>
        <w:tc>
          <w:tcPr>
            <w:tcW w:w="218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28"/>
              <w:jc w:val="right"/>
              <w:rPr>
                <w:rFonts w:ascii="Times New Roman" w:hAnsi="Times New Roman" w:cs="Times New Roman" w:eastAsia="Times New Roman" w:hint="default"/>
                <w:sz w:val="21"/>
                <w:szCs w:val="21"/>
              </w:rPr>
            </w:pPr>
            <w:r>
              <w:rPr>
                <w:rFonts w:ascii="Times New Roman"/>
                <w:spacing w:val="-1"/>
                <w:sz w:val="21"/>
              </w:rPr>
              <w:t>40,772,895.08</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98"/>
              <w:jc w:val="right"/>
              <w:rPr>
                <w:rFonts w:ascii="Times New Roman" w:hAnsi="Times New Roman" w:cs="Times New Roman" w:eastAsia="Times New Roman" w:hint="default"/>
                <w:sz w:val="21"/>
                <w:szCs w:val="21"/>
              </w:rPr>
            </w:pPr>
            <w:r>
              <w:rPr>
                <w:rFonts w:ascii="Times New Roman"/>
                <w:spacing w:val="-1"/>
                <w:sz w:val="21"/>
              </w:rPr>
              <w:t>13.62</w:t>
            </w:r>
          </w:p>
        </w:tc>
      </w:tr>
      <w:tr>
        <w:trPr>
          <w:trHeight w:val="490" w:hRule="exact"/>
        </w:trPr>
        <w:tc>
          <w:tcPr>
            <w:tcW w:w="349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08" w:right="0"/>
              <w:jc w:val="left"/>
              <w:rPr>
                <w:rFonts w:ascii="宋体" w:hAnsi="宋体" w:cs="宋体" w:eastAsia="宋体" w:hint="default"/>
                <w:sz w:val="21"/>
                <w:szCs w:val="21"/>
              </w:rPr>
            </w:pPr>
            <w:r>
              <w:rPr>
                <w:rFonts w:ascii="宋体" w:hAnsi="宋体" w:cs="宋体" w:eastAsia="宋体" w:hint="default"/>
                <w:sz w:val="21"/>
                <w:szCs w:val="21"/>
              </w:rPr>
              <w:t>中国移动通信集团广东有限公司</w:t>
            </w:r>
          </w:p>
        </w:tc>
        <w:tc>
          <w:tcPr>
            <w:tcW w:w="2181"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28"/>
              <w:jc w:val="right"/>
              <w:rPr>
                <w:rFonts w:ascii="Times New Roman" w:hAnsi="Times New Roman" w:cs="Times New Roman" w:eastAsia="Times New Roman" w:hint="default"/>
                <w:sz w:val="21"/>
                <w:szCs w:val="21"/>
              </w:rPr>
            </w:pPr>
            <w:r>
              <w:rPr>
                <w:rFonts w:ascii="Times New Roman"/>
                <w:spacing w:val="-1"/>
                <w:sz w:val="21"/>
              </w:rPr>
              <w:t>19,079,734.00</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99"/>
              <w:jc w:val="right"/>
              <w:rPr>
                <w:rFonts w:ascii="Times New Roman" w:hAnsi="Times New Roman" w:cs="Times New Roman" w:eastAsia="Times New Roman" w:hint="default"/>
                <w:sz w:val="21"/>
                <w:szCs w:val="21"/>
              </w:rPr>
            </w:pPr>
            <w:r>
              <w:rPr>
                <w:rFonts w:ascii="Times New Roman"/>
                <w:spacing w:val="-1"/>
                <w:sz w:val="21"/>
              </w:rPr>
              <w:t>6.37</w:t>
            </w:r>
          </w:p>
        </w:tc>
      </w:tr>
      <w:tr>
        <w:trPr>
          <w:trHeight w:val="490" w:hRule="exact"/>
        </w:trPr>
        <w:tc>
          <w:tcPr>
            <w:tcW w:w="3494"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08" w:right="0"/>
              <w:jc w:val="left"/>
              <w:rPr>
                <w:rFonts w:ascii="宋体" w:hAnsi="宋体" w:cs="宋体" w:eastAsia="宋体" w:hint="default"/>
                <w:sz w:val="21"/>
                <w:szCs w:val="21"/>
              </w:rPr>
            </w:pPr>
            <w:r>
              <w:rPr>
                <w:rFonts w:ascii="宋体" w:hAnsi="宋体" w:cs="宋体" w:eastAsia="宋体" w:hint="default"/>
                <w:sz w:val="21"/>
                <w:szCs w:val="21"/>
              </w:rPr>
              <w:t>中国人寿保险股份有限公司</w:t>
            </w:r>
          </w:p>
        </w:tc>
        <w:tc>
          <w:tcPr>
            <w:tcW w:w="2181"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28"/>
              <w:jc w:val="right"/>
              <w:rPr>
                <w:rFonts w:ascii="Times New Roman" w:hAnsi="Times New Roman" w:cs="Times New Roman" w:eastAsia="Times New Roman" w:hint="default"/>
                <w:sz w:val="21"/>
                <w:szCs w:val="21"/>
              </w:rPr>
            </w:pPr>
            <w:r>
              <w:rPr>
                <w:rFonts w:ascii="Times New Roman"/>
                <w:spacing w:val="-1"/>
                <w:sz w:val="21"/>
              </w:rPr>
              <w:t>19,359,621.75</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99"/>
              <w:jc w:val="right"/>
              <w:rPr>
                <w:rFonts w:ascii="Times New Roman" w:hAnsi="Times New Roman" w:cs="Times New Roman" w:eastAsia="Times New Roman" w:hint="default"/>
                <w:sz w:val="21"/>
                <w:szCs w:val="21"/>
              </w:rPr>
            </w:pPr>
            <w:r>
              <w:rPr>
                <w:rFonts w:ascii="Times New Roman"/>
                <w:spacing w:val="-1"/>
                <w:sz w:val="21"/>
              </w:rPr>
              <w:t>6.47</w:t>
            </w:r>
          </w:p>
        </w:tc>
      </w:tr>
      <w:tr>
        <w:trPr>
          <w:trHeight w:val="490" w:hRule="exact"/>
        </w:trPr>
        <w:tc>
          <w:tcPr>
            <w:tcW w:w="349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08" w:right="0"/>
              <w:jc w:val="left"/>
              <w:rPr>
                <w:rFonts w:ascii="宋体" w:hAnsi="宋体" w:cs="宋体" w:eastAsia="宋体" w:hint="default"/>
                <w:sz w:val="21"/>
                <w:szCs w:val="21"/>
              </w:rPr>
            </w:pPr>
            <w:r>
              <w:rPr>
                <w:rFonts w:ascii="宋体" w:hAnsi="宋体" w:cs="宋体" w:eastAsia="宋体" w:hint="default"/>
                <w:sz w:val="21"/>
                <w:szCs w:val="21"/>
              </w:rPr>
              <w:t>中国移动通信集团北京有限公司</w:t>
            </w:r>
          </w:p>
        </w:tc>
        <w:tc>
          <w:tcPr>
            <w:tcW w:w="2181"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28"/>
              <w:jc w:val="right"/>
              <w:rPr>
                <w:rFonts w:ascii="Times New Roman" w:hAnsi="Times New Roman" w:cs="Times New Roman" w:eastAsia="Times New Roman" w:hint="default"/>
                <w:sz w:val="21"/>
                <w:szCs w:val="21"/>
              </w:rPr>
            </w:pPr>
            <w:r>
              <w:rPr>
                <w:rFonts w:ascii="Times New Roman"/>
                <w:spacing w:val="-1"/>
                <w:sz w:val="21"/>
              </w:rPr>
              <w:t>17,178,752.15</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99"/>
              <w:jc w:val="right"/>
              <w:rPr>
                <w:rFonts w:ascii="Times New Roman" w:hAnsi="Times New Roman" w:cs="Times New Roman" w:eastAsia="Times New Roman" w:hint="default"/>
                <w:sz w:val="21"/>
                <w:szCs w:val="21"/>
              </w:rPr>
            </w:pPr>
            <w:r>
              <w:rPr>
                <w:rFonts w:ascii="Times New Roman"/>
                <w:spacing w:val="-1"/>
                <w:sz w:val="21"/>
              </w:rPr>
              <w:t>5.74</w:t>
            </w:r>
          </w:p>
        </w:tc>
      </w:tr>
      <w:tr>
        <w:trPr>
          <w:trHeight w:val="496" w:hRule="exact"/>
        </w:trPr>
        <w:tc>
          <w:tcPr>
            <w:tcW w:w="3494"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left="108" w:right="0"/>
              <w:jc w:val="left"/>
              <w:rPr>
                <w:rFonts w:ascii="宋体" w:hAnsi="宋体" w:cs="宋体" w:eastAsia="宋体" w:hint="default"/>
                <w:sz w:val="21"/>
                <w:szCs w:val="21"/>
              </w:rPr>
            </w:pPr>
            <w:r>
              <w:rPr>
                <w:rFonts w:ascii="宋体" w:hAnsi="宋体" w:cs="宋体" w:eastAsia="宋体" w:hint="default"/>
                <w:sz w:val="21"/>
                <w:szCs w:val="21"/>
              </w:rPr>
              <w:t>中国移动通信集团河北有限公司</w:t>
            </w:r>
          </w:p>
        </w:tc>
        <w:tc>
          <w:tcPr>
            <w:tcW w:w="2181" w:type="dxa"/>
            <w:tcBorders>
              <w:top w:val="nil" w:sz="6" w:space="0" w:color="auto"/>
              <w:left w:val="nil" w:sz="6" w:space="0" w:color="auto"/>
              <w:bottom w:val="single" w:sz="12" w:space="0" w:color="000000"/>
              <w:right w:val="nil" w:sz="6" w:space="0" w:color="auto"/>
            </w:tcBorders>
          </w:tcPr>
          <w:p>
            <w:pPr>
              <w:pStyle w:val="TableParagraph"/>
              <w:spacing w:line="240" w:lineRule="auto" w:before="118"/>
              <w:ind w:right="127"/>
              <w:jc w:val="right"/>
              <w:rPr>
                <w:rFonts w:ascii="Times New Roman" w:hAnsi="Times New Roman" w:cs="Times New Roman" w:eastAsia="Times New Roman" w:hint="default"/>
                <w:sz w:val="21"/>
                <w:szCs w:val="21"/>
              </w:rPr>
            </w:pPr>
            <w:r>
              <w:rPr>
                <w:rFonts w:ascii="Times New Roman"/>
                <w:spacing w:val="-1"/>
                <w:sz w:val="21"/>
              </w:rPr>
              <w:t>15,309,119.28</w:t>
            </w:r>
          </w:p>
        </w:tc>
        <w:tc>
          <w:tcPr>
            <w:tcW w:w="1955" w:type="dxa"/>
            <w:tcBorders>
              <w:top w:val="nil" w:sz="6" w:space="0" w:color="auto"/>
              <w:left w:val="nil" w:sz="6" w:space="0" w:color="auto"/>
              <w:bottom w:val="single" w:sz="12" w:space="0" w:color="000000"/>
              <w:right w:val="nil" w:sz="6" w:space="0" w:color="auto"/>
            </w:tcBorders>
          </w:tcPr>
          <w:p>
            <w:pPr>
              <w:pStyle w:val="TableParagraph"/>
              <w:spacing w:line="240" w:lineRule="auto" w:before="118"/>
              <w:ind w:right="99"/>
              <w:jc w:val="right"/>
              <w:rPr>
                <w:rFonts w:ascii="Times New Roman" w:hAnsi="Times New Roman" w:cs="Times New Roman" w:eastAsia="Times New Roman" w:hint="default"/>
                <w:sz w:val="21"/>
                <w:szCs w:val="21"/>
              </w:rPr>
            </w:pPr>
            <w:r>
              <w:rPr>
                <w:rFonts w:ascii="Times New Roman"/>
                <w:spacing w:val="-2"/>
                <w:w w:val="95"/>
                <w:sz w:val="21"/>
              </w:rPr>
              <w:t>5.11</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3"/>
          <w:szCs w:val="23"/>
        </w:rPr>
      </w:pPr>
    </w:p>
    <w:p>
      <w:pPr>
        <w:tabs>
          <w:tab w:pos="853" w:val="left" w:leader="none"/>
        </w:tabs>
        <w:spacing w:before="35"/>
        <w:ind w:left="12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五</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投资收益</w:t>
      </w:r>
      <w:r>
        <w:rPr>
          <w:rFonts w:ascii="宋体" w:hAnsi="宋体" w:cs="宋体" w:eastAsia="宋体" w:hint="default"/>
          <w:sz w:val="21"/>
          <w:szCs w:val="21"/>
        </w:rPr>
      </w:r>
    </w:p>
    <w:p>
      <w:pPr>
        <w:tabs>
          <w:tab w:pos="1396" w:val="left" w:leader="none"/>
        </w:tabs>
        <w:spacing w:before="110"/>
        <w:ind w:left="857" w:right="0" w:firstLine="0"/>
        <w:jc w:val="left"/>
        <w:rPr>
          <w:rFonts w:ascii="宋体" w:hAnsi="宋体" w:cs="宋体" w:eastAsia="宋体" w:hint="default"/>
          <w:sz w:val="21"/>
          <w:szCs w:val="21"/>
        </w:rPr>
      </w:pPr>
      <w:r>
        <w:rPr/>
        <w:pict>
          <v:group style="position:absolute;margin-left:146.639999pt;margin-top:46.376465pt;width:383.65pt;height:77.350pt;mso-position-horizontal-relative:page;mso-position-vertical-relative:paragraph;z-index:-704872" coordorigin="2933,928" coordsize="7673,1547">
            <v:shape style="position:absolute;left:6454;top:928;width:2174;height:413" type="#_x0000_t75" stroked="false">
              <v:imagedata r:id="rId329" o:title=""/>
            </v:shape>
            <v:shape style="position:absolute;left:2933;top:1302;width:7673;height:1172" type="#_x0000_t75" stroked="false">
              <v:imagedata r:id="rId330" o:title=""/>
            </v:shape>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投资收益明细</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1291" w:type="dxa"/>
        <w:tblLayout w:type="fixed"/>
        <w:tblCellMar>
          <w:top w:w="0" w:type="dxa"/>
          <w:left w:w="0" w:type="dxa"/>
          <w:bottom w:w="0" w:type="dxa"/>
          <w:right w:w="0" w:type="dxa"/>
        </w:tblCellMar>
        <w:tblLook w:val="01E0"/>
      </w:tblPr>
      <w:tblGrid>
        <w:gridCol w:w="3608"/>
        <w:gridCol w:w="2276"/>
        <w:gridCol w:w="1745"/>
      </w:tblGrid>
      <w:tr>
        <w:trPr>
          <w:trHeight w:val="393" w:hRule="exact"/>
        </w:trPr>
        <w:tc>
          <w:tcPr>
            <w:tcW w:w="3608"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right="80"/>
              <w:jc w:val="center"/>
              <w:rPr>
                <w:rFonts w:ascii="宋体" w:hAnsi="宋体" w:cs="宋体" w:eastAsia="宋体" w:hint="default"/>
                <w:sz w:val="21"/>
                <w:szCs w:val="21"/>
              </w:rPr>
            </w:pPr>
            <w:r>
              <w:rPr>
                <w:rFonts w:ascii="宋体" w:hAnsi="宋体" w:cs="宋体" w:eastAsia="宋体" w:hint="default"/>
                <w:sz w:val="21"/>
                <w:szCs w:val="21"/>
              </w:rPr>
              <w:t>项目</w:t>
            </w:r>
          </w:p>
        </w:tc>
        <w:tc>
          <w:tcPr>
            <w:tcW w:w="2276"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560"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745"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339"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90" w:hRule="exact"/>
        </w:trPr>
        <w:tc>
          <w:tcPr>
            <w:tcW w:w="36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宋体" w:hAnsi="宋体" w:cs="宋体" w:eastAsia="宋体" w:hint="default"/>
                <w:sz w:val="21"/>
                <w:szCs w:val="21"/>
              </w:rPr>
              <w:t>成本法核算的长期股权投资收益</w:t>
            </w:r>
          </w:p>
        </w:tc>
        <w:tc>
          <w:tcPr>
            <w:tcW w:w="2276" w:type="dxa"/>
            <w:tcBorders>
              <w:top w:val="nil" w:sz="6" w:space="0" w:color="auto"/>
              <w:left w:val="nil" w:sz="6" w:space="0" w:color="auto"/>
              <w:bottom w:val="nil" w:sz="6" w:space="0" w:color="auto"/>
              <w:right w:val="nil" w:sz="6" w:space="0" w:color="auto"/>
            </w:tcBorders>
          </w:tcPr>
          <w:p>
            <w:pP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98"/>
              <w:jc w:val="right"/>
              <w:rPr>
                <w:rFonts w:ascii="Times New Roman" w:hAnsi="Times New Roman" w:cs="Times New Roman" w:eastAsia="Times New Roman" w:hint="default"/>
                <w:sz w:val="21"/>
                <w:szCs w:val="21"/>
              </w:rPr>
            </w:pPr>
            <w:r>
              <w:rPr>
                <w:rFonts w:ascii="Times New Roman"/>
                <w:spacing w:val="-1"/>
                <w:sz w:val="21"/>
              </w:rPr>
              <w:t>50,000,000.00</w:t>
            </w:r>
          </w:p>
        </w:tc>
      </w:tr>
      <w:tr>
        <w:trPr>
          <w:trHeight w:val="384" w:hRule="exact"/>
        </w:trPr>
        <w:tc>
          <w:tcPr>
            <w:tcW w:w="3608"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权益法核算的长期股权投资收益</w:t>
            </w:r>
          </w:p>
        </w:tc>
        <w:tc>
          <w:tcPr>
            <w:tcW w:w="227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7"/>
              <w:jc w:val="right"/>
              <w:rPr>
                <w:rFonts w:ascii="Times New Roman" w:hAnsi="Times New Roman" w:cs="Times New Roman" w:eastAsia="Times New Roman" w:hint="default"/>
                <w:sz w:val="21"/>
                <w:szCs w:val="21"/>
              </w:rPr>
            </w:pPr>
            <w:r>
              <w:rPr>
                <w:rFonts w:ascii="Times New Roman"/>
                <w:spacing w:val="-1"/>
                <w:sz w:val="21"/>
              </w:rPr>
              <w:t>3,530,842.18</w:t>
            </w:r>
          </w:p>
        </w:tc>
        <w:tc>
          <w:tcPr>
            <w:tcW w:w="1745" w:type="dxa"/>
            <w:tcBorders>
              <w:top w:val="nil" w:sz="6" w:space="0" w:color="auto"/>
              <w:left w:val="nil" w:sz="6" w:space="0" w:color="auto"/>
              <w:bottom w:val="nil" w:sz="6" w:space="0" w:color="auto"/>
              <w:right w:val="nil" w:sz="6" w:space="0" w:color="auto"/>
            </w:tcBorders>
          </w:tcPr>
          <w:p>
            <w:pPr/>
          </w:p>
        </w:tc>
      </w:tr>
      <w:tr>
        <w:trPr>
          <w:trHeight w:val="391" w:hRule="exact"/>
        </w:trPr>
        <w:tc>
          <w:tcPr>
            <w:tcW w:w="3608" w:type="dxa"/>
            <w:tcBorders>
              <w:top w:val="nil" w:sz="6" w:space="0" w:color="auto"/>
              <w:left w:val="nil" w:sz="6" w:space="0" w:color="auto"/>
              <w:bottom w:val="single" w:sz="12" w:space="0" w:color="000000"/>
              <w:right w:val="nil" w:sz="6" w:space="0" w:color="auto"/>
            </w:tcBorders>
          </w:tcPr>
          <w:p>
            <w:pPr>
              <w:pStyle w:val="TableParagraph"/>
              <w:tabs>
                <w:tab w:pos="629" w:val="left" w:leader="none"/>
              </w:tabs>
              <w:spacing w:line="240" w:lineRule="auto" w:before="16"/>
              <w:ind w:right="8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276"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337"/>
              <w:jc w:val="right"/>
              <w:rPr>
                <w:rFonts w:ascii="Times New Roman" w:hAnsi="Times New Roman" w:cs="Times New Roman" w:eastAsia="Times New Roman" w:hint="default"/>
                <w:sz w:val="21"/>
                <w:szCs w:val="21"/>
              </w:rPr>
            </w:pPr>
            <w:r>
              <w:rPr>
                <w:rFonts w:ascii="Times New Roman"/>
                <w:spacing w:val="-1"/>
                <w:sz w:val="21"/>
              </w:rPr>
              <w:t>3,530,842.18</w:t>
            </w:r>
          </w:p>
        </w:tc>
        <w:tc>
          <w:tcPr>
            <w:tcW w:w="1745"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1"/>
                <w:sz w:val="21"/>
              </w:rPr>
              <w:t>50,000,000.00</w:t>
            </w:r>
          </w:p>
        </w:tc>
      </w:tr>
    </w:tbl>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2"/>
          <w:szCs w:val="22"/>
        </w:rPr>
      </w:pPr>
    </w:p>
    <w:p>
      <w:pPr>
        <w:spacing w:before="35"/>
        <w:ind w:left="857" w:right="0" w:firstLine="0"/>
        <w:jc w:val="left"/>
        <w:rPr>
          <w:rFonts w:ascii="宋体" w:hAnsi="宋体" w:cs="宋体" w:eastAsia="宋体" w:hint="default"/>
          <w:sz w:val="21"/>
          <w:szCs w:val="21"/>
        </w:rPr>
      </w:pPr>
      <w:r>
        <w:rPr/>
        <w:pict>
          <v:group style="position:absolute;margin-left:146.639999pt;margin-top:42.630981pt;width:382.7pt;height:77.350pt;mso-position-horizontal-relative:page;mso-position-vertical-relative:paragraph;z-index:-704848" coordorigin="2933,853" coordsize="7654,1547">
            <v:shape style="position:absolute;left:2933;top:853;width:7654;height:1547" type="#_x0000_t75" stroked="false">
              <v:imagedata r:id="rId331" o:title=""/>
            </v:shape>
            <v:shape style="position:absolute;left:6830;top:1611;width:48;height:788" type="#_x0000_t75" stroked="false">
              <v:imagedata r:id="rId332" o:title=""/>
            </v:shape>
            <v:shape style="position:absolute;left:8542;top:1611;width:48;height:788" type="#_x0000_t75" stroked="false">
              <v:imagedata r:id="rId332" o:title=""/>
            </v:shape>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、按成本法核算的长期股权投资收益</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1291" w:type="dxa"/>
        <w:tblLayout w:type="fixed"/>
        <w:tblCellMar>
          <w:top w:w="0" w:type="dxa"/>
          <w:left w:w="0" w:type="dxa"/>
          <w:bottom w:w="0" w:type="dxa"/>
          <w:right w:w="0" w:type="dxa"/>
        </w:tblCellMar>
        <w:tblLook w:val="01E0"/>
      </w:tblPr>
      <w:tblGrid>
        <w:gridCol w:w="2563"/>
        <w:gridCol w:w="1425"/>
        <w:gridCol w:w="1626"/>
        <w:gridCol w:w="2015"/>
      </w:tblGrid>
      <w:tr>
        <w:trPr>
          <w:trHeight w:val="769" w:hRule="exact"/>
        </w:trPr>
        <w:tc>
          <w:tcPr>
            <w:tcW w:w="2563"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817"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425"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295"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626"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409" w:right="0"/>
              <w:jc w:val="left"/>
              <w:rPr>
                <w:rFonts w:ascii="宋体" w:hAnsi="宋体" w:cs="宋体" w:eastAsia="宋体" w:hint="default"/>
                <w:sz w:val="18"/>
                <w:szCs w:val="18"/>
              </w:rPr>
            </w:pPr>
            <w:r>
              <w:rPr>
                <w:rFonts w:ascii="宋体" w:hAnsi="宋体" w:cs="宋体" w:eastAsia="宋体" w:hint="default"/>
                <w:sz w:val="18"/>
                <w:szCs w:val="18"/>
              </w:rPr>
              <w:t>上期金额</w:t>
            </w:r>
          </w:p>
        </w:tc>
        <w:tc>
          <w:tcPr>
            <w:tcW w:w="2015" w:type="dxa"/>
            <w:tcBorders>
              <w:top w:val="single" w:sz="12" w:space="0" w:color="000000"/>
              <w:left w:val="nil" w:sz="6" w:space="0" w:color="auto"/>
              <w:bottom w:val="nil" w:sz="6" w:space="0" w:color="auto"/>
              <w:right w:val="nil" w:sz="6" w:space="0" w:color="auto"/>
            </w:tcBorders>
          </w:tcPr>
          <w:p>
            <w:pPr>
              <w:pStyle w:val="TableParagraph"/>
              <w:spacing w:line="381" w:lineRule="auto" w:before="41"/>
              <w:ind w:left="830" w:right="102" w:hanging="720"/>
              <w:jc w:val="left"/>
              <w:rPr>
                <w:rFonts w:ascii="宋体" w:hAnsi="宋体" w:cs="宋体" w:eastAsia="宋体" w:hint="default"/>
                <w:sz w:val="18"/>
                <w:szCs w:val="18"/>
              </w:rPr>
            </w:pPr>
            <w:r>
              <w:rPr>
                <w:rFonts w:ascii="宋体" w:hAnsi="宋体" w:cs="宋体" w:eastAsia="宋体" w:hint="default"/>
                <w:sz w:val="18"/>
                <w:szCs w:val="18"/>
              </w:rPr>
              <w:t>本期比上期增减变动的 原因</w:t>
            </w:r>
          </w:p>
        </w:tc>
      </w:tr>
      <w:tr>
        <w:trPr>
          <w:trHeight w:val="770" w:hRule="exact"/>
        </w:trPr>
        <w:tc>
          <w:tcPr>
            <w:tcW w:w="2563"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北京新媒传信科技有限公司</w:t>
            </w:r>
          </w:p>
        </w:tc>
        <w:tc>
          <w:tcPr>
            <w:tcW w:w="1425" w:type="dxa"/>
            <w:tcBorders>
              <w:top w:val="nil" w:sz="6" w:space="0" w:color="auto"/>
              <w:left w:val="nil" w:sz="6" w:space="0" w:color="auto"/>
              <w:bottom w:val="single" w:sz="12" w:space="0" w:color="000000"/>
              <w:right w:val="nil" w:sz="6" w:space="0" w:color="auto"/>
            </w:tcBorders>
          </w:tcPr>
          <w:p>
            <w:pPr/>
          </w:p>
        </w:tc>
        <w:tc>
          <w:tcPr>
            <w:tcW w:w="1626"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left="483" w:right="0"/>
              <w:jc w:val="left"/>
              <w:rPr>
                <w:rFonts w:ascii="Times New Roman" w:hAnsi="Times New Roman" w:cs="Times New Roman" w:eastAsia="Times New Roman" w:hint="default"/>
                <w:sz w:val="18"/>
                <w:szCs w:val="18"/>
              </w:rPr>
            </w:pPr>
            <w:r>
              <w:rPr>
                <w:rFonts w:ascii="Times New Roman"/>
                <w:sz w:val="18"/>
              </w:rPr>
              <w:t>50,000,000.00</w:t>
            </w:r>
          </w:p>
        </w:tc>
        <w:tc>
          <w:tcPr>
            <w:tcW w:w="2015" w:type="dxa"/>
            <w:tcBorders>
              <w:top w:val="nil" w:sz="6" w:space="0" w:color="auto"/>
              <w:left w:val="nil" w:sz="6" w:space="0" w:color="auto"/>
              <w:bottom w:val="single" w:sz="12" w:space="0" w:color="000000"/>
              <w:right w:val="nil" w:sz="6" w:space="0" w:color="auto"/>
            </w:tcBorders>
          </w:tcPr>
          <w:p>
            <w:pPr>
              <w:pStyle w:val="TableParagraph"/>
              <w:spacing w:line="381" w:lineRule="auto" w:before="46"/>
              <w:ind w:left="107" w:right="96"/>
              <w:jc w:val="left"/>
              <w:rPr>
                <w:rFonts w:ascii="宋体" w:hAnsi="宋体" w:cs="宋体" w:eastAsia="宋体" w:hint="default"/>
                <w:sz w:val="18"/>
                <w:szCs w:val="18"/>
              </w:rPr>
            </w:pPr>
            <w:r>
              <w:rPr>
                <w:rFonts w:ascii="宋体" w:hAnsi="宋体" w:cs="宋体" w:eastAsia="宋体" w:hint="default"/>
                <w:sz w:val="18"/>
                <w:szCs w:val="18"/>
              </w:rPr>
              <w:t>系公司全资子公司，本</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期未进行利润分配</w:t>
            </w:r>
          </w:p>
        </w:tc>
      </w:tr>
    </w:tbl>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2"/>
          <w:szCs w:val="22"/>
        </w:rPr>
      </w:pPr>
    </w:p>
    <w:p>
      <w:pPr>
        <w:spacing w:before="35"/>
        <w:ind w:left="857" w:right="0" w:firstLine="0"/>
        <w:jc w:val="left"/>
        <w:rPr>
          <w:rFonts w:ascii="宋体" w:hAnsi="宋体" w:cs="宋体" w:eastAsia="宋体" w:hint="default"/>
          <w:sz w:val="21"/>
          <w:szCs w:val="21"/>
        </w:rPr>
      </w:pPr>
      <w:r>
        <w:rPr/>
        <w:pict>
          <v:group style="position:absolute;margin-left:146.639999pt;margin-top:17.670959pt;width:383.1pt;height:77.3pt;mso-position-horizontal-relative:page;mso-position-vertical-relative:paragraph;z-index:-704824" coordorigin="2933,353" coordsize="7662,1546">
            <v:shape style="position:absolute;left:2933;top:353;width:7662;height:1546" type="#_x0000_t75" stroked="false">
              <v:imagedata r:id="rId333" o:title=""/>
            </v:shape>
            <v:shape style="position:absolute;left:7316;top:1112;width:48;height:787" type="#_x0000_t75" stroked="false">
              <v:imagedata r:id="rId334" o:title=""/>
            </v:shape>
            <v:shape style="position:absolute;left:8531;top:1112;width:48;height:787" type="#_x0000_t75" stroked="false">
              <v:imagedata r:id="rId334" o:title=""/>
            </v:shape>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、按权益法核算的长期股权投资收益</w:t>
      </w:r>
      <w:r>
        <w:rPr>
          <w:rFonts w:ascii="宋体" w:hAnsi="宋体" w:cs="宋体" w:eastAsia="宋体" w:hint="default"/>
          <w:sz w:val="21"/>
          <w:szCs w:val="21"/>
        </w:rPr>
      </w:r>
    </w:p>
    <w:tbl>
      <w:tblPr>
        <w:tblW w:w="0" w:type="auto"/>
        <w:jc w:val="left"/>
        <w:tblInd w:w="1291" w:type="dxa"/>
        <w:tblLayout w:type="fixed"/>
        <w:tblCellMar>
          <w:top w:w="0" w:type="dxa"/>
          <w:left w:w="0" w:type="dxa"/>
          <w:bottom w:w="0" w:type="dxa"/>
          <w:right w:w="0" w:type="dxa"/>
        </w:tblCellMar>
        <w:tblLook w:val="01E0"/>
      </w:tblPr>
      <w:tblGrid>
        <w:gridCol w:w="2839"/>
        <w:gridCol w:w="1589"/>
        <w:gridCol w:w="1169"/>
        <w:gridCol w:w="2032"/>
      </w:tblGrid>
      <w:tr>
        <w:trPr>
          <w:trHeight w:val="768" w:hRule="exact"/>
        </w:trPr>
        <w:tc>
          <w:tcPr>
            <w:tcW w:w="2839"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812" w:right="0"/>
              <w:jc w:val="left"/>
              <w:rPr>
                <w:rFonts w:ascii="宋体" w:hAnsi="宋体" w:cs="宋体" w:eastAsia="宋体" w:hint="default"/>
                <w:sz w:val="21"/>
                <w:szCs w:val="21"/>
              </w:rPr>
            </w:pPr>
            <w:r>
              <w:rPr>
                <w:rFonts w:ascii="宋体" w:hAnsi="宋体" w:cs="宋体" w:eastAsia="宋体" w:hint="default"/>
                <w:sz w:val="21"/>
                <w:szCs w:val="21"/>
              </w:rPr>
              <w:t>被投资单位</w:t>
            </w:r>
          </w:p>
        </w:tc>
        <w:tc>
          <w:tcPr>
            <w:tcW w:w="1589"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272"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169"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47" w:right="0"/>
              <w:jc w:val="left"/>
              <w:rPr>
                <w:rFonts w:ascii="宋体" w:hAnsi="宋体" w:cs="宋体" w:eastAsia="宋体" w:hint="default"/>
                <w:sz w:val="21"/>
                <w:szCs w:val="21"/>
              </w:rPr>
            </w:pPr>
            <w:r>
              <w:rPr>
                <w:rFonts w:ascii="宋体" w:hAnsi="宋体" w:cs="宋体" w:eastAsia="宋体" w:hint="default"/>
                <w:sz w:val="21"/>
                <w:szCs w:val="21"/>
              </w:rPr>
              <w:t>上期金额</w:t>
            </w:r>
          </w:p>
        </w:tc>
        <w:tc>
          <w:tcPr>
            <w:tcW w:w="2032" w:type="dxa"/>
            <w:tcBorders>
              <w:top w:val="single" w:sz="12" w:space="0" w:color="000000"/>
              <w:left w:val="nil" w:sz="6" w:space="0" w:color="auto"/>
              <w:bottom w:val="nil" w:sz="6" w:space="0" w:color="auto"/>
              <w:right w:val="nil" w:sz="6" w:space="0" w:color="auto"/>
            </w:tcBorders>
          </w:tcPr>
          <w:p>
            <w:pPr>
              <w:pStyle w:val="TableParagraph"/>
              <w:spacing w:line="326" w:lineRule="auto" w:before="16"/>
              <w:ind w:left="601" w:right="168" w:hanging="420"/>
              <w:jc w:val="left"/>
              <w:rPr>
                <w:rFonts w:ascii="宋体" w:hAnsi="宋体" w:cs="宋体" w:eastAsia="宋体" w:hint="default"/>
                <w:sz w:val="21"/>
                <w:szCs w:val="21"/>
              </w:rPr>
            </w:pPr>
            <w:r>
              <w:rPr>
                <w:rFonts w:ascii="宋体" w:hAnsi="宋体" w:cs="宋体" w:eastAsia="宋体" w:hint="default"/>
                <w:sz w:val="21"/>
                <w:szCs w:val="21"/>
              </w:rPr>
              <w:t>本期比上期增减变 动的原因</w:t>
            </w:r>
          </w:p>
        </w:tc>
      </w:tr>
      <w:tr>
        <w:trPr>
          <w:trHeight w:val="770" w:hRule="exact"/>
        </w:trPr>
        <w:tc>
          <w:tcPr>
            <w:tcW w:w="2839" w:type="dxa"/>
            <w:tcBorders>
              <w:top w:val="nil" w:sz="6" w:space="0" w:color="auto"/>
              <w:left w:val="nil" w:sz="6" w:space="0" w:color="auto"/>
              <w:bottom w:val="single" w:sz="12" w:space="0" w:color="000000"/>
              <w:right w:val="nil" w:sz="6" w:space="0" w:color="auto"/>
            </w:tcBorders>
          </w:tcPr>
          <w:p>
            <w:pPr>
              <w:pStyle w:val="TableParagraph"/>
              <w:spacing w:line="326" w:lineRule="auto" w:before="22"/>
              <w:ind w:left="108" w:right="270"/>
              <w:jc w:val="left"/>
              <w:rPr>
                <w:rFonts w:ascii="宋体" w:hAnsi="宋体" w:cs="宋体" w:eastAsia="宋体" w:hint="default"/>
                <w:sz w:val="21"/>
                <w:szCs w:val="21"/>
              </w:rPr>
            </w:pPr>
            <w:r>
              <w:rPr>
                <w:rFonts w:ascii="宋体" w:hAnsi="宋体" w:cs="宋体" w:eastAsia="宋体" w:hint="default"/>
                <w:spacing w:val="13"/>
                <w:sz w:val="21"/>
                <w:szCs w:val="21"/>
              </w:rPr>
              <w:t>大连华信计算机技术股份</w:t>
            </w:r>
            <w:r>
              <w:rPr>
                <w:rFonts w:ascii="宋体" w:hAnsi="宋体" w:cs="宋体" w:eastAsia="宋体" w:hint="default"/>
                <w:sz w:val="21"/>
                <w:szCs w:val="21"/>
              </w:rPr>
              <w:t> 有限公司</w:t>
            </w:r>
          </w:p>
        </w:tc>
        <w:tc>
          <w:tcPr>
            <w:tcW w:w="1589"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left="338" w:right="0"/>
              <w:jc w:val="left"/>
              <w:rPr>
                <w:rFonts w:ascii="Times New Roman" w:hAnsi="Times New Roman" w:cs="Times New Roman" w:eastAsia="Times New Roman" w:hint="default"/>
                <w:sz w:val="21"/>
                <w:szCs w:val="21"/>
              </w:rPr>
            </w:pPr>
            <w:r>
              <w:rPr>
                <w:rFonts w:ascii="Times New Roman"/>
                <w:sz w:val="21"/>
              </w:rPr>
              <w:t>3,530,842.18</w:t>
            </w:r>
          </w:p>
        </w:tc>
        <w:tc>
          <w:tcPr>
            <w:tcW w:w="1169" w:type="dxa"/>
            <w:tcBorders>
              <w:top w:val="nil" w:sz="6" w:space="0" w:color="auto"/>
              <w:left w:val="nil" w:sz="6" w:space="0" w:color="auto"/>
              <w:bottom w:val="single" w:sz="12" w:space="0" w:color="000000"/>
              <w:right w:val="nil" w:sz="6" w:space="0" w:color="auto"/>
            </w:tcBorders>
          </w:tcPr>
          <w:p>
            <w:pPr/>
          </w:p>
        </w:tc>
        <w:tc>
          <w:tcPr>
            <w:tcW w:w="2032" w:type="dxa"/>
            <w:tcBorders>
              <w:top w:val="nil" w:sz="6" w:space="0" w:color="auto"/>
              <w:left w:val="nil" w:sz="6" w:space="0" w:color="auto"/>
              <w:bottom w:val="single" w:sz="12" w:space="0" w:color="000000"/>
              <w:right w:val="nil" w:sz="6" w:space="0" w:color="auto"/>
            </w:tcBorders>
          </w:tcPr>
          <w:p>
            <w:pPr>
              <w:pStyle w:val="TableParagraph"/>
              <w:spacing w:line="326" w:lineRule="auto" w:before="22"/>
              <w:ind w:left="113" w:right="236"/>
              <w:jc w:val="left"/>
              <w:rPr>
                <w:rFonts w:ascii="宋体" w:hAnsi="宋体" w:cs="宋体" w:eastAsia="宋体" w:hint="default"/>
                <w:sz w:val="21"/>
                <w:szCs w:val="21"/>
              </w:rPr>
            </w:pPr>
            <w:r>
              <w:rPr>
                <w:rFonts w:ascii="宋体" w:hAnsi="宋体" w:cs="宋体" w:eastAsia="宋体" w:hint="default"/>
                <w:sz w:val="21"/>
                <w:szCs w:val="21"/>
              </w:rPr>
              <w:t>本年新增投资项目 产生收益</w:t>
            </w:r>
          </w:p>
        </w:tc>
      </w:tr>
    </w:tbl>
    <w:p>
      <w:pPr>
        <w:spacing w:after="0" w:line="326" w:lineRule="auto"/>
        <w:jc w:val="left"/>
        <w:rPr>
          <w:rFonts w:ascii="宋体" w:hAnsi="宋体" w:cs="宋体" w:eastAsia="宋体" w:hint="default"/>
          <w:sz w:val="21"/>
          <w:szCs w:val="21"/>
        </w:rPr>
        <w:sectPr>
          <w:headerReference w:type="default" r:id="rId325"/>
          <w:pgSz w:w="11910" w:h="16840"/>
          <w:pgMar w:header="851" w:footer="982" w:top="1300" w:bottom="1180" w:left="1660" w:right="1180"/>
        </w:sectPr>
      </w:pPr>
    </w:p>
    <w:p>
      <w:pPr>
        <w:spacing w:line="240" w:lineRule="auto" w:before="6"/>
        <w:rPr>
          <w:rFonts w:ascii="宋体" w:hAnsi="宋体" w:cs="宋体" w:eastAsia="宋体" w:hint="default"/>
          <w:b/>
          <w:bCs/>
          <w:sz w:val="10"/>
          <w:szCs w:val="10"/>
        </w:rPr>
      </w:pPr>
    </w:p>
    <w:p>
      <w:pPr>
        <w:tabs>
          <w:tab w:pos="853" w:val="left" w:leader="none"/>
        </w:tabs>
        <w:spacing w:before="35"/>
        <w:ind w:left="125" w:right="312" w:firstLine="0"/>
        <w:jc w:val="left"/>
        <w:rPr>
          <w:rFonts w:ascii="宋体" w:hAnsi="宋体" w:cs="宋体" w:eastAsia="宋体" w:hint="default"/>
          <w:sz w:val="21"/>
          <w:szCs w:val="21"/>
        </w:rPr>
      </w:pPr>
      <w:r>
        <w:rPr/>
        <w:pict>
          <v:group style="position:absolute;margin-left:119.520004pt;margin-top:42.633987pt;width:417.1pt;height:576.550pt;mso-position-horizontal-relative:page;mso-position-vertical-relative:paragraph;z-index:-704800" coordorigin="2390,853" coordsize="8342,11531">
            <v:shape style="position:absolute;left:7030;top:853;width:1878;height:413" type="#_x0000_t75" stroked="false">
              <v:imagedata r:id="rId335" o:title=""/>
            </v:shape>
            <v:shape style="position:absolute;left:2390;top:1227;width:8341;height:11156" type="#_x0000_t75" stroked="false">
              <v:imagedata r:id="rId336" o:title=""/>
            </v:shape>
            <w10:wrap type="none"/>
          </v:group>
        </w:pict>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六</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749" w:type="dxa"/>
        <w:tblLayout w:type="fixed"/>
        <w:tblCellMar>
          <w:top w:w="0" w:type="dxa"/>
          <w:left w:w="0" w:type="dxa"/>
          <w:bottom w:w="0" w:type="dxa"/>
          <w:right w:w="0" w:type="dxa"/>
        </w:tblCellMar>
        <w:tblLook w:val="01E0"/>
      </w:tblPr>
      <w:tblGrid>
        <w:gridCol w:w="4820"/>
        <w:gridCol w:w="1830"/>
        <w:gridCol w:w="1646"/>
      </w:tblGrid>
      <w:tr>
        <w:trPr>
          <w:trHeight w:val="394" w:hRule="exact"/>
        </w:trPr>
        <w:tc>
          <w:tcPr>
            <w:tcW w:w="4820" w:type="dxa"/>
            <w:tcBorders>
              <w:top w:val="single" w:sz="12" w:space="0" w:color="000000"/>
              <w:left w:val="nil" w:sz="6" w:space="0" w:color="auto"/>
              <w:bottom w:val="nil" w:sz="6" w:space="0" w:color="auto"/>
              <w:right w:val="nil" w:sz="6" w:space="0" w:color="auto"/>
            </w:tcBorders>
          </w:tcPr>
          <w:p>
            <w:pPr>
              <w:pStyle w:val="TableParagraph"/>
              <w:tabs>
                <w:tab w:pos="539" w:val="left" w:leader="none"/>
              </w:tabs>
              <w:spacing w:line="240" w:lineRule="auto" w:before="41"/>
              <w:ind w:right="174"/>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83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77"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646"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77"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389"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1830"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r>
      <w:tr>
        <w:trPr>
          <w:trHeight w:val="383"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7"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82"/>
              <w:jc w:val="right"/>
              <w:rPr>
                <w:rFonts w:ascii="Times New Roman" w:hAnsi="Times New Roman" w:cs="Times New Roman" w:eastAsia="Times New Roman" w:hint="default"/>
                <w:sz w:val="18"/>
                <w:szCs w:val="18"/>
              </w:rPr>
            </w:pPr>
            <w:r>
              <w:rPr>
                <w:rFonts w:ascii="Times New Roman"/>
                <w:spacing w:val="-1"/>
                <w:sz w:val="18"/>
              </w:rPr>
              <w:t>132,648,668.64</w:t>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97"/>
              <w:jc w:val="right"/>
              <w:rPr>
                <w:rFonts w:ascii="Times New Roman" w:hAnsi="Times New Roman" w:cs="Times New Roman" w:eastAsia="Times New Roman" w:hint="default"/>
                <w:sz w:val="18"/>
                <w:szCs w:val="18"/>
              </w:rPr>
            </w:pPr>
            <w:r>
              <w:rPr>
                <w:rFonts w:ascii="Times New Roman"/>
                <w:spacing w:val="-1"/>
                <w:sz w:val="18"/>
              </w:rPr>
              <w:t>142,245,583.48</w:t>
            </w:r>
          </w:p>
        </w:tc>
      </w:tr>
      <w:tr>
        <w:trPr>
          <w:trHeight w:val="385"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7"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84"/>
              <w:jc w:val="right"/>
              <w:rPr>
                <w:rFonts w:ascii="Times New Roman" w:hAnsi="Times New Roman" w:cs="Times New Roman" w:eastAsia="Times New Roman" w:hint="default"/>
                <w:sz w:val="18"/>
                <w:szCs w:val="18"/>
              </w:rPr>
            </w:pPr>
            <w:r>
              <w:rPr>
                <w:rFonts w:ascii="Times New Roman"/>
                <w:spacing w:val="-1"/>
                <w:sz w:val="18"/>
              </w:rPr>
              <w:t>6,099,378.39</w:t>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99"/>
              <w:jc w:val="right"/>
              <w:rPr>
                <w:rFonts w:ascii="Times New Roman" w:hAnsi="Times New Roman" w:cs="Times New Roman" w:eastAsia="Times New Roman" w:hint="default"/>
                <w:sz w:val="18"/>
                <w:szCs w:val="18"/>
              </w:rPr>
            </w:pPr>
            <w:r>
              <w:rPr>
                <w:rFonts w:ascii="Times New Roman"/>
                <w:spacing w:val="-1"/>
                <w:sz w:val="18"/>
              </w:rPr>
              <w:t>-1,406,481.10</w:t>
            </w:r>
          </w:p>
        </w:tc>
      </w:tr>
      <w:tr>
        <w:trPr>
          <w:trHeight w:val="384"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84"/>
              <w:jc w:val="right"/>
              <w:rPr>
                <w:rFonts w:ascii="Times New Roman" w:hAnsi="Times New Roman" w:cs="Times New Roman" w:eastAsia="Times New Roman" w:hint="default"/>
                <w:sz w:val="18"/>
                <w:szCs w:val="18"/>
              </w:rPr>
            </w:pPr>
            <w:r>
              <w:rPr>
                <w:rFonts w:ascii="Times New Roman"/>
                <w:spacing w:val="-1"/>
                <w:sz w:val="18"/>
              </w:rPr>
              <w:t>5,233,220.95</w:t>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pacing w:val="-1"/>
                <w:sz w:val="18"/>
              </w:rPr>
              <w:t>3,128,852.16</w:t>
            </w:r>
          </w:p>
        </w:tc>
      </w:tr>
      <w:tr>
        <w:trPr>
          <w:trHeight w:val="381"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830"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r>
      <w:tr>
        <w:trPr>
          <w:trHeight w:val="388"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83"/>
              <w:jc w:val="right"/>
              <w:rPr>
                <w:rFonts w:ascii="Times New Roman" w:hAnsi="Times New Roman" w:cs="Times New Roman" w:eastAsia="Times New Roman" w:hint="default"/>
                <w:sz w:val="18"/>
                <w:szCs w:val="18"/>
              </w:rPr>
            </w:pPr>
            <w:r>
              <w:rPr>
                <w:rFonts w:ascii="Times New Roman"/>
                <w:sz w:val="18"/>
              </w:rPr>
              <w:t>791,436.87</w:t>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98"/>
              <w:jc w:val="right"/>
              <w:rPr>
                <w:rFonts w:ascii="Times New Roman" w:hAnsi="Times New Roman" w:cs="Times New Roman" w:eastAsia="Times New Roman" w:hint="default"/>
                <w:sz w:val="18"/>
                <w:szCs w:val="18"/>
              </w:rPr>
            </w:pPr>
            <w:r>
              <w:rPr>
                <w:rFonts w:ascii="Times New Roman"/>
                <w:spacing w:val="-1"/>
                <w:sz w:val="18"/>
              </w:rPr>
              <w:t>1,064,554.16</w:t>
            </w:r>
          </w:p>
        </w:tc>
      </w:tr>
      <w:tr>
        <w:trPr>
          <w:trHeight w:val="760"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宋体" w:hAnsi="宋体" w:cs="宋体" w:eastAsia="宋体" w:hint="default"/>
                <w:spacing w:val="-3"/>
                <w:sz w:val="18"/>
                <w:szCs w:val="18"/>
              </w:rPr>
              <w:t>处置固定资产、无形资产和其他长期资产的损失（收益以</w:t>
            </w:r>
          </w:p>
          <w:p>
            <w:pPr>
              <w:pStyle w:val="TableParagraph"/>
              <w:spacing w:line="240" w:lineRule="auto" w:before="139"/>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0"/>
                <w:szCs w:val="20"/>
              </w:rPr>
            </w:pPr>
          </w:p>
          <w:p>
            <w:pPr>
              <w:pStyle w:val="TableParagraph"/>
              <w:spacing w:line="240" w:lineRule="auto"/>
              <w:ind w:right="283"/>
              <w:jc w:val="right"/>
              <w:rPr>
                <w:rFonts w:ascii="Times New Roman" w:hAnsi="Times New Roman" w:cs="Times New Roman" w:eastAsia="Times New Roman" w:hint="default"/>
                <w:sz w:val="18"/>
                <w:szCs w:val="18"/>
              </w:rPr>
            </w:pPr>
            <w:r>
              <w:rPr>
                <w:rFonts w:ascii="Times New Roman"/>
                <w:sz w:val="18"/>
              </w:rPr>
              <w:t>346,819.40</w:t>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37,422.00</w:t>
            </w:r>
          </w:p>
        </w:tc>
      </w:tr>
      <w:tr>
        <w:trPr>
          <w:trHeight w:val="385"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7"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30"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r>
      <w:tr>
        <w:trPr>
          <w:trHeight w:val="385"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30"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r>
      <w:tr>
        <w:trPr>
          <w:trHeight w:val="384"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7"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30"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98"/>
              <w:jc w:val="right"/>
              <w:rPr>
                <w:rFonts w:ascii="Times New Roman" w:hAnsi="Times New Roman" w:cs="Times New Roman" w:eastAsia="Times New Roman" w:hint="default"/>
                <w:sz w:val="18"/>
                <w:szCs w:val="18"/>
              </w:rPr>
            </w:pPr>
            <w:r>
              <w:rPr>
                <w:rFonts w:ascii="Times New Roman"/>
                <w:sz w:val="18"/>
              </w:rPr>
              <w:t>4,425.00</w:t>
            </w:r>
          </w:p>
        </w:tc>
      </w:tr>
      <w:tr>
        <w:trPr>
          <w:trHeight w:val="385"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7"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84"/>
              <w:jc w:val="right"/>
              <w:rPr>
                <w:rFonts w:ascii="Times New Roman" w:hAnsi="Times New Roman" w:cs="Times New Roman" w:eastAsia="Times New Roman" w:hint="default"/>
                <w:sz w:val="18"/>
                <w:szCs w:val="18"/>
              </w:rPr>
            </w:pPr>
            <w:r>
              <w:rPr>
                <w:rFonts w:ascii="Times New Roman"/>
                <w:spacing w:val="-1"/>
                <w:sz w:val="18"/>
              </w:rPr>
              <w:t>-3,530,842.18</w:t>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97"/>
              <w:jc w:val="right"/>
              <w:rPr>
                <w:rFonts w:ascii="Times New Roman" w:hAnsi="Times New Roman" w:cs="Times New Roman" w:eastAsia="Times New Roman" w:hint="default"/>
                <w:sz w:val="18"/>
                <w:szCs w:val="18"/>
              </w:rPr>
            </w:pPr>
            <w:r>
              <w:rPr>
                <w:rFonts w:ascii="Times New Roman"/>
                <w:spacing w:val="-1"/>
                <w:sz w:val="18"/>
              </w:rPr>
              <w:t>-50,000,000.00</w:t>
            </w:r>
          </w:p>
        </w:tc>
      </w:tr>
      <w:tr>
        <w:trPr>
          <w:trHeight w:val="385"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83"/>
              <w:jc w:val="right"/>
              <w:rPr>
                <w:rFonts w:ascii="Times New Roman" w:hAnsi="Times New Roman" w:cs="Times New Roman" w:eastAsia="Times New Roman" w:hint="default"/>
                <w:sz w:val="18"/>
                <w:szCs w:val="18"/>
              </w:rPr>
            </w:pPr>
            <w:r>
              <w:rPr>
                <w:rFonts w:ascii="Times New Roman"/>
                <w:sz w:val="18"/>
              </w:rPr>
              <w:t>-764,335.89</w:t>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pacing w:val="-1"/>
                <w:w w:val="95"/>
                <w:sz w:val="18"/>
              </w:rPr>
              <w:t>11,568.43</w:t>
            </w:r>
          </w:p>
        </w:tc>
      </w:tr>
      <w:tr>
        <w:trPr>
          <w:trHeight w:val="384"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7"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30"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r>
      <w:tr>
        <w:trPr>
          <w:trHeight w:val="385"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7"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82"/>
              <w:jc w:val="right"/>
              <w:rPr>
                <w:rFonts w:ascii="Times New Roman" w:hAnsi="Times New Roman" w:cs="Times New Roman" w:eastAsia="Times New Roman" w:hint="default"/>
                <w:sz w:val="18"/>
                <w:szCs w:val="18"/>
              </w:rPr>
            </w:pPr>
            <w:r>
              <w:rPr>
                <w:rFonts w:ascii="Times New Roman"/>
                <w:spacing w:val="-1"/>
                <w:sz w:val="18"/>
              </w:rPr>
              <w:t>-26,296,307.38</w:t>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98"/>
              <w:jc w:val="right"/>
              <w:rPr>
                <w:rFonts w:ascii="Times New Roman" w:hAnsi="Times New Roman" w:cs="Times New Roman" w:eastAsia="Times New Roman" w:hint="default"/>
                <w:sz w:val="18"/>
                <w:szCs w:val="18"/>
              </w:rPr>
            </w:pPr>
            <w:r>
              <w:rPr>
                <w:rFonts w:ascii="Times New Roman"/>
                <w:spacing w:val="-1"/>
                <w:sz w:val="18"/>
              </w:rPr>
              <w:t>-10,779,591.02</w:t>
            </w:r>
          </w:p>
        </w:tc>
      </w:tr>
      <w:tr>
        <w:trPr>
          <w:trHeight w:val="385"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82"/>
              <w:jc w:val="right"/>
              <w:rPr>
                <w:rFonts w:ascii="Times New Roman" w:hAnsi="Times New Roman" w:cs="Times New Roman" w:eastAsia="Times New Roman" w:hint="default"/>
                <w:sz w:val="18"/>
                <w:szCs w:val="18"/>
              </w:rPr>
            </w:pPr>
            <w:r>
              <w:rPr>
                <w:rFonts w:ascii="Times New Roman"/>
                <w:spacing w:val="-1"/>
                <w:sz w:val="18"/>
              </w:rPr>
              <w:t>-169,621,721.30</w:t>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pacing w:val="-1"/>
                <w:sz w:val="18"/>
              </w:rPr>
              <w:t>55,321,104.37</w:t>
            </w:r>
          </w:p>
        </w:tc>
      </w:tr>
      <w:tr>
        <w:trPr>
          <w:trHeight w:val="384"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7"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84"/>
              <w:jc w:val="right"/>
              <w:rPr>
                <w:rFonts w:ascii="Times New Roman" w:hAnsi="Times New Roman" w:cs="Times New Roman" w:eastAsia="Times New Roman" w:hint="default"/>
                <w:sz w:val="18"/>
                <w:szCs w:val="18"/>
              </w:rPr>
            </w:pPr>
            <w:r>
              <w:rPr>
                <w:rFonts w:ascii="Times New Roman"/>
                <w:spacing w:val="-1"/>
                <w:sz w:val="18"/>
              </w:rPr>
              <w:t>10,970,177.34</w:t>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99"/>
              <w:jc w:val="right"/>
              <w:rPr>
                <w:rFonts w:ascii="Times New Roman" w:hAnsi="Times New Roman" w:cs="Times New Roman" w:eastAsia="Times New Roman" w:hint="default"/>
                <w:sz w:val="18"/>
                <w:szCs w:val="18"/>
              </w:rPr>
            </w:pPr>
            <w:r>
              <w:rPr>
                <w:rFonts w:ascii="Times New Roman"/>
                <w:spacing w:val="-1"/>
                <w:sz w:val="18"/>
              </w:rPr>
              <w:t>2,319,044.05</w:t>
            </w:r>
          </w:p>
        </w:tc>
      </w:tr>
      <w:tr>
        <w:trPr>
          <w:trHeight w:val="380" w:hRule="exact"/>
        </w:trPr>
        <w:tc>
          <w:tcPr>
            <w:tcW w:w="4820" w:type="dxa"/>
            <w:tcBorders>
              <w:top w:val="nil" w:sz="6" w:space="0" w:color="auto"/>
              <w:left w:val="nil" w:sz="6" w:space="0" w:color="auto"/>
              <w:bottom w:val="nil" w:sz="6" w:space="0" w:color="auto"/>
              <w:right w:val="nil" w:sz="6" w:space="0" w:color="auto"/>
            </w:tcBorders>
          </w:tcPr>
          <w:p>
            <w:pPr>
              <w:pStyle w:val="TableParagraph"/>
              <w:tabs>
                <w:tab w:pos="647" w:val="left" w:leader="none"/>
              </w:tabs>
              <w:spacing w:line="240" w:lineRule="auto" w:before="41"/>
              <w:ind w:left="107" w:right="0"/>
              <w:jc w:val="left"/>
              <w:rPr>
                <w:rFonts w:ascii="宋体" w:hAnsi="宋体" w:cs="宋体" w:eastAsia="宋体" w:hint="default"/>
                <w:sz w:val="18"/>
                <w:szCs w:val="18"/>
              </w:rPr>
            </w:pPr>
            <w:r>
              <w:rPr>
                <w:rFonts w:ascii="宋体" w:hAnsi="宋体" w:cs="宋体" w:eastAsia="宋体" w:hint="default"/>
                <w:sz w:val="18"/>
                <w:szCs w:val="18"/>
              </w:rPr>
              <w:t>其</w:t>
              <w:tab/>
              <w:t>他</w:t>
            </w:r>
          </w:p>
        </w:tc>
        <w:tc>
          <w:tcPr>
            <w:tcW w:w="1830"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r>
      <w:tr>
        <w:trPr>
          <w:trHeight w:val="388"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82"/>
              <w:jc w:val="right"/>
              <w:rPr>
                <w:rFonts w:ascii="Times New Roman" w:hAnsi="Times New Roman" w:cs="Times New Roman" w:eastAsia="Times New Roman" w:hint="default"/>
                <w:sz w:val="18"/>
                <w:szCs w:val="18"/>
              </w:rPr>
            </w:pPr>
            <w:r>
              <w:rPr>
                <w:rFonts w:ascii="Times New Roman"/>
                <w:spacing w:val="-1"/>
                <w:sz w:val="18"/>
              </w:rPr>
              <w:t>-44,123,505.16</w:t>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97"/>
              <w:jc w:val="right"/>
              <w:rPr>
                <w:rFonts w:ascii="Times New Roman" w:hAnsi="Times New Roman" w:cs="Times New Roman" w:eastAsia="Times New Roman" w:hint="default"/>
                <w:sz w:val="18"/>
                <w:szCs w:val="18"/>
              </w:rPr>
            </w:pPr>
            <w:r>
              <w:rPr>
                <w:rFonts w:ascii="Times New Roman"/>
                <w:spacing w:val="-1"/>
                <w:sz w:val="18"/>
              </w:rPr>
              <w:t>141,946,481.53</w:t>
            </w:r>
          </w:p>
        </w:tc>
      </w:tr>
      <w:tr>
        <w:trPr>
          <w:trHeight w:val="385"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、不涉及现金收支的重大投资和筹资活动</w:t>
            </w:r>
          </w:p>
        </w:tc>
        <w:tc>
          <w:tcPr>
            <w:tcW w:w="1830"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r>
      <w:tr>
        <w:trPr>
          <w:trHeight w:val="380"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7"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1830"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r>
      <w:tr>
        <w:trPr>
          <w:trHeight w:val="385"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830"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r>
      <w:tr>
        <w:trPr>
          <w:trHeight w:val="384"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7"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830"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r>
      <w:tr>
        <w:trPr>
          <w:trHeight w:val="390"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1830"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r>
      <w:tr>
        <w:trPr>
          <w:trHeight w:val="383"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84"/>
              <w:jc w:val="right"/>
              <w:rPr>
                <w:rFonts w:ascii="Times New Roman" w:hAnsi="Times New Roman" w:cs="Times New Roman" w:eastAsia="Times New Roman" w:hint="default"/>
                <w:sz w:val="18"/>
                <w:szCs w:val="18"/>
              </w:rPr>
            </w:pPr>
            <w:r>
              <w:rPr>
                <w:rFonts w:ascii="Times New Roman"/>
                <w:spacing w:val="-1"/>
                <w:sz w:val="18"/>
              </w:rPr>
              <w:t>1,183,515,075.37</w:t>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pacing w:val="-1"/>
                <w:sz w:val="18"/>
              </w:rPr>
              <w:t>1,864,863,276.42</w:t>
            </w:r>
          </w:p>
        </w:tc>
      </w:tr>
      <w:tr>
        <w:trPr>
          <w:trHeight w:val="384"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84"/>
              <w:jc w:val="right"/>
              <w:rPr>
                <w:rFonts w:ascii="Times New Roman" w:hAnsi="Times New Roman" w:cs="Times New Roman" w:eastAsia="Times New Roman" w:hint="default"/>
                <w:sz w:val="18"/>
                <w:szCs w:val="18"/>
              </w:rPr>
            </w:pPr>
            <w:r>
              <w:rPr>
                <w:rFonts w:ascii="Times New Roman"/>
                <w:spacing w:val="-1"/>
                <w:sz w:val="18"/>
              </w:rPr>
              <w:t>1,864,863,276.42</w:t>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pacing w:val="-1"/>
                <w:sz w:val="18"/>
              </w:rPr>
              <w:t>44,830,361.61</w:t>
            </w:r>
          </w:p>
        </w:tc>
      </w:tr>
      <w:tr>
        <w:trPr>
          <w:trHeight w:val="381"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1830"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r>
      <w:tr>
        <w:trPr>
          <w:trHeight w:val="385"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1830"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r>
      <w:tr>
        <w:trPr>
          <w:trHeight w:val="394" w:hRule="exact"/>
        </w:trPr>
        <w:tc>
          <w:tcPr>
            <w:tcW w:w="4820" w:type="dxa"/>
            <w:tcBorders>
              <w:top w:val="nil" w:sz="6" w:space="0" w:color="auto"/>
              <w:left w:val="nil" w:sz="6" w:space="0" w:color="auto"/>
              <w:bottom w:val="single" w:sz="12" w:space="0" w:color="000000"/>
              <w:right w:val="nil" w:sz="6" w:space="0" w:color="auto"/>
            </w:tcBorders>
          </w:tcPr>
          <w:p>
            <w:pPr>
              <w:pStyle w:val="TableParagraph"/>
              <w:spacing w:line="240" w:lineRule="auto" w:before="46"/>
              <w:ind w:left="107"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830"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282"/>
              <w:jc w:val="right"/>
              <w:rPr>
                <w:rFonts w:ascii="Times New Roman" w:hAnsi="Times New Roman" w:cs="Times New Roman" w:eastAsia="Times New Roman" w:hint="default"/>
                <w:sz w:val="18"/>
                <w:szCs w:val="18"/>
              </w:rPr>
            </w:pPr>
            <w:r>
              <w:rPr>
                <w:rFonts w:ascii="Times New Roman"/>
                <w:spacing w:val="-1"/>
                <w:sz w:val="18"/>
              </w:rPr>
              <w:t>-681,348,201.05</w:t>
            </w:r>
          </w:p>
        </w:tc>
        <w:tc>
          <w:tcPr>
            <w:tcW w:w="1646"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99"/>
              <w:jc w:val="right"/>
              <w:rPr>
                <w:rFonts w:ascii="Times New Roman" w:hAnsi="Times New Roman" w:cs="Times New Roman" w:eastAsia="Times New Roman" w:hint="default"/>
                <w:sz w:val="18"/>
                <w:szCs w:val="18"/>
              </w:rPr>
            </w:pPr>
            <w:r>
              <w:rPr>
                <w:rFonts w:ascii="Times New Roman"/>
                <w:spacing w:val="-1"/>
                <w:sz w:val="18"/>
              </w:rPr>
              <w:t>1,820,032,914.81</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82" w:top="1360" w:bottom="1180" w:left="1660" w:right="1060"/>
        </w:sectPr>
      </w:pPr>
    </w:p>
    <w:p>
      <w:pPr>
        <w:spacing w:line="240" w:lineRule="auto" w:before="11"/>
        <w:rPr>
          <w:rFonts w:ascii="宋体" w:hAnsi="宋体" w:cs="宋体" w:eastAsia="宋体" w:hint="default"/>
          <w:b/>
          <w:bCs/>
          <w:sz w:val="7"/>
          <w:szCs w:val="7"/>
        </w:rPr>
      </w:pPr>
    </w:p>
    <w:p>
      <w:pPr>
        <w:spacing w:before="26"/>
        <w:ind w:left="125" w:right="3854" w:firstLine="0"/>
        <w:jc w:val="left"/>
        <w:rPr>
          <w:rFonts w:ascii="宋体" w:hAnsi="宋体" w:cs="宋体" w:eastAsia="宋体" w:hint="default"/>
          <w:sz w:val="24"/>
          <w:szCs w:val="24"/>
        </w:rPr>
      </w:pPr>
      <w:r>
        <w:rPr>
          <w:rFonts w:ascii="宋体" w:hAnsi="宋体" w:cs="宋体" w:eastAsia="宋体" w:hint="default"/>
          <w:b/>
          <w:bCs/>
          <w:sz w:val="24"/>
          <w:szCs w:val="24"/>
        </w:rPr>
        <w:t>十二、补充资料</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tabs>
          <w:tab w:pos="853" w:val="left" w:leader="none"/>
        </w:tabs>
        <w:spacing w:before="215"/>
        <w:ind w:left="125" w:right="3854" w:firstLine="0"/>
        <w:jc w:val="left"/>
        <w:rPr>
          <w:rFonts w:ascii="宋体" w:hAnsi="宋体" w:cs="宋体" w:eastAsia="宋体" w:hint="default"/>
          <w:sz w:val="21"/>
          <w:szCs w:val="21"/>
        </w:rPr>
      </w:pPr>
      <w:r>
        <w:rPr/>
        <w:pict>
          <v:group style="position:absolute;margin-left:119.839996pt;margin-top:43.173965pt;width:409.9pt;height:156.550pt;mso-position-horizontal-relative:page;mso-position-vertical-relative:paragraph;z-index:-704776" coordorigin="2397,863" coordsize="8198,3131">
            <v:shape style="position:absolute;left:8459;top:863;width:10;height:374" type="#_x0000_t75" stroked="false">
              <v:imagedata r:id="rId337" o:title=""/>
            </v:shape>
            <v:shape style="position:absolute;left:2397;top:1225;width:8198;height:2769" type="#_x0000_t75" stroked="false">
              <v:imagedata r:id="rId338" o:title=""/>
            </v:shape>
            <w10:wrap type="none"/>
          </v:group>
        </w:pict>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当期非经常性损益明细表</w:t>
      </w:r>
      <w:r>
        <w:rPr>
          <w:rFonts w:ascii="宋体" w:hAnsi="宋体" w:cs="宋体" w:eastAsia="宋体" w:hint="default"/>
          <w:sz w:val="21"/>
          <w:szCs w:val="21"/>
        </w:rPr>
      </w:r>
    </w:p>
    <w:p>
      <w:pPr>
        <w:spacing w:line="240" w:lineRule="auto" w:before="1"/>
        <w:rPr>
          <w:rFonts w:ascii="宋体" w:hAnsi="宋体" w:cs="宋体" w:eastAsia="宋体" w:hint="default"/>
          <w:b/>
          <w:bCs/>
          <w:sz w:val="25"/>
          <w:szCs w:val="25"/>
        </w:rPr>
      </w:pPr>
    </w:p>
    <w:tbl>
      <w:tblPr>
        <w:tblW w:w="0" w:type="auto"/>
        <w:jc w:val="left"/>
        <w:tblInd w:w="749" w:type="dxa"/>
        <w:tblLayout w:type="fixed"/>
        <w:tblCellMar>
          <w:top w:w="0" w:type="dxa"/>
          <w:left w:w="0" w:type="dxa"/>
          <w:bottom w:w="0" w:type="dxa"/>
          <w:right w:w="0" w:type="dxa"/>
        </w:tblCellMar>
        <w:tblLook w:val="01E0"/>
      </w:tblPr>
      <w:tblGrid>
        <w:gridCol w:w="6321"/>
        <w:gridCol w:w="1851"/>
      </w:tblGrid>
      <w:tr>
        <w:trPr>
          <w:trHeight w:val="393" w:hRule="exact"/>
        </w:trPr>
        <w:tc>
          <w:tcPr>
            <w:tcW w:w="6321"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right="266"/>
              <w:jc w:val="center"/>
              <w:rPr>
                <w:rFonts w:ascii="宋体" w:hAnsi="宋体" w:cs="宋体" w:eastAsia="宋体" w:hint="default"/>
                <w:sz w:val="21"/>
                <w:szCs w:val="21"/>
              </w:rPr>
            </w:pPr>
            <w:r>
              <w:rPr>
                <w:rFonts w:ascii="宋体" w:hAnsi="宋体" w:cs="宋体" w:eastAsia="宋体" w:hint="default"/>
                <w:sz w:val="21"/>
                <w:szCs w:val="21"/>
              </w:rPr>
              <w:t>项目</w:t>
            </w:r>
          </w:p>
        </w:tc>
        <w:tc>
          <w:tcPr>
            <w:tcW w:w="1851"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376" w:right="0"/>
              <w:jc w:val="left"/>
              <w:rPr>
                <w:rFonts w:ascii="宋体" w:hAnsi="宋体" w:cs="宋体" w:eastAsia="宋体" w:hint="default"/>
                <w:sz w:val="21"/>
                <w:szCs w:val="21"/>
              </w:rPr>
            </w:pPr>
            <w:r>
              <w:rPr>
                <w:rFonts w:ascii="宋体" w:hAnsi="宋体" w:cs="宋体" w:eastAsia="宋体" w:hint="default"/>
                <w:sz w:val="21"/>
                <w:szCs w:val="21"/>
              </w:rPr>
              <w:t>本期金额</w:t>
            </w:r>
          </w:p>
        </w:tc>
      </w:tr>
      <w:tr>
        <w:trPr>
          <w:trHeight w:val="390" w:hRule="exact"/>
        </w:trPr>
        <w:tc>
          <w:tcPr>
            <w:tcW w:w="6321"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7"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1851"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96"/>
              <w:jc w:val="right"/>
              <w:rPr>
                <w:rFonts w:ascii="Times New Roman" w:hAnsi="Times New Roman" w:cs="Times New Roman" w:eastAsia="Times New Roman" w:hint="default"/>
                <w:sz w:val="21"/>
                <w:szCs w:val="21"/>
              </w:rPr>
            </w:pPr>
            <w:r>
              <w:rPr>
                <w:rFonts w:ascii="Times New Roman"/>
                <w:spacing w:val="-1"/>
                <w:sz w:val="21"/>
              </w:rPr>
              <w:t>-893,157.34</w:t>
            </w:r>
          </w:p>
        </w:tc>
      </w:tr>
      <w:tr>
        <w:trPr>
          <w:trHeight w:val="772" w:hRule="exact"/>
        </w:trPr>
        <w:tc>
          <w:tcPr>
            <w:tcW w:w="6321" w:type="dxa"/>
            <w:tcBorders>
              <w:top w:val="nil" w:sz="6" w:space="0" w:color="auto"/>
              <w:left w:val="nil" w:sz="6" w:space="0" w:color="auto"/>
              <w:bottom w:val="nil" w:sz="6" w:space="0" w:color="auto"/>
              <w:right w:val="nil" w:sz="6" w:space="0" w:color="auto"/>
            </w:tcBorders>
          </w:tcPr>
          <w:p>
            <w:pPr>
              <w:pStyle w:val="TableParagraph"/>
              <w:spacing w:line="326" w:lineRule="auto" w:before="16"/>
              <w:ind w:left="107" w:right="374"/>
              <w:jc w:val="left"/>
              <w:rPr>
                <w:rFonts w:ascii="宋体" w:hAnsi="宋体" w:cs="宋体" w:eastAsia="宋体" w:hint="default"/>
                <w:sz w:val="21"/>
                <w:szCs w:val="21"/>
              </w:rPr>
            </w:pPr>
            <w:r>
              <w:rPr>
                <w:rFonts w:ascii="宋体" w:hAnsi="宋体" w:cs="宋体" w:eastAsia="宋体" w:hint="default"/>
                <w:spacing w:val="-2"/>
                <w:sz w:val="21"/>
                <w:szCs w:val="21"/>
              </w:rPr>
              <w:t>计入当期损益的政府补助（与企业业务密切相关，按照国家统一</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标准定额或定量享受的政府补助除外）</w:t>
            </w:r>
          </w:p>
        </w:tc>
        <w:tc>
          <w:tcPr>
            <w:tcW w:w="185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2"/>
                <w:sz w:val="21"/>
              </w:rPr>
              <w:t>6,563,117.20</w:t>
            </w:r>
            <w:r>
              <w:rPr>
                <w:rFonts w:ascii="Times New Roman"/>
                <w:sz w:val="21"/>
              </w:rPr>
            </w:r>
          </w:p>
        </w:tc>
      </w:tr>
      <w:tr>
        <w:trPr>
          <w:trHeight w:val="428" w:hRule="exact"/>
        </w:trPr>
        <w:tc>
          <w:tcPr>
            <w:tcW w:w="6321"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7" w:right="0"/>
              <w:jc w:val="left"/>
              <w:rPr>
                <w:rFonts w:ascii="宋体" w:hAnsi="宋体" w:cs="宋体" w:eastAsia="宋体" w:hint="default"/>
                <w:sz w:val="21"/>
                <w:szCs w:val="21"/>
              </w:rPr>
            </w:pPr>
            <w:r>
              <w:rPr>
                <w:rFonts w:ascii="宋体" w:hAnsi="宋体" w:cs="宋体" w:eastAsia="宋体" w:hint="default"/>
                <w:sz w:val="21"/>
                <w:szCs w:val="21"/>
              </w:rPr>
              <w:t>同一控制下企业合并产生的子公司期初至合并日的当期净损益</w:t>
            </w:r>
          </w:p>
        </w:tc>
        <w:tc>
          <w:tcPr>
            <w:tcW w:w="1851"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96"/>
              <w:jc w:val="right"/>
              <w:rPr>
                <w:rFonts w:ascii="Times New Roman" w:hAnsi="Times New Roman" w:cs="Times New Roman" w:eastAsia="Times New Roman" w:hint="default"/>
                <w:sz w:val="21"/>
                <w:szCs w:val="21"/>
              </w:rPr>
            </w:pPr>
            <w:r>
              <w:rPr>
                <w:rFonts w:ascii="Times New Roman"/>
                <w:spacing w:val="-1"/>
                <w:sz w:val="21"/>
              </w:rPr>
              <w:t>-382,993.73</w:t>
            </w:r>
          </w:p>
        </w:tc>
      </w:tr>
      <w:tr>
        <w:trPr>
          <w:trHeight w:val="403" w:hRule="exact"/>
        </w:trPr>
        <w:tc>
          <w:tcPr>
            <w:tcW w:w="632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07"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1851"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96"/>
              <w:jc w:val="right"/>
              <w:rPr>
                <w:rFonts w:ascii="Times New Roman" w:hAnsi="Times New Roman" w:cs="Times New Roman" w:eastAsia="Times New Roman" w:hint="default"/>
                <w:sz w:val="21"/>
                <w:szCs w:val="21"/>
              </w:rPr>
            </w:pPr>
            <w:r>
              <w:rPr>
                <w:rFonts w:ascii="Times New Roman"/>
                <w:spacing w:val="-1"/>
                <w:sz w:val="21"/>
              </w:rPr>
              <w:t>-781,483.00</w:t>
            </w:r>
          </w:p>
        </w:tc>
      </w:tr>
      <w:tr>
        <w:trPr>
          <w:trHeight w:val="385" w:hRule="exact"/>
        </w:trPr>
        <w:tc>
          <w:tcPr>
            <w:tcW w:w="6321"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185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6"/>
              <w:jc w:val="right"/>
              <w:rPr>
                <w:rFonts w:ascii="Times New Roman" w:hAnsi="Times New Roman" w:cs="Times New Roman" w:eastAsia="Times New Roman" w:hint="default"/>
                <w:sz w:val="21"/>
                <w:szCs w:val="21"/>
              </w:rPr>
            </w:pPr>
            <w:r>
              <w:rPr>
                <w:rFonts w:ascii="Times New Roman"/>
                <w:spacing w:val="-1"/>
                <w:sz w:val="21"/>
              </w:rPr>
              <w:t>-722,727.43</w:t>
            </w:r>
          </w:p>
        </w:tc>
      </w:tr>
      <w:tr>
        <w:trPr>
          <w:trHeight w:val="390" w:hRule="exact"/>
        </w:trPr>
        <w:tc>
          <w:tcPr>
            <w:tcW w:w="6321" w:type="dxa"/>
            <w:tcBorders>
              <w:top w:val="nil" w:sz="6" w:space="0" w:color="auto"/>
              <w:left w:val="nil" w:sz="6" w:space="0" w:color="auto"/>
              <w:bottom w:val="single" w:sz="12" w:space="0" w:color="000000"/>
              <w:right w:val="nil" w:sz="6" w:space="0" w:color="auto"/>
            </w:tcBorders>
          </w:tcPr>
          <w:p>
            <w:pPr>
              <w:pStyle w:val="TableParagraph"/>
              <w:tabs>
                <w:tab w:pos="841" w:val="left" w:leader="none"/>
              </w:tabs>
              <w:spacing w:line="240" w:lineRule="auto" w:before="17"/>
              <w:ind w:right="266"/>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851" w:type="dxa"/>
            <w:tcBorders>
              <w:top w:val="nil" w:sz="6" w:space="0" w:color="auto"/>
              <w:left w:val="nil" w:sz="6" w:space="0" w:color="auto"/>
              <w:bottom w:val="single" w:sz="12" w:space="0" w:color="000000"/>
              <w:right w:val="nil" w:sz="6" w:space="0" w:color="auto"/>
            </w:tcBorders>
          </w:tcPr>
          <w:p>
            <w:pPr>
              <w:pStyle w:val="TableParagraph"/>
              <w:spacing w:line="240" w:lineRule="auto" w:before="66"/>
              <w:ind w:right="96"/>
              <w:jc w:val="right"/>
              <w:rPr>
                <w:rFonts w:ascii="Times New Roman" w:hAnsi="Times New Roman" w:cs="Times New Roman" w:eastAsia="Times New Roman" w:hint="default"/>
                <w:sz w:val="21"/>
                <w:szCs w:val="21"/>
              </w:rPr>
            </w:pPr>
            <w:r>
              <w:rPr>
                <w:rFonts w:ascii="Times New Roman"/>
                <w:spacing w:val="-1"/>
                <w:sz w:val="21"/>
              </w:rPr>
              <w:t>3,782,755.70</w:t>
            </w:r>
          </w:p>
        </w:tc>
      </w:tr>
    </w:tbl>
    <w:p>
      <w:pPr>
        <w:spacing w:line="240" w:lineRule="auto" w:before="4"/>
        <w:rPr>
          <w:rFonts w:ascii="宋体" w:hAnsi="宋体" w:cs="宋体" w:eastAsia="宋体" w:hint="default"/>
          <w:b/>
          <w:bCs/>
          <w:sz w:val="28"/>
          <w:szCs w:val="28"/>
        </w:rPr>
      </w:pPr>
    </w:p>
    <w:p>
      <w:pPr>
        <w:tabs>
          <w:tab w:pos="853" w:val="left" w:leader="none"/>
        </w:tabs>
        <w:spacing w:before="35"/>
        <w:ind w:left="125" w:right="3854" w:firstLine="0"/>
        <w:jc w:val="left"/>
        <w:rPr>
          <w:rFonts w:ascii="宋体" w:hAnsi="宋体" w:cs="宋体" w:eastAsia="宋体" w:hint="default"/>
          <w:sz w:val="21"/>
          <w:szCs w:val="21"/>
        </w:rPr>
      </w:pPr>
      <w:r>
        <w:rPr/>
        <w:pict>
          <v:group style="position:absolute;margin-left:119.520004pt;margin-top:42.633972pt;width:410.65pt;height:115.75pt;mso-position-horizontal-relative:page;mso-position-vertical-relative:paragraph;z-index:-704752" coordorigin="2390,853" coordsize="8213,2315">
            <v:shape style="position:absolute;left:5272;top:853;width:1656;height:413" type="#_x0000_t75" stroked="false">
              <v:imagedata r:id="rId339" o:title=""/>
            </v:shape>
            <v:shape style="position:absolute;left:5272;top:1227;width:5332;height:422" type="#_x0000_t75" stroked="false">
              <v:imagedata r:id="rId340" o:title=""/>
            </v:shape>
            <v:shape style="position:absolute;left:2390;top:1611;width:8213;height:1556" type="#_x0000_t75" stroked="false">
              <v:imagedata r:id="rId341" o:title=""/>
            </v:shape>
            <v:shape style="position:absolute;left:6880;top:2380;width:48;height:787" type="#_x0000_t75" stroked="false">
              <v:imagedata r:id="rId342" o:title=""/>
            </v:shape>
            <v:shape style="position:absolute;left:8722;top:2380;width:48;height:787" type="#_x0000_t75" stroked="false">
              <v:imagedata r:id="rId342" o:title=""/>
            </v:shape>
            <w10:wrap type="none"/>
          </v:group>
        </w:pict>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净资产收益率及每股收益：</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756" w:type="dxa"/>
        <w:tblLayout w:type="fixed"/>
        <w:tblCellMar>
          <w:top w:w="0" w:type="dxa"/>
          <w:left w:w="0" w:type="dxa"/>
          <w:bottom w:w="0" w:type="dxa"/>
          <w:right w:w="0" w:type="dxa"/>
        </w:tblCellMar>
        <w:tblLook w:val="01E0"/>
      </w:tblPr>
      <w:tblGrid>
        <w:gridCol w:w="2884"/>
        <w:gridCol w:w="1716"/>
        <w:gridCol w:w="1821"/>
        <w:gridCol w:w="1744"/>
      </w:tblGrid>
      <w:tr>
        <w:trPr>
          <w:trHeight w:val="393" w:hRule="exact"/>
        </w:trPr>
        <w:tc>
          <w:tcPr>
            <w:tcW w:w="2884" w:type="dxa"/>
            <w:vMerge w:val="restart"/>
            <w:tcBorders>
              <w:top w:val="single" w:sz="12" w:space="0" w:color="000000"/>
              <w:left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left="909" w:right="0"/>
              <w:jc w:val="left"/>
              <w:rPr>
                <w:rFonts w:ascii="宋体" w:hAnsi="宋体" w:cs="宋体" w:eastAsia="宋体" w:hint="default"/>
                <w:sz w:val="21"/>
                <w:szCs w:val="21"/>
              </w:rPr>
            </w:pPr>
            <w:r>
              <w:rPr>
                <w:rFonts w:ascii="宋体" w:hAnsi="宋体" w:cs="宋体" w:eastAsia="宋体" w:hint="default"/>
                <w:sz w:val="21"/>
                <w:szCs w:val="21"/>
              </w:rPr>
              <w:t>报告期利润</w:t>
            </w:r>
          </w:p>
        </w:tc>
        <w:tc>
          <w:tcPr>
            <w:tcW w:w="1716" w:type="dxa"/>
            <w:vMerge w:val="restart"/>
            <w:tcBorders>
              <w:top w:val="single" w:sz="12" w:space="0" w:color="000000"/>
              <w:left w:val="nil" w:sz="6" w:space="0" w:color="auto"/>
              <w:right w:val="nil" w:sz="6" w:space="0" w:color="auto"/>
            </w:tcBorders>
          </w:tcPr>
          <w:p>
            <w:pPr>
              <w:pStyle w:val="TableParagraph"/>
              <w:spacing w:line="326" w:lineRule="auto" w:before="16"/>
              <w:ind w:left="102" w:right="176" w:firstLine="65"/>
              <w:jc w:val="left"/>
              <w:rPr>
                <w:rFonts w:ascii="宋体" w:hAnsi="宋体" w:cs="宋体" w:eastAsia="宋体" w:hint="default"/>
                <w:sz w:val="21"/>
                <w:szCs w:val="21"/>
              </w:rPr>
            </w:pPr>
            <w:r>
              <w:rPr>
                <w:rFonts w:ascii="宋体" w:hAnsi="宋体" w:cs="宋体" w:eastAsia="宋体" w:hint="default"/>
                <w:sz w:val="21"/>
                <w:szCs w:val="21"/>
              </w:rPr>
              <w:t>加权平均净资 产收益率（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3565"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16"/>
              <w:ind w:left="994" w:right="0"/>
              <w:jc w:val="left"/>
              <w:rPr>
                <w:rFonts w:ascii="宋体" w:hAnsi="宋体" w:cs="宋体" w:eastAsia="宋体" w:hint="default"/>
                <w:sz w:val="21"/>
                <w:szCs w:val="21"/>
              </w:rPr>
            </w:pPr>
            <w:r>
              <w:rPr>
                <w:rFonts w:ascii="宋体" w:hAnsi="宋体" w:cs="宋体" w:eastAsia="宋体" w:hint="default"/>
                <w:sz w:val="21"/>
                <w:szCs w:val="21"/>
              </w:rPr>
              <w:t>每股收益（元）</w:t>
            </w:r>
          </w:p>
        </w:tc>
      </w:tr>
      <w:tr>
        <w:trPr>
          <w:trHeight w:val="385" w:hRule="exact"/>
        </w:trPr>
        <w:tc>
          <w:tcPr>
            <w:tcW w:w="2884" w:type="dxa"/>
            <w:vMerge/>
            <w:tcBorders>
              <w:left w:val="nil" w:sz="6" w:space="0" w:color="auto"/>
              <w:bottom w:val="nil" w:sz="6" w:space="0" w:color="auto"/>
              <w:right w:val="nil" w:sz="6" w:space="0" w:color="auto"/>
            </w:tcBorders>
          </w:tcPr>
          <w:p>
            <w:pPr/>
          </w:p>
        </w:tc>
        <w:tc>
          <w:tcPr>
            <w:tcW w:w="1716" w:type="dxa"/>
            <w:vMerge/>
            <w:tcBorders>
              <w:left w:val="nil" w:sz="6" w:space="0" w:color="auto"/>
              <w:bottom w:val="nil" w:sz="6" w:space="0" w:color="auto"/>
              <w:right w:val="nil" w:sz="6" w:space="0" w:color="auto"/>
            </w:tcBorders>
          </w:tcPr>
          <w:p>
            <w:pPr/>
          </w:p>
        </w:tc>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78" w:right="0"/>
              <w:jc w:val="left"/>
              <w:rPr>
                <w:rFonts w:ascii="宋体" w:hAnsi="宋体" w:cs="宋体" w:eastAsia="宋体" w:hint="default"/>
                <w:sz w:val="21"/>
                <w:szCs w:val="21"/>
              </w:rPr>
            </w:pPr>
            <w:r>
              <w:rPr>
                <w:rFonts w:ascii="宋体" w:hAnsi="宋体" w:cs="宋体" w:eastAsia="宋体" w:hint="default"/>
                <w:sz w:val="21"/>
                <w:szCs w:val="21"/>
              </w:rPr>
              <w:t>基本每股收益</w:t>
            </w:r>
          </w:p>
        </w:tc>
        <w:tc>
          <w:tcPr>
            <w:tcW w:w="1744"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99" w:right="0"/>
              <w:jc w:val="left"/>
              <w:rPr>
                <w:rFonts w:ascii="宋体" w:hAnsi="宋体" w:cs="宋体" w:eastAsia="宋体" w:hint="default"/>
                <w:sz w:val="21"/>
                <w:szCs w:val="21"/>
              </w:rPr>
            </w:pPr>
            <w:r>
              <w:rPr>
                <w:rFonts w:ascii="宋体" w:hAnsi="宋体" w:cs="宋体" w:eastAsia="宋体" w:hint="default"/>
                <w:sz w:val="21"/>
                <w:szCs w:val="21"/>
              </w:rPr>
              <w:t>稀释每股收益</w:t>
            </w:r>
          </w:p>
        </w:tc>
      </w:tr>
      <w:tr>
        <w:trPr>
          <w:trHeight w:val="758" w:hRule="exact"/>
        </w:trPr>
        <w:tc>
          <w:tcPr>
            <w:tcW w:w="2884" w:type="dxa"/>
            <w:tcBorders>
              <w:top w:val="nil" w:sz="6" w:space="0" w:color="auto"/>
              <w:left w:val="nil" w:sz="6" w:space="0" w:color="auto"/>
              <w:bottom w:val="nil" w:sz="6" w:space="0" w:color="auto"/>
              <w:right w:val="nil" w:sz="6" w:space="0" w:color="auto"/>
            </w:tcBorders>
          </w:tcPr>
          <w:p>
            <w:pPr>
              <w:pStyle w:val="TableParagraph"/>
              <w:spacing w:line="326" w:lineRule="auto" w:before="21"/>
              <w:ind w:left="100" w:right="100"/>
              <w:jc w:val="left"/>
              <w:rPr>
                <w:rFonts w:ascii="宋体" w:hAnsi="宋体" w:cs="宋体" w:eastAsia="宋体" w:hint="default"/>
                <w:sz w:val="21"/>
                <w:szCs w:val="21"/>
              </w:rPr>
            </w:pPr>
            <w:r>
              <w:rPr>
                <w:rFonts w:ascii="宋体" w:hAnsi="宋体" w:cs="宋体" w:eastAsia="宋体" w:hint="default"/>
                <w:spacing w:val="13"/>
                <w:sz w:val="21"/>
                <w:szCs w:val="21"/>
              </w:rPr>
              <w:t>归属于公司普通股股东的净 </w:t>
            </w:r>
            <w:r>
              <w:rPr>
                <w:rFonts w:ascii="宋体" w:hAnsi="宋体" w:cs="宋体" w:eastAsia="宋体" w:hint="default"/>
                <w:sz w:val="21"/>
                <w:szCs w:val="21"/>
              </w:rPr>
              <w:t>利润</w:t>
            </w:r>
          </w:p>
        </w:tc>
        <w:tc>
          <w:tcPr>
            <w:tcW w:w="171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9"/>
                <w:szCs w:val="19"/>
              </w:rPr>
            </w:pPr>
          </w:p>
          <w:p>
            <w:pPr>
              <w:pStyle w:val="TableParagraph"/>
              <w:spacing w:line="240" w:lineRule="auto"/>
              <w:ind w:right="219"/>
              <w:jc w:val="right"/>
              <w:rPr>
                <w:rFonts w:ascii="Times New Roman" w:hAnsi="Times New Roman" w:cs="Times New Roman" w:eastAsia="Times New Roman" w:hint="default"/>
                <w:sz w:val="21"/>
                <w:szCs w:val="21"/>
              </w:rPr>
            </w:pPr>
            <w:r>
              <w:rPr>
                <w:rFonts w:ascii="Times New Roman"/>
                <w:spacing w:val="-1"/>
                <w:sz w:val="21"/>
              </w:rPr>
              <w:t>13.64</w:t>
            </w:r>
          </w:p>
        </w:tc>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9"/>
                <w:szCs w:val="19"/>
              </w:rPr>
            </w:pPr>
          </w:p>
          <w:p>
            <w:pPr>
              <w:pStyle w:val="TableParagraph"/>
              <w:spacing w:line="240" w:lineRule="auto"/>
              <w:ind w:right="197"/>
              <w:jc w:val="right"/>
              <w:rPr>
                <w:rFonts w:ascii="Times New Roman" w:hAnsi="Times New Roman" w:cs="Times New Roman" w:eastAsia="Times New Roman" w:hint="default"/>
                <w:sz w:val="21"/>
                <w:szCs w:val="21"/>
              </w:rPr>
            </w:pPr>
            <w:r>
              <w:rPr>
                <w:rFonts w:ascii="Times New Roman"/>
                <w:spacing w:val="-1"/>
                <w:sz w:val="21"/>
              </w:rPr>
              <w:t>1.04</w:t>
            </w:r>
          </w:p>
        </w:tc>
        <w:tc>
          <w:tcPr>
            <w:tcW w:w="174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1.04</w:t>
            </w:r>
          </w:p>
        </w:tc>
      </w:tr>
      <w:tr>
        <w:trPr>
          <w:trHeight w:val="770" w:hRule="exact"/>
        </w:trPr>
        <w:tc>
          <w:tcPr>
            <w:tcW w:w="2884" w:type="dxa"/>
            <w:tcBorders>
              <w:top w:val="nil" w:sz="6" w:space="0" w:color="auto"/>
              <w:left w:val="nil" w:sz="6" w:space="0" w:color="auto"/>
              <w:bottom w:val="single" w:sz="12" w:space="0" w:color="000000"/>
              <w:right w:val="nil" w:sz="6" w:space="0" w:color="auto"/>
            </w:tcBorders>
          </w:tcPr>
          <w:p>
            <w:pPr>
              <w:pStyle w:val="TableParagraph"/>
              <w:spacing w:line="326" w:lineRule="auto" w:before="22"/>
              <w:ind w:left="100" w:right="100"/>
              <w:jc w:val="left"/>
              <w:rPr>
                <w:rFonts w:ascii="宋体" w:hAnsi="宋体" w:cs="宋体" w:eastAsia="宋体" w:hint="default"/>
                <w:sz w:val="21"/>
                <w:szCs w:val="21"/>
              </w:rPr>
            </w:pPr>
            <w:r>
              <w:rPr>
                <w:rFonts w:ascii="宋体" w:hAnsi="宋体" w:cs="宋体" w:eastAsia="宋体" w:hint="default"/>
                <w:spacing w:val="13"/>
                <w:sz w:val="21"/>
                <w:szCs w:val="21"/>
              </w:rPr>
              <w:t>扣除非经常性损益后归属于 </w:t>
            </w:r>
            <w:r>
              <w:rPr>
                <w:rFonts w:ascii="宋体" w:hAnsi="宋体" w:cs="宋体" w:eastAsia="宋体" w:hint="default"/>
                <w:sz w:val="21"/>
                <w:szCs w:val="21"/>
              </w:rPr>
              <w:t>公司普通股股东的净利润</w:t>
            </w:r>
          </w:p>
        </w:tc>
        <w:tc>
          <w:tcPr>
            <w:tcW w:w="1716"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19"/>
                <w:szCs w:val="19"/>
              </w:rPr>
            </w:pPr>
          </w:p>
          <w:p>
            <w:pPr>
              <w:pStyle w:val="TableParagraph"/>
              <w:spacing w:line="240" w:lineRule="auto"/>
              <w:ind w:right="219"/>
              <w:jc w:val="right"/>
              <w:rPr>
                <w:rFonts w:ascii="Times New Roman" w:hAnsi="Times New Roman" w:cs="Times New Roman" w:eastAsia="Times New Roman" w:hint="default"/>
                <w:sz w:val="21"/>
                <w:szCs w:val="21"/>
              </w:rPr>
            </w:pPr>
            <w:r>
              <w:rPr>
                <w:rFonts w:ascii="Times New Roman"/>
                <w:spacing w:val="-1"/>
                <w:sz w:val="21"/>
              </w:rPr>
              <w:t>13.52</w:t>
            </w:r>
          </w:p>
        </w:tc>
        <w:tc>
          <w:tcPr>
            <w:tcW w:w="1821"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19"/>
                <w:szCs w:val="19"/>
              </w:rPr>
            </w:pPr>
          </w:p>
          <w:p>
            <w:pPr>
              <w:pStyle w:val="TableParagraph"/>
              <w:spacing w:line="240" w:lineRule="auto"/>
              <w:ind w:right="197"/>
              <w:jc w:val="right"/>
              <w:rPr>
                <w:rFonts w:ascii="Times New Roman" w:hAnsi="Times New Roman" w:cs="Times New Roman" w:eastAsia="Times New Roman" w:hint="default"/>
                <w:sz w:val="21"/>
                <w:szCs w:val="21"/>
              </w:rPr>
            </w:pPr>
            <w:r>
              <w:rPr>
                <w:rFonts w:ascii="Times New Roman"/>
                <w:spacing w:val="-1"/>
                <w:sz w:val="21"/>
              </w:rPr>
              <w:t>1.03</w:t>
            </w:r>
          </w:p>
        </w:tc>
        <w:tc>
          <w:tcPr>
            <w:tcW w:w="1744"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1.03</w:t>
            </w:r>
          </w:p>
        </w:tc>
      </w:tr>
    </w:tbl>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tabs>
          <w:tab w:pos="853" w:val="left" w:leader="none"/>
        </w:tabs>
        <w:spacing w:line="328" w:lineRule="auto" w:before="35"/>
        <w:ind w:left="857" w:right="3854" w:hanging="732"/>
        <w:jc w:val="left"/>
        <w:rPr>
          <w:rFonts w:ascii="宋体" w:hAnsi="宋体" w:cs="宋体" w:eastAsia="宋体" w:hint="default"/>
          <w:sz w:val="21"/>
          <w:szCs w:val="21"/>
        </w:rPr>
      </w:pPr>
      <w:r>
        <w:rPr/>
        <w:pict>
          <v:group style="position:absolute;margin-left:119.839996pt;margin-top:57.63858pt;width:413.75pt;height:173.15pt;mso-position-horizontal-relative:page;mso-position-vertical-relative:paragraph;z-index:-704728" coordorigin="2397,1153" coordsize="8275,3463">
            <v:shape style="position:absolute;left:3628;top:1153;width:4343;height:787" type="#_x0000_t75" stroked="false">
              <v:imagedata r:id="rId343" o:title=""/>
            </v:shape>
            <v:shape style="position:absolute;left:2397;top:1908;width:8274;height:2708" type="#_x0000_t75" stroked="false">
              <v:imagedata r:id="rId344" o:title=""/>
            </v:shape>
            <w10:wrap type="none"/>
          </v:group>
        </w:pict>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三</w:t>
      </w:r>
      <w:r>
        <w:rPr>
          <w:rFonts w:ascii="Times New Roman" w:hAnsi="Times New Roman" w:cs="Times New Roman" w:eastAsia="Times New Roman" w:hint="default"/>
          <w:b/>
          <w:bCs/>
          <w:w w:val="95"/>
          <w:sz w:val="21"/>
          <w:szCs w:val="21"/>
        </w:rPr>
        <w:t>)</w:t>
        <w:tab/>
      </w:r>
      <w:r>
        <w:rPr>
          <w:rFonts w:ascii="宋体" w:hAnsi="宋体" w:cs="宋体" w:eastAsia="宋体" w:hint="default"/>
          <w:b/>
          <w:bCs/>
          <w:w w:val="95"/>
          <w:sz w:val="21"/>
          <w:szCs w:val="21"/>
        </w:rPr>
        <w:t>公司主要会计报表项目的异常情况及原因的说明</w:t>
      </w:r>
      <w:r>
        <w:rPr>
          <w:rFonts w:ascii="宋体" w:hAnsi="宋体" w:cs="宋体" w:eastAsia="宋体" w:hint="default"/>
          <w:b/>
          <w:bCs/>
          <w:spacing w:val="7"/>
          <w:w w:val="95"/>
          <w:sz w:val="21"/>
          <w:szCs w:val="21"/>
        </w:rPr>
        <w:t> </w:t>
      </w:r>
      <w:r>
        <w:rPr>
          <w:rFonts w:ascii="宋体" w:hAnsi="宋体" w:cs="宋体" w:eastAsia="宋体" w:hint="default"/>
          <w:b/>
          <w:bCs/>
          <w:spacing w:val="7"/>
          <w:w w:val="95"/>
          <w:sz w:val="21"/>
          <w:szCs w:val="21"/>
        </w:rPr>
      </w:r>
      <w:r>
        <w:rPr>
          <w:rFonts w:ascii="宋体" w:hAnsi="宋体" w:cs="宋体" w:eastAsia="宋体" w:hint="default"/>
          <w:sz w:val="21"/>
          <w:szCs w:val="21"/>
        </w:rPr>
        <w:t>金额异常或比较期间变动异常的报表项目</w:t>
      </w:r>
    </w:p>
    <w:p>
      <w:pPr>
        <w:spacing w:line="240" w:lineRule="auto" w:before="2"/>
        <w:rPr>
          <w:rFonts w:ascii="宋体" w:hAnsi="宋体" w:cs="宋体" w:eastAsia="宋体" w:hint="default"/>
          <w:sz w:val="27"/>
          <w:szCs w:val="27"/>
        </w:rPr>
      </w:pPr>
    </w:p>
    <w:tbl>
      <w:tblPr>
        <w:tblW w:w="0" w:type="auto"/>
        <w:jc w:val="left"/>
        <w:tblInd w:w="749" w:type="dxa"/>
        <w:tblLayout w:type="fixed"/>
        <w:tblCellMar>
          <w:top w:w="0" w:type="dxa"/>
          <w:left w:w="0" w:type="dxa"/>
          <w:bottom w:w="0" w:type="dxa"/>
          <w:right w:w="0" w:type="dxa"/>
        </w:tblCellMar>
        <w:tblLook w:val="01E0"/>
      </w:tblPr>
      <w:tblGrid>
        <w:gridCol w:w="1165"/>
        <w:gridCol w:w="1574"/>
        <w:gridCol w:w="1619"/>
        <w:gridCol w:w="1178"/>
        <w:gridCol w:w="2704"/>
      </w:tblGrid>
      <w:tr>
        <w:trPr>
          <w:trHeight w:val="777" w:hRule="exact"/>
        </w:trPr>
        <w:tc>
          <w:tcPr>
            <w:tcW w:w="1165"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260" w:right="0"/>
              <w:jc w:val="left"/>
              <w:rPr>
                <w:rFonts w:ascii="宋体" w:hAnsi="宋体" w:cs="宋体" w:eastAsia="宋体" w:hint="default"/>
                <w:sz w:val="18"/>
                <w:szCs w:val="18"/>
              </w:rPr>
            </w:pPr>
            <w:r>
              <w:rPr>
                <w:rFonts w:ascii="宋体" w:hAnsi="宋体" w:cs="宋体" w:eastAsia="宋体" w:hint="default"/>
                <w:sz w:val="18"/>
                <w:szCs w:val="18"/>
              </w:rPr>
              <w:t>报表项目</w:t>
            </w:r>
          </w:p>
        </w:tc>
        <w:tc>
          <w:tcPr>
            <w:tcW w:w="1574" w:type="dxa"/>
            <w:tcBorders>
              <w:top w:val="single" w:sz="12" w:space="0" w:color="000000"/>
              <w:left w:val="nil" w:sz="6" w:space="0" w:color="auto"/>
              <w:bottom w:val="nil" w:sz="6" w:space="0" w:color="auto"/>
              <w:right w:val="nil" w:sz="6" w:space="0" w:color="auto"/>
            </w:tcBorders>
          </w:tcPr>
          <w:p>
            <w:pPr>
              <w:pStyle w:val="TableParagraph"/>
              <w:spacing w:line="381" w:lineRule="auto" w:before="41"/>
              <w:ind w:left="454" w:right="128" w:hanging="270"/>
              <w:jc w:val="left"/>
              <w:rPr>
                <w:rFonts w:ascii="宋体" w:hAnsi="宋体" w:cs="宋体" w:eastAsia="宋体" w:hint="default"/>
                <w:sz w:val="18"/>
                <w:szCs w:val="18"/>
              </w:rPr>
            </w:pPr>
            <w:r>
              <w:rPr>
                <w:rFonts w:ascii="宋体" w:hAnsi="宋体" w:cs="宋体" w:eastAsia="宋体" w:hint="default"/>
                <w:sz w:val="18"/>
                <w:szCs w:val="18"/>
              </w:rPr>
              <w:t>期末余额（或本 期金额）</w:t>
            </w:r>
          </w:p>
        </w:tc>
        <w:tc>
          <w:tcPr>
            <w:tcW w:w="1619" w:type="dxa"/>
            <w:tcBorders>
              <w:top w:val="single" w:sz="12" w:space="0" w:color="000000"/>
              <w:left w:val="nil" w:sz="6" w:space="0" w:color="auto"/>
              <w:bottom w:val="nil" w:sz="6" w:space="0" w:color="auto"/>
              <w:right w:val="nil" w:sz="6" w:space="0" w:color="auto"/>
            </w:tcBorders>
          </w:tcPr>
          <w:p>
            <w:pPr>
              <w:pStyle w:val="TableParagraph"/>
              <w:spacing w:line="381" w:lineRule="auto" w:before="41"/>
              <w:ind w:left="398" w:right="228" w:hanging="270"/>
              <w:jc w:val="left"/>
              <w:rPr>
                <w:rFonts w:ascii="宋体" w:hAnsi="宋体" w:cs="宋体" w:eastAsia="宋体" w:hint="default"/>
                <w:sz w:val="18"/>
                <w:szCs w:val="18"/>
              </w:rPr>
            </w:pPr>
            <w:r>
              <w:rPr>
                <w:rFonts w:ascii="宋体" w:hAnsi="宋体" w:cs="宋体" w:eastAsia="宋体" w:hint="default"/>
                <w:sz w:val="18"/>
                <w:szCs w:val="18"/>
              </w:rPr>
              <w:t>年初余额（或上 期金额）</w:t>
            </w:r>
          </w:p>
        </w:tc>
        <w:tc>
          <w:tcPr>
            <w:tcW w:w="1178"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188" w:right="0"/>
              <w:jc w:val="left"/>
              <w:rPr>
                <w:rFonts w:ascii="宋体" w:hAnsi="宋体" w:cs="宋体" w:eastAsia="宋体" w:hint="default"/>
                <w:sz w:val="18"/>
                <w:szCs w:val="18"/>
              </w:rPr>
            </w:pPr>
            <w:r>
              <w:rPr>
                <w:rFonts w:ascii="宋体" w:hAnsi="宋体" w:cs="宋体" w:eastAsia="宋体" w:hint="default"/>
                <w:sz w:val="18"/>
                <w:szCs w:val="18"/>
              </w:rPr>
              <w:t>变动比率</w:t>
            </w:r>
          </w:p>
        </w:tc>
        <w:tc>
          <w:tcPr>
            <w:tcW w:w="2704"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6" w:right="0"/>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778" w:hRule="exact"/>
        </w:trPr>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126"/>
              <w:jc w:val="right"/>
              <w:rPr>
                <w:rFonts w:ascii="Times New Roman" w:hAnsi="Times New Roman" w:cs="Times New Roman" w:eastAsia="Times New Roman" w:hint="default"/>
                <w:sz w:val="18"/>
                <w:szCs w:val="18"/>
              </w:rPr>
            </w:pPr>
            <w:r>
              <w:rPr>
                <w:rFonts w:ascii="Times New Roman"/>
                <w:spacing w:val="-1"/>
                <w:sz w:val="18"/>
              </w:rPr>
              <w:t>343,554,805.65</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186"/>
              <w:jc w:val="right"/>
              <w:rPr>
                <w:rFonts w:ascii="Times New Roman" w:hAnsi="Times New Roman" w:cs="Times New Roman" w:eastAsia="Times New Roman" w:hint="default"/>
                <w:sz w:val="18"/>
                <w:szCs w:val="18"/>
              </w:rPr>
            </w:pPr>
            <w:r>
              <w:rPr>
                <w:rFonts w:ascii="Times New Roman"/>
                <w:spacing w:val="-1"/>
                <w:sz w:val="18"/>
              </w:rPr>
              <w:t>154,109,977.11</w:t>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122.93%</w:t>
            </w:r>
          </w:p>
        </w:tc>
        <w:tc>
          <w:tcPr>
            <w:tcW w:w="2704" w:type="dxa"/>
            <w:tcBorders>
              <w:top w:val="nil" w:sz="6" w:space="0" w:color="auto"/>
              <w:left w:val="nil" w:sz="6" w:space="0" w:color="auto"/>
              <w:bottom w:val="nil" w:sz="6" w:space="0" w:color="auto"/>
              <w:right w:val="nil" w:sz="6" w:space="0" w:color="auto"/>
            </w:tcBorders>
          </w:tcPr>
          <w:p>
            <w:pPr>
              <w:pStyle w:val="TableParagraph"/>
              <w:spacing w:line="381" w:lineRule="auto" w:before="54"/>
              <w:ind w:left="108" w:right="98"/>
              <w:jc w:val="left"/>
              <w:rPr>
                <w:rFonts w:ascii="宋体" w:hAnsi="宋体" w:cs="宋体" w:eastAsia="宋体" w:hint="default"/>
                <w:sz w:val="18"/>
                <w:szCs w:val="18"/>
              </w:rPr>
            </w:pPr>
            <w:r>
              <w:rPr>
                <w:rFonts w:ascii="宋体" w:hAnsi="宋体" w:cs="宋体" w:eastAsia="宋体" w:hint="default"/>
                <w:spacing w:val="-2"/>
                <w:sz w:val="18"/>
                <w:szCs w:val="18"/>
              </w:rPr>
              <w:t>由于销售规模增加，导致与主要</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客户电信运营商结算周期变长</w:t>
            </w:r>
          </w:p>
        </w:tc>
      </w:tr>
      <w:tr>
        <w:trPr>
          <w:trHeight w:val="767" w:hRule="exact"/>
        </w:trPr>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26"/>
              <w:jc w:val="right"/>
              <w:rPr>
                <w:rFonts w:ascii="Times New Roman" w:hAnsi="Times New Roman" w:cs="Times New Roman" w:eastAsia="Times New Roman" w:hint="default"/>
                <w:sz w:val="18"/>
                <w:szCs w:val="18"/>
              </w:rPr>
            </w:pPr>
            <w:r>
              <w:rPr>
                <w:rFonts w:ascii="Times New Roman"/>
                <w:spacing w:val="-1"/>
                <w:sz w:val="18"/>
              </w:rPr>
              <w:t>380,763,724.69</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86"/>
              <w:jc w:val="right"/>
              <w:rPr>
                <w:rFonts w:ascii="Times New Roman" w:hAnsi="Times New Roman" w:cs="Times New Roman" w:eastAsia="Times New Roman" w:hint="default"/>
                <w:sz w:val="18"/>
                <w:szCs w:val="18"/>
              </w:rPr>
            </w:pPr>
            <w:r>
              <w:rPr>
                <w:rFonts w:ascii="Times New Roman"/>
                <w:spacing w:val="-1"/>
                <w:sz w:val="18"/>
              </w:rPr>
              <w:t>21,423,453.90</w:t>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1677.32%</w:t>
            </w:r>
          </w:p>
        </w:tc>
        <w:tc>
          <w:tcPr>
            <w:tcW w:w="2704" w:type="dxa"/>
            <w:tcBorders>
              <w:top w:val="nil" w:sz="6" w:space="0" w:color="auto"/>
              <w:left w:val="nil" w:sz="6" w:space="0" w:color="auto"/>
              <w:bottom w:val="nil" w:sz="6" w:space="0" w:color="auto"/>
              <w:right w:val="nil" w:sz="6" w:space="0" w:color="auto"/>
            </w:tcBorders>
          </w:tcPr>
          <w:p>
            <w:pPr>
              <w:pStyle w:val="TableParagraph"/>
              <w:spacing w:line="381" w:lineRule="auto" w:before="50"/>
              <w:ind w:left="108" w:right="98"/>
              <w:jc w:val="left"/>
              <w:rPr>
                <w:rFonts w:ascii="宋体" w:hAnsi="宋体" w:cs="宋体" w:eastAsia="宋体" w:hint="default"/>
                <w:sz w:val="18"/>
                <w:szCs w:val="18"/>
              </w:rPr>
            </w:pPr>
            <w:r>
              <w:rPr>
                <w:rFonts w:ascii="宋体" w:hAnsi="宋体" w:cs="宋体" w:eastAsia="宋体" w:hint="default"/>
                <w:spacing w:val="-2"/>
                <w:sz w:val="18"/>
                <w:szCs w:val="18"/>
              </w:rPr>
              <w:t>本期购入办公及研发用房，结转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房屋及修装</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3.44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w:t>
            </w:r>
          </w:p>
        </w:tc>
      </w:tr>
      <w:tr>
        <w:trPr>
          <w:trHeight w:val="1139" w:hRule="exact"/>
        </w:trPr>
        <w:tc>
          <w:tcPr>
            <w:tcW w:w="1165"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574"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26"/>
              <w:jc w:val="right"/>
              <w:rPr>
                <w:rFonts w:ascii="Times New Roman" w:hAnsi="Times New Roman" w:cs="Times New Roman" w:eastAsia="Times New Roman" w:hint="default"/>
                <w:sz w:val="18"/>
                <w:szCs w:val="18"/>
              </w:rPr>
            </w:pPr>
            <w:r>
              <w:rPr>
                <w:rFonts w:ascii="Times New Roman"/>
                <w:spacing w:val="-1"/>
                <w:sz w:val="18"/>
              </w:rPr>
              <w:t>316,000,000.00</w:t>
            </w:r>
          </w:p>
        </w:tc>
        <w:tc>
          <w:tcPr>
            <w:tcW w:w="1619"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86"/>
              <w:jc w:val="right"/>
              <w:rPr>
                <w:rFonts w:ascii="Times New Roman" w:hAnsi="Times New Roman" w:cs="Times New Roman" w:eastAsia="Times New Roman" w:hint="default"/>
                <w:sz w:val="18"/>
                <w:szCs w:val="18"/>
              </w:rPr>
            </w:pPr>
            <w:r>
              <w:rPr>
                <w:rFonts w:ascii="Times New Roman"/>
                <w:spacing w:val="-1"/>
                <w:sz w:val="18"/>
              </w:rPr>
              <w:t>126,400,000.00</w:t>
            </w:r>
          </w:p>
        </w:tc>
        <w:tc>
          <w:tcPr>
            <w:tcW w:w="1178"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150.00%</w:t>
            </w:r>
          </w:p>
        </w:tc>
        <w:tc>
          <w:tcPr>
            <w:tcW w:w="2704"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根据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年度股东大会决议，</w:t>
            </w:r>
          </w:p>
          <w:p>
            <w:pPr>
              <w:pStyle w:val="TableParagraph"/>
              <w:spacing w:line="240" w:lineRule="auto" w:before="125"/>
              <w:ind w:left="108" w:right="0"/>
              <w:jc w:val="left"/>
              <w:rPr>
                <w:rFonts w:ascii="宋体" w:hAnsi="宋体" w:cs="宋体" w:eastAsia="宋体" w:hint="default"/>
                <w:sz w:val="18"/>
                <w:szCs w:val="18"/>
              </w:rPr>
            </w:pPr>
            <w:r>
              <w:rPr>
                <w:rFonts w:ascii="宋体" w:hAnsi="宋体" w:cs="宋体" w:eastAsia="宋体" w:hint="default"/>
                <w:sz w:val="18"/>
                <w:szCs w:val="18"/>
              </w:rPr>
              <w:t>本期实施以资本公积金每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股</w:t>
            </w:r>
          </w:p>
          <w:p>
            <w:pPr>
              <w:pStyle w:val="TableParagraph"/>
              <w:spacing w:line="240" w:lineRule="auto" w:before="125"/>
              <w:ind w:left="108" w:right="0"/>
              <w:jc w:val="left"/>
              <w:rPr>
                <w:rFonts w:ascii="宋体" w:hAnsi="宋体" w:cs="宋体" w:eastAsia="宋体" w:hint="default"/>
                <w:sz w:val="18"/>
                <w:szCs w:val="18"/>
              </w:rPr>
            </w:pPr>
            <w:r>
              <w:rPr>
                <w:rFonts w:ascii="宋体" w:hAnsi="宋体" w:cs="宋体" w:eastAsia="宋体" w:hint="default"/>
                <w:sz w:val="18"/>
                <w:szCs w:val="18"/>
              </w:rPr>
              <w:t>转增</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股的分配方案</w:t>
            </w:r>
          </w:p>
        </w:tc>
      </w:tr>
    </w:tbl>
    <w:p>
      <w:pPr>
        <w:spacing w:after="0" w:line="240" w:lineRule="auto"/>
        <w:jc w:val="left"/>
        <w:rPr>
          <w:rFonts w:ascii="宋体" w:hAnsi="宋体" w:cs="宋体" w:eastAsia="宋体" w:hint="default"/>
          <w:sz w:val="18"/>
          <w:szCs w:val="18"/>
        </w:rPr>
        <w:sectPr>
          <w:pgSz w:w="11910" w:h="16840"/>
          <w:pgMar w:header="851" w:footer="982" w:top="1360" w:bottom="1180" w:left="1660" w:right="1120"/>
        </w:sectPr>
      </w:pPr>
    </w:p>
    <w:p>
      <w:pPr>
        <w:spacing w:line="240" w:lineRule="auto" w:before="3"/>
        <w:rPr>
          <w:rFonts w:ascii="宋体" w:hAnsi="宋体" w:cs="宋体" w:eastAsia="宋体" w:hint="default"/>
          <w:sz w:val="2"/>
          <w:szCs w:val="2"/>
        </w:rPr>
      </w:pPr>
      <w:r>
        <w:rPr/>
        <w:pict>
          <v:group style="position:absolute;margin-left:88.5pt;margin-top:67.680pt;width:418.35pt;height:.1pt;mso-position-horizontal-relative:page;mso-position-vertical-relative:page;z-index:-704704" coordorigin="1770,1354" coordsize="8367,2">
            <v:shape style="position:absolute;left:1770;top:1354;width:8367;height:2" coordorigin="1770,1354" coordsize="8367,0" path="m1770,1354l10136,1354e" filled="false" stroked="true" strokeweight=".72pt" strokecolor="#000000">
              <v:path arrowok="t"/>
            </v:shape>
            <w10:wrap type="none"/>
          </v:group>
        </w:pict>
      </w:r>
    </w:p>
    <w:tbl>
      <w:tblPr>
        <w:tblW w:w="0" w:type="auto"/>
        <w:jc w:val="left"/>
        <w:tblInd w:w="749" w:type="dxa"/>
        <w:tblLayout w:type="fixed"/>
        <w:tblCellMar>
          <w:top w:w="0" w:type="dxa"/>
          <w:left w:w="0" w:type="dxa"/>
          <w:bottom w:w="0" w:type="dxa"/>
          <w:right w:w="0" w:type="dxa"/>
        </w:tblCellMar>
        <w:tblLook w:val="01E0"/>
      </w:tblPr>
      <w:tblGrid>
        <w:gridCol w:w="1089"/>
        <w:gridCol w:w="1671"/>
        <w:gridCol w:w="1716"/>
        <w:gridCol w:w="1060"/>
        <w:gridCol w:w="2704"/>
      </w:tblGrid>
      <w:tr>
        <w:trPr>
          <w:trHeight w:val="1249" w:hRule="exact"/>
        </w:trPr>
        <w:tc>
          <w:tcPr>
            <w:tcW w:w="1089"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671"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48"/>
              <w:jc w:val="right"/>
              <w:rPr>
                <w:rFonts w:ascii="Times New Roman" w:hAnsi="Times New Roman" w:cs="Times New Roman" w:eastAsia="Times New Roman" w:hint="default"/>
                <w:sz w:val="18"/>
                <w:szCs w:val="18"/>
              </w:rPr>
            </w:pPr>
            <w:r>
              <w:rPr>
                <w:rFonts w:ascii="Times New Roman"/>
                <w:spacing w:val="-1"/>
                <w:sz w:val="18"/>
              </w:rPr>
              <w:t>1,561,942,524.85</w:t>
            </w:r>
          </w:p>
        </w:tc>
        <w:tc>
          <w:tcPr>
            <w:tcW w:w="1716"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304"/>
              <w:jc w:val="right"/>
              <w:rPr>
                <w:rFonts w:ascii="Times New Roman" w:hAnsi="Times New Roman" w:cs="Times New Roman" w:eastAsia="Times New Roman" w:hint="default"/>
                <w:sz w:val="18"/>
                <w:szCs w:val="18"/>
              </w:rPr>
            </w:pPr>
            <w:r>
              <w:rPr>
                <w:rFonts w:ascii="Times New Roman"/>
                <w:spacing w:val="-1"/>
                <w:sz w:val="18"/>
              </w:rPr>
              <w:t>1,758,214,919.92</w:t>
            </w:r>
          </w:p>
        </w:tc>
        <w:tc>
          <w:tcPr>
            <w:tcW w:w="1060"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2"/>
                <w:sz w:val="18"/>
              </w:rPr>
              <w:t>-11.16%</w:t>
            </w:r>
          </w:p>
        </w:tc>
        <w:tc>
          <w:tcPr>
            <w:tcW w:w="270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根据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年度股东大会决议，</w:t>
            </w:r>
          </w:p>
          <w:p>
            <w:pPr>
              <w:pStyle w:val="TableParagraph"/>
              <w:spacing w:line="240" w:lineRule="auto" w:before="125"/>
              <w:ind w:left="108" w:right="0"/>
              <w:jc w:val="left"/>
              <w:rPr>
                <w:rFonts w:ascii="宋体" w:hAnsi="宋体" w:cs="宋体" w:eastAsia="宋体" w:hint="default"/>
                <w:sz w:val="18"/>
                <w:szCs w:val="18"/>
              </w:rPr>
            </w:pPr>
            <w:r>
              <w:rPr>
                <w:rFonts w:ascii="宋体" w:hAnsi="宋体" w:cs="宋体" w:eastAsia="宋体" w:hint="default"/>
                <w:sz w:val="18"/>
                <w:szCs w:val="18"/>
              </w:rPr>
              <w:t>本期实施以资本公积金每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股</w:t>
            </w:r>
          </w:p>
          <w:p>
            <w:pPr>
              <w:pStyle w:val="TableParagraph"/>
              <w:spacing w:line="240" w:lineRule="auto" w:before="125"/>
              <w:ind w:left="108" w:right="0"/>
              <w:jc w:val="left"/>
              <w:rPr>
                <w:rFonts w:ascii="宋体" w:hAnsi="宋体" w:cs="宋体" w:eastAsia="宋体" w:hint="default"/>
                <w:sz w:val="18"/>
                <w:szCs w:val="18"/>
              </w:rPr>
            </w:pPr>
            <w:r>
              <w:rPr>
                <w:rFonts w:ascii="宋体" w:hAnsi="宋体" w:cs="宋体" w:eastAsia="宋体" w:hint="default"/>
                <w:sz w:val="18"/>
                <w:szCs w:val="18"/>
              </w:rPr>
              <w:t>转增</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股的分配方案</w:t>
            </w:r>
          </w:p>
        </w:tc>
      </w:tr>
      <w:tr>
        <w:trPr>
          <w:trHeight w:val="757" w:hRule="exact"/>
        </w:trPr>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148"/>
              <w:jc w:val="right"/>
              <w:rPr>
                <w:rFonts w:ascii="Times New Roman" w:hAnsi="Times New Roman" w:cs="Times New Roman" w:eastAsia="Times New Roman" w:hint="default"/>
                <w:sz w:val="18"/>
                <w:szCs w:val="18"/>
              </w:rPr>
            </w:pPr>
            <w:r>
              <w:rPr>
                <w:rFonts w:ascii="Times New Roman"/>
                <w:spacing w:val="-1"/>
                <w:sz w:val="18"/>
              </w:rPr>
              <w:t>28,993,688.35</w:t>
            </w:r>
          </w:p>
        </w:tc>
        <w:tc>
          <w:tcPr>
            <w:tcW w:w="171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304"/>
              <w:jc w:val="right"/>
              <w:rPr>
                <w:rFonts w:ascii="Times New Roman" w:hAnsi="Times New Roman" w:cs="Times New Roman" w:eastAsia="Times New Roman" w:hint="default"/>
                <w:sz w:val="18"/>
                <w:szCs w:val="18"/>
              </w:rPr>
            </w:pPr>
            <w:r>
              <w:rPr>
                <w:rFonts w:ascii="Times New Roman"/>
                <w:spacing w:val="-1"/>
                <w:sz w:val="18"/>
              </w:rPr>
              <w:t>19,086,321.57</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51.91%</w:t>
            </w:r>
          </w:p>
        </w:tc>
        <w:tc>
          <w:tcPr>
            <w:tcW w:w="2704" w:type="dxa"/>
            <w:tcBorders>
              <w:top w:val="nil" w:sz="6" w:space="0" w:color="auto"/>
              <w:left w:val="nil" w:sz="6" w:space="0" w:color="auto"/>
              <w:bottom w:val="nil" w:sz="6" w:space="0" w:color="auto"/>
              <w:right w:val="nil" w:sz="6" w:space="0" w:color="auto"/>
            </w:tcBorders>
          </w:tcPr>
          <w:p>
            <w:pPr>
              <w:pStyle w:val="TableParagraph"/>
              <w:spacing w:line="381" w:lineRule="auto" w:before="41"/>
              <w:ind w:left="108" w:right="98"/>
              <w:jc w:val="left"/>
              <w:rPr>
                <w:rFonts w:ascii="宋体" w:hAnsi="宋体" w:cs="宋体" w:eastAsia="宋体" w:hint="default"/>
                <w:sz w:val="18"/>
                <w:szCs w:val="18"/>
              </w:rPr>
            </w:pPr>
            <w:r>
              <w:rPr>
                <w:rFonts w:ascii="宋体" w:hAnsi="宋体" w:cs="宋体" w:eastAsia="宋体" w:hint="default"/>
                <w:spacing w:val="-2"/>
                <w:sz w:val="18"/>
                <w:szCs w:val="18"/>
              </w:rPr>
              <w:t>销售团队人员增加，各项相关支</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出增加</w:t>
            </w:r>
          </w:p>
        </w:tc>
      </w:tr>
      <w:tr>
        <w:trPr>
          <w:trHeight w:val="1140" w:hRule="exact"/>
        </w:trPr>
        <w:tc>
          <w:tcPr>
            <w:tcW w:w="1089"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671"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148"/>
              <w:jc w:val="right"/>
              <w:rPr>
                <w:rFonts w:ascii="Times New Roman" w:hAnsi="Times New Roman" w:cs="Times New Roman" w:eastAsia="Times New Roman" w:hint="default"/>
                <w:sz w:val="18"/>
                <w:szCs w:val="18"/>
              </w:rPr>
            </w:pPr>
            <w:r>
              <w:rPr>
                <w:rFonts w:ascii="Times New Roman"/>
                <w:spacing w:val="-1"/>
                <w:sz w:val="18"/>
              </w:rPr>
              <w:t>-32,711,061.63</w:t>
            </w:r>
          </w:p>
        </w:tc>
        <w:tc>
          <w:tcPr>
            <w:tcW w:w="1716"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304"/>
              <w:jc w:val="right"/>
              <w:rPr>
                <w:rFonts w:ascii="Times New Roman" w:hAnsi="Times New Roman" w:cs="Times New Roman" w:eastAsia="Times New Roman" w:hint="default"/>
                <w:sz w:val="18"/>
                <w:szCs w:val="18"/>
              </w:rPr>
            </w:pPr>
            <w:r>
              <w:rPr>
                <w:rFonts w:ascii="Times New Roman"/>
                <w:spacing w:val="-1"/>
                <w:sz w:val="18"/>
              </w:rPr>
              <w:t>-4,497,721.03</w:t>
            </w:r>
          </w:p>
        </w:tc>
        <w:tc>
          <w:tcPr>
            <w:tcW w:w="1060"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627.28%</w:t>
            </w:r>
          </w:p>
        </w:tc>
        <w:tc>
          <w:tcPr>
            <w:tcW w:w="2704" w:type="dxa"/>
            <w:tcBorders>
              <w:top w:val="nil" w:sz="6" w:space="0" w:color="auto"/>
              <w:left w:val="nil" w:sz="6" w:space="0" w:color="auto"/>
              <w:bottom w:val="single" w:sz="12" w:space="0" w:color="000000"/>
              <w:right w:val="nil" w:sz="6" w:space="0" w:color="auto"/>
            </w:tcBorders>
          </w:tcPr>
          <w:p>
            <w:pPr>
              <w:pStyle w:val="TableParagraph"/>
              <w:spacing w:line="372" w:lineRule="auto" w:before="42"/>
              <w:ind w:left="108" w:right="97" w:hanging="1"/>
              <w:jc w:val="both"/>
              <w:rPr>
                <w:rFonts w:ascii="宋体" w:hAnsi="宋体" w:cs="宋体" w:eastAsia="宋体" w:hint="default"/>
                <w:sz w:val="18"/>
                <w:szCs w:val="18"/>
              </w:rPr>
            </w:pPr>
            <w:r>
              <w:rPr>
                <w:rFonts w:ascii="宋体" w:hAnsi="宋体" w:cs="宋体" w:eastAsia="宋体" w:hint="default"/>
                <w:sz w:val="18"/>
                <w:szCs w:val="18"/>
              </w:rPr>
              <w:t>上年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3"/>
                <w:sz w:val="18"/>
                <w:szCs w:val="18"/>
              </w:rPr>
              <w:t> </w:t>
            </w:r>
            <w:r>
              <w:rPr>
                <w:rFonts w:ascii="宋体" w:hAnsi="宋体" w:cs="宋体" w:eastAsia="宋体" w:hint="default"/>
                <w:spacing w:val="-3"/>
                <w:sz w:val="18"/>
                <w:szCs w:val="18"/>
              </w:rPr>
              <w:t>月末，募集资金到位，本</w:t>
            </w:r>
            <w:r>
              <w:rPr>
                <w:rFonts w:ascii="宋体" w:hAnsi="宋体" w:cs="宋体" w:eastAsia="宋体" w:hint="default"/>
                <w:sz w:val="18"/>
                <w:szCs w:val="18"/>
              </w:rPr>
              <w:t> </w:t>
            </w:r>
            <w:r>
              <w:rPr>
                <w:rFonts w:ascii="宋体" w:hAnsi="宋体" w:cs="宋体" w:eastAsia="宋体" w:hint="default"/>
                <w:spacing w:val="11"/>
                <w:sz w:val="18"/>
                <w:szCs w:val="18"/>
              </w:rPr>
              <w:t>年产生的银行利息收入大幅增</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加</w:t>
            </w:r>
          </w:p>
        </w:tc>
      </w:tr>
    </w:tbl>
    <w:p>
      <w:pPr>
        <w:spacing w:line="240" w:lineRule="auto" w:before="0"/>
        <w:rPr>
          <w:rFonts w:ascii="宋体" w:hAnsi="宋体" w:cs="宋体" w:eastAsia="宋体" w:hint="default"/>
          <w:sz w:val="20"/>
          <w:szCs w:val="20"/>
        </w:rPr>
      </w:pPr>
    </w:p>
    <w:p>
      <w:pPr>
        <w:pStyle w:val="Heading1"/>
        <w:spacing w:line="240" w:lineRule="auto" w:before="187"/>
        <w:ind w:left="125" w:right="3854"/>
        <w:jc w:val="left"/>
        <w:rPr>
          <w:b w:val="0"/>
          <w:bCs w:val="0"/>
        </w:rPr>
      </w:pPr>
      <w:r>
        <w:rPr/>
        <w:pict>
          <v:group style="position:absolute;margin-left:119.839996pt;margin-top:-166.353958pt;width:413.75pt;height:152.4pt;mso-position-horizontal-relative:page;mso-position-vertical-relative:paragraph;z-index:-704680" coordorigin="2397,-3327" coordsize="8275,3048">
            <v:shape style="position:absolute;left:3628;top:-3327;width:4343;height:1162" type="#_x0000_t75" stroked="false">
              <v:imagedata r:id="rId345" o:title=""/>
            </v:shape>
            <v:shape style="position:absolute;left:2397;top:-2197;width:8274;height:1918" type="#_x0000_t75" stroked="false">
              <v:imagedata r:id="rId346" o:title=""/>
            </v:shape>
            <w10:wrap type="none"/>
          </v:group>
        </w:pict>
      </w:r>
      <w:r>
        <w:rPr/>
        <w:t>十三、财务报表的批准报出</w:t>
      </w:r>
      <w:r>
        <w:rPr>
          <w:b w:val="0"/>
          <w:bCs w:val="0"/>
        </w:rPr>
      </w:r>
    </w:p>
    <w:p>
      <w:pPr>
        <w:pStyle w:val="BodyText"/>
        <w:spacing w:line="240" w:lineRule="auto" w:before="129"/>
        <w:ind w:left="857" w:right="144"/>
        <w:jc w:val="left"/>
      </w:pPr>
      <w:r>
        <w:rPr/>
        <w:t>本财务报表业经公司董事会于</w:t>
      </w:r>
      <w:r>
        <w:rPr>
          <w:spacing w:val="-57"/>
        </w:rPr>
        <w:t> </w:t>
      </w:r>
      <w:r>
        <w:rPr/>
        <w:t>2011</w:t>
      </w:r>
      <w:r>
        <w:rPr>
          <w:spacing w:val="-57"/>
        </w:rPr>
        <w:t> </w:t>
      </w:r>
      <w:r>
        <w:rPr/>
        <w:t>年</w:t>
      </w:r>
      <w:r>
        <w:rPr>
          <w:spacing w:val="-57"/>
        </w:rPr>
        <w:t> </w:t>
      </w:r>
      <w:r>
        <w:rPr/>
        <w:t>3</w:t>
      </w:r>
      <w:r>
        <w:rPr>
          <w:spacing w:val="-56"/>
        </w:rPr>
        <w:t> </w:t>
      </w:r>
      <w:r>
        <w:rPr/>
        <w:t>月</w:t>
      </w:r>
      <w:r>
        <w:rPr>
          <w:spacing w:val="-58"/>
        </w:rPr>
        <w:t> </w:t>
      </w:r>
      <w:r>
        <w:rPr/>
        <w:t>15</w:t>
      </w:r>
      <w:r>
        <w:rPr>
          <w:spacing w:val="-56"/>
        </w:rPr>
        <w:t> </w:t>
      </w:r>
      <w:r>
        <w:rPr/>
        <w:t>日批准报出。</w:t>
      </w:r>
    </w:p>
    <w:p>
      <w:pPr>
        <w:spacing w:after="0" w:line="240" w:lineRule="auto"/>
        <w:jc w:val="left"/>
        <w:sectPr>
          <w:pgSz w:w="11910" w:h="16840"/>
          <w:pgMar w:header="851" w:footer="982" w:top="1300" w:bottom="1180" w:left="1660" w:right="1120"/>
        </w:sectPr>
      </w:pPr>
    </w:p>
    <w:p>
      <w:pPr>
        <w:spacing w:line="240" w:lineRule="auto" w:before="11"/>
        <w:rPr>
          <w:rFonts w:ascii="宋体" w:hAnsi="宋体" w:cs="宋体" w:eastAsia="宋体" w:hint="default"/>
          <w:sz w:val="2"/>
          <w:szCs w:val="2"/>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2pt" strokecolor="#000000">
                <v:path arrowok="t"/>
              </v:shape>
            </v:group>
          </v:group>
        </w:pict>
      </w:r>
      <w:r>
        <w:rPr>
          <w:rFonts w:ascii="宋体" w:hAnsi="宋体" w:cs="宋体" w:eastAsia="宋体" w:hint="default"/>
          <w:sz w:val="2"/>
          <w:szCs w:val="2"/>
        </w:rPr>
      </w:r>
    </w:p>
    <w:p>
      <w:pPr>
        <w:spacing w:line="240" w:lineRule="auto" w:before="9"/>
        <w:rPr>
          <w:rFonts w:ascii="宋体" w:hAnsi="宋体" w:cs="宋体" w:eastAsia="宋体" w:hint="default"/>
          <w:sz w:val="6"/>
          <w:szCs w:val="6"/>
        </w:rPr>
      </w:pPr>
    </w:p>
    <w:p>
      <w:pPr>
        <w:pStyle w:val="Heading1"/>
        <w:spacing w:line="240" w:lineRule="auto"/>
        <w:ind w:left="3389" w:right="0"/>
        <w:jc w:val="left"/>
        <w:rPr>
          <w:b w:val="0"/>
          <w:bCs w:val="0"/>
        </w:rPr>
      </w:pPr>
      <w:bookmarkStart w:name="_bookmark10" w:id="11"/>
      <w:bookmarkEnd w:id="11"/>
      <w:r>
        <w:rPr>
          <w:b w:val="0"/>
          <w:bCs w:val="0"/>
        </w:rPr>
      </w:r>
      <w:r>
        <w:rPr/>
        <w:t>第十节</w:t>
      </w:r>
      <w:r>
        <w:rPr>
          <w:spacing w:val="-7"/>
        </w:rPr>
        <w:t> </w:t>
      </w:r>
      <w:r>
        <w:rPr/>
        <w:t>备查文件</w:t>
      </w:r>
      <w:r>
        <w:rPr>
          <w:b w:val="0"/>
          <w:bCs w:val="0"/>
        </w:rPr>
      </w:r>
    </w:p>
    <w:p>
      <w:pPr>
        <w:spacing w:line="240" w:lineRule="auto" w:before="0"/>
        <w:rPr>
          <w:rFonts w:ascii="宋体" w:hAnsi="宋体" w:cs="宋体" w:eastAsia="宋体" w:hint="default"/>
          <w:b/>
          <w:bCs/>
          <w:sz w:val="24"/>
          <w:szCs w:val="24"/>
        </w:rPr>
      </w:pPr>
    </w:p>
    <w:p>
      <w:pPr>
        <w:spacing w:line="240" w:lineRule="auto" w:before="10"/>
        <w:rPr>
          <w:rFonts w:ascii="宋体" w:hAnsi="宋体" w:cs="宋体" w:eastAsia="宋体" w:hint="default"/>
          <w:b/>
          <w:bCs/>
          <w:sz w:val="22"/>
          <w:szCs w:val="22"/>
        </w:rPr>
      </w:pPr>
    </w:p>
    <w:p>
      <w:pPr>
        <w:pStyle w:val="BodyText"/>
        <w:spacing w:line="620" w:lineRule="atLeast"/>
        <w:ind w:left="560" w:right="0"/>
        <w:jc w:val="left"/>
      </w:pPr>
      <w:r>
        <w:rPr/>
        <w:t>一、载有董事长王宁先生签名的2010年年度报告文件原件； </w:t>
      </w:r>
      <w:r>
        <w:rPr>
          <w:spacing w:val="-3"/>
        </w:rPr>
        <w:t>二、载有法定代表人王宁先生、主管会计工作负责人万能先生、会计机构负责人林红女</w:t>
      </w:r>
    </w:p>
    <w:p>
      <w:pPr>
        <w:spacing w:line="240" w:lineRule="auto" w:before="10"/>
        <w:rPr>
          <w:rFonts w:ascii="宋体" w:hAnsi="宋体" w:cs="宋体" w:eastAsia="宋体" w:hint="default"/>
          <w:sz w:val="14"/>
          <w:szCs w:val="14"/>
        </w:rPr>
      </w:pPr>
    </w:p>
    <w:p>
      <w:pPr>
        <w:pStyle w:val="BodyText"/>
        <w:spacing w:line="240" w:lineRule="auto"/>
        <w:ind w:left="140" w:right="0"/>
        <w:jc w:val="left"/>
      </w:pPr>
      <w:r>
        <w:rPr/>
        <w:t>士签名并盖章的财务报告文本；</w:t>
      </w:r>
    </w:p>
    <w:p>
      <w:pPr>
        <w:spacing w:line="240" w:lineRule="auto" w:before="9"/>
        <w:rPr>
          <w:rFonts w:ascii="宋体" w:hAnsi="宋体" w:cs="宋体" w:eastAsia="宋体" w:hint="default"/>
          <w:sz w:val="26"/>
          <w:szCs w:val="26"/>
        </w:rPr>
      </w:pPr>
    </w:p>
    <w:p>
      <w:pPr>
        <w:pStyle w:val="BodyText"/>
        <w:spacing w:line="408" w:lineRule="auto"/>
        <w:ind w:left="140" w:right="0" w:firstLine="420"/>
        <w:jc w:val="left"/>
      </w:pPr>
      <w:r>
        <w:rPr>
          <w:spacing w:val="2"/>
        </w:rPr>
        <w:t>三、报告期内在中国证监会指定报纸上公开披露过的所有公司文件的正本及公告的原</w:t>
      </w:r>
      <w:r>
        <w:rPr/>
        <w:t> 稿；</w:t>
      </w:r>
    </w:p>
    <w:p>
      <w:pPr>
        <w:spacing w:line="240" w:lineRule="auto" w:before="6"/>
        <w:rPr>
          <w:rFonts w:ascii="宋体" w:hAnsi="宋体" w:cs="宋体" w:eastAsia="宋体" w:hint="default"/>
          <w:sz w:val="15"/>
          <w:szCs w:val="15"/>
        </w:rPr>
      </w:pPr>
    </w:p>
    <w:p>
      <w:pPr>
        <w:pStyle w:val="BodyText"/>
        <w:spacing w:line="544" w:lineRule="auto"/>
        <w:ind w:left="560" w:right="3804"/>
        <w:jc w:val="left"/>
      </w:pPr>
      <w:r>
        <w:rPr/>
        <w:t>四、其他相关资料。 以上备查文件的备置地点：公司董事会办公室</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7"/>
          <w:szCs w:val="17"/>
        </w:rPr>
      </w:pPr>
    </w:p>
    <w:p>
      <w:pPr>
        <w:pStyle w:val="BodyText"/>
        <w:spacing w:line="544" w:lineRule="auto"/>
        <w:ind w:left="5285" w:right="1179" w:hanging="840"/>
        <w:jc w:val="left"/>
      </w:pPr>
      <w:r>
        <w:rPr/>
        <w:t>北京神州泰岳软件股份有限公司 董事长：王宁 2011年3月17日</w:t>
      </w:r>
    </w:p>
    <w:sectPr>
      <w:pgSz w:w="11910" w:h="16840"/>
      <w:pgMar w:header="851" w:footer="982" w:top="1300" w:bottom="1180" w:left="1660" w:right="16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Microsoft JhengHei">
    <w:altName w:val="Microsoft JhengHei"/>
    <w:charset w:val="0"/>
    <w:family w:val="swiss"/>
    <w:pitch w:val="variable"/>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7126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004pt;margin-top:781.897522pt;width:13pt;height:11pt;mso-position-horizontal-relative:page;mso-position-vertical-relative:page;z-index:-71228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49</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004pt;margin-top:781.897522pt;width:13pt;height:11pt;mso-position-horizontal-relative:page;mso-position-vertical-relative:page;z-index:-71226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004pt;margin-top:781.897522pt;width:13pt;height:11pt;mso-position-horizontal-relative:page;mso-position-vertical-relative:page;z-index:-71224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62</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004pt;margin-top:781.897522pt;width:13pt;height:11pt;mso-position-horizontal-relative:page;mso-position-vertical-relative:page;z-index:-71221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63</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09.879997pt;margin-top:755.169739pt;width:396.7pt;height:12.5pt;mso-position-horizontal-relative:page;mso-position-vertical-relative:page;z-index:-712192" type="#_x0000_t202" filled="false" stroked="false">
          <v:textbox inset="0,0,0,0">
            <w:txbxContent>
              <w:p>
                <w:pPr>
                  <w:pStyle w:val="BodyText"/>
                  <w:spacing w:line="230" w:lineRule="exact"/>
                  <w:ind w:left="20" w:right="0"/>
                  <w:jc w:val="left"/>
                </w:pPr>
                <w:r>
                  <w:rPr/>
                  <w:t>2、报告期内，公司董事长严格按照法律法规和《公司章程》的要求，依法行使权力，</w:t>
                </w:r>
              </w:p>
            </w:txbxContent>
          </v:textbox>
          <w10:wrap type="none"/>
        </v:shape>
      </w:pict>
    </w:r>
    <w:r>
      <w:rPr/>
      <w:pict>
        <v:shape style="position:absolute;margin-left:291.160004pt;margin-top:781.897522pt;width:13pt;height:11pt;mso-position-horizontal-relative:page;mso-position-vertical-relative:page;z-index:-71216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68</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004pt;margin-top:781.897522pt;width:13pt;height:11pt;mso-position-horizontal-relative:page;mso-position-vertical-relative:page;z-index:-71214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69</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004pt;margin-top:781.897522pt;width:13pt;height:11pt;mso-position-horizontal-relative:page;mso-position-vertical-relative:page;z-index:-71212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72</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004pt;margin-top:781.897522pt;width:13pt;height:11pt;mso-position-horizontal-relative:page;mso-position-vertical-relative:page;z-index:-71209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79</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0.990501pt;margin-top:498.62561pt;width:173pt;height:11pt;mso-position-horizontal-relative:page;mso-position-vertical-relative:page;z-index:-71202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txbxContent>
          </v:textbox>
          <w10:wrap type="none"/>
        </v:shape>
      </w:pict>
    </w:r>
    <w:r>
      <w:rPr/>
      <w:pict>
        <v:shape style="position:absolute;margin-left:70.990501pt;margin-top:518.725647pt;width:74pt;height:11pt;mso-position-horizontal-relative:page;mso-position-vertical-relative:page;z-index:-71200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r>
              </w:p>
            </w:txbxContent>
          </v:textbox>
          <w10:wrap type="none"/>
        </v:shape>
      </w:pict>
    </w:r>
    <w:r>
      <w:rPr/>
      <w:pict>
        <v:shape style="position:absolute;margin-left:309.490509pt;margin-top:518.725647pt;width:92pt;height:11pt;mso-position-horizontal-relative:page;mso-position-vertical-relative:page;z-index:-71197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主管会计工作负责人：</w:t>
                </w:r>
              </w:p>
            </w:txbxContent>
          </v:textbox>
          <w10:wrap type="none"/>
        </v:shape>
      </w:pict>
    </w:r>
    <w:r>
      <w:rPr/>
      <w:pict>
        <v:shape style="position:absolute;margin-left:520.990479pt;margin-top:518.725647pt;width:74pt;height:11pt;mso-position-horizontal-relative:page;mso-position-vertical-relative:page;z-index:-71195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会计机构负责人：</w:t>
                </w:r>
              </w:p>
            </w:txbxContent>
          </v:textbox>
          <w10:wrap type="none"/>
        </v:shape>
      </w:pict>
    </w:r>
    <w:r>
      <w:rPr/>
      <w:pict>
        <v:shape style="position:absolute;margin-left:414.4505pt;margin-top:542.31781pt;width:13pt;height:11pt;mso-position-horizontal-relative:page;mso-position-vertical-relative:page;z-index:-71192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87</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0.990501pt;margin-top:511.105621pt;width:173pt;height:28.25pt;mso-position-horizontal-relative:page;mso-position-vertical-relative:page;z-index:-71190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before="108"/>
                  <w:ind w:left="20"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r>
              </w:p>
            </w:txbxContent>
          </v:textbox>
          <w10:wrap type="none"/>
        </v:shape>
      </w:pict>
    </w:r>
    <w:r>
      <w:rPr/>
      <w:pict>
        <v:shape style="position:absolute;margin-left:309.490509pt;margin-top:528.322632pt;width:92pt;height:11pt;mso-position-horizontal-relative:page;mso-position-vertical-relative:page;z-index:-71188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主管会计工作负责人：</w:t>
                </w:r>
              </w:p>
            </w:txbxContent>
          </v:textbox>
          <w10:wrap type="none"/>
        </v:shape>
      </w:pict>
    </w:r>
    <w:r>
      <w:rPr/>
      <w:pict>
        <v:shape style="position:absolute;margin-left:520.990479pt;margin-top:528.322632pt;width:74pt;height:11pt;mso-position-horizontal-relative:page;mso-position-vertical-relative:page;z-index:-71185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会计机构负责人：</w:t>
                </w:r>
              </w:p>
            </w:txbxContent>
          </v:textbox>
          <w10:wrap type="none"/>
        </v:shape>
      </w:pict>
    </w:r>
    <w:r>
      <w:rPr/>
      <w:pict>
        <v:shape style="position:absolute;margin-left:414.4505pt;margin-top:542.31781pt;width:13pt;height:11pt;mso-position-horizontal-relative:page;mso-position-vertical-relative:page;z-index:-71183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89</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7126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20</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4.299988pt;margin-top:781.897522pt;width:13pt;height:11pt;mso-position-horizontal-relative:page;mso-position-vertical-relative:page;z-index:-71173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91</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3.019989pt;margin-top:781.897522pt;width:15.5pt;height:11pt;mso-position-horizontal-relative:page;mso-position-vertical-relative:page;z-index:-711712"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2.019989pt;margin-top:781.897522pt;width:17.5pt;height:11pt;mso-position-horizontal-relative:page;mso-position-vertical-relative:page;z-index:-71168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2.350494pt;margin-top:535.297913pt;width:17.150pt;height:11pt;mso-position-horizontal-relative:page;mso-position-vertical-relative:page;z-index:-71159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112</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1.540009pt;margin-top:781.897522pt;width:17.5pt;height:11pt;mso-position-horizontal-relative:page;mso-position-vertical-relative:page;z-index:-71152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120</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1.540009pt;margin-top:781.897522pt;width:17.5pt;height:11pt;mso-position-horizontal-relative:page;mso-position-vertical-relative:page;z-index:-71149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122</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1.540009pt;margin-top:781.897522pt;width:17.5pt;height:11pt;mso-position-horizontal-relative:page;mso-position-vertical-relative:page;z-index:-71147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125</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2.170502pt;margin-top:535.297913pt;width:17.5pt;height:11pt;mso-position-horizontal-relative:page;mso-position-vertical-relative:page;z-index:-71137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131</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71260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26</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1.540009pt;margin-top:781.897522pt;width:17.5pt;height:11pt;mso-position-horizontal-relative:page;mso-position-vertical-relative:page;z-index:-71128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133</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2.170502pt;margin-top:535.297913pt;width:17.5pt;height:11pt;mso-position-horizontal-relative:page;mso-position-vertical-relative:page;z-index:-71118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145</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1.540009pt;margin-top:781.897522pt;width:17.5pt;height:11pt;mso-position-horizontal-relative:page;mso-position-vertical-relative:page;z-index:-71108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147</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880005pt;margin-top:781.897522pt;width:17.5pt;height:11pt;mso-position-horizontal-relative:page;mso-position-vertical-relative:page;z-index:-71104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156</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71257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27</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71255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28</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4.44751pt;margin-top:535.297913pt;width:13pt;height:11pt;mso-position-horizontal-relative:page;mso-position-vertical-relative:page;z-index:-71245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31</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004pt;margin-top:781.897522pt;width:13pt;height:11pt;mso-position-horizontal-relative:page;mso-position-vertical-relative:page;z-index:-71236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35</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004pt;margin-top:781.897522pt;width:13pt;height:11pt;mso-position-horizontal-relative:page;mso-position-vertical-relative:page;z-index:-71233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41</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004pt;margin-top:781.897522pt;width:13pt;height:11pt;mso-position-horizontal-relative:page;mso-position-vertical-relative:page;z-index:-71231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43</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1.320007pt;margin-top:42.540009pt;width:97.822006pt;height:21.119995pt;mso-position-horizontal-relative:page;mso-position-vertical-relative:page;z-index:-712720" type="#_x0000_t75" stroked="false">
          <v:imagedata r:id="rId1" o:title=""/>
        </v:shape>
      </w:pict>
    </w:r>
    <w:r>
      <w:rPr/>
      <w:pict>
        <v:group style="position:absolute;margin-left:88.5pt;margin-top:67.680pt;width:418.35pt;height:.1pt;mso-position-horizontal-relative:page;mso-position-vertical-relative:page;z-index:-712696" coordorigin="1770,1354" coordsize="8367,2">
          <v:shape style="position:absolute;left:1770;top:1354;width:8367;height:2" coordorigin="1770,1354" coordsize="8367,0" path="m1770,1354l10136,1354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318.5pt;margin-top:54.985325pt;width:186.55pt;height:11.5pt;mso-position-horizontal-relative:page;mso-position-vertical-relative:page;z-index:-71267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北京神州泰岳软件股份有限公司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14.610992pt;margin-top:42.540009pt;width:98.130005pt;height:21.119995pt;mso-position-horizontal-relative:page;mso-position-vertical-relative:page;z-index:-711448" type="#_x0000_t75" stroked="false">
          <v:imagedata r:id="rId1" o:title=""/>
        </v:shape>
      </w:pict>
    </w:r>
    <w:r>
      <w:rPr/>
      <w:pict>
        <v:group style="position:absolute;margin-left:70.490997pt;margin-top:67.680pt;width:700.95pt;height:.1pt;mso-position-horizontal-relative:page;mso-position-vertical-relative:page;z-index:-711424" coordorigin="1410,1354" coordsize="14019,2">
          <v:shape style="position:absolute;left:1410;top:1354;width:14019;height:2" coordorigin="1410,1354" coordsize="14019,0" path="m1410,1354l15428,1354e" filled="false" stroked="true" strokeweight=".72pt" strokecolor="#000000">
            <v:path arrowok="t"/>
          </v:shape>
          <w10:wrap type="none"/>
        </v:group>
      </w:pict>
    </w:r>
    <w:r>
      <w:rPr/>
      <w:pict>
        <v:shape style="position:absolute;margin-left:441.790497pt;margin-top:54.985626pt;width:186.55pt;height:11.5pt;mso-position-horizontal-relative:page;mso-position-vertical-relative:page;z-index:-71140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北京神州泰岳软件股份有限公司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年度报告</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03.919998pt;margin-top:42.540009pt;width:97.822006pt;height:21.119995pt;mso-position-horizontal-relative:page;mso-position-vertical-relative:page;z-index:-711352" type="#_x0000_t75" stroked="false">
          <v:imagedata r:id="rId1" o:title=""/>
        </v:shape>
      </w:pict>
    </w:r>
    <w:r>
      <w:rPr/>
      <w:pict>
        <v:group style="position:absolute;margin-left:88.379997pt;margin-top:67.680pt;width:443.85pt;height:.1pt;mso-position-horizontal-relative:page;mso-position-vertical-relative:page;z-index:-711328" coordorigin="1768,1354" coordsize="8877,2">
          <v:shape style="position:absolute;left:1768;top:1354;width:8877;height:2" coordorigin="1768,1354" coordsize="8877,0" path="m1768,1354l10644,1354e" filled="false" stroked="true" strokeweight=".72pt" strokecolor="#000000">
            <v:path arrowok="t"/>
          </v:shape>
          <w10:wrap type="none"/>
        </v:group>
      </w:pict>
    </w:r>
    <w:r>
      <w:rPr/>
      <w:pict>
        <v:shape style="position:absolute;margin-left:331.100006pt;margin-top:54.985325pt;width:186.55pt;height:11.5pt;mso-position-horizontal-relative:page;mso-position-vertical-relative:page;z-index:-71130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北京神州泰岳软件股份有限公司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年度报告</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14.610992pt;margin-top:42.540009pt;width:98.130005pt;height:21.119995pt;mso-position-horizontal-relative:page;mso-position-vertical-relative:page;z-index:-711256" type="#_x0000_t75" stroked="false">
          <v:imagedata r:id="rId1" o:title=""/>
        </v:shape>
      </w:pict>
    </w:r>
    <w:r>
      <w:rPr/>
      <w:pict>
        <v:group style="position:absolute;margin-left:70.490997pt;margin-top:67.680pt;width:700.95pt;height:.1pt;mso-position-horizontal-relative:page;mso-position-vertical-relative:page;z-index:-711232" coordorigin="1410,1354" coordsize="14019,2">
          <v:shape style="position:absolute;left:1410;top:1354;width:14019;height:2" coordorigin="1410,1354" coordsize="14019,0" path="m1410,1354l15428,1354e" filled="false" stroked="true" strokeweight=".72pt" strokecolor="#000000">
            <v:path arrowok="t"/>
          </v:shape>
          <w10:wrap type="none"/>
        </v:group>
      </w:pict>
    </w:r>
    <w:r>
      <w:rPr/>
      <w:pict>
        <v:shape style="position:absolute;margin-left:441.790497pt;margin-top:54.985626pt;width:186.55pt;height:11.5pt;mso-position-horizontal-relative:page;mso-position-vertical-relative:page;z-index:-71120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北京神州泰岳软件股份有限公司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年度报告</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03.919998pt;margin-top:42.540009pt;width:97.822006pt;height:21.119995pt;mso-position-horizontal-relative:page;mso-position-vertical-relative:page;z-index:-711160" type="#_x0000_t75" stroked="false">
          <v:imagedata r:id="rId1" o:title=""/>
        </v:shape>
      </w:pict>
    </w:r>
    <w:r>
      <w:rPr/>
      <w:pict>
        <v:group style="position:absolute;margin-left:88.379997pt;margin-top:67.680pt;width:443.85pt;height:.1pt;mso-position-horizontal-relative:page;mso-position-vertical-relative:page;z-index:-711136" coordorigin="1768,1354" coordsize="8877,2">
          <v:shape style="position:absolute;left:1768;top:1354;width:8877;height:2" coordorigin="1768,1354" coordsize="8877,0" path="m1768,1354l10644,1354e" filled="false" stroked="true" strokeweight=".72pt" strokecolor="#000000">
            <v:path arrowok="t"/>
          </v:shape>
          <w10:wrap type="none"/>
        </v:group>
      </w:pict>
    </w:r>
    <w:r>
      <w:rPr/>
      <w:pict>
        <v:shape style="position:absolute;margin-left:331.100006pt;margin-top:54.985325pt;width:186.55pt;height:11.5pt;mso-position-horizontal-relative:page;mso-position-vertical-relative:page;z-index:-71111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北京神州泰岳软件股份有限公司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年度报告</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7.899994pt;margin-top:54.985325pt;width:186.45pt;height:11.5pt;mso-position-horizontal-relative:page;mso-position-vertical-relative:page;z-index:-71106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北京神州泰岳软件股份有限公司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年度报告</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pt;margin-top:42.540009pt;width:97.822006pt;height:21.119995pt;mso-position-horizontal-relative:page;mso-position-vertical-relative:page;z-index:-711016" type="#_x0000_t75" stroked="false">
          <v:imagedata r:id="rId1" o:title=""/>
        </v:shape>
      </w:pict>
    </w:r>
    <w:r>
      <w:rPr/>
      <w:pict>
        <v:group style="position:absolute;margin-left:88.5pt;margin-top:67.680pt;width:418.35pt;height:.1pt;mso-position-horizontal-relative:page;mso-position-vertical-relative:page;z-index:-710992" coordorigin="1770,1354" coordsize="8367,2">
          <v:shape style="position:absolute;left:1770;top:1354;width:8367;height:2" coordorigin="1770,1354" coordsize="8367,0" path="m1770,1354l10136,1354e" filled="false" stroked="true" strokeweight=".72pt" strokecolor="#000000">
            <v:path arrowok="t"/>
          </v:shape>
          <w10:wrap type="none"/>
        </v:group>
      </w:pict>
    </w:r>
    <w:r>
      <w:rPr/>
      <w:pict>
        <v:shape style="position:absolute;margin-left:317.899994pt;margin-top:54.985325pt;width:186.45pt;height:11.5pt;mso-position-horizontal-relative:page;mso-position-vertical-relative:page;z-index:-71096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北京神州泰岳软件股份有限公司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14.610992pt;margin-top:42.540009pt;width:98.130005pt;height:21.119995pt;mso-position-horizontal-relative:page;mso-position-vertical-relative:page;z-index:-712528" type="#_x0000_t75" stroked="false">
          <v:imagedata r:id="rId1" o:title=""/>
        </v:shape>
      </w:pict>
    </w:r>
    <w:r>
      <w:rPr/>
      <w:pict>
        <v:group style="position:absolute;margin-left:70.490997pt;margin-top:67.680pt;width:700.95pt;height:.1pt;mso-position-horizontal-relative:page;mso-position-vertical-relative:page;z-index:-712504" coordorigin="1410,1354" coordsize="14019,2">
          <v:shape style="position:absolute;left:1410;top:1354;width:14019;height:2" coordorigin="1410,1354" coordsize="14019,0" path="m1410,1354l15428,1354e" filled="false" stroked="true" strokeweight=".72pt" strokecolor="#000000">
            <v:path arrowok="t"/>
          </v:shape>
          <w10:wrap type="none"/>
        </v:group>
      </w:pict>
    </w:r>
    <w:r>
      <w:rPr/>
      <w:pict>
        <v:shape style="position:absolute;margin-left:441.790497pt;margin-top:54.985626pt;width:186.55pt;height:11.5pt;mso-position-horizontal-relative:page;mso-position-vertical-relative:page;z-index:-71248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北京神州泰岳软件股份有限公司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1.320007pt;margin-top:42.540009pt;width:97.822006pt;height:21.119995pt;mso-position-horizontal-relative:page;mso-position-vertical-relative:page;z-index:-712432" type="#_x0000_t75" stroked="false">
          <v:imagedata r:id="rId1" o:title=""/>
        </v:shape>
      </w:pict>
    </w:r>
    <w:r>
      <w:rPr/>
      <w:pict>
        <v:group style="position:absolute;margin-left:88.379997pt;margin-top:67.680pt;width:418.65pt;height:.1pt;mso-position-horizontal-relative:page;mso-position-vertical-relative:page;z-index:-712408" coordorigin="1768,1354" coordsize="8373,2">
          <v:shape style="position:absolute;left:1768;top:1354;width:8373;height:2" coordorigin="1768,1354" coordsize="8373,0" path="m1768,1354l10140,1354e" filled="false" stroked="true" strokeweight=".72pt" strokecolor="#000000">
            <v:path arrowok="t"/>
          </v:shape>
          <w10:wrap type="none"/>
        </v:group>
      </w:pict>
    </w:r>
    <w:r>
      <w:rPr/>
      <w:pict>
        <v:shape style="position:absolute;margin-left:318.5pt;margin-top:54.985325pt;width:186.55pt;height:11.5pt;mso-position-horizontal-relative:page;mso-position-vertical-relative:page;z-index:-71238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北京神州泰岳软件股份有限公司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14.610992pt;margin-top:42.540009pt;width:98.130005pt;height:21.119995pt;mso-position-horizontal-relative:page;mso-position-vertical-relative:page;z-index:-712072" type="#_x0000_t75" stroked="false">
          <v:imagedata r:id="rId1" o:title=""/>
        </v:shape>
      </w:pict>
    </w:r>
    <w:r>
      <w:rPr/>
      <w:pict>
        <v:shape style="position:absolute;margin-left:441.790497pt;margin-top:54.985626pt;width:186.55pt;height:11.5pt;mso-position-horizontal-relative:page;mso-position-vertical-relative:page;z-index:-71204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北京神州泰岳软件股份有限公司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04.460007pt;margin-top:42.540009pt;width:97.822006pt;height:21.119995pt;mso-position-horizontal-relative:page;mso-position-vertical-relative:page;z-index:-711808" type="#_x0000_t75" stroked="false">
          <v:imagedata r:id="rId1" o:title=""/>
        </v:shape>
      </w:pict>
    </w:r>
    <w:r>
      <w:rPr/>
      <w:pict>
        <v:group style="position:absolute;margin-left:88.5pt;margin-top:67.680pt;width:444.6pt;height:.1pt;mso-position-horizontal-relative:page;mso-position-vertical-relative:page;z-index:-711784" coordorigin="1770,1354" coordsize="8892,2">
          <v:shape style="position:absolute;left:1770;top:1354;width:8892;height:2" coordorigin="1770,1354" coordsize="8892,0" path="m1770,1354l10662,1354e" filled="false" stroked="true" strokeweight=".72pt" strokecolor="#000000">
            <v:path arrowok="t"/>
          </v:shape>
          <w10:wrap type="none"/>
        </v:group>
      </w:pict>
    </w:r>
    <w:r>
      <w:rPr/>
      <w:pict>
        <v:shape style="position:absolute;margin-left:331.640015pt;margin-top:54.985325pt;width:186.55pt;height:11.5pt;mso-position-horizontal-relative:page;mso-position-vertical-relative:page;z-index:-71176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北京神州泰岳软件股份有限公司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年度报告</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14.610992pt;margin-top:42.540009pt;width:98.130005pt;height:21.119995pt;mso-position-horizontal-relative:page;mso-position-vertical-relative:page;z-index:-711664" type="#_x0000_t75" stroked="false">
          <v:imagedata r:id="rId1" o:title=""/>
        </v:shape>
      </w:pict>
    </w:r>
    <w:r>
      <w:rPr/>
      <w:pict>
        <v:group style="position:absolute;margin-left:70.490997pt;margin-top:67.680pt;width:700.95pt;height:.1pt;mso-position-horizontal-relative:page;mso-position-vertical-relative:page;z-index:-711640" coordorigin="1410,1354" coordsize="14019,2">
          <v:shape style="position:absolute;left:1410;top:1354;width:14019;height:2" coordorigin="1410,1354" coordsize="14019,0" path="m1410,1354l15428,1354e" filled="false" stroked="true" strokeweight=".72pt" strokecolor="#000000">
            <v:path arrowok="t"/>
          </v:shape>
          <w10:wrap type="none"/>
        </v:group>
      </w:pict>
    </w:r>
    <w:r>
      <w:rPr/>
      <w:pict>
        <v:shape style="position:absolute;margin-left:441.790497pt;margin-top:54.985626pt;width:186.55pt;height:11.5pt;mso-position-horizontal-relative:page;mso-position-vertical-relative:page;z-index:-71161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北京神州泰岳软件股份有限公司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年度报告</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03.919998pt;margin-top:42.540009pt;width:97.822006pt;height:21.119995pt;mso-position-horizontal-relative:page;mso-position-vertical-relative:page;z-index:-711568" type="#_x0000_t75" stroked="false">
          <v:imagedata r:id="rId1" o:title=""/>
        </v:shape>
      </w:pict>
    </w:r>
    <w:r>
      <w:rPr/>
      <w:pict>
        <v:shape style="position:absolute;margin-left:331.100006pt;margin-top:54.985325pt;width:186.55pt;height:11.5pt;mso-position-horizontal-relative:page;mso-position-vertical-relative:page;z-index:-71154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北京神州泰岳软件股份有限公司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年度报告</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333"/>
      <w:ind w:left="139"/>
    </w:pPr>
    <w:rPr>
      <w:rFonts w:ascii="宋体" w:hAnsi="宋体" w:eastAsia="宋体"/>
      <w:b/>
      <w:bCs/>
      <w:sz w:val="21"/>
      <w:szCs w:val="21"/>
    </w:rPr>
  </w:style>
  <w:style w:styleId="TOC2" w:type="paragraph">
    <w:name w:val="TOC 2"/>
    <w:basedOn w:val="Normal"/>
    <w:uiPriority w:val="1"/>
    <w:qFormat/>
    <w:pPr>
      <w:spacing w:before="333"/>
      <w:ind w:left="139"/>
    </w:pPr>
    <w:rPr>
      <w:rFonts w:ascii="宋体" w:hAnsi="宋体" w:eastAsia="宋体"/>
      <w:b/>
      <w:bCs/>
      <w:i/>
    </w:rPr>
  </w:style>
  <w:style w:styleId="TOC3" w:type="paragraph">
    <w:name w:val="TOC 3"/>
    <w:basedOn w:val="Normal"/>
    <w:uiPriority w:val="1"/>
    <w:qFormat/>
    <w:pPr>
      <w:ind w:left="140"/>
    </w:pPr>
    <w:rPr>
      <w:rFonts w:ascii="宋体" w:hAnsi="宋体" w:eastAsia="宋体"/>
      <w:b/>
      <w:bCs/>
      <w:i/>
    </w:rPr>
  </w:style>
  <w:style w:styleId="BodyText" w:type="paragraph">
    <w:name w:val="Body Text"/>
    <w:basedOn w:val="Normal"/>
    <w:uiPriority w:val="1"/>
    <w:qFormat/>
    <w:pPr>
      <w:ind w:left="137"/>
    </w:pPr>
    <w:rPr>
      <w:rFonts w:ascii="宋体" w:hAnsi="宋体" w:eastAsia="宋体"/>
      <w:sz w:val="21"/>
      <w:szCs w:val="21"/>
    </w:rPr>
  </w:style>
  <w:style w:styleId="Heading1" w:type="paragraph">
    <w:name w:val="Heading 1"/>
    <w:basedOn w:val="Normal"/>
    <w:uiPriority w:val="1"/>
    <w:qFormat/>
    <w:pPr>
      <w:spacing w:before="26"/>
      <w:outlineLvl w:val="1"/>
    </w:pPr>
    <w:rPr>
      <w:rFonts w:ascii="宋体" w:hAnsi="宋体" w:eastAsia="宋体"/>
      <w:b/>
      <w:bCs/>
      <w:sz w:val="24"/>
      <w:szCs w:val="24"/>
    </w:rPr>
  </w:style>
  <w:style w:styleId="Heading2" w:type="paragraph">
    <w:name w:val="Heading 2"/>
    <w:basedOn w:val="Normal"/>
    <w:uiPriority w:val="1"/>
    <w:qFormat/>
    <w:pPr>
      <w:ind w:left="125"/>
      <w:outlineLvl w:val="2"/>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yperlink" Target="mailto:public@ultrapower.com.cn" TargetMode="External"/><Relationship Id="rId8" Type="http://schemas.openxmlformats.org/officeDocument/2006/relationships/hyperlink" Target="http://www.ultrapower.com.cn/" TargetMode="External"/><Relationship Id="rId9" Type="http://schemas.openxmlformats.org/officeDocument/2006/relationships/hyperlink" Target="http://www.cninfo.com.cn/" TargetMode="External"/><Relationship Id="rId10" Type="http://schemas.openxmlformats.org/officeDocument/2006/relationships/hyperlink" Target="http://www.specl.com/"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footer" Target="footer2.xm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footer" Target="footer3.xml"/><Relationship Id="rId44" Type="http://schemas.openxmlformats.org/officeDocument/2006/relationships/footer" Target="footer4.xml"/><Relationship Id="rId45" Type="http://schemas.openxmlformats.org/officeDocument/2006/relationships/footer" Target="footer5.xml"/><Relationship Id="rId46" Type="http://schemas.openxmlformats.org/officeDocument/2006/relationships/header" Target="header2.xml"/><Relationship Id="rId47" Type="http://schemas.openxmlformats.org/officeDocument/2006/relationships/footer" Target="footer6.xml"/><Relationship Id="rId48" Type="http://schemas.openxmlformats.org/officeDocument/2006/relationships/header" Target="header3.xml"/><Relationship Id="rId49" Type="http://schemas.openxmlformats.org/officeDocument/2006/relationships/footer" Target="footer7.xml"/><Relationship Id="rId50" Type="http://schemas.openxmlformats.org/officeDocument/2006/relationships/footer" Target="footer8.xml"/><Relationship Id="rId51" Type="http://schemas.openxmlformats.org/officeDocument/2006/relationships/footer" Target="footer9.xml"/><Relationship Id="rId52" Type="http://schemas.openxmlformats.org/officeDocument/2006/relationships/hyperlink" Target="http://irm.p5w.net/" TargetMode="External"/><Relationship Id="rId53" Type="http://schemas.openxmlformats.org/officeDocument/2006/relationships/footer" Target="footer10.xml"/><Relationship Id="rId54" Type="http://schemas.openxmlformats.org/officeDocument/2006/relationships/footer" Target="footer11.xml"/><Relationship Id="rId55" Type="http://schemas.openxmlformats.org/officeDocument/2006/relationships/image" Target="media/image34.jpeg"/><Relationship Id="rId56" Type="http://schemas.openxmlformats.org/officeDocument/2006/relationships/footer" Target="footer12.xml"/><Relationship Id="rId57" Type="http://schemas.openxmlformats.org/officeDocument/2006/relationships/footer" Target="footer13.xml"/><Relationship Id="rId58" Type="http://schemas.openxmlformats.org/officeDocument/2006/relationships/footer" Target="footer14.xml"/><Relationship Id="rId59" Type="http://schemas.openxmlformats.org/officeDocument/2006/relationships/footer" Target="footer15.xml"/><Relationship Id="rId60" Type="http://schemas.openxmlformats.org/officeDocument/2006/relationships/footer" Target="footer16.xml"/><Relationship Id="rId61" Type="http://schemas.openxmlformats.org/officeDocument/2006/relationships/footer" Target="footer17.xml"/><Relationship Id="rId62" Type="http://schemas.openxmlformats.org/officeDocument/2006/relationships/header" Target="header4.xml"/><Relationship Id="rId63" Type="http://schemas.openxmlformats.org/officeDocument/2006/relationships/footer" Target="footer18.xml"/><Relationship Id="rId64" Type="http://schemas.openxmlformats.org/officeDocument/2006/relationships/footer" Target="footer19.xml"/><Relationship Id="rId65" Type="http://schemas.openxmlformats.org/officeDocument/2006/relationships/header" Target="header5.xml"/><Relationship Id="rId66" Type="http://schemas.openxmlformats.org/officeDocument/2006/relationships/footer" Target="footer20.xml"/><Relationship Id="rId67" Type="http://schemas.openxmlformats.org/officeDocument/2006/relationships/image" Target="media/image35.png"/><Relationship Id="rId68" Type="http://schemas.openxmlformats.org/officeDocument/2006/relationships/image" Target="media/image36.png"/><Relationship Id="rId69" Type="http://schemas.openxmlformats.org/officeDocument/2006/relationships/image" Target="media/image37.png"/><Relationship Id="rId70" Type="http://schemas.openxmlformats.org/officeDocument/2006/relationships/image" Target="media/image38.png"/><Relationship Id="rId71" Type="http://schemas.openxmlformats.org/officeDocument/2006/relationships/footer" Target="footer21.xml"/><Relationship Id="rId72" Type="http://schemas.openxmlformats.org/officeDocument/2006/relationships/footer" Target="footer22.xml"/><Relationship Id="rId73" Type="http://schemas.openxmlformats.org/officeDocument/2006/relationships/image" Target="media/image39.png"/><Relationship Id="rId74" Type="http://schemas.openxmlformats.org/officeDocument/2006/relationships/image" Target="media/image40.png"/><Relationship Id="rId75" Type="http://schemas.openxmlformats.org/officeDocument/2006/relationships/image" Target="media/image41.png"/><Relationship Id="rId76" Type="http://schemas.openxmlformats.org/officeDocument/2006/relationships/image" Target="media/image42.png"/><Relationship Id="rId77" Type="http://schemas.openxmlformats.org/officeDocument/2006/relationships/image" Target="media/image43.png"/><Relationship Id="rId78" Type="http://schemas.openxmlformats.org/officeDocument/2006/relationships/image" Target="media/image44.png"/><Relationship Id="rId79" Type="http://schemas.openxmlformats.org/officeDocument/2006/relationships/header" Target="header6.xml"/><Relationship Id="rId80" Type="http://schemas.openxmlformats.org/officeDocument/2006/relationships/footer" Target="footer23.xml"/><Relationship Id="rId81" Type="http://schemas.openxmlformats.org/officeDocument/2006/relationships/image" Target="media/image45.png"/><Relationship Id="rId82" Type="http://schemas.openxmlformats.org/officeDocument/2006/relationships/image" Target="media/image46.png"/><Relationship Id="rId83" Type="http://schemas.openxmlformats.org/officeDocument/2006/relationships/image" Target="media/image47.png"/><Relationship Id="rId84" Type="http://schemas.openxmlformats.org/officeDocument/2006/relationships/image" Target="media/image48.png"/><Relationship Id="rId85" Type="http://schemas.openxmlformats.org/officeDocument/2006/relationships/image" Target="media/image49.png"/><Relationship Id="rId86" Type="http://schemas.openxmlformats.org/officeDocument/2006/relationships/image" Target="media/image50.png"/><Relationship Id="rId87" Type="http://schemas.openxmlformats.org/officeDocument/2006/relationships/image" Target="media/image51.png"/><Relationship Id="rId88" Type="http://schemas.openxmlformats.org/officeDocument/2006/relationships/image" Target="media/image52.png"/><Relationship Id="rId89" Type="http://schemas.openxmlformats.org/officeDocument/2006/relationships/image" Target="media/image53.png"/><Relationship Id="rId90" Type="http://schemas.openxmlformats.org/officeDocument/2006/relationships/image" Target="media/image54.png"/><Relationship Id="rId91" Type="http://schemas.openxmlformats.org/officeDocument/2006/relationships/image" Target="media/image55.png"/><Relationship Id="rId92" Type="http://schemas.openxmlformats.org/officeDocument/2006/relationships/image" Target="media/image56.png"/><Relationship Id="rId93" Type="http://schemas.openxmlformats.org/officeDocument/2006/relationships/image" Target="media/image57.png"/><Relationship Id="rId94" Type="http://schemas.openxmlformats.org/officeDocument/2006/relationships/image" Target="media/image58.png"/><Relationship Id="rId95" Type="http://schemas.openxmlformats.org/officeDocument/2006/relationships/image" Target="media/image59.png"/><Relationship Id="rId96" Type="http://schemas.openxmlformats.org/officeDocument/2006/relationships/header" Target="header7.xml"/><Relationship Id="rId97" Type="http://schemas.openxmlformats.org/officeDocument/2006/relationships/footer" Target="footer24.xml"/><Relationship Id="rId98" Type="http://schemas.openxmlformats.org/officeDocument/2006/relationships/image" Target="media/image60.png"/><Relationship Id="rId99" Type="http://schemas.openxmlformats.org/officeDocument/2006/relationships/image" Target="media/image61.png"/><Relationship Id="rId100" Type="http://schemas.openxmlformats.org/officeDocument/2006/relationships/image" Target="media/image62.png"/><Relationship Id="rId101" Type="http://schemas.openxmlformats.org/officeDocument/2006/relationships/image" Target="media/image63.png"/><Relationship Id="rId102" Type="http://schemas.openxmlformats.org/officeDocument/2006/relationships/image" Target="media/image64.png"/><Relationship Id="rId103" Type="http://schemas.openxmlformats.org/officeDocument/2006/relationships/image" Target="media/image65.png"/><Relationship Id="rId104" Type="http://schemas.openxmlformats.org/officeDocument/2006/relationships/image" Target="media/image66.png"/><Relationship Id="rId105" Type="http://schemas.openxmlformats.org/officeDocument/2006/relationships/image" Target="media/image67.png"/><Relationship Id="rId106" Type="http://schemas.openxmlformats.org/officeDocument/2006/relationships/image" Target="media/image68.png"/><Relationship Id="rId107" Type="http://schemas.openxmlformats.org/officeDocument/2006/relationships/image" Target="media/image69.png"/><Relationship Id="rId108" Type="http://schemas.openxmlformats.org/officeDocument/2006/relationships/image" Target="media/image70.png"/><Relationship Id="rId109" Type="http://schemas.openxmlformats.org/officeDocument/2006/relationships/image" Target="media/image71.png"/><Relationship Id="rId110" Type="http://schemas.openxmlformats.org/officeDocument/2006/relationships/image" Target="media/image72.png"/><Relationship Id="rId111" Type="http://schemas.openxmlformats.org/officeDocument/2006/relationships/image" Target="media/image73.png"/><Relationship Id="rId112" Type="http://schemas.openxmlformats.org/officeDocument/2006/relationships/image" Target="media/image74.png"/><Relationship Id="rId113" Type="http://schemas.openxmlformats.org/officeDocument/2006/relationships/image" Target="media/image75.png"/><Relationship Id="rId114" Type="http://schemas.openxmlformats.org/officeDocument/2006/relationships/image" Target="media/image76.png"/><Relationship Id="rId115" Type="http://schemas.openxmlformats.org/officeDocument/2006/relationships/image" Target="media/image77.png"/><Relationship Id="rId116" Type="http://schemas.openxmlformats.org/officeDocument/2006/relationships/image" Target="media/image78.png"/><Relationship Id="rId117" Type="http://schemas.openxmlformats.org/officeDocument/2006/relationships/image" Target="media/image79.png"/><Relationship Id="rId118" Type="http://schemas.openxmlformats.org/officeDocument/2006/relationships/image" Target="media/image80.png"/><Relationship Id="rId119" Type="http://schemas.openxmlformats.org/officeDocument/2006/relationships/image" Target="media/image81.png"/><Relationship Id="rId120" Type="http://schemas.openxmlformats.org/officeDocument/2006/relationships/image" Target="media/image82.png"/><Relationship Id="rId121" Type="http://schemas.openxmlformats.org/officeDocument/2006/relationships/image" Target="media/image83.png"/><Relationship Id="rId122" Type="http://schemas.openxmlformats.org/officeDocument/2006/relationships/image" Target="media/image84.png"/><Relationship Id="rId123" Type="http://schemas.openxmlformats.org/officeDocument/2006/relationships/image" Target="media/image85.png"/><Relationship Id="rId124" Type="http://schemas.openxmlformats.org/officeDocument/2006/relationships/image" Target="media/image86.png"/><Relationship Id="rId125" Type="http://schemas.openxmlformats.org/officeDocument/2006/relationships/image" Target="media/image87.png"/><Relationship Id="rId126" Type="http://schemas.openxmlformats.org/officeDocument/2006/relationships/image" Target="media/image88.png"/><Relationship Id="rId127" Type="http://schemas.openxmlformats.org/officeDocument/2006/relationships/image" Target="media/image89.png"/><Relationship Id="rId128" Type="http://schemas.openxmlformats.org/officeDocument/2006/relationships/image" Target="media/image90.png"/><Relationship Id="rId129" Type="http://schemas.openxmlformats.org/officeDocument/2006/relationships/image" Target="media/image91.png"/><Relationship Id="rId130" Type="http://schemas.openxmlformats.org/officeDocument/2006/relationships/image" Target="media/image92.png"/><Relationship Id="rId131" Type="http://schemas.openxmlformats.org/officeDocument/2006/relationships/image" Target="media/image93.png"/><Relationship Id="rId132" Type="http://schemas.openxmlformats.org/officeDocument/2006/relationships/image" Target="media/image94.png"/><Relationship Id="rId133" Type="http://schemas.openxmlformats.org/officeDocument/2006/relationships/image" Target="media/image95.png"/><Relationship Id="rId134" Type="http://schemas.openxmlformats.org/officeDocument/2006/relationships/image" Target="media/image96.png"/><Relationship Id="rId135" Type="http://schemas.openxmlformats.org/officeDocument/2006/relationships/image" Target="media/image97.png"/><Relationship Id="rId136" Type="http://schemas.openxmlformats.org/officeDocument/2006/relationships/image" Target="media/image98.png"/><Relationship Id="rId137" Type="http://schemas.openxmlformats.org/officeDocument/2006/relationships/header" Target="header8.xml"/><Relationship Id="rId138" Type="http://schemas.openxmlformats.org/officeDocument/2006/relationships/footer" Target="footer25.xml"/><Relationship Id="rId139" Type="http://schemas.openxmlformats.org/officeDocument/2006/relationships/image" Target="media/image33.jpeg"/><Relationship Id="rId140" Type="http://schemas.openxmlformats.org/officeDocument/2006/relationships/image" Target="media/image99.png"/><Relationship Id="rId141" Type="http://schemas.openxmlformats.org/officeDocument/2006/relationships/image" Target="media/image100.png"/><Relationship Id="rId142" Type="http://schemas.openxmlformats.org/officeDocument/2006/relationships/image" Target="media/image101.png"/><Relationship Id="rId143" Type="http://schemas.openxmlformats.org/officeDocument/2006/relationships/image" Target="media/image102.png"/><Relationship Id="rId144" Type="http://schemas.openxmlformats.org/officeDocument/2006/relationships/footer" Target="footer26.xml"/><Relationship Id="rId145" Type="http://schemas.openxmlformats.org/officeDocument/2006/relationships/image" Target="media/image103.png"/><Relationship Id="rId146" Type="http://schemas.openxmlformats.org/officeDocument/2006/relationships/image" Target="media/image104.png"/><Relationship Id="rId147" Type="http://schemas.openxmlformats.org/officeDocument/2006/relationships/image" Target="media/image105.png"/><Relationship Id="rId148" Type="http://schemas.openxmlformats.org/officeDocument/2006/relationships/image" Target="media/image106.png"/><Relationship Id="rId149" Type="http://schemas.openxmlformats.org/officeDocument/2006/relationships/image" Target="media/image107.png"/><Relationship Id="rId150" Type="http://schemas.openxmlformats.org/officeDocument/2006/relationships/header" Target="header9.xml"/><Relationship Id="rId151" Type="http://schemas.openxmlformats.org/officeDocument/2006/relationships/footer" Target="footer27.xml"/><Relationship Id="rId152" Type="http://schemas.openxmlformats.org/officeDocument/2006/relationships/image" Target="media/image108.png"/><Relationship Id="rId153" Type="http://schemas.openxmlformats.org/officeDocument/2006/relationships/image" Target="media/image109.png"/><Relationship Id="rId154" Type="http://schemas.openxmlformats.org/officeDocument/2006/relationships/footer" Target="footer28.xml"/><Relationship Id="rId155" Type="http://schemas.openxmlformats.org/officeDocument/2006/relationships/image" Target="media/image110.png"/><Relationship Id="rId156" Type="http://schemas.openxmlformats.org/officeDocument/2006/relationships/image" Target="media/image111.png"/><Relationship Id="rId157" Type="http://schemas.openxmlformats.org/officeDocument/2006/relationships/image" Target="media/image112.png"/><Relationship Id="rId158" Type="http://schemas.openxmlformats.org/officeDocument/2006/relationships/image" Target="media/image113.png"/><Relationship Id="rId159" Type="http://schemas.openxmlformats.org/officeDocument/2006/relationships/image" Target="media/image114.png"/><Relationship Id="rId160" Type="http://schemas.openxmlformats.org/officeDocument/2006/relationships/image" Target="media/image115.png"/><Relationship Id="rId161" Type="http://schemas.openxmlformats.org/officeDocument/2006/relationships/image" Target="media/image116.png"/><Relationship Id="rId162" Type="http://schemas.openxmlformats.org/officeDocument/2006/relationships/image" Target="media/image117.png"/><Relationship Id="rId163" Type="http://schemas.openxmlformats.org/officeDocument/2006/relationships/image" Target="media/image118.png"/><Relationship Id="rId164" Type="http://schemas.openxmlformats.org/officeDocument/2006/relationships/image" Target="media/image119.png"/><Relationship Id="rId165" Type="http://schemas.openxmlformats.org/officeDocument/2006/relationships/image" Target="media/image120.png"/><Relationship Id="rId166" Type="http://schemas.openxmlformats.org/officeDocument/2006/relationships/image" Target="media/image121.png"/><Relationship Id="rId167" Type="http://schemas.openxmlformats.org/officeDocument/2006/relationships/image" Target="media/image122.png"/><Relationship Id="rId168" Type="http://schemas.openxmlformats.org/officeDocument/2006/relationships/image" Target="media/image123.png"/><Relationship Id="rId169" Type="http://schemas.openxmlformats.org/officeDocument/2006/relationships/image" Target="media/image124.png"/><Relationship Id="rId170" Type="http://schemas.openxmlformats.org/officeDocument/2006/relationships/image" Target="media/image125.png"/><Relationship Id="rId171" Type="http://schemas.openxmlformats.org/officeDocument/2006/relationships/image" Target="media/image126.png"/><Relationship Id="rId172" Type="http://schemas.openxmlformats.org/officeDocument/2006/relationships/image" Target="media/image127.png"/><Relationship Id="rId173" Type="http://schemas.openxmlformats.org/officeDocument/2006/relationships/image" Target="media/image128.png"/><Relationship Id="rId174" Type="http://schemas.openxmlformats.org/officeDocument/2006/relationships/image" Target="media/image129.png"/><Relationship Id="rId175" Type="http://schemas.openxmlformats.org/officeDocument/2006/relationships/image" Target="media/image130.png"/><Relationship Id="rId176" Type="http://schemas.openxmlformats.org/officeDocument/2006/relationships/image" Target="media/image131.png"/><Relationship Id="rId177" Type="http://schemas.openxmlformats.org/officeDocument/2006/relationships/image" Target="media/image132.png"/><Relationship Id="rId178" Type="http://schemas.openxmlformats.org/officeDocument/2006/relationships/image" Target="media/image133.png"/><Relationship Id="rId179" Type="http://schemas.openxmlformats.org/officeDocument/2006/relationships/image" Target="media/image134.png"/><Relationship Id="rId180" Type="http://schemas.openxmlformats.org/officeDocument/2006/relationships/image" Target="media/image135.png"/><Relationship Id="rId181" Type="http://schemas.openxmlformats.org/officeDocument/2006/relationships/image" Target="media/image136.png"/><Relationship Id="rId182" Type="http://schemas.openxmlformats.org/officeDocument/2006/relationships/image" Target="media/image137.png"/><Relationship Id="rId183" Type="http://schemas.openxmlformats.org/officeDocument/2006/relationships/image" Target="media/image138.png"/><Relationship Id="rId184" Type="http://schemas.openxmlformats.org/officeDocument/2006/relationships/image" Target="media/image139.png"/><Relationship Id="rId185" Type="http://schemas.openxmlformats.org/officeDocument/2006/relationships/image" Target="media/image140.png"/><Relationship Id="rId186" Type="http://schemas.openxmlformats.org/officeDocument/2006/relationships/header" Target="header10.xml"/><Relationship Id="rId187" Type="http://schemas.openxmlformats.org/officeDocument/2006/relationships/footer" Target="footer29.xml"/><Relationship Id="rId188" Type="http://schemas.openxmlformats.org/officeDocument/2006/relationships/image" Target="media/image141.png"/><Relationship Id="rId189" Type="http://schemas.openxmlformats.org/officeDocument/2006/relationships/image" Target="media/image142.png"/><Relationship Id="rId190" Type="http://schemas.openxmlformats.org/officeDocument/2006/relationships/header" Target="header11.xml"/><Relationship Id="rId191" Type="http://schemas.openxmlformats.org/officeDocument/2006/relationships/footer" Target="footer30.xml"/><Relationship Id="rId192" Type="http://schemas.openxmlformats.org/officeDocument/2006/relationships/image" Target="media/image143.png"/><Relationship Id="rId193" Type="http://schemas.openxmlformats.org/officeDocument/2006/relationships/image" Target="media/image144.png"/><Relationship Id="rId194" Type="http://schemas.openxmlformats.org/officeDocument/2006/relationships/image" Target="media/image145.png"/><Relationship Id="rId195" Type="http://schemas.openxmlformats.org/officeDocument/2006/relationships/image" Target="media/image146.png"/><Relationship Id="rId196" Type="http://schemas.openxmlformats.org/officeDocument/2006/relationships/image" Target="media/image147.png"/><Relationship Id="rId197" Type="http://schemas.openxmlformats.org/officeDocument/2006/relationships/image" Target="media/image148.png"/><Relationship Id="rId198" Type="http://schemas.openxmlformats.org/officeDocument/2006/relationships/image" Target="media/image149.png"/><Relationship Id="rId199" Type="http://schemas.openxmlformats.org/officeDocument/2006/relationships/image" Target="media/image150.png"/><Relationship Id="rId200" Type="http://schemas.openxmlformats.org/officeDocument/2006/relationships/image" Target="media/image151.png"/><Relationship Id="rId201" Type="http://schemas.openxmlformats.org/officeDocument/2006/relationships/image" Target="media/image152.png"/><Relationship Id="rId202" Type="http://schemas.openxmlformats.org/officeDocument/2006/relationships/image" Target="media/image153.png"/><Relationship Id="rId203" Type="http://schemas.openxmlformats.org/officeDocument/2006/relationships/image" Target="media/image154.png"/><Relationship Id="rId204" Type="http://schemas.openxmlformats.org/officeDocument/2006/relationships/image" Target="media/image155.png"/><Relationship Id="rId205" Type="http://schemas.openxmlformats.org/officeDocument/2006/relationships/image" Target="media/image156.png"/><Relationship Id="rId206" Type="http://schemas.openxmlformats.org/officeDocument/2006/relationships/image" Target="media/image157.png"/><Relationship Id="rId207" Type="http://schemas.openxmlformats.org/officeDocument/2006/relationships/image" Target="media/image158.png"/><Relationship Id="rId208" Type="http://schemas.openxmlformats.org/officeDocument/2006/relationships/image" Target="media/image159.png"/><Relationship Id="rId209" Type="http://schemas.openxmlformats.org/officeDocument/2006/relationships/image" Target="media/image160.png"/><Relationship Id="rId210" Type="http://schemas.openxmlformats.org/officeDocument/2006/relationships/image" Target="media/image161.png"/><Relationship Id="rId211" Type="http://schemas.openxmlformats.org/officeDocument/2006/relationships/image" Target="media/image162.png"/><Relationship Id="rId212" Type="http://schemas.openxmlformats.org/officeDocument/2006/relationships/image" Target="media/image163.png"/><Relationship Id="rId213" Type="http://schemas.openxmlformats.org/officeDocument/2006/relationships/image" Target="media/image164.png"/><Relationship Id="rId214" Type="http://schemas.openxmlformats.org/officeDocument/2006/relationships/image" Target="media/image165.png"/><Relationship Id="rId215" Type="http://schemas.openxmlformats.org/officeDocument/2006/relationships/image" Target="media/image166.png"/><Relationship Id="rId216" Type="http://schemas.openxmlformats.org/officeDocument/2006/relationships/image" Target="media/image167.png"/><Relationship Id="rId217" Type="http://schemas.openxmlformats.org/officeDocument/2006/relationships/image" Target="media/image168.png"/><Relationship Id="rId218" Type="http://schemas.openxmlformats.org/officeDocument/2006/relationships/image" Target="media/image169.png"/><Relationship Id="rId219" Type="http://schemas.openxmlformats.org/officeDocument/2006/relationships/image" Target="media/image170.png"/><Relationship Id="rId220" Type="http://schemas.openxmlformats.org/officeDocument/2006/relationships/image" Target="media/image171.png"/><Relationship Id="rId221" Type="http://schemas.openxmlformats.org/officeDocument/2006/relationships/image" Target="media/image172.png"/><Relationship Id="rId222" Type="http://schemas.openxmlformats.org/officeDocument/2006/relationships/image" Target="media/image173.png"/><Relationship Id="rId223" Type="http://schemas.openxmlformats.org/officeDocument/2006/relationships/image" Target="media/image174.png"/><Relationship Id="rId224" Type="http://schemas.openxmlformats.org/officeDocument/2006/relationships/image" Target="media/image175.png"/><Relationship Id="rId225" Type="http://schemas.openxmlformats.org/officeDocument/2006/relationships/image" Target="media/image176.png"/><Relationship Id="rId226" Type="http://schemas.openxmlformats.org/officeDocument/2006/relationships/image" Target="media/image177.png"/><Relationship Id="rId227" Type="http://schemas.openxmlformats.org/officeDocument/2006/relationships/image" Target="media/image178.png"/><Relationship Id="rId228" Type="http://schemas.openxmlformats.org/officeDocument/2006/relationships/image" Target="media/image179.png"/><Relationship Id="rId229" Type="http://schemas.openxmlformats.org/officeDocument/2006/relationships/image" Target="media/image180.png"/><Relationship Id="rId230" Type="http://schemas.openxmlformats.org/officeDocument/2006/relationships/image" Target="media/image181.png"/><Relationship Id="rId231" Type="http://schemas.openxmlformats.org/officeDocument/2006/relationships/image" Target="media/image182.png"/><Relationship Id="rId232" Type="http://schemas.openxmlformats.org/officeDocument/2006/relationships/image" Target="media/image183.png"/><Relationship Id="rId233" Type="http://schemas.openxmlformats.org/officeDocument/2006/relationships/image" Target="media/image184.png"/><Relationship Id="rId234" Type="http://schemas.openxmlformats.org/officeDocument/2006/relationships/image" Target="media/image185.png"/><Relationship Id="rId235" Type="http://schemas.openxmlformats.org/officeDocument/2006/relationships/image" Target="media/image186.png"/><Relationship Id="rId236" Type="http://schemas.openxmlformats.org/officeDocument/2006/relationships/image" Target="media/image187.png"/><Relationship Id="rId237" Type="http://schemas.openxmlformats.org/officeDocument/2006/relationships/image" Target="media/image188.png"/><Relationship Id="rId238" Type="http://schemas.openxmlformats.org/officeDocument/2006/relationships/image" Target="media/image189.png"/><Relationship Id="rId239" Type="http://schemas.openxmlformats.org/officeDocument/2006/relationships/image" Target="media/image190.png"/><Relationship Id="rId240" Type="http://schemas.openxmlformats.org/officeDocument/2006/relationships/image" Target="media/image191.png"/><Relationship Id="rId241" Type="http://schemas.openxmlformats.org/officeDocument/2006/relationships/image" Target="media/image192.png"/><Relationship Id="rId242" Type="http://schemas.openxmlformats.org/officeDocument/2006/relationships/image" Target="media/image193.png"/><Relationship Id="rId243" Type="http://schemas.openxmlformats.org/officeDocument/2006/relationships/image" Target="media/image194.png"/><Relationship Id="rId244" Type="http://schemas.openxmlformats.org/officeDocument/2006/relationships/image" Target="media/image195.png"/><Relationship Id="rId245" Type="http://schemas.openxmlformats.org/officeDocument/2006/relationships/image" Target="media/image196.png"/><Relationship Id="rId246" Type="http://schemas.openxmlformats.org/officeDocument/2006/relationships/image" Target="media/image197.png"/><Relationship Id="rId247" Type="http://schemas.openxmlformats.org/officeDocument/2006/relationships/image" Target="media/image198.png"/><Relationship Id="rId248" Type="http://schemas.openxmlformats.org/officeDocument/2006/relationships/image" Target="media/image199.png"/><Relationship Id="rId249" Type="http://schemas.openxmlformats.org/officeDocument/2006/relationships/image" Target="media/image200.png"/><Relationship Id="rId250" Type="http://schemas.openxmlformats.org/officeDocument/2006/relationships/image" Target="media/image201.png"/><Relationship Id="rId251" Type="http://schemas.openxmlformats.org/officeDocument/2006/relationships/image" Target="media/image202.png"/><Relationship Id="rId252" Type="http://schemas.openxmlformats.org/officeDocument/2006/relationships/image" Target="media/image203.png"/><Relationship Id="rId253" Type="http://schemas.openxmlformats.org/officeDocument/2006/relationships/image" Target="media/image204.png"/><Relationship Id="rId254" Type="http://schemas.openxmlformats.org/officeDocument/2006/relationships/image" Target="media/image205.png"/><Relationship Id="rId255" Type="http://schemas.openxmlformats.org/officeDocument/2006/relationships/image" Target="media/image206.png"/><Relationship Id="rId256" Type="http://schemas.openxmlformats.org/officeDocument/2006/relationships/image" Target="media/image207.png"/><Relationship Id="rId257" Type="http://schemas.openxmlformats.org/officeDocument/2006/relationships/image" Target="media/image208.png"/><Relationship Id="rId258" Type="http://schemas.openxmlformats.org/officeDocument/2006/relationships/image" Target="media/image209.png"/><Relationship Id="rId259" Type="http://schemas.openxmlformats.org/officeDocument/2006/relationships/image" Target="media/image210.png"/><Relationship Id="rId260" Type="http://schemas.openxmlformats.org/officeDocument/2006/relationships/header" Target="header12.xml"/><Relationship Id="rId261" Type="http://schemas.openxmlformats.org/officeDocument/2006/relationships/footer" Target="footer31.xml"/><Relationship Id="rId262" Type="http://schemas.openxmlformats.org/officeDocument/2006/relationships/image" Target="media/image211.png"/><Relationship Id="rId263" Type="http://schemas.openxmlformats.org/officeDocument/2006/relationships/image" Target="media/image212.png"/><Relationship Id="rId264" Type="http://schemas.openxmlformats.org/officeDocument/2006/relationships/image" Target="media/image213.png"/><Relationship Id="rId265" Type="http://schemas.openxmlformats.org/officeDocument/2006/relationships/image" Target="media/image214.png"/><Relationship Id="rId266" Type="http://schemas.openxmlformats.org/officeDocument/2006/relationships/image" Target="media/image215.png"/><Relationship Id="rId267" Type="http://schemas.openxmlformats.org/officeDocument/2006/relationships/image" Target="media/image216.png"/><Relationship Id="rId268" Type="http://schemas.openxmlformats.org/officeDocument/2006/relationships/image" Target="media/image217.png"/><Relationship Id="rId269" Type="http://schemas.openxmlformats.org/officeDocument/2006/relationships/image" Target="media/image218.png"/><Relationship Id="rId270" Type="http://schemas.openxmlformats.org/officeDocument/2006/relationships/image" Target="media/image219.png"/><Relationship Id="rId271" Type="http://schemas.openxmlformats.org/officeDocument/2006/relationships/header" Target="header13.xml"/><Relationship Id="rId272" Type="http://schemas.openxmlformats.org/officeDocument/2006/relationships/footer" Target="footer32.xml"/><Relationship Id="rId273" Type="http://schemas.openxmlformats.org/officeDocument/2006/relationships/image" Target="media/image220.png"/><Relationship Id="rId274" Type="http://schemas.openxmlformats.org/officeDocument/2006/relationships/image" Target="media/image221.png"/><Relationship Id="rId275" Type="http://schemas.openxmlformats.org/officeDocument/2006/relationships/image" Target="media/image222.png"/><Relationship Id="rId276" Type="http://schemas.openxmlformats.org/officeDocument/2006/relationships/image" Target="media/image223.png"/><Relationship Id="rId277" Type="http://schemas.openxmlformats.org/officeDocument/2006/relationships/image" Target="media/image224.png"/><Relationship Id="rId278" Type="http://schemas.openxmlformats.org/officeDocument/2006/relationships/image" Target="media/image225.png"/><Relationship Id="rId279" Type="http://schemas.openxmlformats.org/officeDocument/2006/relationships/image" Target="media/image226.png"/><Relationship Id="rId280" Type="http://schemas.openxmlformats.org/officeDocument/2006/relationships/image" Target="media/image227.png"/><Relationship Id="rId281" Type="http://schemas.openxmlformats.org/officeDocument/2006/relationships/image" Target="media/image228.png"/><Relationship Id="rId282" Type="http://schemas.openxmlformats.org/officeDocument/2006/relationships/image" Target="media/image229.png"/><Relationship Id="rId283" Type="http://schemas.openxmlformats.org/officeDocument/2006/relationships/image" Target="media/image230.png"/><Relationship Id="rId284" Type="http://schemas.openxmlformats.org/officeDocument/2006/relationships/image" Target="media/image231.png"/><Relationship Id="rId285" Type="http://schemas.openxmlformats.org/officeDocument/2006/relationships/image" Target="media/image232.png"/><Relationship Id="rId286" Type="http://schemas.openxmlformats.org/officeDocument/2006/relationships/image" Target="media/image233.png"/><Relationship Id="rId287" Type="http://schemas.openxmlformats.org/officeDocument/2006/relationships/image" Target="media/image234.png"/><Relationship Id="rId288" Type="http://schemas.openxmlformats.org/officeDocument/2006/relationships/image" Target="media/image235.png"/><Relationship Id="rId289" Type="http://schemas.openxmlformats.org/officeDocument/2006/relationships/image" Target="media/image236.png"/><Relationship Id="rId290" Type="http://schemas.openxmlformats.org/officeDocument/2006/relationships/image" Target="media/image237.png"/><Relationship Id="rId291" Type="http://schemas.openxmlformats.org/officeDocument/2006/relationships/image" Target="media/image238.png"/><Relationship Id="rId292" Type="http://schemas.openxmlformats.org/officeDocument/2006/relationships/image" Target="media/image239.png"/><Relationship Id="rId293" Type="http://schemas.openxmlformats.org/officeDocument/2006/relationships/image" Target="media/image240.png"/><Relationship Id="rId294" Type="http://schemas.openxmlformats.org/officeDocument/2006/relationships/image" Target="media/image241.png"/><Relationship Id="rId295" Type="http://schemas.openxmlformats.org/officeDocument/2006/relationships/image" Target="media/image242.png"/><Relationship Id="rId296" Type="http://schemas.openxmlformats.org/officeDocument/2006/relationships/image" Target="media/image243.png"/><Relationship Id="rId297" Type="http://schemas.openxmlformats.org/officeDocument/2006/relationships/image" Target="media/image244.png"/><Relationship Id="rId298" Type="http://schemas.openxmlformats.org/officeDocument/2006/relationships/image" Target="media/image245.png"/><Relationship Id="rId299" Type="http://schemas.openxmlformats.org/officeDocument/2006/relationships/image" Target="media/image246.png"/><Relationship Id="rId300" Type="http://schemas.openxmlformats.org/officeDocument/2006/relationships/image" Target="media/image247.png"/><Relationship Id="rId301" Type="http://schemas.openxmlformats.org/officeDocument/2006/relationships/image" Target="media/image248.png"/><Relationship Id="rId302" Type="http://schemas.openxmlformats.org/officeDocument/2006/relationships/image" Target="media/image249.png"/><Relationship Id="rId303" Type="http://schemas.openxmlformats.org/officeDocument/2006/relationships/image" Target="media/image250.png"/><Relationship Id="rId304" Type="http://schemas.openxmlformats.org/officeDocument/2006/relationships/image" Target="media/image251.png"/><Relationship Id="rId305" Type="http://schemas.openxmlformats.org/officeDocument/2006/relationships/image" Target="media/image252.png"/><Relationship Id="rId306" Type="http://schemas.openxmlformats.org/officeDocument/2006/relationships/image" Target="media/image253.png"/><Relationship Id="rId307" Type="http://schemas.openxmlformats.org/officeDocument/2006/relationships/image" Target="media/image254.png"/><Relationship Id="rId308" Type="http://schemas.openxmlformats.org/officeDocument/2006/relationships/image" Target="media/image255.png"/><Relationship Id="rId309" Type="http://schemas.openxmlformats.org/officeDocument/2006/relationships/image" Target="media/image256.png"/><Relationship Id="rId310" Type="http://schemas.openxmlformats.org/officeDocument/2006/relationships/header" Target="header14.xml"/><Relationship Id="rId311" Type="http://schemas.openxmlformats.org/officeDocument/2006/relationships/footer" Target="footer33.xml"/><Relationship Id="rId312" Type="http://schemas.openxmlformats.org/officeDocument/2006/relationships/image" Target="media/image257.png"/><Relationship Id="rId313" Type="http://schemas.openxmlformats.org/officeDocument/2006/relationships/image" Target="media/image258.png"/><Relationship Id="rId314" Type="http://schemas.openxmlformats.org/officeDocument/2006/relationships/header" Target="header15.xml"/><Relationship Id="rId315" Type="http://schemas.openxmlformats.org/officeDocument/2006/relationships/footer" Target="footer34.xml"/><Relationship Id="rId316" Type="http://schemas.openxmlformats.org/officeDocument/2006/relationships/image" Target="media/image1.jpeg"/><Relationship Id="rId317" Type="http://schemas.openxmlformats.org/officeDocument/2006/relationships/image" Target="media/image259.png"/><Relationship Id="rId318" Type="http://schemas.openxmlformats.org/officeDocument/2006/relationships/image" Target="media/image260.png"/><Relationship Id="rId319" Type="http://schemas.openxmlformats.org/officeDocument/2006/relationships/image" Target="media/image261.png"/><Relationship Id="rId320" Type="http://schemas.openxmlformats.org/officeDocument/2006/relationships/image" Target="media/image262.png"/><Relationship Id="rId321" Type="http://schemas.openxmlformats.org/officeDocument/2006/relationships/image" Target="media/image263.png"/><Relationship Id="rId322" Type="http://schemas.openxmlformats.org/officeDocument/2006/relationships/image" Target="media/image264.png"/><Relationship Id="rId323" Type="http://schemas.openxmlformats.org/officeDocument/2006/relationships/image" Target="media/image265.png"/><Relationship Id="rId324" Type="http://schemas.openxmlformats.org/officeDocument/2006/relationships/image" Target="media/image266.png"/><Relationship Id="rId325" Type="http://schemas.openxmlformats.org/officeDocument/2006/relationships/header" Target="header16.xml"/><Relationship Id="rId326" Type="http://schemas.openxmlformats.org/officeDocument/2006/relationships/image" Target="media/image267.png"/><Relationship Id="rId327" Type="http://schemas.openxmlformats.org/officeDocument/2006/relationships/image" Target="media/image268.png"/><Relationship Id="rId328" Type="http://schemas.openxmlformats.org/officeDocument/2006/relationships/image" Target="media/image269.png"/><Relationship Id="rId329" Type="http://schemas.openxmlformats.org/officeDocument/2006/relationships/image" Target="media/image270.png"/><Relationship Id="rId330" Type="http://schemas.openxmlformats.org/officeDocument/2006/relationships/image" Target="media/image271.png"/><Relationship Id="rId331" Type="http://schemas.openxmlformats.org/officeDocument/2006/relationships/image" Target="media/image272.png"/><Relationship Id="rId332" Type="http://schemas.openxmlformats.org/officeDocument/2006/relationships/image" Target="media/image273.png"/><Relationship Id="rId333" Type="http://schemas.openxmlformats.org/officeDocument/2006/relationships/image" Target="media/image274.png"/><Relationship Id="rId334" Type="http://schemas.openxmlformats.org/officeDocument/2006/relationships/image" Target="media/image275.png"/><Relationship Id="rId335" Type="http://schemas.openxmlformats.org/officeDocument/2006/relationships/image" Target="media/image276.png"/><Relationship Id="rId336" Type="http://schemas.openxmlformats.org/officeDocument/2006/relationships/image" Target="media/image277.png"/><Relationship Id="rId337" Type="http://schemas.openxmlformats.org/officeDocument/2006/relationships/image" Target="media/image278.png"/><Relationship Id="rId338" Type="http://schemas.openxmlformats.org/officeDocument/2006/relationships/image" Target="media/image279.png"/><Relationship Id="rId339" Type="http://schemas.openxmlformats.org/officeDocument/2006/relationships/image" Target="media/image280.png"/><Relationship Id="rId340" Type="http://schemas.openxmlformats.org/officeDocument/2006/relationships/image" Target="media/image281.png"/><Relationship Id="rId341" Type="http://schemas.openxmlformats.org/officeDocument/2006/relationships/image" Target="media/image282.png"/><Relationship Id="rId342" Type="http://schemas.openxmlformats.org/officeDocument/2006/relationships/image" Target="media/image283.png"/><Relationship Id="rId343" Type="http://schemas.openxmlformats.org/officeDocument/2006/relationships/image" Target="media/image284.png"/><Relationship Id="rId344" Type="http://schemas.openxmlformats.org/officeDocument/2006/relationships/image" Target="media/image285.png"/><Relationship Id="rId345" Type="http://schemas.openxmlformats.org/officeDocument/2006/relationships/image" Target="media/image286.png"/><Relationship Id="rId346" Type="http://schemas.openxmlformats.org/officeDocument/2006/relationships/image" Target="media/image28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1" Type="http://schemas.openxmlformats.org/officeDocument/2006/relationships/image" Target="media/image33.jpeg"/></Relationships>

</file>

<file path=word/_rels/header11.xml.rels><?xml version="1.0" encoding="UTF-8" standalone="yes"?>
<Relationships xmlns="http://schemas.openxmlformats.org/package/2006/relationships"><Relationship Id="rId1" Type="http://schemas.openxmlformats.org/officeDocument/2006/relationships/image" Target="media/image1.jpeg"/></Relationships>

</file>

<file path=word/_rels/header12.xml.rels><?xml version="1.0" encoding="UTF-8" standalone="yes"?>
<Relationships xmlns="http://schemas.openxmlformats.org/package/2006/relationships"><Relationship Id="rId1" Type="http://schemas.openxmlformats.org/officeDocument/2006/relationships/image" Target="media/image33.jpeg"/></Relationships>

</file>

<file path=word/_rels/header13.xml.rels><?xml version="1.0" encoding="UTF-8" standalone="yes"?>
<Relationships xmlns="http://schemas.openxmlformats.org/package/2006/relationships"><Relationship Id="rId1" Type="http://schemas.openxmlformats.org/officeDocument/2006/relationships/image" Target="media/image1.jpeg"/></Relationships>

</file>

<file path=word/_rels/header16.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3.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33.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33.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dc:title>第五节  股本变动及股东情况</dc:title>
  <dcterms:created xsi:type="dcterms:W3CDTF">2020-04-29T03:37:44Z</dcterms:created>
  <dcterms:modified xsi:type="dcterms:W3CDTF">2020-04-29T03:37:44Z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2011-03-16T00:00:00Z</vt:filetime>
  </property>
  <property fmtid="{D5CDD505-2E9C-101B-9397-08002B2CF9AE}" pid="3" name="Creator">
    <vt:lpwstr>Acrobat PDFMaker 8.1 for Word</vt:lpwstr>
  </property>
  <property fmtid="{D5CDD505-2E9C-101B-9397-08002B2CF9AE}" pid="4" name="LastSaved">
    <vt:filetime>2020-04-28T00:00:00Z</vt:filetime>
  </property>
</Properties>
</file>