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 style="position:absolute;margin-left:61.199997pt;margin-top:35.999985pt;width:81.850006pt;height:20.399994pt;mso-position-horizontal-relative:page;mso-position-vertical-relative:page;z-index:0" type="#_x0000_t75" stroked="false">
            <v:imagedata r:id="rId7" o:titl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2421" w:right="2425" w:firstLine="0"/>
        <w:jc w:val="center"/>
        <w:rPr>
          <w:rFonts w:ascii="宋体" w:hAnsi="宋体" w:cs="宋体" w:eastAsia="宋体" w:hint="default"/>
          <w:sz w:val="36"/>
          <w:szCs w:val="36"/>
        </w:rPr>
      </w:pPr>
      <w:r>
        <w:rPr/>
        <w:pict>
          <v:group style="position:absolute;margin-left:55.200001pt;margin-top:-73.396561pt;width:484.9pt;height:.1pt;mso-position-horizontal-relative:page;mso-position-vertical-relative:paragraph;z-index:1048" coordorigin="1104,-1468" coordsize="9698,2">
            <v:shape style="position:absolute;left:1104;top:-1468;width:9698;height:2" coordorigin="1104,-1468" coordsize="9698,0" path="m1104,-1468l10802,-1468e" filled="false" stroked="true" strokeweight=".72pt" strokecolor="#000000">
              <v:path arrowok="t"/>
            </v:shape>
            <w10:wrap type="none"/>
          </v:group>
        </w:pict>
      </w:r>
      <w:r>
        <w:rPr>
          <w:rFonts w:ascii="宋体" w:hAnsi="宋体" w:cs="宋体" w:eastAsia="宋体" w:hint="default"/>
          <w:b/>
          <w:bCs/>
          <w:sz w:val="36"/>
          <w:szCs w:val="36"/>
        </w:rPr>
        <w:t>北京神州泰岳软件股份有限公司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421" w:right="242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421"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973" w:footer="980" w:top="1280" w:bottom="1160" w:left="980" w:right="980"/>
        </w:sectPr>
      </w:pPr>
    </w:p>
    <w:p>
      <w:pPr>
        <w:spacing w:line="240" w:lineRule="auto" w:before="11"/>
        <w:rPr>
          <w:rFonts w:ascii="宋体" w:hAnsi="宋体" w:cs="宋体" w:eastAsia="宋体" w:hint="default"/>
          <w:b/>
          <w:bCs/>
          <w:sz w:val="2"/>
          <w:szCs w:val="2"/>
        </w:rPr>
      </w:pPr>
      <w:r>
        <w:rPr/>
        <w:pict>
          <v:shape style="position:absolute;margin-left:61.199997pt;margin-top:42.599991pt;width:81.850006pt;height:20.399994pt;mso-position-horizontal-relative:page;mso-position-vertical-relative:page;z-index:1096" type="#_x0000_t75" stroked="false">
            <v:imagedata r:id="rId7" o:title=""/>
          </v:shape>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1"/>
          <w:szCs w:val="21"/>
        </w:rPr>
      </w:pPr>
    </w:p>
    <w:p>
      <w:pPr>
        <w:pStyle w:val="Heading1"/>
        <w:spacing w:line="240" w:lineRule="auto"/>
        <w:ind w:left="2803" w:right="0"/>
        <w:jc w:val="left"/>
        <w:rPr>
          <w:b w:val="0"/>
          <w:bCs w:val="0"/>
        </w:rPr>
      </w:pPr>
      <w:bookmarkStart w:name="_TOC_250009" w:id="1"/>
      <w:r>
        <w:rPr/>
        <w:t>第一节</w:t>
      </w:r>
      <w:r>
        <w:rPr>
          <w:spacing w:val="-6"/>
        </w:rPr>
        <w:t> </w:t>
      </w:r>
      <w:r>
        <w:rPr/>
        <w:t>重要提示、目录和释义</w:t>
      </w:r>
      <w:bookmarkEnd w:id="1"/>
      <w:r>
        <w:rPr>
          <w:b w:val="0"/>
          <w:bCs w:val="0"/>
        </w:rPr>
      </w:r>
    </w:p>
    <w:p>
      <w:pPr>
        <w:spacing w:line="240" w:lineRule="auto" w:before="11"/>
        <w:rPr>
          <w:rFonts w:ascii="宋体" w:hAnsi="宋体" w:cs="宋体" w:eastAsia="宋体" w:hint="default"/>
          <w:b/>
          <w:bCs/>
          <w:sz w:val="44"/>
          <w:szCs w:val="44"/>
        </w:rPr>
      </w:pPr>
    </w:p>
    <w:p>
      <w:pPr>
        <w:pStyle w:val="Heading2"/>
        <w:spacing w:line="357" w:lineRule="auto"/>
        <w:ind w:right="156" w:firstLine="482"/>
        <w:jc w:val="both"/>
        <w:rPr>
          <w:b w:val="0"/>
          <w:bCs w:val="0"/>
        </w:rPr>
      </w:pPr>
      <w:r>
        <w:rPr/>
        <w:t>本公司董事会、监事会及董事、监事、高级管理人员保证本报告所载资料不存在任何虚</w:t>
      </w:r>
      <w:r>
        <w:rPr>
          <w:w w:val="99"/>
        </w:rPr>
        <w:t> </w:t>
      </w:r>
      <w:r>
        <w:rPr/>
        <w:t>假记载、误导性陈述或者重大遗漏，并对其内容的真实性、准确性和完整性承担个别及连带</w:t>
      </w:r>
      <w:r>
        <w:rPr>
          <w:w w:val="99"/>
        </w:rPr>
        <w:t> </w:t>
      </w:r>
      <w:r>
        <w:rPr/>
        <w:t>责任。</w:t>
      </w:r>
      <w:r>
        <w:rPr>
          <w:b w:val="0"/>
          <w:bCs w:val="0"/>
        </w:rPr>
      </w:r>
    </w:p>
    <w:p>
      <w:pPr>
        <w:pStyle w:val="Heading2"/>
        <w:spacing w:line="240" w:lineRule="auto" w:before="192"/>
        <w:ind w:left="635" w:right="0"/>
        <w:jc w:val="left"/>
        <w:rPr>
          <w:b w:val="0"/>
          <w:bCs w:val="0"/>
        </w:rPr>
      </w:pPr>
      <w:r>
        <w:rPr/>
        <w:t>除下列董事外，其他董事亲自出席了审议本次年报的董事会会议</w:t>
      </w:r>
      <w:r>
        <w:rPr>
          <w:b w:val="0"/>
          <w:bCs w:val="0"/>
        </w:rPr>
      </w:r>
    </w:p>
    <w:p>
      <w:pPr>
        <w:spacing w:line="240" w:lineRule="auto" w:before="9"/>
        <w:rPr>
          <w:rFonts w:ascii="宋体" w:hAnsi="宋体" w:cs="宋体" w:eastAsia="宋体" w:hint="default"/>
          <w:b/>
          <w:bCs/>
          <w:sz w:val="20"/>
          <w:szCs w:val="20"/>
        </w:rPr>
      </w:pPr>
    </w:p>
    <w:tbl>
      <w:tblPr>
        <w:tblW w:w="0" w:type="auto"/>
        <w:jc w:val="left"/>
        <w:tblInd w:w="183" w:type="dxa"/>
        <w:tblLayout w:type="fixed"/>
        <w:tblCellMar>
          <w:top w:w="0" w:type="dxa"/>
          <w:left w:w="0" w:type="dxa"/>
          <w:bottom w:w="0" w:type="dxa"/>
          <w:right w:w="0" w:type="dxa"/>
        </w:tblCellMar>
        <w:tblLook w:val="01E0"/>
      </w:tblPr>
      <w:tblGrid>
        <w:gridCol w:w="2391"/>
        <w:gridCol w:w="2393"/>
        <w:gridCol w:w="2393"/>
        <w:gridCol w:w="2391"/>
      </w:tblGrid>
      <w:tr>
        <w:trPr>
          <w:trHeight w:val="790"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79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李力</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因公务出差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王宁</w:t>
            </w:r>
          </w:p>
        </w:tc>
      </w:tr>
      <w:tr>
        <w:trPr>
          <w:trHeight w:val="79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徐斯平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因公务出差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黄松浪</w:t>
            </w:r>
          </w:p>
        </w:tc>
      </w:tr>
    </w:tbl>
    <w:p>
      <w:pPr>
        <w:spacing w:line="240" w:lineRule="auto" w:before="12"/>
        <w:rPr>
          <w:rFonts w:ascii="宋体" w:hAnsi="宋体" w:cs="宋体" w:eastAsia="宋体" w:hint="default"/>
          <w:b/>
          <w:bCs/>
          <w:sz w:val="12"/>
          <w:szCs w:val="12"/>
        </w:rPr>
      </w:pPr>
    </w:p>
    <w:p>
      <w:pPr>
        <w:pStyle w:val="Heading2"/>
        <w:spacing w:line="338" w:lineRule="auto" w:before="26"/>
        <w:ind w:right="148" w:firstLine="482"/>
        <w:jc w:val="both"/>
        <w:rPr>
          <w:b w:val="0"/>
          <w:bCs w:val="0"/>
        </w:rPr>
      </w:pPr>
      <w:r>
        <w:rPr>
          <w:spacing w:val="2"/>
        </w:rPr>
        <w:t>公司负责人王宁先生、主管会计工作负责人万能先生及会计机构负责人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rFonts w:ascii="Times New Roman" w:hAnsi="Times New Roman" w:cs="Times New Roman" w:eastAsia="Times New Roman" w:hint="default"/>
          <w:w w:val="99"/>
        </w:rPr>
        <w:t> </w:t>
      </w:r>
      <w:r>
        <w:rPr/>
        <w:t>林红女士声明：保证年度报告中财务报告的真实、准确、完整。</w:t>
      </w:r>
      <w:r>
        <w:rPr>
          <w:b w:val="0"/>
          <w:bCs w:val="0"/>
        </w:rPr>
      </w:r>
    </w:p>
    <w:p>
      <w:pPr>
        <w:pStyle w:val="Heading2"/>
        <w:spacing w:line="357" w:lineRule="auto" w:before="212"/>
        <w:ind w:right="156" w:firstLine="482"/>
        <w:jc w:val="both"/>
        <w:rPr>
          <w:b w:val="0"/>
          <w:bCs w:val="0"/>
        </w:rPr>
      </w:pPr>
      <w:r>
        <w:rPr/>
        <w:t>本报告中如有涉及未来的计划、业绩预测等方面的内容，均不构成本公司对任何投资者</w:t>
      </w:r>
      <w:r>
        <w:rPr>
          <w:w w:val="99"/>
        </w:rPr>
        <w:t> </w:t>
      </w:r>
      <w:r>
        <w:rPr/>
        <w:t>及相关人士的承诺，投资者及相关人士均应对此保持足够的风险认识，并且应当理解计划、</w:t>
      </w:r>
      <w:r>
        <w:rPr>
          <w:w w:val="99"/>
        </w:rPr>
        <w:t> </w:t>
      </w:r>
      <w:r>
        <w:rPr/>
        <w:t>预测与承诺之间的差异。</w:t>
      </w:r>
      <w:r>
        <w:rPr>
          <w:b w:val="0"/>
          <w:bCs w:val="0"/>
        </w:rPr>
      </w:r>
    </w:p>
    <w:p>
      <w:pPr>
        <w:spacing w:after="0" w:line="357" w:lineRule="auto"/>
        <w:jc w:val="both"/>
        <w:sectPr>
          <w:footerReference w:type="default" r:id="rId8"/>
          <w:pgSz w:w="11910" w:h="16840"/>
          <w:pgMar w:footer="980" w:header="973" w:top="1280" w:bottom="1160" w:left="980" w:right="980"/>
          <w:pgNumType w:start="2"/>
        </w:sectPr>
      </w:pPr>
    </w:p>
    <w:p>
      <w:pPr>
        <w:spacing w:line="240" w:lineRule="auto" w:before="11"/>
        <w:rPr>
          <w:rFonts w:ascii="宋体" w:hAnsi="宋体" w:cs="宋体" w:eastAsia="宋体" w:hint="default"/>
          <w:b/>
          <w:bCs/>
          <w:sz w:val="2"/>
          <w:szCs w:val="2"/>
        </w:rPr>
      </w:pPr>
      <w:r>
        <w:rPr/>
        <w:pict>
          <v:shape style="position:absolute;margin-left:61.199997pt;margin-top:42.599991pt;width:81.850006pt;height:20.399994pt;mso-position-horizontal-relative:page;mso-position-vertical-relative:page;z-index:1144" type="#_x0000_t75" stroked="false">
            <v:imagedata r:id="rId7" o:title=""/>
          </v:shape>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31"/>
        <w:ind w:left="2421" w:right="2421" w:firstLine="0"/>
        <w:jc w:val="center"/>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5"/>
        <w:rPr>
          <w:rFonts w:ascii="宋体" w:hAnsi="宋体" w:cs="宋体" w:eastAsia="宋体" w:hint="default"/>
          <w:b/>
          <w:bCs/>
          <w:sz w:val="29"/>
          <w:szCs w:val="29"/>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09">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8">
            <w:r>
              <w:rPr/>
              <w:t>第二节</w:t>
            </w:r>
            <w:r>
              <w:rPr>
                <w:spacing w:val="1"/>
              </w:rPr>
              <w:t> </w:t>
            </w:r>
            <w:r>
              <w:rPr/>
              <w:t>公司基本情况简介</w:t>
            </w:r>
            <w:r>
              <w:rPr>
                <w:rFonts w:ascii="Times New Roman" w:hAnsi="Times New Roman" w:cs="Times New Roman" w:eastAsia="Times New Roman" w:hint="default"/>
              </w:rPr>
              <w:tab/>
              <w:t>5</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7">
            <w:r>
              <w:rPr/>
              <w:t>第三节</w:t>
            </w:r>
            <w:r>
              <w:rPr>
                <w:spacing w:val="1"/>
              </w:rPr>
              <w:t> </w:t>
            </w:r>
            <w:r>
              <w:rPr/>
              <w:t>会计数据和财务指标摘要</w:t>
            </w:r>
            <w:r>
              <w:rPr>
                <w:rFonts w:ascii="Times New Roman" w:hAnsi="Times New Roman" w:cs="Times New Roman" w:eastAsia="Times New Roman" w:hint="default"/>
              </w:rPr>
              <w:tab/>
              <w:t>7</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6">
            <w:r>
              <w:rPr/>
              <w:t>第四节</w:t>
            </w:r>
            <w:r>
              <w:rPr>
                <w:spacing w:val="1"/>
              </w:rPr>
              <w:t> </w:t>
            </w:r>
            <w:r>
              <w:rPr/>
              <w:t>董事会报告</w:t>
            </w:r>
            <w:r>
              <w:rPr>
                <w:rFonts w:ascii="Times New Roman" w:hAnsi="Times New Roman" w:cs="Times New Roman" w:eastAsia="Times New Roman" w:hint="default"/>
              </w:rPr>
              <w:tab/>
              <w:t>10</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5">
            <w:r>
              <w:rPr/>
              <w:t>第五节</w:t>
            </w:r>
            <w:r>
              <w:rPr>
                <w:spacing w:val="1"/>
              </w:rPr>
              <w:t> </w:t>
            </w:r>
            <w:r>
              <w:rPr/>
              <w:t>重要事项</w:t>
            </w:r>
            <w:r>
              <w:rPr>
                <w:rFonts w:ascii="Times New Roman" w:hAnsi="Times New Roman" w:cs="Times New Roman" w:eastAsia="Times New Roman" w:hint="default"/>
              </w:rPr>
              <w:tab/>
              <w:t>45</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4">
            <w:r>
              <w:rPr/>
              <w:t>第六节</w:t>
            </w:r>
            <w:r>
              <w:rPr>
                <w:spacing w:val="1"/>
              </w:rPr>
              <w:t> </w:t>
            </w:r>
            <w:r>
              <w:rPr/>
              <w:t>股份变动及股东情况</w:t>
            </w:r>
            <w:r>
              <w:rPr>
                <w:rFonts w:ascii="Times New Roman" w:hAnsi="Times New Roman" w:cs="Times New Roman" w:eastAsia="Times New Roman" w:hint="default"/>
              </w:rPr>
              <w:tab/>
              <w:t>53</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3">
            <w:r>
              <w:rPr/>
              <w:t>第七节</w:t>
            </w:r>
            <w:r>
              <w:rPr>
                <w:spacing w:val="1"/>
              </w:rPr>
              <w:t> </w:t>
            </w:r>
            <w:r>
              <w:rPr/>
              <w:t>董事、监事、高级管理人员和员工情况</w:t>
            </w:r>
            <w:r>
              <w:rPr>
                <w:rFonts w:ascii="Times New Roman" w:hAnsi="Times New Roman" w:cs="Times New Roman" w:eastAsia="Times New Roman" w:hint="default"/>
              </w:rPr>
              <w:tab/>
              <w:t>60</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2">
            <w:r>
              <w:rPr/>
              <w:t>第八节</w:t>
            </w:r>
            <w:r>
              <w:rPr>
                <w:spacing w:val="1"/>
              </w:rPr>
              <w:t> </w:t>
            </w:r>
            <w:r>
              <w:rPr/>
              <w:t>公司治理</w:t>
            </w:r>
            <w:r>
              <w:rPr>
                <w:rFonts w:ascii="Times New Roman" w:hAnsi="Times New Roman" w:cs="Times New Roman" w:eastAsia="Times New Roman" w:hint="default"/>
              </w:rPr>
              <w:tab/>
              <w:t>70</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1">
            <w:r>
              <w:rPr/>
              <w:t>第九节</w:t>
            </w:r>
            <w:r>
              <w:rPr>
                <w:spacing w:val="1"/>
              </w:rPr>
              <w:t> </w:t>
            </w:r>
            <w:r>
              <w:rPr/>
              <w:t>财务报告</w:t>
            </w:r>
            <w:r>
              <w:rPr>
                <w:rFonts w:ascii="Times New Roman" w:hAnsi="Times New Roman" w:cs="Times New Roman" w:eastAsia="Times New Roman" w:hint="default"/>
              </w:rPr>
              <w:tab/>
              <w:t>77</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0">
            <w:r>
              <w:rPr/>
              <w:t>第十节</w:t>
            </w:r>
            <w:r>
              <w:rPr>
                <w:spacing w:val="1"/>
              </w:rPr>
              <w:t> </w:t>
            </w:r>
            <w:r>
              <w:rPr/>
              <w:t>备查文件目录</w:t>
            </w:r>
            <w:r>
              <w:rPr>
                <w:rFonts w:ascii="Times New Roman" w:hAnsi="Times New Roman" w:cs="Times New Roman" w:eastAsia="Times New Roman" w:hint="default"/>
              </w:rPr>
              <w:tab/>
              <w:t>171</w:t>
            </w:r>
          </w:hyperlink>
        </w:p>
        <w:p>
          <w:pPr/>
          <w:r>
            <w:fldChar w:fldCharType="end"/>
          </w:r>
        </w:p>
      </w:sdtContent>
    </w:sdt>
    <w:p>
      <w:pPr>
        <w:spacing w:after="0"/>
        <w:sectPr>
          <w:pgSz w:w="11910" w:h="16840"/>
          <w:pgMar w:header="973" w:footer="980" w:top="1280" w:bottom="1160" w:left="980" w:right="980"/>
        </w:sectPr>
      </w:pPr>
    </w:p>
    <w:p>
      <w:pPr>
        <w:spacing w:before="690"/>
        <w:ind w:left="2421" w:right="242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14"/>
          <w:szCs w:val="14"/>
        </w:rPr>
      </w:pPr>
    </w:p>
    <w:p>
      <w:pPr>
        <w:pStyle w:val="BodyText"/>
        <w:spacing w:line="240" w:lineRule="auto"/>
        <w:ind w:left="0" w:right="249"/>
        <w:jc w:val="right"/>
      </w:pPr>
      <w:r>
        <w:rPr/>
        <w:pict>
          <v:shape style="position:absolute;margin-left:56.400002pt;margin-top:-378.818298pt;width:474.7pt;height:490.9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66"/>
                    <w:gridCol w:w="869"/>
                    <w:gridCol w:w="6644"/>
                  </w:tblGrid>
                  <w:tr>
                    <w:trPr>
                      <w:trHeight w:val="403" w:hRule="exact"/>
                    </w:trPr>
                    <w:tc>
                      <w:tcPr>
                        <w:tcW w:w="1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1272" w:hRule="exact"/>
                    </w:trPr>
                    <w:tc>
                      <w:tcPr>
                        <w:tcW w:w="196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619" w:right="0"/>
                          <w:jc w:val="left"/>
                          <w:rPr>
                            <w:rFonts w:ascii="宋体" w:hAnsi="宋体" w:cs="宋体" w:eastAsia="宋体" w:hint="default"/>
                            <w:sz w:val="18"/>
                            <w:szCs w:val="18"/>
                          </w:rPr>
                        </w:pPr>
                        <w:r>
                          <w:rPr>
                            <w:rFonts w:ascii="宋体" w:hAnsi="宋体" w:cs="宋体" w:eastAsia="宋体" w:hint="default"/>
                            <w:sz w:val="18"/>
                            <w:szCs w:val="18"/>
                          </w:rPr>
                          <w:t>运维管理</w:t>
                        </w:r>
                      </w:p>
                    </w:tc>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4" w:type="dxa"/>
                        <w:vMerge w:val="restart"/>
                        <w:tcBorders>
                          <w:top w:val="single" w:sz="4" w:space="0" w:color="000000"/>
                          <w:left w:val="single" w:sz="10" w:space="0" w:color="D2D2D2"/>
                          <w:right w:val="single" w:sz="4" w:space="0" w:color="000000"/>
                        </w:tcBorders>
                      </w:tcPr>
                      <w:p>
                        <w:pPr>
                          <w:pStyle w:val="TableParagraph"/>
                          <w:spacing w:line="314" w:lineRule="auto" w:before="49"/>
                          <w:ind w:left="16" w:right="19"/>
                          <w:jc w:val="left"/>
                          <w:rPr>
                            <w:rFonts w:ascii="宋体" w:hAnsi="宋体" w:cs="宋体" w:eastAsia="宋体" w:hint="default"/>
                            <w:sz w:val="18"/>
                            <w:szCs w:val="18"/>
                          </w:rPr>
                        </w:pPr>
                        <w:r>
                          <w:rPr>
                            <w:rFonts w:ascii="宋体" w:hAnsi="宋体" w:cs="宋体" w:eastAsia="宋体" w:hint="default"/>
                            <w:spacing w:val="-2"/>
                            <w:sz w:val="18"/>
                            <w:szCs w:val="18"/>
                          </w:rPr>
                          <w:t>运维管理是企业信息化建设的重要组成部分，是指采用专业的信息技术和方法，对用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户的软硬件环境、计算机网络与电信网络、应用系统及运维服务流程等进行的综合管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理，其目的是保障系统与网络的可用性、安全性和业务持续性，尤其是保障企业关键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小时的稳定可靠运行，提高其运行效率和服务质量。 随着网络的普及、企业信息化建设的推进、</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技术的发展与创新，人们日常生活和 工作对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系统的使用不断增加，依赖性越来越高。以电信运营商、金融企业为代表 的大型客户的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IT </w:t>
                        </w:r>
                        <w:r>
                          <w:rPr>
                            <w:rFonts w:ascii="宋体" w:hAnsi="宋体" w:cs="宋体" w:eastAsia="宋体" w:hint="default"/>
                            <w:spacing w:val="-5"/>
                            <w:sz w:val="18"/>
                            <w:szCs w:val="18"/>
                          </w:rPr>
                          <w:t>系统，尤其是其在线关键业务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IT </w:t>
                        </w:r>
                        <w:r>
                          <w:rPr>
                            <w:rFonts w:ascii="宋体" w:hAnsi="宋体" w:cs="宋体" w:eastAsia="宋体" w:hint="default"/>
                            <w:sz w:val="18"/>
                            <w:szCs w:val="18"/>
                          </w:rPr>
                          <w:t>应用系统对运维管理的刚性需求持</w:t>
                        </w:r>
                      </w:p>
                      <w:p>
                        <w:pPr>
                          <w:pStyle w:val="TableParagraph"/>
                          <w:spacing w:line="300" w:lineRule="auto" w:before="1"/>
                          <w:ind w:left="16" w:right="26"/>
                          <w:jc w:val="left"/>
                          <w:rPr>
                            <w:rFonts w:ascii="宋体" w:hAnsi="宋体" w:cs="宋体" w:eastAsia="宋体" w:hint="default"/>
                            <w:sz w:val="18"/>
                            <w:szCs w:val="18"/>
                          </w:rPr>
                        </w:pPr>
                        <w:r>
                          <w:rPr>
                            <w:rFonts w:ascii="宋体" w:hAnsi="宋体" w:cs="宋体" w:eastAsia="宋体" w:hint="default"/>
                            <w:sz w:val="18"/>
                            <w:szCs w:val="18"/>
                          </w:rPr>
                          <w:t>续快速增长，以保障其关键业务系统能够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小时持续、不间断地稳定运行，相应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运维管理的市场容量将不断地增长。</w:t>
                        </w:r>
                      </w:p>
                    </w:tc>
                  </w:tr>
                  <w:tr>
                    <w:trPr>
                      <w:trHeight w:val="394" w:hRule="exact"/>
                    </w:trPr>
                    <w:tc>
                      <w:tcPr>
                        <w:tcW w:w="1966" w:type="dxa"/>
                        <w:vMerge/>
                        <w:tcBorders>
                          <w:left w:val="single" w:sz="4" w:space="0" w:color="000000"/>
                          <w:right w:val="single" w:sz="9" w:space="0" w:color="D2D2D2"/>
                        </w:tcBorders>
                      </w:tcPr>
                      <w:p>
                        <w:pPr/>
                      </w:p>
                    </w:tc>
                    <w:tc>
                      <w:tcPr>
                        <w:tcW w:w="8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44" w:type="dxa"/>
                        <w:vMerge/>
                        <w:tcBorders>
                          <w:left w:val="single" w:sz="10" w:space="0" w:color="D2D2D2"/>
                          <w:right w:val="single" w:sz="4" w:space="0" w:color="000000"/>
                        </w:tcBorders>
                      </w:tcPr>
                      <w:p>
                        <w:pPr/>
                      </w:p>
                    </w:tc>
                  </w:tr>
                  <w:tr>
                    <w:trPr>
                      <w:trHeight w:val="1272" w:hRule="exact"/>
                    </w:trPr>
                    <w:tc>
                      <w:tcPr>
                        <w:tcW w:w="1966" w:type="dxa"/>
                        <w:vMerge/>
                        <w:tcBorders>
                          <w:left w:val="single" w:sz="4" w:space="0" w:color="000000"/>
                          <w:bottom w:val="single" w:sz="4" w:space="0" w:color="000000"/>
                          <w:right w:val="single" w:sz="9" w:space="0" w:color="D2D2D2"/>
                        </w:tcBorders>
                      </w:tcPr>
                      <w:p>
                        <w:pPr/>
                      </w:p>
                    </w:tc>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4" w:type="dxa"/>
                        <w:vMerge/>
                        <w:tcBorders>
                          <w:left w:val="single" w:sz="10" w:space="0" w:color="D2D2D2"/>
                          <w:bottom w:val="single" w:sz="4" w:space="0" w:color="000000"/>
                          <w:right w:val="single" w:sz="4" w:space="0" w:color="000000"/>
                        </w:tcBorders>
                      </w:tcPr>
                      <w:p>
                        <w:pPr/>
                      </w:p>
                    </w:tc>
                  </w:tr>
                  <w:tr>
                    <w:trPr>
                      <w:trHeight w:val="1272" w:hRule="exact"/>
                    </w:trPr>
                    <w:tc>
                      <w:tcPr>
                        <w:tcW w:w="196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8" w:right="0"/>
                          <w:jc w:val="center"/>
                          <w:rPr>
                            <w:rFonts w:ascii="宋体" w:hAnsi="宋体" w:cs="宋体" w:eastAsia="宋体" w:hint="default"/>
                            <w:sz w:val="18"/>
                            <w:szCs w:val="18"/>
                          </w:rPr>
                        </w:pPr>
                        <w:r>
                          <w:rPr>
                            <w:rFonts w:ascii="宋体" w:hAnsi="宋体" w:cs="宋体" w:eastAsia="宋体" w:hint="default"/>
                            <w:sz w:val="18"/>
                            <w:szCs w:val="18"/>
                          </w:rPr>
                          <w:t>飞信</w:t>
                        </w:r>
                      </w:p>
                    </w:tc>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4" w:type="dxa"/>
                        <w:vMerge w:val="restart"/>
                        <w:tcBorders>
                          <w:top w:val="single" w:sz="4" w:space="0" w:color="000000"/>
                          <w:left w:val="single" w:sz="10" w:space="0" w:color="D2D2D2"/>
                          <w:right w:val="single" w:sz="4" w:space="0" w:color="000000"/>
                        </w:tcBorders>
                      </w:tcPr>
                      <w:p>
                        <w:pPr>
                          <w:pStyle w:val="TableParagraph"/>
                          <w:spacing w:line="312" w:lineRule="auto" w:before="49"/>
                          <w:ind w:left="16" w:right="-3"/>
                          <w:jc w:val="both"/>
                          <w:rPr>
                            <w:rFonts w:ascii="宋体" w:hAnsi="宋体" w:cs="宋体" w:eastAsia="宋体" w:hint="default"/>
                            <w:sz w:val="18"/>
                            <w:szCs w:val="18"/>
                          </w:rPr>
                        </w:pPr>
                        <w:r>
                          <w:rPr>
                            <w:rFonts w:ascii="宋体" w:hAnsi="宋体" w:cs="宋体" w:eastAsia="宋体" w:hint="default"/>
                            <w:spacing w:val="-3"/>
                            <w:w w:val="99"/>
                            <w:sz w:val="18"/>
                            <w:szCs w:val="18"/>
                          </w:rPr>
                          <w:t>飞信是由中国移动通信集团公司推出的综合通信服务，即融合语音（</w:t>
                        </w:r>
                        <w:r>
                          <w:rPr>
                            <w:rFonts w:ascii="Times New Roman" w:hAnsi="Times New Roman" w:cs="Times New Roman" w:eastAsia="Times New Roman" w:hint="default"/>
                            <w:spacing w:val="-3"/>
                            <w:w w:val="99"/>
                            <w:sz w:val="18"/>
                            <w:szCs w:val="18"/>
                          </w:rPr>
                          <w:t>IVR</w:t>
                        </w:r>
                        <w:r>
                          <w:rPr>
                            <w:rFonts w:ascii="宋体" w:hAnsi="宋体" w:cs="宋体" w:eastAsia="宋体" w:hint="default"/>
                            <w:spacing w:val="-3"/>
                            <w:w w:val="99"/>
                            <w:sz w:val="18"/>
                            <w:szCs w:val="18"/>
                          </w:rPr>
                          <w:t>）、</w:t>
                        </w:r>
                        <w:r>
                          <w:rPr>
                            <w:rFonts w:ascii="Times New Roman" w:hAnsi="Times New Roman" w:cs="Times New Roman" w:eastAsia="Times New Roman" w:hint="default"/>
                            <w:spacing w:val="-3"/>
                            <w:w w:val="99"/>
                            <w:sz w:val="18"/>
                            <w:szCs w:val="18"/>
                          </w:rPr>
                          <w:t>GPRS</w:t>
                        </w:r>
                        <w:r>
                          <w:rPr>
                            <w:rFonts w:ascii="宋体" w:hAnsi="宋体" w:cs="宋体" w:eastAsia="宋体" w:hint="default"/>
                            <w:spacing w:val="-3"/>
                            <w:w w:val="99"/>
                            <w:sz w:val="18"/>
                            <w:szCs w:val="18"/>
                          </w:rPr>
                          <w:t>、</w:t>
                        </w:r>
                        <w:r>
                          <w:rPr>
                            <w:rFonts w:ascii="宋体" w:hAnsi="宋体" w:cs="宋体" w:eastAsia="宋体" w:hint="default"/>
                            <w:spacing w:val="-61"/>
                            <w:w w:val="99"/>
                            <w:sz w:val="18"/>
                            <w:szCs w:val="18"/>
                          </w:rPr>
                          <w:t> </w:t>
                        </w:r>
                        <w:r>
                          <w:rPr>
                            <w:rFonts w:ascii="宋体" w:hAnsi="宋体" w:cs="宋体" w:eastAsia="宋体" w:hint="default"/>
                            <w:spacing w:val="-2"/>
                            <w:sz w:val="18"/>
                            <w:szCs w:val="18"/>
                          </w:rPr>
                          <w:t>短信等多种通信方式，覆盖三种不同形态（完全实时的语音服务、准实时的文字和小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数据量通信服务、非实时的通信服务）的客户通信需求，实现互联网和移动网间的无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缝通信服务。</w:t>
                        </w:r>
                      </w:p>
                      <w:p>
                        <w:pPr>
                          <w:pStyle w:val="TableParagraph"/>
                          <w:spacing w:line="319" w:lineRule="auto" w:before="61"/>
                          <w:ind w:left="16" w:right="20"/>
                          <w:jc w:val="both"/>
                          <w:rPr>
                            <w:rFonts w:ascii="宋体" w:hAnsi="宋体" w:cs="宋体" w:eastAsia="宋体" w:hint="default"/>
                            <w:sz w:val="18"/>
                            <w:szCs w:val="18"/>
                          </w:rPr>
                        </w:pPr>
                        <w:r>
                          <w:rPr>
                            <w:rFonts w:ascii="宋体" w:hAnsi="宋体" w:cs="宋体" w:eastAsia="宋体" w:hint="default"/>
                            <w:spacing w:val="-2"/>
                            <w:sz w:val="18"/>
                            <w:szCs w:val="18"/>
                          </w:rPr>
                          <w:t>飞信服务于中国移动的互联网发展战略，是直达用户桌面的工具，能够聚合用户，维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系用户之间有效智能沟通，实现各种通信工具的互通，提供多种便利性和娱乐性的附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加功能，打造中国移动用户的通信社交社区，通过各种增值服务和广告服务，借助规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模效应提升数据及信息业务收入，在产品形态上，目前包括飞信、飞聊、社区三类子</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产品。</w:t>
                        </w:r>
                      </w:p>
                    </w:tc>
                  </w:tr>
                  <w:tr>
                    <w:trPr>
                      <w:trHeight w:val="394" w:hRule="exact"/>
                    </w:trPr>
                    <w:tc>
                      <w:tcPr>
                        <w:tcW w:w="1966" w:type="dxa"/>
                        <w:vMerge/>
                        <w:tcBorders>
                          <w:left w:val="single" w:sz="4" w:space="0" w:color="000000"/>
                          <w:right w:val="single" w:sz="9" w:space="0" w:color="D2D2D2"/>
                        </w:tcBorders>
                      </w:tcPr>
                      <w:p>
                        <w:pPr/>
                      </w:p>
                    </w:tc>
                    <w:tc>
                      <w:tcPr>
                        <w:tcW w:w="8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44" w:type="dxa"/>
                        <w:vMerge/>
                        <w:tcBorders>
                          <w:left w:val="single" w:sz="10" w:space="0" w:color="D2D2D2"/>
                          <w:right w:val="single" w:sz="4" w:space="0" w:color="000000"/>
                        </w:tcBorders>
                      </w:tcPr>
                      <w:p>
                        <w:pPr/>
                      </w:p>
                    </w:tc>
                  </w:tr>
                  <w:tr>
                    <w:trPr>
                      <w:trHeight w:val="1272" w:hRule="exact"/>
                    </w:trPr>
                    <w:tc>
                      <w:tcPr>
                        <w:tcW w:w="1966" w:type="dxa"/>
                        <w:vMerge/>
                        <w:tcBorders>
                          <w:left w:val="single" w:sz="4" w:space="0" w:color="000000"/>
                          <w:bottom w:val="single" w:sz="4" w:space="0" w:color="000000"/>
                          <w:right w:val="single" w:sz="9" w:space="0" w:color="D2D2D2"/>
                        </w:tcBorders>
                      </w:tcPr>
                      <w:p>
                        <w:pPr/>
                      </w:p>
                    </w:tc>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4" w:type="dxa"/>
                        <w:vMerge/>
                        <w:tcBorders>
                          <w:left w:val="single" w:sz="10" w:space="0" w:color="D2D2D2"/>
                          <w:bottom w:val="single" w:sz="4" w:space="0" w:color="000000"/>
                          <w:right w:val="single" w:sz="4" w:space="0" w:color="000000"/>
                        </w:tcBorders>
                      </w:tcPr>
                      <w:p>
                        <w:pPr/>
                      </w:p>
                    </w:tc>
                  </w:tr>
                  <w:tr>
                    <w:trPr>
                      <w:trHeight w:val="98" w:hRule="exact"/>
                    </w:trPr>
                    <w:tc>
                      <w:tcPr>
                        <w:tcW w:w="1966" w:type="dxa"/>
                        <w:vMerge w:val="restart"/>
                        <w:tcBorders>
                          <w:top w:val="single" w:sz="4" w:space="0" w:color="000000"/>
                          <w:left w:val="single" w:sz="4" w:space="0" w:color="000000"/>
                          <w:right w:val="single" w:sz="13" w:space="0" w:color="D2D2D2"/>
                        </w:tcBorders>
                      </w:tcPr>
                      <w:p>
                        <w:pPr>
                          <w:pStyle w:val="TableParagraph"/>
                          <w:spacing w:line="240" w:lineRule="auto" w:before="142"/>
                          <w:ind w:left="348" w:right="0"/>
                          <w:jc w:val="left"/>
                          <w:rPr>
                            <w:rFonts w:ascii="宋体" w:hAnsi="宋体" w:cs="宋体" w:eastAsia="宋体" w:hint="default"/>
                            <w:sz w:val="18"/>
                            <w:szCs w:val="18"/>
                          </w:rPr>
                        </w:pPr>
                        <w:r>
                          <w:rPr>
                            <w:rFonts w:ascii="宋体" w:hAnsi="宋体" w:cs="宋体" w:eastAsia="宋体" w:hint="default"/>
                            <w:sz w:val="18"/>
                            <w:szCs w:val="18"/>
                          </w:rPr>
                          <w:t>网优或网络优化</w:t>
                        </w:r>
                      </w:p>
                    </w:tc>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4" w:type="dxa"/>
                        <w:vMerge w:val="restart"/>
                        <w:tcBorders>
                          <w:top w:val="single" w:sz="4" w:space="0" w:color="000000"/>
                          <w:left w:val="single" w:sz="10" w:space="0" w:color="D2D2D2"/>
                          <w:right w:val="single" w:sz="4" w:space="0" w:color="000000"/>
                        </w:tcBorders>
                      </w:tcPr>
                      <w:p>
                        <w:pPr>
                          <w:pStyle w:val="TableParagraph"/>
                          <w:spacing w:line="240" w:lineRule="auto" w:before="142"/>
                          <w:ind w:left="16" w:right="0"/>
                          <w:jc w:val="left"/>
                          <w:rPr>
                            <w:rFonts w:ascii="宋体" w:hAnsi="宋体" w:cs="宋体" w:eastAsia="宋体" w:hint="default"/>
                            <w:sz w:val="18"/>
                            <w:szCs w:val="18"/>
                          </w:rPr>
                        </w:pPr>
                        <w:r>
                          <w:rPr>
                            <w:rFonts w:ascii="宋体" w:hAnsi="宋体" w:cs="宋体" w:eastAsia="宋体" w:hint="default"/>
                            <w:sz w:val="18"/>
                            <w:szCs w:val="18"/>
                          </w:rPr>
                          <w:t>通过对网络的软件配置、系统参数进行调整，达到性能优化的一种技术服务。</w:t>
                        </w:r>
                      </w:p>
                    </w:tc>
                  </w:tr>
                  <w:tr>
                    <w:trPr>
                      <w:trHeight w:val="492" w:hRule="exact"/>
                    </w:trPr>
                    <w:tc>
                      <w:tcPr>
                        <w:tcW w:w="1966" w:type="dxa"/>
                        <w:vMerge/>
                        <w:tcBorders>
                          <w:left w:val="single" w:sz="4" w:space="0" w:color="000000"/>
                          <w:bottom w:val="single" w:sz="4" w:space="0" w:color="000000"/>
                          <w:right w:val="single" w:sz="13" w:space="0" w:color="D2D2D2"/>
                        </w:tcBorders>
                      </w:tcPr>
                      <w:p>
                        <w:pPr/>
                      </w:p>
                    </w:tc>
                    <w:tc>
                      <w:tcPr>
                        <w:tcW w:w="86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44" w:type="dxa"/>
                        <w:vMerge/>
                        <w:tcBorders>
                          <w:left w:val="single" w:sz="10" w:space="0" w:color="D2D2D2"/>
                          <w:bottom w:val="single" w:sz="4" w:space="0" w:color="000000"/>
                          <w:right w:val="single" w:sz="4" w:space="0" w:color="000000"/>
                        </w:tcBorders>
                      </w:tcPr>
                      <w:p>
                        <w:pPr/>
                      </w:p>
                    </w:tc>
                  </w:tr>
                  <w:tr>
                    <w:trPr>
                      <w:trHeight w:val="811" w:hRule="exact"/>
                    </w:trPr>
                    <w:tc>
                      <w:tcPr>
                        <w:tcW w:w="196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68" w:right="0"/>
                          <w:jc w:val="left"/>
                          <w:rPr>
                            <w:rFonts w:ascii="宋体" w:hAnsi="宋体" w:cs="宋体" w:eastAsia="宋体" w:hint="default"/>
                            <w:sz w:val="18"/>
                            <w:szCs w:val="18"/>
                          </w:rPr>
                        </w:pPr>
                        <w:r>
                          <w:rPr>
                            <w:rFonts w:ascii="宋体" w:hAnsi="宋体" w:cs="宋体" w:eastAsia="宋体" w:hint="default"/>
                            <w:sz w:val="18"/>
                            <w:szCs w:val="18"/>
                          </w:rPr>
                          <w:t>农村信息网或农信通</w:t>
                        </w:r>
                      </w:p>
                    </w:tc>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4" w:type="dxa"/>
                        <w:vMerge w:val="restart"/>
                        <w:tcBorders>
                          <w:top w:val="single" w:sz="4" w:space="0" w:color="000000"/>
                          <w:left w:val="single" w:sz="10" w:space="0" w:color="D2D2D2"/>
                          <w:right w:val="single" w:sz="4" w:space="0" w:color="000000"/>
                        </w:tcBorders>
                      </w:tcPr>
                      <w:p>
                        <w:pPr>
                          <w:pStyle w:val="TableParagraph"/>
                          <w:spacing w:line="240" w:lineRule="auto" w:before="75"/>
                          <w:ind w:left="16" w:right="0"/>
                          <w:jc w:val="left"/>
                          <w:rPr>
                            <w:rFonts w:ascii="宋体" w:hAnsi="宋体" w:cs="宋体" w:eastAsia="宋体" w:hint="default"/>
                            <w:sz w:val="18"/>
                            <w:szCs w:val="18"/>
                          </w:rPr>
                        </w:pPr>
                        <w:r>
                          <w:rPr>
                            <w:rFonts w:ascii="宋体" w:hAnsi="宋体" w:cs="宋体" w:eastAsia="宋体" w:hint="default"/>
                            <w:sz w:val="18"/>
                            <w:szCs w:val="18"/>
                          </w:rPr>
                          <w:t>是中国移动推出的面向全国、服务</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三农</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的综合性互联网</w:t>
                        </w:r>
                        <w:r>
                          <w:rPr>
                            <w:rFonts w:ascii="宋体" w:hAnsi="宋体" w:cs="宋体" w:eastAsia="宋体" w:hint="default"/>
                            <w:spacing w:val="2"/>
                            <w:sz w:val="18"/>
                            <w:szCs w:val="18"/>
                          </w:rPr>
                          <w:t>平</w:t>
                        </w:r>
                        <w:r>
                          <w:rPr>
                            <w:rFonts w:ascii="宋体" w:hAnsi="宋体" w:cs="宋体" w:eastAsia="宋体" w:hint="default"/>
                            <w:sz w:val="18"/>
                            <w:szCs w:val="18"/>
                          </w:rPr>
                          <w:t>台，以农村信息网</w:t>
                        </w:r>
                      </w:p>
                      <w:p>
                        <w:pPr>
                          <w:pStyle w:val="TableParagraph"/>
                          <w:spacing w:line="300" w:lineRule="auto" w:before="60"/>
                          <w:ind w:left="16" w:right="49"/>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12582.10086.cn</w:t>
                        </w:r>
                        <w:r>
                          <w:rPr>
                            <w:rFonts w:ascii="宋体" w:hAnsi="宋体" w:cs="宋体" w:eastAsia="宋体" w:hint="default"/>
                            <w:sz w:val="18"/>
                            <w:szCs w:val="18"/>
                          </w:rPr>
                          <w:t>）为载体，基于手机、农村信息机等移动终端和个人计算机，通过 短信</w:t>
                        </w:r>
                        <w:r>
                          <w:rPr>
                            <w:rFonts w:ascii="宋体" w:hAnsi="宋体" w:cs="宋体" w:eastAsia="宋体" w:hint="default"/>
                            <w:spacing w:val="-34"/>
                            <w:sz w:val="18"/>
                            <w:szCs w:val="18"/>
                          </w:rPr>
                          <w:t>、</w:t>
                        </w:r>
                        <w:r>
                          <w:rPr>
                            <w:rFonts w:ascii="宋体" w:hAnsi="宋体" w:cs="宋体" w:eastAsia="宋体" w:hint="default"/>
                            <w:sz w:val="18"/>
                            <w:szCs w:val="18"/>
                          </w:rPr>
                          <w:t>彩信</w:t>
                        </w:r>
                        <w:r>
                          <w:rPr>
                            <w:rFonts w:ascii="宋体" w:hAnsi="宋体" w:cs="宋体" w:eastAsia="宋体" w:hint="default"/>
                            <w:spacing w:val="-34"/>
                            <w:sz w:val="18"/>
                            <w:szCs w:val="18"/>
                          </w:rPr>
                          <w:t>、</w:t>
                        </w:r>
                        <w:r>
                          <w:rPr>
                            <w:rFonts w:ascii="宋体" w:hAnsi="宋体" w:cs="宋体" w:eastAsia="宋体" w:hint="default"/>
                            <w:sz w:val="18"/>
                            <w:szCs w:val="18"/>
                          </w:rPr>
                          <w:t>语音</w:t>
                        </w:r>
                        <w:r>
                          <w:rPr>
                            <w:rFonts w:ascii="宋体" w:hAnsi="宋体" w:cs="宋体" w:eastAsia="宋体" w:hint="default"/>
                            <w:spacing w:val="-32"/>
                            <w:sz w:val="18"/>
                            <w:szCs w:val="18"/>
                          </w:rPr>
                          <w:t>、</w:t>
                        </w:r>
                        <w:r>
                          <w:rPr>
                            <w:rFonts w:ascii="Times New Roman" w:hAnsi="Times New Roman" w:cs="Times New Roman" w:eastAsia="Times New Roman" w:hint="default"/>
                            <w:spacing w:val="-19"/>
                            <w:sz w:val="18"/>
                            <w:szCs w:val="18"/>
                          </w:rPr>
                          <w:t>W</w:t>
                        </w:r>
                        <w:r>
                          <w:rPr>
                            <w:rFonts w:ascii="Times New Roman" w:hAnsi="Times New Roman" w:cs="Times New Roman" w:eastAsia="Times New Roman" w:hint="default"/>
                            <w:spacing w:val="-3"/>
                            <w:w w:val="99"/>
                            <w:sz w:val="18"/>
                            <w:szCs w:val="18"/>
                          </w:rPr>
                          <w:t>A</w:t>
                        </w:r>
                        <w:r>
                          <w:rPr>
                            <w:rFonts w:ascii="Times New Roman" w:hAnsi="Times New Roman" w:cs="Times New Roman" w:eastAsia="Times New Roman" w:hint="default"/>
                            <w:spacing w:val="3"/>
                            <w:w w:val="99"/>
                            <w:sz w:val="18"/>
                            <w:szCs w:val="18"/>
                          </w:rPr>
                          <w:t>P</w:t>
                        </w:r>
                        <w:r>
                          <w:rPr>
                            <w:rFonts w:ascii="宋体" w:hAnsi="宋体" w:cs="宋体" w:eastAsia="宋体" w:hint="default"/>
                            <w:spacing w:val="-34"/>
                            <w:sz w:val="18"/>
                            <w:szCs w:val="18"/>
                          </w:rPr>
                          <w:t>、</w:t>
                        </w:r>
                        <w:r>
                          <w:rPr>
                            <w:rFonts w:ascii="宋体" w:hAnsi="宋体" w:cs="宋体" w:eastAsia="宋体" w:hint="default"/>
                            <w:sz w:val="18"/>
                            <w:szCs w:val="18"/>
                          </w:rPr>
                          <w:t>互联网等方式提供涉农业务服务</w:t>
                        </w:r>
                        <w:r>
                          <w:rPr>
                            <w:rFonts w:ascii="宋体" w:hAnsi="宋体" w:cs="宋体" w:eastAsia="宋体" w:hint="default"/>
                            <w:spacing w:val="-32"/>
                            <w:sz w:val="18"/>
                            <w:szCs w:val="18"/>
                          </w:rPr>
                          <w:t>，</w:t>
                        </w:r>
                        <w:r>
                          <w:rPr>
                            <w:rFonts w:ascii="宋体" w:hAnsi="宋体" w:cs="宋体" w:eastAsia="宋体" w:hint="default"/>
                            <w:sz w:val="18"/>
                            <w:szCs w:val="18"/>
                          </w:rPr>
                          <w:t>核心应用包</w:t>
                        </w:r>
                        <w:r>
                          <w:rPr>
                            <w:rFonts w:ascii="宋体" w:hAnsi="宋体" w:cs="宋体" w:eastAsia="宋体" w:hint="default"/>
                            <w:spacing w:val="1"/>
                            <w:sz w:val="18"/>
                            <w:szCs w:val="18"/>
                          </w:rPr>
                          <w:t>括</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务工易</w:t>
                        </w:r>
                        <w:r>
                          <w:rPr>
                            <w:rFonts w:ascii="Times New Roman" w:hAnsi="Times New Roman" w:cs="Times New Roman" w:eastAsia="Times New Roman" w:hint="default"/>
                            <w:w w:val="158"/>
                            <w:sz w:val="18"/>
                            <w:szCs w:val="18"/>
                          </w:rPr>
                          <w:t>‖</w:t>
                        </w:r>
                        <w:r>
                          <w:rPr>
                            <w:rFonts w:ascii="Times New Roman" w:hAnsi="Times New Roman" w:cs="Times New Roman" w:eastAsia="Times New Roman" w:hint="default"/>
                            <w:sz w:val="18"/>
                            <w:szCs w:val="18"/>
                          </w:rPr>
                        </w:r>
                      </w:p>
                      <w:p>
                        <w:pPr>
                          <w:pStyle w:val="TableParagraph"/>
                          <w:spacing w:line="300" w:lineRule="auto" w:before="13"/>
                          <w:ind w:left="16" w:right="32"/>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百事易</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125</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热线等。是</w:t>
                        </w:r>
                        <w:r>
                          <w:rPr>
                            <w:rFonts w:ascii="宋体" w:hAnsi="宋体" w:cs="宋体" w:eastAsia="宋体" w:hint="default"/>
                            <w:spacing w:val="-3"/>
                            <w:sz w:val="18"/>
                            <w:szCs w:val="18"/>
                          </w:rPr>
                          <w:t>中</w:t>
                        </w:r>
                        <w:r>
                          <w:rPr>
                            <w:rFonts w:ascii="宋体" w:hAnsi="宋体" w:cs="宋体" w:eastAsia="宋体" w:hint="default"/>
                            <w:sz w:val="18"/>
                            <w:szCs w:val="18"/>
                          </w:rPr>
                          <w:t>国移动对国家</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三农</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政策的</w:t>
                        </w:r>
                        <w:r>
                          <w:rPr>
                            <w:rFonts w:ascii="宋体" w:hAnsi="宋体" w:cs="宋体" w:eastAsia="宋体" w:hint="default"/>
                            <w:spacing w:val="2"/>
                            <w:sz w:val="18"/>
                            <w:szCs w:val="18"/>
                          </w:rPr>
                          <w:t>积</w:t>
                        </w:r>
                        <w:r>
                          <w:rPr>
                            <w:rFonts w:ascii="宋体" w:hAnsi="宋体" w:cs="宋体" w:eastAsia="宋体" w:hint="default"/>
                            <w:sz w:val="18"/>
                            <w:szCs w:val="18"/>
                          </w:rPr>
                          <w:t>极响应，体现了中国移</w:t>
                        </w:r>
                        <w:r>
                          <w:rPr>
                            <w:rFonts w:ascii="宋体" w:hAnsi="宋体" w:cs="宋体" w:eastAsia="宋体" w:hint="default"/>
                            <w:sz w:val="18"/>
                            <w:szCs w:val="18"/>
                          </w:rPr>
                          <w:t> 动的企业社会责任</w:t>
                        </w:r>
                        <w:r>
                          <w:rPr>
                            <w:rFonts w:ascii="宋体" w:hAnsi="宋体" w:cs="宋体" w:eastAsia="宋体" w:hint="default"/>
                            <w:spacing w:val="-72"/>
                            <w:sz w:val="18"/>
                            <w:szCs w:val="18"/>
                          </w:rPr>
                          <w:t>，</w:t>
                        </w:r>
                        <w:r>
                          <w:rPr>
                            <w:rFonts w:ascii="宋体" w:hAnsi="宋体" w:cs="宋体" w:eastAsia="宋体" w:hint="default"/>
                            <w:sz w:val="18"/>
                            <w:szCs w:val="18"/>
                          </w:rPr>
                          <w:t>通过解决当前农村存在</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数字鸿沟</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问题</w:t>
                        </w:r>
                        <w:r>
                          <w:rPr>
                            <w:rFonts w:ascii="宋体" w:hAnsi="宋体" w:cs="宋体" w:eastAsia="宋体" w:hint="default"/>
                            <w:spacing w:val="-72"/>
                            <w:sz w:val="18"/>
                            <w:szCs w:val="18"/>
                          </w:rPr>
                          <w:t>，</w:t>
                        </w:r>
                        <w:r>
                          <w:rPr>
                            <w:rFonts w:ascii="宋体" w:hAnsi="宋体" w:cs="宋体" w:eastAsia="宋体" w:hint="default"/>
                            <w:spacing w:val="2"/>
                            <w:sz w:val="18"/>
                            <w:szCs w:val="18"/>
                          </w:rPr>
                          <w:t>推</w:t>
                        </w:r>
                        <w:r>
                          <w:rPr>
                            <w:rFonts w:ascii="宋体" w:hAnsi="宋体" w:cs="宋体" w:eastAsia="宋体" w:hint="default"/>
                            <w:sz w:val="18"/>
                            <w:szCs w:val="18"/>
                          </w:rPr>
                          <w:t>动农村信息化的发展</w:t>
                        </w:r>
                        <w:r>
                          <w:rPr>
                            <w:rFonts w:ascii="宋体" w:hAnsi="宋体" w:cs="宋体" w:eastAsia="宋体" w:hint="default"/>
                            <w:sz w:val="18"/>
                            <w:szCs w:val="18"/>
                          </w:rPr>
                          <w:t> 促进农村生活水平的提高。</w:t>
                        </w:r>
                      </w:p>
                    </w:tc>
                  </w:tr>
                  <w:tr>
                    <w:trPr>
                      <w:trHeight w:val="391" w:hRule="exact"/>
                    </w:trPr>
                    <w:tc>
                      <w:tcPr>
                        <w:tcW w:w="1966" w:type="dxa"/>
                        <w:vMerge/>
                        <w:tcBorders>
                          <w:left w:val="single" w:sz="4" w:space="0" w:color="000000"/>
                          <w:right w:val="single" w:sz="9" w:space="0" w:color="D2D2D2"/>
                        </w:tcBorders>
                      </w:tcPr>
                      <w:p>
                        <w:pPr/>
                      </w:p>
                    </w:tc>
                    <w:tc>
                      <w:tcPr>
                        <w:tcW w:w="8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44" w:type="dxa"/>
                        <w:vMerge/>
                        <w:tcBorders>
                          <w:left w:val="single" w:sz="10" w:space="0" w:color="D2D2D2"/>
                          <w:right w:val="single" w:sz="4" w:space="0" w:color="000000"/>
                        </w:tcBorders>
                      </w:tcPr>
                      <w:p>
                        <w:pPr/>
                      </w:p>
                    </w:tc>
                  </w:tr>
                  <w:tr>
                    <w:trPr>
                      <w:trHeight w:val="809" w:hRule="exact"/>
                    </w:trPr>
                    <w:tc>
                      <w:tcPr>
                        <w:tcW w:w="1966" w:type="dxa"/>
                        <w:vMerge/>
                        <w:tcBorders>
                          <w:left w:val="single" w:sz="4" w:space="0" w:color="000000"/>
                          <w:bottom w:val="single" w:sz="4" w:space="0" w:color="000000"/>
                          <w:right w:val="single" w:sz="9" w:space="0" w:color="D2D2D2"/>
                        </w:tcBorders>
                      </w:tcPr>
                      <w:p>
                        <w:pPr/>
                      </w:p>
                    </w:tc>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4" w:type="dxa"/>
                        <w:vMerge/>
                        <w:tcBorders>
                          <w:left w:val="single" w:sz="10" w:space="0" w:color="D2D2D2"/>
                          <w:bottom w:val="single" w:sz="4" w:space="0" w:color="000000"/>
                          <w:right w:val="single" w:sz="4" w:space="0" w:color="000000"/>
                        </w:tcBorders>
                      </w:tcPr>
                      <w:p>
                        <w:pPr/>
                      </w:p>
                    </w:tc>
                  </w:tr>
                  <w:tr>
                    <w:trPr>
                      <w:trHeight w:val="266" w:hRule="exact"/>
                    </w:trPr>
                    <w:tc>
                      <w:tcPr>
                        <w:tcW w:w="1966" w:type="dxa"/>
                        <w:vMerge w:val="restart"/>
                        <w:tcBorders>
                          <w:top w:val="single" w:sz="4" w:space="0" w:color="000000"/>
                          <w:left w:val="single" w:sz="4" w:space="0" w:color="000000"/>
                          <w:right w:val="single" w:sz="9" w:space="0" w:color="D2D2D2"/>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移动通信转售业务</w:t>
                        </w:r>
                      </w:p>
                    </w:tc>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4" w:type="dxa"/>
                        <w:vMerge w:val="restart"/>
                        <w:tcBorders>
                          <w:top w:val="single" w:sz="4" w:space="0" w:color="000000"/>
                          <w:left w:val="single" w:sz="10" w:space="0" w:color="D2D2D2"/>
                          <w:right w:val="single" w:sz="4" w:space="0" w:color="000000"/>
                        </w:tcBorders>
                      </w:tcPr>
                      <w:p>
                        <w:pPr>
                          <w:pStyle w:val="TableParagraph"/>
                          <w:spacing w:line="316" w:lineRule="auto" w:before="155"/>
                          <w:ind w:left="16" w:right="20"/>
                          <w:jc w:val="left"/>
                          <w:rPr>
                            <w:rFonts w:ascii="宋体" w:hAnsi="宋体" w:cs="宋体" w:eastAsia="宋体" w:hint="default"/>
                            <w:sz w:val="18"/>
                            <w:szCs w:val="18"/>
                          </w:rPr>
                        </w:pPr>
                        <w:r>
                          <w:rPr>
                            <w:rFonts w:ascii="宋体" w:hAnsi="宋体" w:cs="宋体" w:eastAsia="宋体" w:hint="default"/>
                            <w:spacing w:val="-2"/>
                            <w:sz w:val="18"/>
                            <w:szCs w:val="18"/>
                          </w:rPr>
                          <w:t>即从基础运营商处购买移动通信服务，再整合自身资源、通过自有渠道对外销售。从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事移动通信转售业务的企业即移动虚拟网络运营商，一般称虚拟运营商。</w:t>
                        </w:r>
                      </w:p>
                    </w:tc>
                  </w:tr>
                  <w:tr>
                    <w:trPr>
                      <w:trHeight w:val="394" w:hRule="exact"/>
                    </w:trPr>
                    <w:tc>
                      <w:tcPr>
                        <w:tcW w:w="1966" w:type="dxa"/>
                        <w:vMerge/>
                        <w:tcBorders>
                          <w:left w:val="single" w:sz="4" w:space="0" w:color="000000"/>
                          <w:right w:val="single" w:sz="9" w:space="0" w:color="D2D2D2"/>
                        </w:tcBorders>
                      </w:tcPr>
                      <w:p>
                        <w:pPr/>
                      </w:p>
                    </w:tc>
                    <w:tc>
                      <w:tcPr>
                        <w:tcW w:w="869" w:type="dxa"/>
                        <w:tcBorders>
                          <w:top w:val="nil" w:sz="6" w:space="0" w:color="auto"/>
                          <w:left w:val="single" w:sz="4" w:space="0" w:color="000000"/>
                          <w:bottom w:val="nil" w:sz="6" w:space="0" w:color="auto"/>
                          <w:right w:val="single" w:sz="4" w:space="0" w:color="000000"/>
                        </w:tcBorders>
                        <w:shd w:val="clear" w:color="auto" w:fill="D2D2D2"/>
                      </w:tcPr>
                      <w:p>
                        <w:pPr/>
                      </w:p>
                    </w:tc>
                    <w:tc>
                      <w:tcPr>
                        <w:tcW w:w="6644" w:type="dxa"/>
                        <w:vMerge/>
                        <w:tcBorders>
                          <w:left w:val="single" w:sz="10" w:space="0" w:color="D2D2D2"/>
                          <w:right w:val="single" w:sz="4" w:space="0" w:color="000000"/>
                        </w:tcBorders>
                      </w:tcPr>
                      <w:p>
                        <w:pPr/>
                      </w:p>
                    </w:tc>
                  </w:tr>
                  <w:tr>
                    <w:trPr>
                      <w:trHeight w:val="266" w:hRule="exact"/>
                    </w:trPr>
                    <w:tc>
                      <w:tcPr>
                        <w:tcW w:w="1966" w:type="dxa"/>
                        <w:vMerge/>
                        <w:tcBorders>
                          <w:left w:val="single" w:sz="4" w:space="0" w:color="000000"/>
                          <w:bottom w:val="single" w:sz="4" w:space="0" w:color="000000"/>
                          <w:right w:val="single" w:sz="9" w:space="0" w:color="D2D2D2"/>
                        </w:tcBorders>
                      </w:tcPr>
                      <w:p>
                        <w:pPr/>
                      </w:p>
                    </w:tc>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4" w:type="dxa"/>
                        <w:vMerge/>
                        <w:tcBorders>
                          <w:left w:val="single" w:sz="10" w:space="0" w:color="D2D2D2"/>
                          <w:bottom w:val="single" w:sz="4" w:space="0" w:color="000000"/>
                          <w:right w:val="single" w:sz="4" w:space="0" w:color="000000"/>
                        </w:tcBorders>
                      </w:tcPr>
                      <w:p>
                        <w:pPr/>
                      </w:p>
                    </w:tc>
                  </w:tr>
                </w:tbl>
                <w:p>
                  <w:pPr/>
                </w:p>
              </w:txbxContent>
            </v:textbox>
            <w10:wrap type="none"/>
          </v:shape>
        </w:pict>
      </w:r>
      <w:r>
        <w:rPr/>
        <w:t>、</w:t>
      </w:r>
    </w:p>
    <w:p>
      <w:pPr>
        <w:spacing w:line="240" w:lineRule="auto" w:before="4"/>
        <w:rPr>
          <w:rFonts w:ascii="宋体" w:hAnsi="宋体" w:cs="宋体" w:eastAsia="宋体" w:hint="default"/>
          <w:sz w:val="26"/>
          <w:szCs w:val="26"/>
        </w:rPr>
      </w:pPr>
    </w:p>
    <w:p>
      <w:pPr>
        <w:pStyle w:val="BodyText"/>
        <w:spacing w:line="240" w:lineRule="auto" w:before="44"/>
        <w:ind w:left="0" w:right="250"/>
        <w:jc w:val="right"/>
      </w:pPr>
      <w:r>
        <w:rPr/>
        <w:t>，</w:t>
      </w:r>
    </w:p>
    <w:p>
      <w:pPr>
        <w:spacing w:after="0" w:line="240" w:lineRule="auto"/>
        <w:jc w:val="right"/>
        <w:sectPr>
          <w:headerReference w:type="default" r:id="rId9"/>
          <w:pgSz w:w="11910" w:h="16840"/>
          <w:pgMar w:header="852" w:footer="980" w:top="1340" w:bottom="1160" w:left="980" w:right="9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1"/>
        <w:spacing w:line="240" w:lineRule="auto"/>
        <w:ind w:left="3125" w:right="0"/>
        <w:jc w:val="left"/>
        <w:rPr>
          <w:b w:val="0"/>
          <w:bCs w:val="0"/>
        </w:rPr>
      </w:pPr>
      <w:bookmarkStart w:name="_TOC_250008" w:id="2"/>
      <w:r>
        <w:rPr/>
        <w:t>第二节</w:t>
      </w:r>
      <w:r>
        <w:rPr>
          <w:spacing w:val="-6"/>
        </w:rPr>
        <w:t> </w:t>
      </w:r>
      <w:r>
        <w:rPr/>
        <w:t>公司基本情况简介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909"/>
        <w:gridCol w:w="2327"/>
        <w:gridCol w:w="2135"/>
        <w:gridCol w:w="2188"/>
      </w:tblGrid>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27"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神州泰岳</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300002</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北京神州泰岳软件股份有限公司</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神州泰岳</w:t>
            </w:r>
          </w:p>
        </w:tc>
      </w:tr>
      <w:tr>
        <w:trPr>
          <w:trHeight w:val="404"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Beijing Ultrapower Software Co.,</w:t>
            </w:r>
            <w:r>
              <w:rPr>
                <w:rFonts w:ascii="Times New Roman"/>
                <w:spacing w:val="-10"/>
                <w:sz w:val="18"/>
              </w:rPr>
              <w:t> </w:t>
            </w:r>
            <w:r>
              <w:rPr>
                <w:rFonts w:ascii="Times New Roman"/>
                <w:spacing w:val="-7"/>
                <w:sz w:val="18"/>
              </w:rPr>
              <w:t>LTD</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Ultrapower</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王宁</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北京市海淀区万泉庄路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号万柳新贵大厦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601 </w:t>
            </w:r>
            <w:r>
              <w:rPr>
                <w:rFonts w:ascii="宋体" w:hAnsi="宋体" w:cs="宋体" w:eastAsia="宋体" w:hint="default"/>
                <w:sz w:val="18"/>
                <w:szCs w:val="18"/>
              </w:rPr>
              <w:t>室</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100089</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北京市朝阳区北苑路甲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层</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100107</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www.ultrapower.com.cn</w:t>
              </w:r>
            </w:hyperlink>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1">
              <w:r>
                <w:rPr>
                  <w:rFonts w:ascii="Times New Roman"/>
                  <w:sz w:val="18"/>
                </w:rPr>
                <w:t>IRM@ultrapower.com.cn</w:t>
              </w:r>
            </w:hyperlink>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 </w:t>
            </w:r>
            <w:r>
              <w:rPr>
                <w:rFonts w:ascii="宋体" w:hAnsi="宋体" w:cs="宋体" w:eastAsia="宋体" w:hint="default"/>
                <w:sz w:val="18"/>
                <w:szCs w:val="18"/>
              </w:rPr>
              <w:t>号新黄浦金融大厦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楼</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黄松浪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张黔山</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北京市朝阳区北苑路甲</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号院</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号楼</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北京市朝阳区北苑路甲</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号院</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号楼</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层</w:t>
            </w:r>
          </w:p>
        </w:tc>
      </w:tr>
      <w:tr>
        <w:trPr>
          <w:trHeight w:val="394"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010-58847555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010-58847555</w:t>
            </w:r>
          </w:p>
        </w:tc>
      </w:tr>
      <w:tr>
        <w:trPr>
          <w:trHeight w:val="404"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010-58847583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010-58847583</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1">
              <w:r>
                <w:rPr>
                  <w:rFonts w:ascii="Times New Roman"/>
                  <w:sz w:val="18"/>
                </w:rPr>
                <w:t>IRM@ultrapower.com.cn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IRM@ultrapower.com.cn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48"/>
        <w:gridCol w:w="5721"/>
      </w:tblGrid>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852" w:footer="980" w:top="1340" w:bottom="1160" w:left="980" w:right="980"/>
        </w:sectPr>
      </w:pPr>
    </w:p>
    <w:p>
      <w:pPr>
        <w:pStyle w:val="Heading2"/>
        <w:spacing w:line="240" w:lineRule="auto" w:before="55"/>
        <w:ind w:right="0"/>
        <w:jc w:val="left"/>
        <w:rPr>
          <w:b w:val="0"/>
          <w:bCs w:val="0"/>
        </w:rPr>
      </w:pPr>
      <w:r>
        <w:rPr/>
        <w:t>四、公司历史沿革</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北京市海淀区上地 信息中路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号中关</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村创业大厦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1101081270093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110108802090167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80209016-7</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7"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变更股份有限公司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北京市海淀区上地 信息中路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号中关</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村创业大厦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1100001270093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110108802090167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80209016-7</w:t>
            </w:r>
          </w:p>
        </w:tc>
      </w:tr>
      <w:tr>
        <w:trPr>
          <w:trHeight w:val="102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公司上市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北京市海淀区万泉 庄路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号万柳新贵 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110000002700930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110108802090167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80209016-7</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变更注册资本</w:t>
            </w:r>
            <w:r>
              <w:rPr>
                <w:rFonts w:ascii="宋体" w:hAnsi="宋体" w:cs="宋体" w:eastAsia="宋体" w:hint="default"/>
                <w:spacing w:val="-80"/>
                <w:sz w:val="18"/>
                <w:szCs w:val="18"/>
              </w:rPr>
              <w:t>、</w:t>
            </w:r>
            <w:r>
              <w:rPr>
                <w:rFonts w:ascii="宋体" w:hAnsi="宋体" w:cs="宋体" w:eastAsia="宋体" w:hint="default"/>
                <w:sz w:val="18"/>
                <w:szCs w:val="18"/>
              </w:rPr>
              <w:t>董事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北京市海淀区万泉 庄路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号万柳新贵 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110000002700930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110108802090167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80209016-7</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变更注册资本</w:t>
            </w:r>
            <w:r>
              <w:rPr>
                <w:rFonts w:ascii="宋体" w:hAnsi="宋体" w:cs="宋体" w:eastAsia="宋体" w:hint="default"/>
                <w:spacing w:val="-80"/>
                <w:sz w:val="18"/>
                <w:szCs w:val="18"/>
              </w:rPr>
              <w:t>、</w:t>
            </w:r>
            <w:r>
              <w:rPr>
                <w:rFonts w:ascii="宋体" w:hAnsi="宋体" w:cs="宋体" w:eastAsia="宋体" w:hint="default"/>
                <w:sz w:val="18"/>
                <w:szCs w:val="18"/>
              </w:rPr>
              <w:t>地址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海淀区万泉庄路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号万柳大厦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601 </w:t>
            </w:r>
            <w:r>
              <w:rPr>
                <w:rFonts w:ascii="宋体" w:hAnsi="宋体" w:cs="宋体" w:eastAsia="宋体" w:hint="default"/>
                <w:sz w:val="18"/>
                <w:szCs w:val="18"/>
              </w:rPr>
              <w:t>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110000002700930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110108802090167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80209016-7</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变更注册资本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海淀区万泉庄路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号万柳大厦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601 </w:t>
            </w:r>
            <w:r>
              <w:rPr>
                <w:rFonts w:ascii="宋体" w:hAnsi="宋体" w:cs="宋体" w:eastAsia="宋体" w:hint="default"/>
                <w:sz w:val="18"/>
                <w:szCs w:val="18"/>
              </w:rPr>
              <w:t>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110000002700930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110108802090167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80209016-7</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80" w:top="1340" w:bottom="1160" w:left="980" w:right="98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Heading1"/>
        <w:spacing w:line="240" w:lineRule="auto"/>
        <w:ind w:left="2642" w:right="0"/>
        <w:jc w:val="left"/>
        <w:rPr>
          <w:b w:val="0"/>
          <w:bCs w:val="0"/>
        </w:rPr>
      </w:pPr>
      <w:bookmarkStart w:name="_TOC_250007"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32"/>
          <w:szCs w:val="32"/>
        </w:rPr>
      </w:pPr>
    </w:p>
    <w:p>
      <w:pPr>
        <w:pStyle w:val="BodyText"/>
        <w:spacing w:line="240" w:lineRule="auto"/>
        <w:ind w:right="0"/>
        <w:jc w:val="left"/>
      </w:pPr>
      <w:r>
        <w:rPr/>
        <w:t>公司是否因会计政策变更及会计差错更正等追溯调整或重述以前年度会计数据</w:t>
      </w:r>
    </w:p>
    <w:p>
      <w:pPr>
        <w:spacing w:line="240" w:lineRule="auto" w:before="12"/>
        <w:rPr>
          <w:rFonts w:ascii="宋体" w:hAnsi="宋体" w:cs="宋体" w:eastAsia="宋体" w:hint="default"/>
          <w:sz w:val="20"/>
          <w:szCs w:val="20"/>
        </w:rPr>
      </w:pPr>
    </w:p>
    <w:p>
      <w:pPr>
        <w:spacing w:line="487" w:lineRule="auto" w:before="0"/>
        <w:ind w:left="152" w:right="92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w:t>
      </w:r>
      <w:r>
        <w:rPr>
          <w:rFonts w:ascii="宋体" w:hAnsi="宋体" w:cs="宋体" w:eastAsia="宋体" w:hint="default"/>
          <w:b/>
          <w:bCs/>
          <w:sz w:val="18"/>
          <w:szCs w:val="18"/>
        </w:rPr>
        <w:t>主要会计数据</w:t>
      </w:r>
      <w:r>
        <w:rPr>
          <w:rFonts w:ascii="宋体" w:hAnsi="宋体" w:cs="宋体" w:eastAsia="宋体" w:hint="default"/>
          <w:sz w:val="18"/>
          <w:szCs w:val="18"/>
        </w:rPr>
      </w:r>
    </w:p>
    <w:tbl>
      <w:tblPr>
        <w:tblW w:w="0" w:type="auto"/>
        <w:jc w:val="left"/>
        <w:tblInd w:w="148" w:type="dxa"/>
        <w:tblLayout w:type="fixed"/>
        <w:tblCellMar>
          <w:top w:w="0" w:type="dxa"/>
          <w:left w:w="0" w:type="dxa"/>
          <w:bottom w:w="0" w:type="dxa"/>
          <w:right w:w="0" w:type="dxa"/>
        </w:tblCellMar>
        <w:tblLook w:val="01E0"/>
      </w:tblPr>
      <w:tblGrid>
        <w:gridCol w:w="2360"/>
        <w:gridCol w:w="1376"/>
        <w:gridCol w:w="1354"/>
        <w:gridCol w:w="1354"/>
        <w:gridCol w:w="1070"/>
        <w:gridCol w:w="1333"/>
        <w:gridCol w:w="1354"/>
      </w:tblGrid>
      <w:tr>
        <w:trPr>
          <w:trHeight w:val="161" w:hRule="exact"/>
        </w:trPr>
        <w:tc>
          <w:tcPr>
            <w:tcW w:w="2360" w:type="dxa"/>
            <w:vMerge w:val="restart"/>
            <w:tcBorders>
              <w:top w:val="single" w:sz="4" w:space="0" w:color="000000"/>
              <w:left w:val="single" w:sz="4" w:space="0" w:color="000000"/>
              <w:right w:val="single" w:sz="4" w:space="0" w:color="000000"/>
            </w:tcBorders>
            <w:shd w:val="clear" w:color="auto" w:fill="D2D2D2"/>
          </w:tcPr>
          <w:p>
            <w:pPr/>
          </w:p>
        </w:tc>
        <w:tc>
          <w:tcPr>
            <w:tcW w:w="1376" w:type="dxa"/>
            <w:vMerge w:val="restart"/>
            <w:tcBorders>
              <w:top w:val="single" w:sz="4" w:space="0" w:color="000000"/>
              <w:left w:val="single" w:sz="4" w:space="0" w:color="000000"/>
              <w:right w:val="single" w:sz="4" w:space="0" w:color="000000"/>
            </w:tcBorders>
            <w:shd w:val="clear" w:color="auto" w:fill="D2D2D2"/>
          </w:tcPr>
          <w:p>
            <w:pPr/>
          </w:p>
        </w:tc>
        <w:tc>
          <w:tcPr>
            <w:tcW w:w="270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15" w:right="77"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 增减</w:t>
            </w:r>
            <w:r>
              <w:rPr>
                <w:rFonts w:ascii="Times New Roman" w:hAnsi="Times New Roman" w:cs="Times New Roman" w:eastAsia="Times New Roman" w:hint="default"/>
                <w:sz w:val="18"/>
                <w:szCs w:val="18"/>
              </w:rPr>
              <w:t>(%)</w:t>
            </w:r>
          </w:p>
        </w:tc>
        <w:tc>
          <w:tcPr>
            <w:tcW w:w="2686"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60" w:type="dxa"/>
            <w:vMerge/>
            <w:tcBorders>
              <w:left w:val="single" w:sz="4" w:space="0" w:color="000000"/>
              <w:bottom w:val="nil" w:sz="6" w:space="0" w:color="auto"/>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c>
          <w:tcPr>
            <w:tcW w:w="270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070" w:type="dxa"/>
            <w:vMerge/>
            <w:tcBorders>
              <w:left w:val="single" w:sz="4" w:space="0" w:color="000000"/>
              <w:right w:val="single" w:sz="4" w:space="0" w:color="000000"/>
            </w:tcBorders>
            <w:shd w:val="clear" w:color="auto" w:fill="D2D2D2"/>
          </w:tcPr>
          <w:p>
            <w:pPr/>
          </w:p>
        </w:tc>
        <w:tc>
          <w:tcPr>
            <w:tcW w:w="268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193" w:hRule="exact"/>
        </w:trPr>
        <w:tc>
          <w:tcPr>
            <w:tcW w:w="2360" w:type="dxa"/>
            <w:vMerge w:val="restart"/>
            <w:tcBorders>
              <w:top w:val="nil" w:sz="6" w:space="0" w:color="auto"/>
              <w:left w:val="single" w:sz="4" w:space="0" w:color="000000"/>
              <w:right w:val="single" w:sz="4" w:space="0" w:color="000000"/>
            </w:tcBorders>
            <w:shd w:val="clear" w:color="auto" w:fill="D2D2D2"/>
          </w:tcPr>
          <w:p>
            <w:pPr/>
          </w:p>
        </w:tc>
        <w:tc>
          <w:tcPr>
            <w:tcW w:w="13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08" w:type="dxa"/>
            <w:gridSpan w:val="2"/>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right w:val="single" w:sz="4" w:space="0" w:color="000000"/>
            </w:tcBorders>
            <w:shd w:val="clear" w:color="auto" w:fill="D2D2D2"/>
          </w:tcPr>
          <w:p>
            <w:pPr/>
          </w:p>
        </w:tc>
        <w:tc>
          <w:tcPr>
            <w:tcW w:w="2686"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60" w:type="dxa"/>
            <w:vMerge/>
            <w:tcBorders>
              <w:left w:val="single" w:sz="4" w:space="0" w:color="000000"/>
              <w:bottom w:val="nil" w:sz="6" w:space="0" w:color="auto"/>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c>
          <w:tcPr>
            <w:tcW w:w="270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2686"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23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3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1,409,512,910.02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1,157,258,089.53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1,157,258,089.53</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21.8%</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841,628,987.00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841,628,987.00</w:t>
            </w:r>
          </w:p>
        </w:tc>
      </w:tr>
      <w:tr>
        <w:trPr>
          <w:trHeight w:val="401"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3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409,993,727.60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362,023,768.24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359,525,307.00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14.04%</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353,902,558.19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353,902,558.19</w:t>
            </w:r>
          </w:p>
        </w:tc>
      </w:tr>
      <w:tr>
        <w:trPr>
          <w:trHeight w:val="40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3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445,104,477.76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386,687,546.95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384,189,085.71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15.86%</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365,407,703.90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365,407,703.90</w:t>
            </w:r>
          </w:p>
        </w:tc>
      </w:tr>
      <w:tr>
        <w:trPr>
          <w:trHeight w:val="71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3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429,028,904.35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355,691,284.59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353,192,823.35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21.47%</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327,915,598.64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327,915,598.64</w:t>
            </w:r>
          </w:p>
        </w:tc>
      </w:tr>
      <w:tr>
        <w:trPr>
          <w:trHeight w:val="715"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3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412,780,784.63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346,103,184.61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343,604,723.37</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20.13%</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324,132,842.94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324,132,842.94</w:t>
            </w:r>
          </w:p>
        </w:tc>
      </w:tr>
      <w:tr>
        <w:trPr>
          <w:trHeight w:val="71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3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229,043,974.61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214,260,557.05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214,260,557.05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6.9%</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195,656,620.10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195,656,620.10</w:t>
            </w:r>
          </w:p>
        </w:tc>
      </w:tr>
      <w:tr>
        <w:trPr>
          <w:trHeight w:val="161" w:hRule="exact"/>
        </w:trPr>
        <w:tc>
          <w:tcPr>
            <w:tcW w:w="2360" w:type="dxa"/>
            <w:vMerge w:val="restart"/>
            <w:tcBorders>
              <w:top w:val="single" w:sz="4" w:space="0" w:color="000000"/>
              <w:left w:val="single" w:sz="4" w:space="0" w:color="000000"/>
              <w:right w:val="single" w:sz="4" w:space="0" w:color="000000"/>
            </w:tcBorders>
            <w:shd w:val="clear" w:color="auto" w:fill="D2D2D2"/>
          </w:tcPr>
          <w:p>
            <w:pPr/>
          </w:p>
        </w:tc>
        <w:tc>
          <w:tcPr>
            <w:tcW w:w="1376" w:type="dxa"/>
            <w:vMerge w:val="restart"/>
            <w:tcBorders>
              <w:top w:val="single" w:sz="4" w:space="0" w:color="000000"/>
              <w:left w:val="single" w:sz="4" w:space="0" w:color="000000"/>
              <w:right w:val="single" w:sz="4" w:space="0" w:color="000000"/>
            </w:tcBorders>
            <w:shd w:val="clear" w:color="auto" w:fill="D2D2D2"/>
          </w:tcPr>
          <w:p>
            <w:pPr/>
          </w:p>
        </w:tc>
        <w:tc>
          <w:tcPr>
            <w:tcW w:w="270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5" w:right="34"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本年末比上 年末增减</w:t>
            </w:r>
            <w:r>
              <w:rPr>
                <w:rFonts w:ascii="Times New Roman" w:hAnsi="Times New Roman" w:cs="Times New Roman" w:eastAsia="Times New Roman" w:hint="default"/>
                <w:sz w:val="18"/>
                <w:szCs w:val="18"/>
              </w:rPr>
              <w:t>(%)</w:t>
            </w:r>
          </w:p>
        </w:tc>
        <w:tc>
          <w:tcPr>
            <w:tcW w:w="2686"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60" w:type="dxa"/>
            <w:vMerge/>
            <w:tcBorders>
              <w:left w:val="single" w:sz="4" w:space="0" w:color="000000"/>
              <w:bottom w:val="nil" w:sz="6" w:space="0" w:color="auto"/>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c>
          <w:tcPr>
            <w:tcW w:w="270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070" w:type="dxa"/>
            <w:vMerge/>
            <w:tcBorders>
              <w:left w:val="single" w:sz="4" w:space="0" w:color="000000"/>
              <w:right w:val="single" w:sz="4" w:space="0" w:color="000000"/>
            </w:tcBorders>
            <w:shd w:val="clear" w:color="auto" w:fill="D2D2D2"/>
          </w:tcPr>
          <w:p>
            <w:pPr/>
          </w:p>
        </w:tc>
        <w:tc>
          <w:tcPr>
            <w:tcW w:w="268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92" w:hRule="exact"/>
        </w:trPr>
        <w:tc>
          <w:tcPr>
            <w:tcW w:w="2360" w:type="dxa"/>
            <w:vMerge w:val="restart"/>
            <w:tcBorders>
              <w:top w:val="nil" w:sz="6" w:space="0" w:color="auto"/>
              <w:left w:val="single" w:sz="4" w:space="0" w:color="000000"/>
              <w:right w:val="single" w:sz="4" w:space="0" w:color="000000"/>
            </w:tcBorders>
            <w:shd w:val="clear" w:color="auto" w:fill="D2D2D2"/>
          </w:tcPr>
          <w:p>
            <w:pPr/>
          </w:p>
        </w:tc>
        <w:tc>
          <w:tcPr>
            <w:tcW w:w="13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708" w:type="dxa"/>
            <w:gridSpan w:val="2"/>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right w:val="single" w:sz="4" w:space="0" w:color="000000"/>
            </w:tcBorders>
            <w:shd w:val="clear" w:color="auto" w:fill="D2D2D2"/>
          </w:tcPr>
          <w:p>
            <w:pPr/>
          </w:p>
        </w:tc>
        <w:tc>
          <w:tcPr>
            <w:tcW w:w="2686"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60" w:type="dxa"/>
            <w:vMerge/>
            <w:tcBorders>
              <w:left w:val="single" w:sz="4" w:space="0" w:color="000000"/>
              <w:bottom w:val="nil" w:sz="6" w:space="0" w:color="auto"/>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c>
          <w:tcPr>
            <w:tcW w:w="270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2686"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23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3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3,516,954,027.61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3,274,338,304.81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3,271,839,843.57</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2,742,956,807.54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2,742,956,807.54</w:t>
            </w:r>
          </w:p>
        </w:tc>
      </w:tr>
      <w:tr>
        <w:trPr>
          <w:trHeight w:val="401"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3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303,984,714.46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421,053,755.52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421,053,755.52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-27.8%</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189,180,593.72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189,180,593.72</w:t>
            </w:r>
          </w:p>
        </w:tc>
      </w:tr>
      <w:tr>
        <w:trPr>
          <w:trHeight w:val="715"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归属于上市公司股东的所有 者权益（元）</w:t>
            </w:r>
          </w:p>
        </w:tc>
        <w:tc>
          <w:tcPr>
            <w:tcW w:w="13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3,192,373,658.97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2,834,569,228.81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2,832,070,767.57</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12.72%</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2,550,776,213.82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2,550,776,213.82</w:t>
            </w:r>
          </w:p>
        </w:tc>
      </w:tr>
      <w:tr>
        <w:trPr>
          <w:trHeight w:val="401"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3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383,383,700.00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379,200,000.00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379,200,000.00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1.1%</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316,000,000.00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316,000,000.00</w:t>
            </w:r>
          </w:p>
        </w:tc>
      </w:tr>
    </w:tbl>
    <w:p>
      <w:pPr>
        <w:spacing w:line="240" w:lineRule="auto" w:before="6"/>
        <w:rPr>
          <w:rFonts w:ascii="宋体" w:hAnsi="宋体" w:cs="宋体" w:eastAsia="宋体" w:hint="default"/>
          <w:b/>
          <w:bCs/>
          <w:sz w:val="6"/>
          <w:szCs w:val="6"/>
        </w:rPr>
      </w:pPr>
    </w:p>
    <w:p>
      <w:pPr>
        <w:pStyle w:val="Heading5"/>
        <w:spacing w:line="240" w:lineRule="auto" w:before="44"/>
        <w:ind w:right="0"/>
        <w:jc w:val="left"/>
        <w:rPr>
          <w:b w:val="0"/>
          <w:bCs w:val="0"/>
        </w:rPr>
      </w:pPr>
      <w:r>
        <w:rPr/>
        <w:t>主要财务指标</w:t>
      </w:r>
      <w:r>
        <w:rPr>
          <w:b w:val="0"/>
          <w:bCs w:val="0"/>
        </w:rPr>
      </w:r>
    </w:p>
    <w:p>
      <w:pPr>
        <w:spacing w:line="240" w:lineRule="auto" w:before="3"/>
        <w:rPr>
          <w:rFonts w:ascii="宋体" w:hAnsi="宋体" w:cs="宋体" w:eastAsia="宋体" w:hint="default"/>
          <w:b/>
          <w:bCs/>
          <w:sz w:val="14"/>
          <w:szCs w:val="14"/>
        </w:rPr>
      </w:pPr>
    </w:p>
    <w:tbl>
      <w:tblPr>
        <w:tblW w:w="0" w:type="auto"/>
        <w:jc w:val="left"/>
        <w:tblInd w:w="160" w:type="dxa"/>
        <w:tblLayout w:type="fixed"/>
        <w:tblCellMar>
          <w:top w:w="0" w:type="dxa"/>
          <w:left w:w="0" w:type="dxa"/>
          <w:bottom w:w="0" w:type="dxa"/>
          <w:right w:w="0" w:type="dxa"/>
        </w:tblCellMar>
        <w:tblLook w:val="01E0"/>
      </w:tblPr>
      <w:tblGrid>
        <w:gridCol w:w="2348"/>
        <w:gridCol w:w="1201"/>
        <w:gridCol w:w="1202"/>
        <w:gridCol w:w="1200"/>
        <w:gridCol w:w="1202"/>
        <w:gridCol w:w="1201"/>
        <w:gridCol w:w="1202"/>
      </w:tblGrid>
      <w:tr>
        <w:trPr>
          <w:trHeight w:val="161" w:hRule="exact"/>
        </w:trPr>
        <w:tc>
          <w:tcPr>
            <w:tcW w:w="2348"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71" w:right="55"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 减</w:t>
            </w:r>
            <w:r>
              <w:rPr>
                <w:rFonts w:ascii="Times New Roman" w:hAnsi="Times New Roman" w:cs="Times New Roman" w:eastAsia="Times New Roman" w:hint="default"/>
                <w:sz w:val="18"/>
                <w:szCs w:val="18"/>
              </w:rPr>
              <w:t>(%)</w:t>
            </w: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9" w:hRule="exact"/>
        </w:trPr>
        <w:tc>
          <w:tcPr>
            <w:tcW w:w="2348"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02" w:type="dxa"/>
            <w:vMerge/>
            <w:tcBorders>
              <w:left w:val="single" w:sz="4" w:space="0" w:color="000000"/>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192" w:hRule="exact"/>
        </w:trPr>
        <w:tc>
          <w:tcPr>
            <w:tcW w:w="2348" w:type="dxa"/>
            <w:vMerge w:val="restart"/>
            <w:tcBorders>
              <w:top w:val="nil" w:sz="6" w:space="0" w:color="auto"/>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3"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48"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24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23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1"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0.94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0.93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21.51%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0.86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0.86</w:t>
            </w:r>
          </w:p>
        </w:tc>
      </w:tr>
      <w:tr>
        <w:trPr>
          <w:trHeight w:val="403"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0.94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0.93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21.51%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0.86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0.86</w:t>
            </w:r>
          </w:p>
        </w:tc>
      </w:tr>
      <w:tr>
        <w:trPr>
          <w:trHeight w:val="401"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0.91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0.91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19.78%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0.85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0.85</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40" w:bottom="1160" w:left="980" w:right="460"/>
        </w:sectPr>
      </w:pPr>
    </w:p>
    <w:p>
      <w:pPr>
        <w:spacing w:line="240" w:lineRule="auto" w:before="2"/>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2348"/>
        <w:gridCol w:w="1201"/>
        <w:gridCol w:w="1202"/>
        <w:gridCol w:w="1200"/>
        <w:gridCol w:w="1202"/>
        <w:gridCol w:w="1201"/>
        <w:gridCol w:w="1202"/>
      </w:tblGrid>
      <w:tr>
        <w:trPr>
          <w:trHeight w:val="363"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10" w:space="0" w:color="D2D2D2"/>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13.44%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12.47%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12.86%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12.86%</w:t>
            </w:r>
          </w:p>
        </w:tc>
      </w:tr>
      <w:tr>
        <w:trPr>
          <w:trHeight w:val="403"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14.36%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13.22%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13.64%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13.64%</w:t>
            </w:r>
          </w:p>
        </w:tc>
      </w:tr>
      <w:tr>
        <w:trPr>
          <w:trHeight w:val="713"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5"/>
              <w:jc w:val="left"/>
              <w:rPr>
                <w:rFonts w:ascii="宋体" w:hAnsi="宋体" w:cs="宋体" w:eastAsia="宋体" w:hint="default"/>
                <w:sz w:val="18"/>
                <w:szCs w:val="18"/>
              </w:rPr>
            </w:pPr>
            <w:r>
              <w:rPr>
                <w:rFonts w:ascii="宋体" w:hAnsi="宋体" w:cs="宋体" w:eastAsia="宋体" w:hint="default"/>
                <w:sz w:val="18"/>
                <w:szCs w:val="18"/>
              </w:rPr>
              <w:t>扣除非经常性损益后全面摊 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12.93%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12.21%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12.13%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12.71%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12.71%</w:t>
            </w:r>
          </w:p>
        </w:tc>
      </w:tr>
      <w:tr>
        <w:trPr>
          <w:trHeight w:val="715"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5"/>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13.82%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12.95%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12.87%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13.52%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13.52%</w:t>
            </w:r>
          </w:p>
        </w:tc>
      </w:tr>
      <w:tr>
        <w:trPr>
          <w:trHeight w:val="713"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5"/>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0.5974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0.565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0.565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0.6192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0.6192</w:t>
            </w:r>
          </w:p>
        </w:tc>
      </w:tr>
      <w:tr>
        <w:trPr>
          <w:trHeight w:val="161" w:hRule="exact"/>
        </w:trPr>
        <w:tc>
          <w:tcPr>
            <w:tcW w:w="2348"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91" w:right="55"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本年末比上年 末增减</w:t>
            </w:r>
            <w:r>
              <w:rPr>
                <w:rFonts w:ascii="Times New Roman" w:hAnsi="Times New Roman" w:cs="Times New Roman" w:eastAsia="Times New Roman" w:hint="default"/>
                <w:sz w:val="18"/>
                <w:szCs w:val="18"/>
              </w:rPr>
              <w:t>(%)</w:t>
            </w: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48"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202" w:type="dxa"/>
            <w:vMerge/>
            <w:tcBorders>
              <w:left w:val="single" w:sz="4" w:space="0" w:color="000000"/>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92" w:hRule="exact"/>
        </w:trPr>
        <w:tc>
          <w:tcPr>
            <w:tcW w:w="2348" w:type="dxa"/>
            <w:vMerge w:val="restart"/>
            <w:tcBorders>
              <w:top w:val="nil" w:sz="6" w:space="0" w:color="auto"/>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403"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3" w:type="dxa"/>
            <w:gridSpan w:val="2"/>
            <w:vMerge/>
            <w:tcBorders>
              <w:left w:val="single" w:sz="4" w:space="0" w:color="000000"/>
              <w:bottom w:val="nil" w:sz="6" w:space="0" w:color="auto"/>
              <w:right w:val="single" w:sz="4" w:space="0" w:color="000000"/>
            </w:tcBorders>
            <w:shd w:val="clear" w:color="auto" w:fill="D2D2D2"/>
          </w:tcPr>
          <w:p>
            <w:pPr/>
          </w:p>
        </w:tc>
      </w:tr>
      <w:tr>
        <w:trPr>
          <w:trHeight w:val="157" w:hRule="exact"/>
        </w:trPr>
        <w:tc>
          <w:tcPr>
            <w:tcW w:w="2348"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24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23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5"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5"/>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8.3268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7.4751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7.4685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11.49%</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8.0721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8.0721</w:t>
            </w:r>
          </w:p>
        </w:tc>
      </w:tr>
      <w:tr>
        <w:trPr>
          <w:trHeight w:val="401"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12.86%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12.87%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6.9%</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二、境内外会计准则下会计数据差异</w:t>
      </w:r>
      <w:r>
        <w:rPr>
          <w:b w:val="0"/>
          <w:bCs w:val="0"/>
        </w:rPr>
      </w:r>
    </w:p>
    <w:p>
      <w:pPr>
        <w:spacing w:line="240" w:lineRule="auto" w:before="7"/>
        <w:rPr>
          <w:rFonts w:ascii="宋体" w:hAnsi="宋体" w:cs="宋体" w:eastAsia="宋体" w:hint="default"/>
          <w:b/>
          <w:bCs/>
          <w:sz w:val="32"/>
          <w:szCs w:val="32"/>
        </w:rPr>
      </w:pPr>
    </w:p>
    <w:p>
      <w:pPr>
        <w:pStyle w:val="Heading5"/>
        <w:spacing w:line="240" w:lineRule="auto"/>
        <w:ind w:right="0"/>
        <w:jc w:val="left"/>
        <w:rPr>
          <w:b w:val="0"/>
          <w:bCs w:val="0"/>
        </w:rPr>
      </w:pPr>
      <w:r>
        <w:rPr/>
        <w:t>不适用</w:t>
      </w:r>
      <w:r>
        <w:rPr>
          <w:b w:val="0"/>
          <w:bCs w:val="0"/>
        </w:rPr>
      </w: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13"/>
          <w:szCs w:val="13"/>
        </w:rPr>
      </w:pPr>
    </w:p>
    <w:p>
      <w:pPr>
        <w:pStyle w:val="Heading2"/>
        <w:spacing w:line="240" w:lineRule="auto"/>
        <w:ind w:right="0"/>
        <w:jc w:val="left"/>
        <w:rPr>
          <w:b w:val="0"/>
          <w:bCs w:val="0"/>
        </w:rPr>
      </w:pPr>
      <w:r>
        <w:rPr/>
        <w:t>三、报告期内非经常性损益的项目及金额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231"/>
        <w:jc w:val="right"/>
      </w:pPr>
      <w:r>
        <w:rPr/>
        <w:t>单位：元</w:t>
      </w:r>
    </w:p>
    <w:p>
      <w:pPr>
        <w:spacing w:line="240" w:lineRule="auto" w:before="3"/>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3330"/>
        <w:gridCol w:w="1561"/>
        <w:gridCol w:w="1548"/>
        <w:gridCol w:w="1551"/>
        <w:gridCol w:w="1742"/>
      </w:tblGrid>
      <w:tr>
        <w:trPr>
          <w:trHeight w:val="404" w:hRule="exact"/>
        </w:trPr>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20" w:hRule="exact"/>
        </w:trPr>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 w:right="7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-83,242.77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-242,916.19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-893,157.34</w:t>
            </w: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1042" w:hRule="exact"/>
        </w:trPr>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6" w:right="7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18,633,861.04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10,949,426.00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6,563,117.20</w:t>
            </w: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 w:right="72"/>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61" w:type="dxa"/>
            <w:tcBorders>
              <w:top w:val="single" w:sz="4" w:space="0" w:color="000000"/>
              <w:left w:val="single" w:sz="10" w:space="0" w:color="D2D2D2"/>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-382,993.73</w:t>
            </w: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153,473.79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-9,438.76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-781,483.00</w:t>
            </w: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2,410,950.31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1,108,971.07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722,727.43</w:t>
            </w: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45,022.03</w:t>
            </w:r>
          </w:p>
        </w:tc>
        <w:tc>
          <w:tcPr>
            <w:tcW w:w="1548"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8" w:space="0" w:color="000000"/>
              <w:right w:val="single" w:sz="4" w:space="0" w:color="000000"/>
            </w:tcBorders>
          </w:tcPr>
          <w:p>
            <w:pPr/>
          </w:p>
        </w:tc>
      </w:tr>
      <w:tr>
        <w:trPr>
          <w:trHeight w:val="420" w:hRule="exact"/>
        </w:trPr>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16,248,119.72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9,588,099.98</w:t>
            </w:r>
          </w:p>
        </w:tc>
        <w:tc>
          <w:tcPr>
            <w:tcW w:w="155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0"/>
              <w:ind w:right="8"/>
              <w:jc w:val="right"/>
              <w:rPr>
                <w:rFonts w:ascii="Times New Roman" w:hAnsi="Times New Roman" w:cs="Times New Roman" w:eastAsia="Times New Roman" w:hint="default"/>
                <w:sz w:val="18"/>
                <w:szCs w:val="18"/>
              </w:rPr>
            </w:pPr>
            <w:r>
              <w:rPr>
                <w:rFonts w:ascii="Times New Roman"/>
                <w:spacing w:val="-1"/>
                <w:sz w:val="18"/>
              </w:rPr>
              <w:t>3,782,755.70</w:t>
            </w:r>
          </w:p>
        </w:tc>
        <w:tc>
          <w:tcPr>
            <w:tcW w:w="1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spacing w:line="240" w:lineRule="auto" w:before="9"/>
        <w:rPr>
          <w:rFonts w:ascii="宋体" w:hAnsi="宋体" w:cs="宋体" w:eastAsia="宋体" w:hint="default"/>
          <w:sz w:val="16"/>
          <w:szCs w:val="16"/>
        </w:rPr>
      </w:pPr>
    </w:p>
    <w:p>
      <w:pPr>
        <w:pStyle w:val="BodyText"/>
        <w:spacing w:line="240" w:lineRule="auto"/>
        <w:ind w:right="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p>
    <w:p>
      <w:pPr>
        <w:spacing w:after="0" w:line="240" w:lineRule="auto"/>
        <w:jc w:val="left"/>
        <w:sectPr>
          <w:pgSz w:w="11910" w:h="16840"/>
          <w:pgMar w:header="852" w:footer="980" w:top="1340" w:bottom="1160" w:left="980" w:right="900"/>
        </w:sectPr>
      </w:pPr>
    </w:p>
    <w:p>
      <w:pPr>
        <w:spacing w:line="240" w:lineRule="auto" w:before="6"/>
        <w:rPr>
          <w:rFonts w:ascii="宋体" w:hAnsi="宋体" w:cs="宋体" w:eastAsia="宋体" w:hint="default"/>
          <w:sz w:val="10"/>
          <w:szCs w:val="10"/>
        </w:rPr>
      </w:pPr>
    </w:p>
    <w:p>
      <w:pPr>
        <w:pStyle w:val="BodyText"/>
        <w:spacing w:line="240" w:lineRule="auto" w:before="44"/>
        <w:ind w:right="94"/>
        <w:jc w:val="left"/>
      </w:pPr>
      <w:r>
        <w:rPr/>
        <w:t>说明原因</w:t>
      </w:r>
    </w:p>
    <w:p>
      <w:pPr>
        <w:spacing w:line="240" w:lineRule="auto" w:before="12"/>
        <w:rPr>
          <w:rFonts w:ascii="宋体" w:hAnsi="宋体" w:cs="宋体" w:eastAsia="宋体" w:hint="default"/>
          <w:sz w:val="20"/>
          <w:szCs w:val="20"/>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pStyle w:val="Heading2"/>
        <w:spacing w:line="240" w:lineRule="auto" w:before="155"/>
        <w:ind w:right="94"/>
        <w:jc w:val="left"/>
        <w:rPr>
          <w:b w:val="0"/>
          <w:bCs w:val="0"/>
        </w:rPr>
      </w:pPr>
      <w:r>
        <w:rPr/>
        <w:t>四、重大风险提示</w:t>
      </w:r>
      <w:r>
        <w:rPr>
          <w:b w:val="0"/>
          <w:bCs w:val="0"/>
        </w:rPr>
      </w:r>
    </w:p>
    <w:p>
      <w:pPr>
        <w:spacing w:line="240" w:lineRule="auto" w:before="7"/>
        <w:rPr>
          <w:rFonts w:ascii="宋体" w:hAnsi="宋体" w:cs="宋体" w:eastAsia="宋体" w:hint="default"/>
          <w:b/>
          <w:bCs/>
          <w:sz w:val="32"/>
          <w:szCs w:val="32"/>
        </w:rPr>
      </w:pPr>
    </w:p>
    <w:p>
      <w:pPr>
        <w:pStyle w:val="BodyText"/>
        <w:spacing w:line="451" w:lineRule="auto"/>
        <w:ind w:right="186" w:firstLine="420"/>
        <w:jc w:val="both"/>
      </w:pPr>
      <w:r>
        <w:rPr/>
        <w:t>目前，对于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日的飞信业务商务事宜已经确定，该期间的开发与支撑工作继续由新媒传信 承担。同时，中国移动广东公司于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日发布招标公告，对飞信系统的开发与支撑工作进行招标，项目周期为自项</w:t>
      </w:r>
      <w:r>
        <w:rPr>
          <w:spacing w:val="-85"/>
        </w:rPr>
        <w:t> </w:t>
      </w:r>
      <w:r>
        <w:rPr>
          <w:spacing w:val="-85"/>
        </w:rPr>
      </w:r>
      <w:r>
        <w:rPr>
          <w:spacing w:val="-1"/>
        </w:rPr>
        <w:t>目中标后的一年。飞信业务虽然这几年在公司总体利润的比重逐年降低（至</w:t>
      </w:r>
      <w:r>
        <w:rPr>
          <w:rFonts w:ascii="Times New Roman" w:hAnsi="Times New Roman" w:cs="Times New Roman" w:eastAsia="Times New Roman" w:hint="default"/>
          <w:spacing w:val="-1"/>
        </w:rPr>
        <w:t>2012</w:t>
      </w:r>
      <w:r>
        <w:rPr>
          <w:spacing w:val="-1"/>
        </w:rPr>
        <w:t>年度降至总体净利润的</w:t>
      </w:r>
      <w:r>
        <w:rPr>
          <w:rFonts w:ascii="Times New Roman" w:hAnsi="Times New Roman" w:cs="Times New Roman" w:eastAsia="Times New Roman" w:hint="default"/>
          <w:spacing w:val="-1"/>
        </w:rPr>
        <w:t>40%</w:t>
      </w:r>
      <w:r>
        <w:rPr>
          <w:spacing w:val="-1"/>
        </w:rPr>
        <w:t>左右），但是仍</w:t>
      </w:r>
      <w:r>
        <w:rPr/>
        <w:t> </w:t>
      </w:r>
      <w:r>
        <w:rPr>
          <w:spacing w:val="-2"/>
        </w:rPr>
        <w:t>是互联网运营业务的重要组成部分，一旦不能中标或中标金额较小，将对公司盈利能力产生不利影响。（具体内容详见</w:t>
      </w:r>
      <w:r>
        <w:rPr>
          <w:rFonts w:ascii="Times New Roman" w:hAnsi="Times New Roman" w:cs="Times New Roman" w:eastAsia="Times New Roman" w:hint="default"/>
          <w:spacing w:val="-2"/>
        </w:rPr>
        <w:t>2013</w:t>
      </w:r>
      <w:r>
        <w:rPr>
          <w:rFonts w:ascii="Times New Roman" w:hAnsi="Times New Roman" w:cs="Times New Roman" w:eastAsia="Times New Roman" w:hint="default"/>
          <w:spacing w:val="-11"/>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日巨潮资讯网的公司公告）。</w:t>
      </w:r>
    </w:p>
    <w:p>
      <w:pPr>
        <w:pStyle w:val="BodyText"/>
        <w:spacing w:line="477" w:lineRule="auto" w:before="43"/>
        <w:ind w:right="94" w:firstLine="420"/>
        <w:jc w:val="left"/>
      </w:pPr>
      <w:r>
        <w:rPr/>
        <w:t>对于飞信招标，公司及新媒传信将积极准备、全力投入到相关工作中，充分发挥公司的强大的产品开发能力、运营能 力、丰富的互联网运营实践等竞争优势，进一步加大研发与支撑投入的力度，强化飞信平台的性能、功能，丰富应用内容， 提升用户体验，保持飞信持续、健康、稳定的发展。公司将根据招标进展情况及时履行信息披露义务。</w:t>
      </w:r>
    </w:p>
    <w:p>
      <w:pPr>
        <w:pStyle w:val="BodyText"/>
        <w:spacing w:line="451" w:lineRule="auto" w:before="54"/>
        <w:ind w:right="186" w:firstLine="420"/>
        <w:jc w:val="both"/>
      </w:pPr>
      <w:r>
        <w:rPr/>
        <w:t>飞信业务是中国移动在移动互联网战略中的重要业务，已经成为一个具有广大用户群体、连接手机客户端和</w:t>
      </w:r>
      <w:r>
        <w:rPr>
          <w:rFonts w:ascii="Times New Roman" w:hAnsi="Times New Roman" w:cs="Times New Roman" w:eastAsia="Times New Roman" w:hint="default"/>
        </w:rPr>
        <w:t>PC</w:t>
      </w:r>
      <w:r>
        <w:rPr/>
        <w:t>客户端 的国内重要移动互联网平台</w:t>
      </w:r>
      <w:r>
        <w:rPr>
          <w:spacing w:val="-13"/>
        </w:rPr>
        <w:t>。</w:t>
      </w:r>
      <w:r>
        <w:rPr/>
        <w:t>结合中国移动提出</w:t>
      </w:r>
      <w:r>
        <w:rPr>
          <w:spacing w:val="1"/>
        </w:rPr>
        <w:t>的</w:t>
      </w:r>
      <w:r>
        <w:rPr>
          <w:rFonts w:ascii="Times New Roman" w:hAnsi="Times New Roman" w:cs="Times New Roman" w:eastAsia="Times New Roman" w:hint="default"/>
          <w:spacing w:val="-1"/>
          <w:w w:val="44"/>
        </w:rPr>
        <w:t>―</w:t>
      </w:r>
      <w:r>
        <w:rPr/>
        <w:t>智能管道</w:t>
      </w:r>
      <w:r>
        <w:rPr>
          <w:spacing w:val="-13"/>
        </w:rPr>
        <w:t>、</w:t>
      </w:r>
      <w:r>
        <w:rPr/>
        <w:t>开放平台</w:t>
      </w:r>
      <w:r>
        <w:rPr>
          <w:spacing w:val="-13"/>
        </w:rPr>
        <w:t>、</w:t>
      </w:r>
      <w:r>
        <w:rPr/>
        <w:t>特色服务</w:t>
      </w:r>
      <w:r>
        <w:rPr>
          <w:spacing w:val="-13"/>
        </w:rPr>
        <w:t>、</w:t>
      </w:r>
      <w:r>
        <w:rPr/>
        <w:t>友好界面</w:t>
      </w:r>
      <w:r>
        <w:rPr>
          <w:rFonts w:ascii="Times New Roman" w:hAnsi="Times New Roman" w:cs="Times New Roman" w:eastAsia="Times New Roman" w:hint="default"/>
          <w:spacing w:val="-1"/>
          <w:w w:val="158"/>
        </w:rPr>
        <w:t>‖</w:t>
      </w:r>
      <w:r>
        <w:rPr/>
        <w:t>的移动互联网发展战略</w:t>
      </w:r>
      <w:r>
        <w:rPr>
          <w:spacing w:val="-13"/>
        </w:rPr>
        <w:t>，</w:t>
      </w:r>
      <w:r>
        <w:rPr/>
        <w:t>飞</w:t>
      </w:r>
      <w:r>
        <w:rPr/>
        <w:t> 信将在其中扮演着非常重要的作用和地位。</w:t>
      </w:r>
    </w:p>
    <w:p>
      <w:pPr>
        <w:pStyle w:val="BodyText"/>
        <w:spacing w:line="470" w:lineRule="auto" w:before="74"/>
        <w:ind w:right="94" w:firstLine="420"/>
        <w:jc w:val="left"/>
      </w:pPr>
      <w:r>
        <w:rPr/>
        <w:t>自</w:t>
      </w:r>
      <w:r>
        <w:rPr>
          <w:rFonts w:ascii="Times New Roman" w:hAnsi="Times New Roman" w:cs="Times New Roman" w:eastAsia="Times New Roman" w:hint="default"/>
        </w:rPr>
        <w:t>2007</w:t>
      </w:r>
      <w:r>
        <w:rPr/>
        <w:t>年以来公司已连续六年为中国移动飞信业务提供全面的开发与支撑服务，充分展示了先进的产品开发能力和强 </w:t>
      </w:r>
      <w:r>
        <w:rPr>
          <w:spacing w:val="-4"/>
        </w:rPr>
        <w:t>大的产品运营能力，为飞信的发展提供了稳定可靠的支撑服务，获得了中国移动和广大飞信业务用户的好评。对于飞信招标，</w:t>
      </w:r>
      <w:r>
        <w:rPr>
          <w:spacing w:val="-44"/>
        </w:rPr>
        <w:t> </w:t>
      </w:r>
      <w:r>
        <w:rPr>
          <w:spacing w:val="-44"/>
        </w:rPr>
      </w:r>
      <w:r>
        <w:rPr>
          <w:spacing w:val="-2"/>
        </w:rPr>
        <w:t>公司及新媒传信将积极准备、全力投入到相关工作中，充分发挥公司的强大的产品开发能力、运营能力、丰富的互联网运营</w:t>
      </w:r>
      <w:r>
        <w:rPr>
          <w:spacing w:val="-64"/>
        </w:rPr>
        <w:t> </w:t>
      </w:r>
      <w:r>
        <w:rPr>
          <w:spacing w:val="-64"/>
        </w:rPr>
      </w:r>
      <w:r>
        <w:rPr>
          <w:spacing w:val="-2"/>
        </w:rPr>
        <w:t>实践等竞争优势，进一步加大研发与支撑投入的力度，强化飞信平台的性能、功能，丰富应用内容，提升用户体验，保持飞</w:t>
      </w:r>
      <w:r>
        <w:rPr>
          <w:spacing w:val="-68"/>
        </w:rPr>
        <w:t> </w:t>
      </w:r>
      <w:r>
        <w:rPr>
          <w:spacing w:val="-68"/>
        </w:rPr>
      </w:r>
      <w:r>
        <w:rPr/>
        <w:t>信持续、健康、稳定的发展。</w:t>
      </w:r>
    </w:p>
    <w:p>
      <w:pPr>
        <w:pStyle w:val="BodyText"/>
        <w:spacing w:line="463" w:lineRule="auto" w:before="59"/>
        <w:ind w:right="193" w:firstLine="420"/>
        <w:jc w:val="both"/>
      </w:pPr>
      <w:r>
        <w:rPr>
          <w:spacing w:val="-1"/>
          <w:w w:val="98"/>
        </w:rPr>
        <w:t>同时，自</w:t>
      </w:r>
      <w:r>
        <w:rPr>
          <w:rFonts w:ascii="Times New Roman" w:hAnsi="Times New Roman" w:cs="Times New Roman" w:eastAsia="Times New Roman" w:hint="default"/>
          <w:spacing w:val="-1"/>
          <w:w w:val="98"/>
        </w:rPr>
        <w:t>2009</w:t>
      </w:r>
      <w:r>
        <w:rPr>
          <w:spacing w:val="-1"/>
          <w:w w:val="98"/>
        </w:rPr>
        <w:t>年上市以来，公司整体营收规模在不断增长的同时业务结构进一步优化，呈现出</w:t>
      </w:r>
      <w:r>
        <w:rPr>
          <w:rFonts w:ascii="Times New Roman" w:hAnsi="Times New Roman" w:cs="Times New Roman" w:eastAsia="Times New Roman" w:hint="default"/>
          <w:spacing w:val="-1"/>
          <w:w w:val="98"/>
        </w:rPr>
        <w:t>―</w:t>
      </w:r>
      <w:r>
        <w:rPr>
          <w:spacing w:val="-1"/>
          <w:w w:val="98"/>
        </w:rPr>
        <w:t>互联网运营服务业务稳</w:t>
      </w:r>
      <w:r>
        <w:rPr/>
        <w:t> 步发展、运维管理业务快速提升</w:t>
      </w:r>
      <w:r>
        <w:rPr>
          <w:rFonts w:ascii="Times New Roman" w:hAnsi="Times New Roman" w:cs="Times New Roman" w:eastAsia="Times New Roman" w:hint="default"/>
        </w:rPr>
        <w:t>‖</w:t>
      </w:r>
      <w:r>
        <w:rPr/>
        <w:t>的态势，截止目前公司已形成了以运维管理、互联网运营服务为核心，并兼具电子商务、</w:t>
      </w:r>
      <w:r>
        <w:rPr>
          <w:spacing w:val="-46"/>
        </w:rPr>
        <w:t> </w:t>
      </w:r>
      <w:r>
        <w:rPr>
          <w:spacing w:val="-46"/>
        </w:rPr>
      </w:r>
      <w:r>
        <w:rPr>
          <w:spacing w:val="-2"/>
        </w:rPr>
        <w:t>物联网的业务架构。未来，公司将紧密围绕市场需求、深耕细作，进一步巩固和提高国内运维管理领域的领先市场地位；在</w:t>
      </w:r>
      <w:r>
        <w:rPr>
          <w:spacing w:val="-67"/>
        </w:rPr>
        <w:t> </w:t>
      </w:r>
      <w:r>
        <w:rPr>
          <w:spacing w:val="-67"/>
        </w:rPr>
      </w:r>
      <w:r>
        <w:rPr>
          <w:spacing w:val="-2"/>
        </w:rPr>
        <w:t>做好飞信运营服务业务的同时，大力促进农信通业务、积极拓展面向国内外大型组织机构的互联网运营业务，努力开展包括</w:t>
      </w:r>
      <w:r>
        <w:rPr>
          <w:spacing w:val="-66"/>
        </w:rPr>
        <w:t> </w:t>
      </w:r>
      <w:r>
        <w:rPr>
          <w:spacing w:val="-66"/>
        </w:rPr>
      </w:r>
      <w:r>
        <w:rPr/>
        <w:t>电子商务在内的互联网自主业务以及物联网等创新业务，促进公司持续发展。</w:t>
      </w:r>
    </w:p>
    <w:p>
      <w:pPr>
        <w:spacing w:after="0" w:line="463" w:lineRule="auto"/>
        <w:jc w:val="both"/>
        <w:sectPr>
          <w:pgSz w:w="11910" w:h="16840"/>
          <w:pgMar w:header="852" w:footer="980" w:top="1340" w:bottom="1160" w:left="980" w:right="9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134" w:right="175"/>
        <w:jc w:val="center"/>
        <w:rPr>
          <w:b w:val="0"/>
          <w:bCs w:val="0"/>
        </w:rPr>
      </w:pPr>
      <w:bookmarkStart w:name="_TOC_250006"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4"/>
        <w:jc w:val="left"/>
        <w:rPr>
          <w:b w:val="0"/>
          <w:bCs w:val="0"/>
        </w:rPr>
      </w:pPr>
      <w:r>
        <w:rPr/>
        <w:t>一、管理层讨论与分析</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231" w:firstLine="420"/>
        <w:jc w:val="both"/>
      </w:pPr>
      <w:r>
        <w:rPr/>
        <w:t>报告期内，公司继续本着聚焦主营、挖掘创新、积极拓展的经营方针，立足于运维管理、互联网两大业务领域，进一 步拓展与优化业务结构，积极深化企业内部管理制度建设，加强产品开发与项目实施管控，提升运营绩效。</w:t>
      </w:r>
    </w:p>
    <w:p>
      <w:pPr>
        <w:pStyle w:val="BodyText"/>
        <w:spacing w:line="451" w:lineRule="auto" w:before="92"/>
        <w:ind w:right="191" w:firstLine="420"/>
        <w:jc w:val="both"/>
      </w:pPr>
      <w:r>
        <w:rPr>
          <w:spacing w:val="-1"/>
          <w:w w:val="98"/>
        </w:rPr>
        <w:t>公司整体营收规模在不断增长的同时，产品线进一步丰富、业务结构进一步优化，呈现出</w:t>
      </w:r>
      <w:r>
        <w:rPr>
          <w:rFonts w:ascii="Times New Roman" w:hAnsi="Times New Roman" w:cs="Times New Roman" w:eastAsia="Times New Roman" w:hint="default"/>
          <w:spacing w:val="-1"/>
          <w:w w:val="98"/>
        </w:rPr>
        <w:t>―</w:t>
      </w:r>
      <w:r>
        <w:rPr>
          <w:spacing w:val="-1"/>
          <w:w w:val="98"/>
        </w:rPr>
        <w:t>互联网运营服务业务稳步发</w:t>
      </w:r>
      <w:r>
        <w:rPr/>
        <w:t> 展、运维管理业务快速提升</w:t>
      </w:r>
      <w:r>
        <w:rPr>
          <w:rFonts w:ascii="Times New Roman" w:hAnsi="Times New Roman" w:cs="Times New Roman" w:eastAsia="Times New Roman" w:hint="default"/>
        </w:rPr>
        <w:t>‖</w:t>
      </w:r>
      <w:r>
        <w:rPr/>
        <w:t>的态势。目前，公司已形成了以运维管理、互联网运营服务为核心，并兼具电子商务、物联网</w:t>
      </w:r>
      <w:r>
        <w:rPr>
          <w:spacing w:val="-62"/>
        </w:rPr>
        <w:t> </w:t>
      </w:r>
      <w:r>
        <w:rPr/>
        <w:t>的业务架构。</w:t>
      </w:r>
    </w:p>
    <w:p>
      <w:pPr>
        <w:pStyle w:val="BodyText"/>
        <w:spacing w:line="477" w:lineRule="auto" w:before="115"/>
        <w:ind w:right="214" w:firstLine="420"/>
        <w:jc w:val="left"/>
      </w:pPr>
      <w:r>
        <w:rPr>
          <w:rFonts w:ascii="宋体" w:hAnsi="宋体" w:cs="宋体" w:eastAsia="宋体" w:hint="default"/>
        </w:rPr>
        <w:t>2012</w:t>
      </w:r>
      <w:r>
        <w:rPr/>
        <w:t>年，公司实现营业总收入</w:t>
      </w:r>
      <w:r>
        <w:rPr>
          <w:rFonts w:ascii="宋体" w:hAnsi="宋体" w:cs="宋体" w:eastAsia="宋体" w:hint="default"/>
        </w:rPr>
        <w:t>140,951.29</w:t>
      </w:r>
      <w:r>
        <w:rPr/>
        <w:t>万元，比去年同期增长了</w:t>
      </w:r>
      <w:r>
        <w:rPr>
          <w:rFonts w:ascii="宋体" w:hAnsi="宋体" w:cs="宋体" w:eastAsia="宋体" w:hint="default"/>
        </w:rPr>
        <w:t>21.8%</w:t>
      </w:r>
      <w:r>
        <w:rPr/>
        <w:t>；实现营业利润</w:t>
      </w:r>
      <w:r>
        <w:rPr>
          <w:rFonts w:ascii="宋体" w:hAnsi="宋体" w:cs="宋体" w:eastAsia="宋体" w:hint="default"/>
        </w:rPr>
        <w:t>40,999.37</w:t>
      </w:r>
      <w:r>
        <w:rPr/>
        <w:t>万元，比去年同期 增长了</w:t>
      </w:r>
      <w:r>
        <w:rPr>
          <w:rFonts w:ascii="宋体" w:hAnsi="宋体" w:cs="宋体" w:eastAsia="宋体" w:hint="default"/>
        </w:rPr>
        <w:t>14.04%</w:t>
      </w:r>
      <w:r>
        <w:rPr/>
        <w:t>；实现利润总额</w:t>
      </w:r>
      <w:r>
        <w:rPr>
          <w:rFonts w:ascii="宋体" w:hAnsi="宋体" w:cs="宋体" w:eastAsia="宋体" w:hint="default"/>
        </w:rPr>
        <w:t>44,510.45</w:t>
      </w:r>
      <w:r>
        <w:rPr/>
        <w:t>万元，比去年同期增长了</w:t>
      </w:r>
      <w:r>
        <w:rPr>
          <w:rFonts w:ascii="宋体" w:hAnsi="宋体" w:cs="宋体" w:eastAsia="宋体" w:hint="default"/>
        </w:rPr>
        <w:t>15.86%</w:t>
      </w:r>
      <w:r>
        <w:rPr/>
        <w:t>；实现归属于上市公司股东的净利润为</w:t>
      </w:r>
      <w:r>
        <w:rPr>
          <w:rFonts w:ascii="宋体" w:hAnsi="宋体" w:cs="宋体" w:eastAsia="宋体" w:hint="default"/>
        </w:rPr>
        <w:t>42,902.89 </w:t>
      </w:r>
      <w:r>
        <w:rPr/>
        <w:t>万元，比去年同期增长了</w:t>
      </w:r>
      <w:r>
        <w:rPr>
          <w:rFonts w:ascii="宋体" w:hAnsi="宋体" w:cs="宋体" w:eastAsia="宋体" w:hint="default"/>
        </w:rPr>
        <w:t>21.47%</w:t>
      </w:r>
      <w:r>
        <w:rPr/>
        <w:t>。</w:t>
      </w:r>
    </w:p>
    <w:p>
      <w:pPr>
        <w:pStyle w:val="Heading5"/>
        <w:spacing w:line="240" w:lineRule="auto" w:before="95"/>
        <w:ind w:left="575" w:right="94"/>
        <w:jc w:val="left"/>
        <w:rPr>
          <w:b w:val="0"/>
          <w:bCs w:val="0"/>
        </w:rPr>
      </w:pPr>
      <w:r>
        <w:rPr/>
        <w:t>（一）业务经营整体情况</w:t>
      </w:r>
      <w:r>
        <w:rPr>
          <w:b w:val="0"/>
          <w:bCs w:val="0"/>
        </w:rPr>
      </w:r>
    </w:p>
    <w:p>
      <w:pPr>
        <w:spacing w:line="240" w:lineRule="auto" w:before="9"/>
        <w:rPr>
          <w:rFonts w:ascii="宋体" w:hAnsi="宋体" w:cs="宋体" w:eastAsia="宋体" w:hint="default"/>
          <w:b/>
          <w:bCs/>
          <w:sz w:val="20"/>
          <w:szCs w:val="20"/>
        </w:rPr>
      </w:pPr>
    </w:p>
    <w:p>
      <w:pPr>
        <w:pStyle w:val="BodyText"/>
        <w:spacing w:line="489" w:lineRule="auto"/>
        <w:ind w:left="573" w:right="94" w:firstLine="2"/>
        <w:jc w:val="left"/>
      </w:pPr>
      <w:r>
        <w:rPr>
          <w:rFonts w:ascii="Times New Roman" w:hAnsi="Times New Roman" w:cs="Times New Roman" w:eastAsia="Times New Roman" w:hint="default"/>
          <w:b/>
          <w:bCs/>
        </w:rPr>
        <w:t>1</w:t>
      </w:r>
      <w:r>
        <w:rPr>
          <w:rFonts w:ascii="宋体" w:hAnsi="宋体" w:cs="宋体" w:eastAsia="宋体" w:hint="default"/>
          <w:b/>
          <w:bCs/>
        </w:rPr>
        <w:t>、在运维管理业务领域</w:t>
      </w:r>
      <w:r>
        <w:rPr>
          <w:rFonts w:ascii="宋体" w:hAnsi="宋体" w:cs="宋体" w:eastAsia="宋体" w:hint="default"/>
          <w:b/>
          <w:bCs/>
          <w:w w:val="99"/>
        </w:rPr>
        <w:t> </w:t>
      </w:r>
      <w:r>
        <w:rPr/>
        <w:t>报告期内，公司继续深入开展项目管理制度、管理流程的优化与落地执行，推动项目经理的培训、认证工作，加强项</w:t>
      </w:r>
    </w:p>
    <w:p>
      <w:pPr>
        <w:pStyle w:val="BodyText"/>
        <w:spacing w:line="477" w:lineRule="auto" w:before="45"/>
        <w:ind w:right="94"/>
        <w:jc w:val="left"/>
      </w:pPr>
      <w:r>
        <w:rPr>
          <w:spacing w:val="-2"/>
        </w:rPr>
        <w:t>目执行过程中的巡查、监督力度与过程管控，提升客户满意度与项目质量；在稳固发展已有产品线的基础上，积极推进国际</w:t>
      </w:r>
      <w:r>
        <w:rPr>
          <w:spacing w:val="-64"/>
        </w:rPr>
        <w:t> </w:t>
      </w:r>
      <w:r>
        <w:rPr>
          <w:spacing w:val="-64"/>
        </w:rPr>
      </w:r>
      <w:r>
        <w:rPr>
          <w:spacing w:val="-4"/>
        </w:rPr>
        <w:t>漫游质量监测系统、安全合规产品、综合监控和综合分析等产品的开发与测试；参与电信运营商有关技术与业务规范的制订，</w:t>
      </w:r>
      <w:r>
        <w:rPr>
          <w:spacing w:val="-44"/>
        </w:rPr>
        <w:t> </w:t>
      </w:r>
      <w:r>
        <w:rPr>
          <w:spacing w:val="-44"/>
        </w:rPr>
      </w:r>
      <w:r>
        <w:rPr>
          <w:spacing w:val="-2"/>
        </w:rPr>
        <w:t>积极探索云计算、云监控等方面的相关技术、产品研发；努力推动交易监控产品的完善，提升金融行业用户在实时交易方面</w:t>
      </w:r>
      <w:r>
        <w:rPr>
          <w:spacing w:val="-64"/>
        </w:rPr>
        <w:t> </w:t>
      </w:r>
      <w:r>
        <w:rPr>
          <w:spacing w:val="-64"/>
        </w:rPr>
      </w:r>
      <w:r>
        <w:rPr/>
        <w:t>的监控能力。</w:t>
      </w:r>
      <w:r>
        <w:rPr>
          <w:rFonts w:ascii="Times New Roman" w:hAnsi="Times New Roman" w:cs="Times New Roman" w:eastAsia="Times New Roman" w:hint="default"/>
        </w:rPr>
        <w:t>2012</w:t>
      </w:r>
      <w:r>
        <w:rPr/>
        <w:t>年度公司运维管理业务（含系统集成购销）实现营业收入为</w:t>
      </w:r>
      <w:r>
        <w:rPr>
          <w:rFonts w:ascii="Times New Roman" w:hAnsi="Times New Roman" w:cs="Times New Roman" w:eastAsia="Times New Roman" w:hint="default"/>
        </w:rPr>
        <w:t>59,830.11</w:t>
      </w:r>
      <w:r>
        <w:rPr/>
        <w:t>万元，较去年同期增长</w:t>
      </w:r>
      <w:r>
        <w:rPr>
          <w:rFonts w:ascii="Times New Roman" w:hAnsi="Times New Roman" w:cs="Times New Roman" w:eastAsia="Times New Roman" w:hint="default"/>
        </w:rPr>
        <w:t>26.28%</w:t>
      </w:r>
      <w:r>
        <w:rPr/>
        <w:t>。</w:t>
      </w:r>
    </w:p>
    <w:p>
      <w:pPr>
        <w:pStyle w:val="BodyText"/>
        <w:spacing w:line="451" w:lineRule="auto" w:before="62"/>
        <w:ind w:right="192" w:firstLine="420"/>
        <w:jc w:val="both"/>
      </w:pPr>
      <w:r>
        <w:rPr/>
        <w:t>报告期内，公司运维管理业务（不包括系统集成购销业务）取得了较快增长，年内签约金额为</w:t>
      </w:r>
      <w:r>
        <w:rPr>
          <w:rFonts w:ascii="Times New Roman" w:hAnsi="Times New Roman" w:cs="Times New Roman" w:eastAsia="Times New Roman" w:hint="default"/>
        </w:rPr>
        <w:t>6.67</w:t>
      </w:r>
      <w:r>
        <w:rPr/>
        <w:t>亿元，较去年同期 签约金额增长</w:t>
      </w:r>
      <w:r>
        <w:rPr>
          <w:rFonts w:ascii="Times New Roman" w:hAnsi="Times New Roman" w:cs="Times New Roman" w:eastAsia="Times New Roman" w:hint="default"/>
        </w:rPr>
        <w:t>44.35%</w:t>
      </w:r>
      <w:r>
        <w:rPr/>
        <w:t>，尤其是在电信行业、金融行业这两个运维管理业务主阵地上的增长更为突出，</w:t>
      </w:r>
      <w:r>
        <w:rPr>
          <w:rFonts w:ascii="Times New Roman" w:hAnsi="Times New Roman" w:cs="Times New Roman" w:eastAsia="Times New Roman" w:hint="default"/>
        </w:rPr>
        <w:t>2012</w:t>
      </w:r>
      <w:r>
        <w:rPr/>
        <w:t>年内签约金额较</w:t>
      </w:r>
      <w:r>
        <w:rPr>
          <w:spacing w:val="-19"/>
        </w:rPr>
        <w:t> </w:t>
      </w:r>
      <w:r>
        <w:rPr>
          <w:spacing w:val="-19"/>
        </w:rPr>
      </w:r>
      <w:r>
        <w:rPr/>
        <w:t>去年同期分别增长了</w:t>
      </w:r>
      <w:r>
        <w:rPr>
          <w:rFonts w:ascii="Times New Roman" w:hAnsi="Times New Roman" w:cs="Times New Roman" w:eastAsia="Times New Roman" w:hint="default"/>
        </w:rPr>
        <w:t>40.66%</w:t>
      </w:r>
      <w:r>
        <w:rPr/>
        <w:t>、</w:t>
      </w:r>
      <w:r>
        <w:rPr>
          <w:rFonts w:ascii="Times New Roman" w:hAnsi="Times New Roman" w:cs="Times New Roman" w:eastAsia="Times New Roman" w:hint="default"/>
        </w:rPr>
        <w:t>161.33%</w:t>
      </w:r>
      <w:r>
        <w:rPr/>
        <w:t>。</w:t>
      </w:r>
    </w:p>
    <w:tbl>
      <w:tblPr>
        <w:tblW w:w="0" w:type="auto"/>
        <w:jc w:val="left"/>
        <w:tblInd w:w="151" w:type="dxa"/>
        <w:tblLayout w:type="fixed"/>
        <w:tblCellMar>
          <w:top w:w="0" w:type="dxa"/>
          <w:left w:w="0" w:type="dxa"/>
          <w:bottom w:w="0" w:type="dxa"/>
          <w:right w:w="0" w:type="dxa"/>
        </w:tblCellMar>
        <w:tblLook w:val="01E0"/>
      </w:tblPr>
      <w:tblGrid>
        <w:gridCol w:w="2834"/>
        <w:gridCol w:w="2693"/>
        <w:gridCol w:w="2830"/>
        <w:gridCol w:w="1099"/>
      </w:tblGrid>
      <w:tr>
        <w:trPr>
          <w:trHeight w:val="574" w:hRule="exact"/>
        </w:trPr>
        <w:tc>
          <w:tcPr>
            <w:tcW w:w="2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4"/>
              <w:ind w:left="961" w:right="0"/>
              <w:jc w:val="left"/>
              <w:rPr>
                <w:rFonts w:ascii="宋体" w:hAnsi="宋体" w:cs="宋体" w:eastAsia="宋体" w:hint="default"/>
                <w:sz w:val="18"/>
                <w:szCs w:val="18"/>
              </w:rPr>
            </w:pPr>
            <w:r>
              <w:rPr>
                <w:rFonts w:ascii="宋体" w:hAnsi="宋体" w:cs="宋体" w:eastAsia="宋体" w:hint="default"/>
                <w:b/>
                <w:bCs/>
                <w:sz w:val="18"/>
                <w:szCs w:val="18"/>
              </w:rPr>
              <w:t>运维管理业务</w:t>
            </w:r>
            <w:r>
              <w:rPr>
                <w:rFonts w:ascii="宋体" w:hAnsi="宋体" w:cs="宋体" w:eastAsia="宋体" w:hint="default"/>
                <w:sz w:val="18"/>
                <w:szCs w:val="18"/>
              </w:rPr>
            </w:r>
          </w:p>
        </w:tc>
        <w:tc>
          <w:tcPr>
            <w:tcW w:w="26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4"/>
              <w:ind w:left="25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年内签约金额（万元）</w:t>
            </w:r>
            <w:r>
              <w:rPr>
                <w:rFonts w:ascii="宋体" w:hAnsi="宋体" w:cs="宋体" w:eastAsia="宋体" w:hint="default"/>
                <w:sz w:val="18"/>
                <w:szCs w:val="18"/>
              </w:rPr>
            </w:r>
          </w:p>
        </w:tc>
        <w:tc>
          <w:tcPr>
            <w:tcW w:w="28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4"/>
              <w:ind w:left="32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宋体" w:hAnsi="宋体" w:cs="宋体" w:eastAsia="宋体" w:hint="default"/>
                <w:b/>
                <w:bCs/>
                <w:sz w:val="18"/>
                <w:szCs w:val="18"/>
              </w:rPr>
              <w:t>年内签约金额（万元）</w:t>
            </w:r>
            <w:r>
              <w:rPr>
                <w:rFonts w:ascii="宋体" w:hAnsi="宋体" w:cs="宋体" w:eastAsia="宋体" w:hint="default"/>
                <w:sz w:val="18"/>
                <w:szCs w:val="18"/>
              </w:rPr>
            </w: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4"/>
              <w:ind w:left="362" w:right="0"/>
              <w:jc w:val="left"/>
              <w:rPr>
                <w:rFonts w:ascii="宋体" w:hAnsi="宋体" w:cs="宋体" w:eastAsia="宋体" w:hint="default"/>
                <w:sz w:val="18"/>
                <w:szCs w:val="18"/>
              </w:rPr>
            </w:pPr>
            <w:r>
              <w:rPr>
                <w:rFonts w:ascii="宋体" w:hAnsi="宋体" w:cs="宋体" w:eastAsia="宋体" w:hint="default"/>
                <w:b/>
                <w:bCs/>
                <w:sz w:val="18"/>
                <w:szCs w:val="18"/>
              </w:rPr>
              <w:t>增幅</w:t>
            </w:r>
            <w:r>
              <w:rPr>
                <w:rFonts w:ascii="宋体" w:hAnsi="宋体" w:cs="宋体" w:eastAsia="宋体" w:hint="default"/>
                <w:sz w:val="18"/>
                <w:szCs w:val="18"/>
              </w:rPr>
            </w:r>
          </w:p>
        </w:tc>
      </w:tr>
      <w:tr>
        <w:trPr>
          <w:trHeight w:val="577" w:hRule="exact"/>
        </w:trPr>
        <w:tc>
          <w:tcPr>
            <w:tcW w:w="2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9"/>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、电信领域</w:t>
            </w:r>
          </w:p>
        </w:tc>
        <w:tc>
          <w:tcPr>
            <w:tcW w:w="269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54,030.47</w:t>
            </w:r>
          </w:p>
        </w:tc>
        <w:tc>
          <w:tcPr>
            <w:tcW w:w="283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38,413.26</w:t>
            </w:r>
          </w:p>
        </w:tc>
        <w:tc>
          <w:tcPr>
            <w:tcW w:w="109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40.66%</w:t>
            </w:r>
          </w:p>
        </w:tc>
      </w:tr>
      <w:tr>
        <w:trPr>
          <w:trHeight w:val="578" w:hRule="exact"/>
        </w:trPr>
        <w:tc>
          <w:tcPr>
            <w:tcW w:w="2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7"/>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、非电信领域</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12,681.11</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w w:val="95"/>
                <w:sz w:val="18"/>
              </w:rPr>
              <w:t>7,800.75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62.56%</w:t>
            </w:r>
          </w:p>
        </w:tc>
      </w:tr>
      <w:tr>
        <w:trPr>
          <w:trHeight w:val="578" w:hRule="exact"/>
        </w:trPr>
        <w:tc>
          <w:tcPr>
            <w:tcW w:w="2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7"/>
              <w:ind w:left="220" w:right="0"/>
              <w:jc w:val="left"/>
              <w:rPr>
                <w:rFonts w:ascii="宋体" w:hAnsi="宋体" w:cs="宋体" w:eastAsia="宋体" w:hint="default"/>
                <w:sz w:val="18"/>
                <w:szCs w:val="18"/>
              </w:rPr>
            </w:pPr>
            <w:r>
              <w:rPr>
                <w:rFonts w:ascii="宋体" w:hAnsi="宋体" w:cs="宋体" w:eastAsia="宋体" w:hint="default"/>
                <w:sz w:val="18"/>
                <w:szCs w:val="18"/>
              </w:rPr>
              <w:t>其中：金融领域</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w w:val="95"/>
                <w:sz w:val="18"/>
              </w:rPr>
              <w:t>9,182.86</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w w:val="95"/>
                <w:sz w:val="18"/>
              </w:rPr>
              <w:t>3,513.90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161.33%</w:t>
            </w:r>
          </w:p>
        </w:tc>
      </w:tr>
      <w:tr>
        <w:trPr>
          <w:trHeight w:val="578" w:hRule="exact"/>
        </w:trPr>
        <w:tc>
          <w:tcPr>
            <w:tcW w:w="2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7"/>
              <w:ind w:left="743" w:right="0"/>
              <w:jc w:val="left"/>
              <w:rPr>
                <w:rFonts w:ascii="宋体" w:hAnsi="宋体" w:cs="宋体" w:eastAsia="宋体" w:hint="default"/>
                <w:sz w:val="18"/>
                <w:szCs w:val="18"/>
              </w:rPr>
            </w:pPr>
            <w:r>
              <w:rPr>
                <w:rFonts w:ascii="宋体" w:hAnsi="宋体" w:cs="宋体" w:eastAsia="宋体" w:hint="default"/>
                <w:sz w:val="18"/>
                <w:szCs w:val="18"/>
              </w:rPr>
              <w:t>政府领域</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5"/>
                <w:sz w:val="18"/>
              </w:rPr>
              <w:t>1,967.77</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w w:val="95"/>
                <w:sz w:val="18"/>
              </w:rPr>
              <w:t>1,809.79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8.73%</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40" w:bottom="1160" w:left="980" w:right="940"/>
        </w:sectPr>
      </w:pPr>
    </w:p>
    <w:p>
      <w:pPr>
        <w:spacing w:line="240" w:lineRule="auto" w:before="2"/>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2831"/>
        <w:gridCol w:w="2697"/>
        <w:gridCol w:w="2830"/>
        <w:gridCol w:w="1099"/>
      </w:tblGrid>
      <w:tr>
        <w:trPr>
          <w:trHeight w:val="579" w:hRule="exact"/>
        </w:trPr>
        <w:tc>
          <w:tcPr>
            <w:tcW w:w="28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8"/>
              <w:ind w:left="652" w:right="0"/>
              <w:jc w:val="left"/>
              <w:rPr>
                <w:rFonts w:ascii="宋体" w:hAnsi="宋体" w:cs="宋体" w:eastAsia="宋体" w:hint="default"/>
                <w:sz w:val="18"/>
                <w:szCs w:val="18"/>
              </w:rPr>
            </w:pPr>
            <w:r>
              <w:rPr>
                <w:rFonts w:ascii="宋体" w:hAnsi="宋体" w:cs="宋体" w:eastAsia="宋体" w:hint="default"/>
                <w:sz w:val="18"/>
                <w:szCs w:val="18"/>
              </w:rPr>
              <w:t>能源领域</w:t>
            </w:r>
          </w:p>
        </w:tc>
        <w:tc>
          <w:tcPr>
            <w:tcW w:w="2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882.96</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w w:val="95"/>
                <w:sz w:val="18"/>
              </w:rPr>
              <w:t>1,730.95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-48.99%</w:t>
            </w:r>
          </w:p>
        </w:tc>
      </w:tr>
      <w:tr>
        <w:trPr>
          <w:trHeight w:val="577" w:hRule="exact"/>
        </w:trPr>
        <w:tc>
          <w:tcPr>
            <w:tcW w:w="28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7"/>
              <w:ind w:left="652" w:right="0"/>
              <w:jc w:val="left"/>
              <w:rPr>
                <w:rFonts w:ascii="宋体" w:hAnsi="宋体" w:cs="宋体" w:eastAsia="宋体" w:hint="default"/>
                <w:sz w:val="18"/>
                <w:szCs w:val="18"/>
              </w:rPr>
            </w:pPr>
            <w:r>
              <w:rPr>
                <w:rFonts w:ascii="宋体" w:hAnsi="宋体" w:cs="宋体" w:eastAsia="宋体" w:hint="default"/>
                <w:sz w:val="18"/>
                <w:szCs w:val="18"/>
              </w:rPr>
              <w:t>其他（制造业、电力等）</w:t>
            </w:r>
          </w:p>
        </w:tc>
        <w:tc>
          <w:tcPr>
            <w:tcW w:w="2697" w:type="dxa"/>
            <w:tcBorders>
              <w:top w:val="single" w:sz="4" w:space="0" w:color="000000"/>
              <w:left w:val="single" w:sz="4" w:space="0" w:color="000000"/>
              <w:bottom w:val="single" w:sz="8" w:space="0" w:color="D9D9D9"/>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647.53</w:t>
            </w:r>
          </w:p>
        </w:tc>
        <w:tc>
          <w:tcPr>
            <w:tcW w:w="2830" w:type="dxa"/>
            <w:tcBorders>
              <w:top w:val="single" w:sz="4" w:space="0" w:color="000000"/>
              <w:left w:val="single" w:sz="4" w:space="0" w:color="000000"/>
              <w:bottom w:val="single" w:sz="8" w:space="0" w:color="D9D9D9"/>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746.10</w:t>
            </w:r>
          </w:p>
        </w:tc>
        <w:tc>
          <w:tcPr>
            <w:tcW w:w="1099" w:type="dxa"/>
            <w:tcBorders>
              <w:top w:val="single" w:sz="4" w:space="0" w:color="000000"/>
              <w:left w:val="single" w:sz="4" w:space="0" w:color="000000"/>
              <w:bottom w:val="single" w:sz="8" w:space="0" w:color="D9D9D9"/>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-13.21%</w:t>
            </w:r>
          </w:p>
        </w:tc>
      </w:tr>
      <w:tr>
        <w:trPr>
          <w:trHeight w:val="569" w:hRule="exact"/>
        </w:trPr>
        <w:tc>
          <w:tcPr>
            <w:tcW w:w="28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9"/>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66,711.59</w:t>
            </w:r>
          </w:p>
        </w:tc>
        <w:tc>
          <w:tcPr>
            <w:tcW w:w="28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46,214.01</w:t>
            </w: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44.35%</w:t>
            </w:r>
          </w:p>
        </w:tc>
      </w:tr>
    </w:tbl>
    <w:p>
      <w:pPr>
        <w:spacing w:line="240" w:lineRule="auto" w:before="3"/>
        <w:rPr>
          <w:rFonts w:ascii="宋体" w:hAnsi="宋体" w:cs="宋体" w:eastAsia="宋体" w:hint="default"/>
          <w:sz w:val="7"/>
          <w:szCs w:val="7"/>
        </w:rPr>
      </w:pPr>
    </w:p>
    <w:p>
      <w:pPr>
        <w:pStyle w:val="BodyText"/>
        <w:spacing w:line="475" w:lineRule="auto" w:before="44"/>
        <w:ind w:right="158" w:firstLine="420"/>
        <w:jc w:val="both"/>
      </w:pPr>
      <w:r>
        <w:rPr/>
        <w:t>截止目前，公司运维管理业务已经涵盖了网络管理、服务流程管理、信息安全管理、面向电信网络的综合网络管理、 网络优化管理等子领域，在技术、性能等诸多方面具有领先的竞争优势。公司主要的运维管理解决方案和产品线如下：</w:t>
      </w:r>
    </w:p>
    <w:p>
      <w:pPr>
        <w:pStyle w:val="BodyText"/>
        <w:spacing w:line="451" w:lineRule="auto" w:before="97"/>
        <w:ind w:right="152" w:firstLine="420"/>
        <w:jc w:val="both"/>
      </w:pPr>
      <w:r>
        <w:rPr/>
        <w:t>（</w:t>
      </w:r>
      <w:r>
        <w:rPr>
          <w:rFonts w:ascii="Times New Roman" w:hAnsi="Times New Roman" w:cs="Times New Roman" w:eastAsia="Times New Roman" w:hint="default"/>
        </w:rPr>
        <w:t>1</w:t>
      </w:r>
      <w:r>
        <w:rPr/>
        <w:t>）业务服务管理，包括中国移动</w:t>
      </w:r>
      <w:r>
        <w:rPr>
          <w:rFonts w:ascii="Times New Roman" w:hAnsi="Times New Roman" w:cs="Times New Roman" w:eastAsia="Times New Roman" w:hint="default"/>
        </w:rPr>
        <w:t>BOMC</w:t>
      </w:r>
      <w:r>
        <w:rPr/>
        <w:t>、中国联通业务支撑网管、数据中心</w:t>
      </w:r>
      <w:r>
        <w:rPr>
          <w:rFonts w:ascii="Times New Roman" w:hAnsi="Times New Roman" w:cs="Times New Roman" w:eastAsia="Times New Roman" w:hint="default"/>
        </w:rPr>
        <w:t>IDC</w:t>
      </w:r>
      <w:r>
        <w:rPr/>
        <w:t>运营管理、金融行业运维管理、政 府及企业</w:t>
      </w:r>
      <w:r>
        <w:rPr>
          <w:rFonts w:ascii="Times New Roman" w:hAnsi="Times New Roman" w:cs="Times New Roman" w:eastAsia="Times New Roman" w:hint="default"/>
        </w:rPr>
        <w:t>IT</w:t>
      </w:r>
      <w:r>
        <w:rPr/>
        <w:t>运维管理等；</w:t>
      </w:r>
    </w:p>
    <w:p>
      <w:pPr>
        <w:pStyle w:val="BodyText"/>
        <w:spacing w:line="451" w:lineRule="auto" w:before="85"/>
        <w:ind w:right="150" w:firstLine="420"/>
        <w:jc w:val="both"/>
      </w:pPr>
      <w:r>
        <w:rPr>
          <w:spacing w:val="-1"/>
        </w:rPr>
        <w:t>（</w:t>
      </w:r>
      <w:r>
        <w:rPr>
          <w:rFonts w:ascii="Times New Roman" w:hAnsi="Times New Roman" w:cs="Times New Roman" w:eastAsia="Times New Roman" w:hint="default"/>
          <w:spacing w:val="-1"/>
        </w:rPr>
        <w:t>2</w:t>
      </w:r>
      <w:r>
        <w:rPr>
          <w:spacing w:val="-1"/>
        </w:rPr>
        <w:t>）服务保障管理，包括电子运维、数据网管、话务网管、综合维护、综合监控、综合分析、集客支撑、服务质量管</w:t>
      </w:r>
      <w:r>
        <w:rPr/>
        <w:t> 理、网络支撑客服、统一投诉处理等；</w:t>
      </w:r>
    </w:p>
    <w:p>
      <w:pPr>
        <w:pStyle w:val="BodyText"/>
        <w:spacing w:line="240" w:lineRule="auto" w:before="112"/>
        <w:ind w:left="573" w:right="0"/>
        <w:jc w:val="left"/>
      </w:pPr>
      <w:r>
        <w:rPr/>
        <w:t>（</w:t>
      </w:r>
      <w:r>
        <w:rPr>
          <w:rFonts w:ascii="Times New Roman" w:hAnsi="Times New Roman" w:cs="Times New Roman" w:eastAsia="Times New Roman" w:hint="default"/>
        </w:rPr>
        <w:t>3</w:t>
      </w:r>
      <w:r>
        <w:rPr/>
        <w:t>）服务交付管理，包括业务开通、服务激活、现场服务、资源管理等</w:t>
      </w:r>
    </w:p>
    <w:p>
      <w:pPr>
        <w:spacing w:line="240" w:lineRule="auto" w:before="11"/>
        <w:rPr>
          <w:rFonts w:ascii="宋体" w:hAnsi="宋体" w:cs="宋体" w:eastAsia="宋体" w:hint="default"/>
          <w:sz w:val="19"/>
          <w:szCs w:val="19"/>
        </w:rPr>
      </w:pPr>
    </w:p>
    <w:p>
      <w:pPr>
        <w:pStyle w:val="BodyText"/>
        <w:spacing w:line="451" w:lineRule="auto"/>
        <w:ind w:right="99" w:firstLine="420"/>
        <w:jc w:val="both"/>
      </w:pPr>
      <w:r>
        <w:rPr/>
        <w:t>（</w:t>
      </w:r>
      <w:r>
        <w:rPr>
          <w:rFonts w:ascii="Times New Roman" w:hAnsi="Times New Roman" w:cs="Times New Roman" w:eastAsia="Times New Roman" w:hint="default"/>
        </w:rPr>
        <w:t>4</w:t>
      </w:r>
      <w:r>
        <w:rPr/>
        <w:t>）安全运行管理，包括统一身份及访问安全管理、操作安全管理、系统安全管理、安全合规管理、数据安全管控、 安全运行管理等；</w:t>
      </w:r>
    </w:p>
    <w:p>
      <w:pPr>
        <w:pStyle w:val="BodyText"/>
        <w:spacing w:line="451" w:lineRule="auto" w:before="115"/>
        <w:ind w:right="149" w:firstLine="420"/>
        <w:jc w:val="both"/>
      </w:pPr>
      <w:r>
        <w:rPr>
          <w:spacing w:val="-1"/>
        </w:rPr>
        <w:t>（</w:t>
      </w:r>
      <w:r>
        <w:rPr>
          <w:rFonts w:ascii="Times New Roman" w:hAnsi="Times New Roman" w:cs="Times New Roman" w:eastAsia="Times New Roman" w:hint="default"/>
          <w:spacing w:val="-1"/>
        </w:rPr>
        <w:t>5</w:t>
      </w:r>
      <w:r>
        <w:rPr>
          <w:spacing w:val="-1"/>
        </w:rPr>
        <w:t>）网络测试与优化领域产品线包括：宁波普天的自动拨测产品、路测数据管理分析系统、自动频率规划系统、扫频</w:t>
      </w:r>
      <w:r>
        <w:rPr/>
        <w:t> 数据分析系统、无线网络优化平台、</w:t>
      </w:r>
      <w:r>
        <w:rPr>
          <w:rFonts w:ascii="Times New Roman" w:hAnsi="Times New Roman" w:cs="Times New Roman" w:eastAsia="Times New Roman" w:hint="default"/>
        </w:rPr>
        <w:t>CDMA PN</w:t>
      </w:r>
      <w:r>
        <w:rPr/>
        <w:t>码优化系统、综合信令采集平台、</w:t>
      </w:r>
      <w:r>
        <w:rPr>
          <w:rFonts w:ascii="Times New Roman" w:hAnsi="Times New Roman" w:cs="Times New Roman" w:eastAsia="Times New Roman" w:hint="default"/>
        </w:rPr>
        <w:t>3G</w:t>
      </w:r>
      <w:r>
        <w:rPr/>
        <w:t>室内测试前端设备等。</w:t>
      </w:r>
    </w:p>
    <w:p>
      <w:pPr>
        <w:spacing w:line="489" w:lineRule="auto" w:before="82"/>
        <w:ind w:left="573" w:right="0"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、互联网运营服务业务发展情况</w:t>
      </w:r>
      <w:r>
        <w:rPr>
          <w:rFonts w:ascii="宋体" w:hAnsi="宋体" w:cs="宋体" w:eastAsia="宋体" w:hint="default"/>
          <w:b/>
          <w:bCs/>
          <w:w w:val="99"/>
          <w:sz w:val="18"/>
          <w:szCs w:val="18"/>
        </w:rPr>
        <w:t> </w:t>
      </w:r>
      <w:r>
        <w:rPr>
          <w:rFonts w:ascii="宋体" w:hAnsi="宋体" w:cs="宋体" w:eastAsia="宋体" w:hint="default"/>
          <w:sz w:val="18"/>
          <w:szCs w:val="18"/>
        </w:rPr>
        <w:t>通过多年的飞信、农信通业务的开发与运营实践，公司已形成了强大的互联网产品开发能力和运营能力，在技术、产</w:t>
      </w:r>
    </w:p>
    <w:p>
      <w:pPr>
        <w:pStyle w:val="BodyText"/>
        <w:spacing w:line="240" w:lineRule="auto" w:before="45"/>
        <w:ind w:right="0"/>
        <w:jc w:val="left"/>
      </w:pPr>
      <w:r>
        <w:rPr/>
        <w:t>品、团队、运营经验、对互联网市场的理解等诸多方面均有着深厚的积累。</w:t>
      </w:r>
    </w:p>
    <w:p>
      <w:pPr>
        <w:spacing w:line="240" w:lineRule="auto" w:before="12"/>
        <w:rPr>
          <w:rFonts w:ascii="宋体" w:hAnsi="宋体" w:cs="宋体" w:eastAsia="宋体" w:hint="default"/>
          <w:sz w:val="20"/>
          <w:szCs w:val="20"/>
        </w:rPr>
      </w:pPr>
    </w:p>
    <w:p>
      <w:pPr>
        <w:pStyle w:val="BodyText"/>
        <w:spacing w:line="468" w:lineRule="auto"/>
        <w:ind w:right="150" w:firstLine="420"/>
        <w:jc w:val="both"/>
      </w:pPr>
      <w:r>
        <w:rPr>
          <w:rFonts w:ascii="Times New Roman" w:hAnsi="Times New Roman" w:cs="Times New Roman" w:eastAsia="Times New Roman" w:hint="default"/>
        </w:rPr>
        <w:t>2012</w:t>
      </w:r>
      <w:r>
        <w:rPr/>
        <w:t>年，公司经过认真研究与市场调研，将互联网业务领域进一步定义与划分，整体上分为互联网运营服务业务和互 </w:t>
      </w:r>
      <w:r>
        <w:rPr>
          <w:spacing w:val="-2"/>
        </w:rPr>
        <w:t>联网自主业务。其中，目前公司飞信业务、农信通业务为互联网运营服务业务，其主要特征是面向有互联网需求的大型组织</w:t>
      </w:r>
      <w:r>
        <w:rPr>
          <w:spacing w:val="-63"/>
        </w:rPr>
        <w:t> </w:t>
      </w:r>
      <w:r>
        <w:rPr>
          <w:spacing w:val="-63"/>
        </w:rPr>
      </w:r>
      <w:r>
        <w:rPr>
          <w:spacing w:val="-2"/>
        </w:rPr>
        <w:t>机构提供相应的包括咨询设计、平台与内容开发、系统实施、日常运营等在内的全面服务。报告期内，公司在做好飞信运营</w:t>
      </w:r>
      <w:r>
        <w:rPr>
          <w:spacing w:val="-67"/>
        </w:rPr>
        <w:t> </w:t>
      </w:r>
      <w:r>
        <w:rPr>
          <w:spacing w:val="-67"/>
        </w:rPr>
      </w:r>
      <w:r>
        <w:rPr/>
        <w:t>服务业务的同时，大力促进农信通业务、积极拓展面向国内外大型组织机构的互联网运营业务。</w:t>
      </w:r>
    </w:p>
    <w:p>
      <w:pPr>
        <w:pStyle w:val="Heading5"/>
        <w:spacing w:line="240" w:lineRule="auto" w:before="100"/>
        <w:ind w:left="575" w:right="0"/>
        <w:jc w:val="left"/>
        <w:rPr>
          <w:b w:val="0"/>
          <w:bCs w:val="0"/>
        </w:rPr>
      </w:pPr>
      <w:r>
        <w:rPr/>
        <w:t>（</w:t>
      </w:r>
      <w:r>
        <w:rPr>
          <w:rFonts w:ascii="Times New Roman" w:hAnsi="Times New Roman" w:cs="Times New Roman" w:eastAsia="Times New Roman" w:hint="default"/>
        </w:rPr>
        <w:t>1</w:t>
      </w:r>
      <w:r>
        <w:rPr/>
        <w:t>）飞信业务</w:t>
      </w:r>
      <w:r>
        <w:rPr>
          <w:b w:val="0"/>
          <w:bCs w:val="0"/>
        </w:rPr>
      </w:r>
    </w:p>
    <w:p>
      <w:pPr>
        <w:spacing w:line="240" w:lineRule="auto" w:before="12"/>
        <w:rPr>
          <w:rFonts w:ascii="宋体" w:hAnsi="宋体" w:cs="宋体" w:eastAsia="宋体" w:hint="default"/>
          <w:b/>
          <w:bCs/>
          <w:sz w:val="19"/>
          <w:szCs w:val="19"/>
        </w:rPr>
      </w:pPr>
    </w:p>
    <w:p>
      <w:pPr>
        <w:pStyle w:val="BodyText"/>
        <w:spacing w:line="458" w:lineRule="auto"/>
        <w:ind w:right="151" w:firstLine="420"/>
        <w:jc w:val="both"/>
      </w:pPr>
      <w:r>
        <w:rPr>
          <w:rFonts w:ascii="Times New Roman" w:hAnsi="Times New Roman" w:cs="Times New Roman" w:eastAsia="Times New Roman" w:hint="default"/>
        </w:rPr>
        <w:t>2012</w:t>
      </w:r>
      <w:r>
        <w:rPr/>
        <w:t>年，公司继续巩固与中国移动在飞信业务上的战略合作关系，持续推进飞信平台及产品的开发建设，进一步推广 </w:t>
      </w:r>
      <w:r>
        <w:rPr>
          <w:spacing w:val="-2"/>
        </w:rPr>
        <w:t>快速迭代的敏捷开发模式，以用户需求、用户价值驱动产品设计与改进，加强飞信平台功能、业务处理能力，增强平台质量</w:t>
      </w:r>
      <w:r>
        <w:rPr>
          <w:spacing w:val="-67"/>
        </w:rPr>
        <w:t> </w:t>
      </w:r>
      <w:r>
        <w:rPr>
          <w:spacing w:val="-67"/>
        </w:rPr>
      </w:r>
      <w:r>
        <w:rPr>
          <w:spacing w:val="-2"/>
        </w:rPr>
        <w:t>支撑全网的能力，提高丰富性、实用性、易用性，进一步提升飞信整体产品质量与运营质量。</w:t>
      </w:r>
      <w:r>
        <w:rPr>
          <w:rFonts w:ascii="Times New Roman" w:hAnsi="Times New Roman" w:cs="Times New Roman" w:eastAsia="Times New Roman" w:hint="default"/>
          <w:spacing w:val="-2"/>
        </w:rPr>
        <w:t>2012</w:t>
      </w:r>
      <w:r>
        <w:rPr>
          <w:spacing w:val="-2"/>
        </w:rPr>
        <w:t>年度，公司飞信业务发展</w:t>
      </w:r>
      <w:r>
        <w:rPr>
          <w:spacing w:val="-64"/>
        </w:rPr>
        <w:t> </w:t>
      </w:r>
      <w:r>
        <w:rPr>
          <w:spacing w:val="-64"/>
        </w:rPr>
      </w:r>
      <w:r>
        <w:rPr/>
        <w:t>平稳，实现营业收入</w:t>
      </w:r>
      <w:r>
        <w:rPr>
          <w:rFonts w:ascii="Times New Roman" w:hAnsi="Times New Roman" w:cs="Times New Roman" w:eastAsia="Times New Roman" w:hint="default"/>
        </w:rPr>
        <w:t>58,597.33</w:t>
      </w:r>
      <w:r>
        <w:rPr/>
        <w:t>万元。</w:t>
      </w:r>
    </w:p>
    <w:p>
      <w:pPr>
        <w:pStyle w:val="BodyText"/>
        <w:spacing w:line="477" w:lineRule="auto" w:before="78"/>
        <w:ind w:right="157" w:firstLine="420"/>
        <w:jc w:val="both"/>
      </w:pPr>
      <w:r>
        <w:rPr/>
        <w:t>总体而言，飞信业务运营良好并取得较好发展，活跃用户数较去年进一步增长，已经成为一个具有广大用户群体、连 接手机客户端和</w:t>
      </w:r>
      <w:r>
        <w:rPr>
          <w:rFonts w:ascii="Times New Roman" w:hAnsi="Times New Roman" w:cs="Times New Roman" w:eastAsia="Times New Roman" w:hint="default"/>
        </w:rPr>
        <w:t>PC</w:t>
      </w:r>
      <w:r>
        <w:rPr/>
        <w:t>客户端的国内重要的即时通讯平台，是中国移动在移动互联网战略中的重要业务，结合中国移动提出的</w:t>
      </w:r>
    </w:p>
    <w:p>
      <w:pPr>
        <w:spacing w:after="0" w:line="477" w:lineRule="auto"/>
        <w:jc w:val="both"/>
        <w:sectPr>
          <w:pgSz w:w="11910" w:h="16840"/>
          <w:pgMar w:header="852" w:footer="980" w:top="1340" w:bottom="1160" w:left="980" w:right="980"/>
        </w:sectPr>
      </w:pPr>
    </w:p>
    <w:p>
      <w:pPr>
        <w:spacing w:line="240" w:lineRule="auto" w:before="6"/>
        <w:rPr>
          <w:rFonts w:ascii="宋体" w:hAnsi="宋体" w:cs="宋体" w:eastAsia="宋体" w:hint="default"/>
          <w:sz w:val="10"/>
          <w:szCs w:val="10"/>
        </w:rPr>
      </w:pPr>
    </w:p>
    <w:p>
      <w:pPr>
        <w:pStyle w:val="BodyText"/>
        <w:spacing w:line="489" w:lineRule="auto" w:before="44"/>
        <w:ind w:left="573" w:right="180" w:hanging="421"/>
        <w:jc w:val="left"/>
      </w:pPr>
      <w:r>
        <w:rPr>
          <w:rFonts w:ascii="Times New Roman" w:hAnsi="Times New Roman" w:cs="Times New Roman" w:eastAsia="Times New Roman" w:hint="default"/>
          <w:spacing w:val="-1"/>
          <w:w w:val="100"/>
        </w:rPr>
        <w:t>―</w:t>
      </w:r>
      <w:r>
        <w:rPr>
          <w:spacing w:val="-1"/>
          <w:w w:val="100"/>
        </w:rPr>
        <w:t>智能管道、开放平台、特色服务、友好界面</w:t>
      </w:r>
      <w:r>
        <w:rPr>
          <w:rFonts w:ascii="Times New Roman" w:hAnsi="Times New Roman" w:cs="Times New Roman" w:eastAsia="Times New Roman" w:hint="default"/>
          <w:spacing w:val="-1"/>
          <w:w w:val="100"/>
        </w:rPr>
        <w:t>‖</w:t>
      </w:r>
      <w:r>
        <w:rPr>
          <w:spacing w:val="-1"/>
          <w:w w:val="100"/>
        </w:rPr>
        <w:t>的移动互联网发展战略，飞信将在其中扮演着非常重要的作用和地位。</w:t>
      </w:r>
      <w:r>
        <w:rPr/>
        <w:t> </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12</w:t>
      </w:r>
      <w:r>
        <w:rPr>
          <w:spacing w:val="-1"/>
        </w:rPr>
        <w:t>日，中国移动广东公司就</w:t>
      </w:r>
      <w:r>
        <w:rPr>
          <w:rFonts w:ascii="Times New Roman" w:hAnsi="Times New Roman" w:cs="Times New Roman" w:eastAsia="Times New Roman" w:hint="default"/>
          <w:spacing w:val="-1"/>
        </w:rPr>
        <w:t>2013</w:t>
      </w:r>
      <w:r>
        <w:rPr>
          <w:spacing w:val="-1"/>
        </w:rPr>
        <w:t>年飞信技术实施支撑及软件开发服务发布招标公告。对于飞信招标，公司及</w:t>
      </w:r>
    </w:p>
    <w:p>
      <w:pPr>
        <w:pStyle w:val="BodyText"/>
        <w:spacing w:line="477" w:lineRule="auto" w:before="11"/>
        <w:ind w:right="94"/>
        <w:jc w:val="left"/>
      </w:pPr>
      <w:r>
        <w:rPr>
          <w:spacing w:val="-2"/>
        </w:rPr>
        <w:t>新媒传信将积极准备、全力投入到相关工作中，充分发挥公司的强大的产品开发能力、运营能力、丰富的互联网运营实践等</w:t>
      </w:r>
      <w:r>
        <w:rPr>
          <w:spacing w:val="-65"/>
        </w:rPr>
        <w:t> </w:t>
      </w:r>
      <w:r>
        <w:rPr>
          <w:spacing w:val="-65"/>
        </w:rPr>
      </w:r>
      <w:r>
        <w:rPr>
          <w:spacing w:val="-4"/>
        </w:rPr>
        <w:t>竞争优势，进一步加大研发与支撑投入的力度，强化飞信平台的性能、功能，丰富应用内容，提升用户体验，保持飞信持续、</w:t>
      </w:r>
      <w:r>
        <w:rPr>
          <w:spacing w:val="-44"/>
        </w:rPr>
        <w:t> </w:t>
      </w:r>
      <w:r>
        <w:rPr>
          <w:spacing w:val="-44"/>
        </w:rPr>
      </w:r>
      <w:r>
        <w:rPr/>
        <w:t>健康、稳定的发展（详见</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日巨潮资讯网（</w:t>
      </w:r>
      <w:hyperlink r:id="rId13">
        <w:r>
          <w:rPr>
            <w:rFonts w:ascii="Times New Roman" w:hAnsi="Times New Roman" w:cs="Times New Roman" w:eastAsia="Times New Roman" w:hint="default"/>
          </w:rPr>
          <w:t>http://www.cninfo.com.cn/</w:t>
        </w:r>
        <w:r>
          <w:rPr/>
          <w:t>中的相关公告）。</w:t>
        </w:r>
      </w:hyperlink>
    </w:p>
    <w:p>
      <w:pPr>
        <w:pStyle w:val="BodyText"/>
        <w:spacing w:line="489" w:lineRule="auto" w:before="60"/>
        <w:ind w:left="573" w:right="177"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）农信通业务</w:t>
      </w:r>
      <w:r>
        <w:rPr>
          <w:rFonts w:ascii="宋体" w:hAnsi="宋体" w:cs="宋体" w:eastAsia="宋体" w:hint="default"/>
          <w:b/>
          <w:bCs/>
          <w:w w:val="99"/>
        </w:rPr>
        <w:t> </w:t>
      </w:r>
      <w:r>
        <w:rPr/>
        <w:t>农信通是中国移动推出的面向全国</w:t>
      </w:r>
      <w:r>
        <w:rPr>
          <w:spacing w:val="-5"/>
        </w:rPr>
        <w:t>、</w:t>
      </w:r>
      <w:r>
        <w:rPr/>
        <w:t>服务</w:t>
      </w:r>
      <w:r>
        <w:rPr>
          <w:rFonts w:ascii="Times New Roman" w:hAnsi="Times New Roman" w:cs="Times New Roman" w:eastAsia="Times New Roman" w:hint="default"/>
          <w:spacing w:val="-1"/>
          <w:w w:val="44"/>
        </w:rPr>
        <w:t>―</w:t>
      </w:r>
      <w:r>
        <w:rPr/>
        <w:t>三农</w:t>
      </w:r>
      <w:r>
        <w:rPr>
          <w:rFonts w:ascii="Times New Roman" w:hAnsi="Times New Roman" w:cs="Times New Roman" w:eastAsia="Times New Roman" w:hint="default"/>
          <w:spacing w:val="-1"/>
          <w:w w:val="158"/>
        </w:rPr>
        <w:t>‖</w:t>
      </w:r>
      <w:r>
        <w:rPr/>
        <w:t>的综合性</w:t>
      </w:r>
      <w:r>
        <w:rPr>
          <w:spacing w:val="2"/>
        </w:rPr>
        <w:t>互</w:t>
      </w:r>
      <w:r>
        <w:rPr/>
        <w:t>联网平台</w:t>
      </w:r>
      <w:r>
        <w:rPr>
          <w:spacing w:val="-5"/>
        </w:rPr>
        <w:t>，</w:t>
      </w:r>
      <w:r>
        <w:rPr/>
        <w:t>以农村信息</w:t>
      </w:r>
      <w:r>
        <w:rPr>
          <w:spacing w:val="-5"/>
        </w:rPr>
        <w:t>网</w:t>
      </w:r>
      <w:r>
        <w:rPr/>
        <w:t>（</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82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rFonts w:ascii="Times New Roman" w:hAnsi="Times New Roman" w:cs="Times New Roman" w:eastAsia="Times New Roman" w:hint="default"/>
          <w:spacing w:val="-1"/>
        </w:rPr>
        <w:t>c</w:t>
      </w:r>
      <w:r>
        <w:rPr>
          <w:rFonts w:ascii="Times New Roman" w:hAnsi="Times New Roman" w:cs="Times New Roman" w:eastAsia="Times New Roman" w:hint="default"/>
          <w:spacing w:val="3"/>
        </w:rPr>
        <w:t>n</w:t>
      </w:r>
      <w:r>
        <w:rPr>
          <w:spacing w:val="-5"/>
        </w:rPr>
        <w:t>）</w:t>
      </w:r>
      <w:r>
        <w:rPr/>
        <w:t>为载体</w:t>
      </w:r>
      <w:r>
        <w:rPr>
          <w:spacing w:val="-5"/>
        </w:rPr>
        <w:t>，</w:t>
      </w:r>
      <w:r>
        <w:rPr/>
        <w:t>基于</w:t>
      </w:r>
    </w:p>
    <w:p>
      <w:pPr>
        <w:pStyle w:val="BodyText"/>
        <w:spacing w:line="451" w:lineRule="auto" w:before="11"/>
        <w:ind w:right="191"/>
        <w:jc w:val="both"/>
      </w:pPr>
      <w:r>
        <w:rPr/>
        <w:t>手机、农村信息机等移动终端和个人计算机，通过短信、彩信、语音、</w:t>
      </w:r>
      <w:r>
        <w:rPr>
          <w:rFonts w:ascii="Times New Roman" w:hAnsi="Times New Roman" w:cs="Times New Roman" w:eastAsia="Times New Roman" w:hint="default"/>
        </w:rPr>
        <w:t>WAP</w:t>
      </w:r>
      <w:r>
        <w:rPr/>
        <w:t>、互联网等方式提供涉农业务服务，核心应用</w:t>
      </w:r>
      <w:r>
        <w:rPr>
          <w:spacing w:val="-41"/>
        </w:rPr>
        <w:t> </w:t>
      </w:r>
      <w:r>
        <w:rPr>
          <w:spacing w:val="-41"/>
        </w:rPr>
      </w:r>
      <w:r>
        <w:rPr/>
        <w:t>包括</w:t>
      </w:r>
      <w:r>
        <w:rPr>
          <w:rFonts w:ascii="Times New Roman" w:hAnsi="Times New Roman" w:cs="Times New Roman" w:eastAsia="Times New Roman" w:hint="default"/>
          <w:spacing w:val="-1"/>
          <w:w w:val="44"/>
        </w:rPr>
        <w:t>―</w:t>
      </w:r>
      <w:r>
        <w:rPr/>
        <w:t>务工易</w:t>
      </w:r>
      <w:r>
        <w:rPr>
          <w:rFonts w:ascii="Times New Roman" w:hAnsi="Times New Roman" w:cs="Times New Roman" w:eastAsia="Times New Roman" w:hint="default"/>
          <w:spacing w:val="-1"/>
          <w:w w:val="158"/>
        </w:rPr>
        <w:t>‖</w:t>
      </w:r>
      <w:r>
        <w:rPr>
          <w:spacing w:val="-53"/>
        </w:rPr>
        <w:t>、</w:t>
      </w:r>
      <w:r>
        <w:rPr>
          <w:rFonts w:ascii="Times New Roman" w:hAnsi="Times New Roman" w:cs="Times New Roman" w:eastAsia="Times New Roman" w:hint="default"/>
          <w:spacing w:val="-1"/>
          <w:w w:val="44"/>
        </w:rPr>
        <w:t>―</w:t>
      </w:r>
      <w:r>
        <w:rPr/>
        <w:t>百事易</w:t>
      </w:r>
      <w:r>
        <w:rPr>
          <w:rFonts w:ascii="Times New Roman" w:hAnsi="Times New Roman" w:cs="Times New Roman" w:eastAsia="Times New Roman" w:hint="default"/>
          <w:spacing w:val="-1"/>
          <w:w w:val="158"/>
        </w:rPr>
        <w:t>‖</w:t>
      </w:r>
      <w:r>
        <w:rPr>
          <w:spacing w:val="-53"/>
        </w:rPr>
        <w:t>、</w:t>
      </w:r>
      <w:r>
        <w:rPr>
          <w:rFonts w:ascii="Times New Roman" w:hAnsi="Times New Roman" w:cs="Times New Roman" w:eastAsia="Times New Roman" w:hint="default"/>
          <w:spacing w:val="1"/>
        </w:rPr>
        <w:t>125</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2</w:t>
      </w:r>
      <w:r>
        <w:rPr/>
        <w:t>热线等</w:t>
      </w:r>
      <w:r>
        <w:rPr>
          <w:spacing w:val="-53"/>
        </w:rPr>
        <w:t>。</w:t>
      </w:r>
      <w:r>
        <w:rPr/>
        <w:t>由公司全资子公司</w:t>
      </w:r>
      <w:r>
        <w:rPr>
          <w:rFonts w:ascii="Times New Roman" w:hAnsi="Times New Roman" w:cs="Times New Roman" w:eastAsia="Times New Roman" w:hint="default"/>
        </w:rPr>
        <w:t>——</w:t>
      </w:r>
      <w:r>
        <w:rPr/>
        <w:t>新媒农信全面负责农信通的平台开发</w:t>
      </w:r>
      <w:r>
        <w:rPr>
          <w:spacing w:val="-53"/>
        </w:rPr>
        <w:t>、</w:t>
      </w:r>
      <w:r>
        <w:rPr/>
        <w:t>全网运营支撑以及</w:t>
      </w:r>
      <w:r>
        <w:rPr>
          <w:rFonts w:ascii="Times New Roman" w:hAnsi="Times New Roman" w:cs="Times New Roman" w:eastAsia="Times New Roman" w:hint="default"/>
          <w:spacing w:val="-1"/>
          <w:w w:val="44"/>
        </w:rPr>
        <w:t>―</w:t>
      </w:r>
      <w:r>
        <w:rPr/>
        <w:t>务 工易</w:t>
      </w:r>
      <w:r>
        <w:rPr>
          <w:rFonts w:ascii="Times New Roman" w:hAnsi="Times New Roman" w:cs="Times New Roman" w:eastAsia="Times New Roman" w:hint="default"/>
        </w:rPr>
        <w:t>‖</w:t>
      </w:r>
      <w:r>
        <w:rPr/>
        <w:t>产品业务运营。</w:t>
      </w:r>
    </w:p>
    <w:p>
      <w:pPr>
        <w:pStyle w:val="BodyText"/>
        <w:spacing w:line="458" w:lineRule="auto" w:before="84"/>
        <w:ind w:right="189" w:firstLine="420"/>
        <w:jc w:val="both"/>
      </w:pPr>
      <w:r>
        <w:rPr/>
        <w:t>报告期内，农信通的平台开发、全网运营支撑方面，公司进一步增强平台功能、业务能力、平台质量，提升支撑全网 的能力</w:t>
      </w:r>
      <w:r>
        <w:rPr>
          <w:spacing w:val="-15"/>
        </w:rPr>
        <w:t>，</w:t>
      </w:r>
      <w:r>
        <w:rPr/>
        <w:t>促进农信通业务的发展</w:t>
      </w:r>
      <w:r>
        <w:rPr>
          <w:spacing w:val="-15"/>
        </w:rPr>
        <w:t>，</w:t>
      </w:r>
      <w:r>
        <w:rPr/>
        <w:t>公司在农信通开发与支撑方面的业务获得了较快增长</w:t>
      </w:r>
      <w:r>
        <w:rPr>
          <w:spacing w:val="-13"/>
        </w:rPr>
        <w:t>；</w:t>
      </w:r>
      <w:r>
        <w:rPr>
          <w:rFonts w:ascii="Times New Roman" w:hAnsi="Times New Roman" w:cs="Times New Roman" w:eastAsia="Times New Roman" w:hint="default"/>
          <w:spacing w:val="-1"/>
          <w:w w:val="44"/>
        </w:rPr>
        <w:t>―</w:t>
      </w:r>
      <w:r>
        <w:rPr/>
        <w:t>务工易</w:t>
      </w:r>
      <w:r>
        <w:rPr>
          <w:rFonts w:ascii="Times New Roman" w:hAnsi="Times New Roman" w:cs="Times New Roman" w:eastAsia="Times New Roman" w:hint="default"/>
          <w:spacing w:val="-1"/>
          <w:w w:val="158"/>
        </w:rPr>
        <w:t>‖</w:t>
      </w:r>
      <w:r>
        <w:rPr/>
        <w:t>产品业务运营方面</w:t>
      </w:r>
      <w:r>
        <w:rPr>
          <w:spacing w:val="-15"/>
        </w:rPr>
        <w:t>，</w:t>
      </w:r>
      <w:r>
        <w:rPr/>
        <w:t>公司</w:t>
      </w:r>
      <w:r>
        <w:rPr/>
        <w:t> 切实做好</w:t>
      </w:r>
      <w:r>
        <w:rPr>
          <w:rFonts w:ascii="Times New Roman" w:hAnsi="Times New Roman" w:cs="Times New Roman" w:eastAsia="Times New Roman" w:hint="default"/>
          <w:spacing w:val="-1"/>
          <w:w w:val="44"/>
        </w:rPr>
        <w:t>―</w:t>
      </w:r>
      <w:r>
        <w:rPr/>
        <w:t>招工信息查询</w:t>
      </w:r>
      <w:r>
        <w:rPr>
          <w:spacing w:val="-13"/>
        </w:rPr>
        <w:t>、</w:t>
      </w:r>
      <w:r>
        <w:rPr/>
        <w:t>量身岗位推荐</w:t>
      </w:r>
      <w:r>
        <w:rPr>
          <w:spacing w:val="-12"/>
        </w:rPr>
        <w:t>、</w:t>
      </w:r>
      <w:r>
        <w:rPr/>
        <w:t>务工行情介绍</w:t>
      </w:r>
      <w:r>
        <w:rPr>
          <w:spacing w:val="-13"/>
        </w:rPr>
        <w:t>、</w:t>
      </w:r>
      <w:r>
        <w:rPr/>
        <w:t>组织招聘会</w:t>
      </w:r>
      <w:r>
        <w:rPr>
          <w:rFonts w:ascii="Times New Roman" w:hAnsi="Times New Roman" w:cs="Times New Roman" w:eastAsia="Times New Roman" w:hint="default"/>
          <w:spacing w:val="-1"/>
          <w:w w:val="158"/>
        </w:rPr>
        <w:t>‖</w:t>
      </w:r>
      <w:r>
        <w:rPr/>
        <w:t>等业务的开发建设</w:t>
      </w:r>
      <w:r>
        <w:rPr>
          <w:spacing w:val="-13"/>
        </w:rPr>
        <w:t>，</w:t>
      </w:r>
      <w:r>
        <w:rPr/>
        <w:t>逐步推进市场化运营</w:t>
      </w:r>
      <w:r>
        <w:rPr>
          <w:spacing w:val="-13"/>
        </w:rPr>
        <w:t>，</w:t>
      </w:r>
      <w:r>
        <w:rPr/>
        <w:t>为中低端</w:t>
      </w:r>
      <w:r>
        <w:rPr/>
        <w:t> 务工人群提供全面、专业的就业信息服务。</w:t>
      </w:r>
    </w:p>
    <w:p>
      <w:pPr>
        <w:pStyle w:val="BodyText"/>
        <w:spacing w:line="451" w:lineRule="auto" w:before="107"/>
        <w:ind w:right="191" w:firstLine="420"/>
        <w:jc w:val="both"/>
      </w:pPr>
      <w:r>
        <w:rPr/>
        <w:t>同时，在此基础上新拓展了面向大学生就业的</w:t>
      </w:r>
      <w:r>
        <w:rPr>
          <w:rFonts w:ascii="Times New Roman" w:hAnsi="Times New Roman" w:cs="Times New Roman" w:eastAsia="Times New Roman" w:hint="default"/>
          <w:spacing w:val="-1"/>
          <w:w w:val="44"/>
        </w:rPr>
        <w:t>―</w:t>
      </w:r>
      <w:r>
        <w:rPr/>
        <w:t>动感求职</w:t>
      </w:r>
      <w:r>
        <w:rPr>
          <w:rFonts w:ascii="Times New Roman" w:hAnsi="Times New Roman" w:cs="Times New Roman" w:eastAsia="Times New Roman" w:hint="default"/>
          <w:spacing w:val="-1"/>
          <w:w w:val="158"/>
        </w:rPr>
        <w:t>‖</w:t>
      </w:r>
      <w:r>
        <w:rPr>
          <w:spacing w:val="2"/>
        </w:rPr>
        <w:t>业</w:t>
      </w:r>
      <w:r>
        <w:rPr/>
        <w:t>务以及重庆移动推出的</w:t>
      </w:r>
      <w:r>
        <w:rPr>
          <w:rFonts w:ascii="Times New Roman" w:hAnsi="Times New Roman" w:cs="Times New Roman" w:eastAsia="Times New Roman" w:hint="default"/>
          <w:spacing w:val="-1"/>
          <w:w w:val="44"/>
        </w:rPr>
        <w:t>―</w:t>
      </w:r>
      <w:r>
        <w:rPr/>
        <w:t>重庆无线城市项目</w:t>
      </w:r>
      <w:r>
        <w:rPr>
          <w:rFonts w:ascii="Times New Roman" w:hAnsi="Times New Roman" w:cs="Times New Roman" w:eastAsia="Times New Roman" w:hint="default"/>
          <w:spacing w:val="-1"/>
          <w:w w:val="158"/>
        </w:rPr>
        <w:t>‖</w:t>
      </w:r>
      <w:r>
        <w:rPr/>
        <w:t>，其中</w:t>
      </w:r>
      <w:r>
        <w:rPr>
          <w:rFonts w:ascii="Times New Roman" w:hAnsi="Times New Roman" w:cs="Times New Roman" w:eastAsia="Times New Roman" w:hint="default"/>
          <w:spacing w:val="-1"/>
          <w:w w:val="44"/>
        </w:rPr>
        <w:t>―</w:t>
      </w:r>
      <w:r>
        <w:rPr/>
        <w:t>动感求 职</w:t>
      </w:r>
      <w:r>
        <w:rPr>
          <w:rFonts w:ascii="Times New Roman" w:hAnsi="Times New Roman" w:cs="Times New Roman" w:eastAsia="Times New Roman" w:hint="default"/>
        </w:rPr>
        <w:t>‖</w:t>
      </w:r>
      <w:r>
        <w:rPr/>
        <w:t>是中国移动面向大学生群体重点打造的公共就业服务平台，借助中国移动在校园领域的高市场占有率，向大学生提供就</w:t>
      </w:r>
      <w:r>
        <w:rPr>
          <w:spacing w:val="-46"/>
        </w:rPr>
        <w:t> </w:t>
      </w:r>
      <w:r>
        <w:rPr>
          <w:spacing w:val="-46"/>
        </w:rPr>
      </w:r>
      <w:r>
        <w:rPr/>
        <w:t>业服务，预期未来三到五年在大学生就业服务市场中达到</w:t>
      </w:r>
      <w:r>
        <w:rPr>
          <w:rFonts w:ascii="Times New Roman" w:hAnsi="Times New Roman" w:cs="Times New Roman" w:eastAsia="Times New Roman" w:hint="default"/>
        </w:rPr>
        <w:t>10%</w:t>
      </w:r>
      <w:r>
        <w:rPr/>
        <w:t>的市场占有率。</w:t>
      </w:r>
    </w:p>
    <w:p>
      <w:pPr>
        <w:pStyle w:val="BodyText"/>
        <w:spacing w:line="451" w:lineRule="auto" w:before="84"/>
        <w:ind w:right="193" w:firstLine="420"/>
        <w:jc w:val="both"/>
      </w:pPr>
      <w:r>
        <w:rPr/>
        <w:t>整体而言，</w:t>
      </w:r>
      <w:r>
        <w:rPr>
          <w:rFonts w:ascii="Times New Roman" w:hAnsi="Times New Roman" w:cs="Times New Roman" w:eastAsia="Times New Roman" w:hint="default"/>
        </w:rPr>
        <w:t>2012</w:t>
      </w:r>
      <w:r>
        <w:rPr/>
        <w:t>年度，公司农信通业务实现营业收入</w:t>
      </w:r>
      <w:r>
        <w:rPr>
          <w:rFonts w:ascii="Times New Roman" w:hAnsi="Times New Roman" w:cs="Times New Roman" w:eastAsia="Times New Roman" w:hint="default"/>
        </w:rPr>
        <w:t>10,029.79</w:t>
      </w:r>
      <w:r>
        <w:rPr/>
        <w:t>万元左右，较去年增长</w:t>
      </w:r>
      <w:r>
        <w:rPr>
          <w:rFonts w:ascii="Times New Roman" w:hAnsi="Times New Roman" w:cs="Times New Roman" w:eastAsia="Times New Roman" w:hint="default"/>
        </w:rPr>
        <w:t>80.27%</w:t>
      </w:r>
      <w:r>
        <w:rPr/>
        <w:t>。未来将继续保持良好的 增长态势。</w:t>
      </w:r>
    </w:p>
    <w:p>
      <w:pPr>
        <w:pStyle w:val="Heading5"/>
        <w:spacing w:line="240" w:lineRule="auto" w:before="115"/>
        <w:ind w:left="575" w:right="94"/>
        <w:jc w:val="left"/>
        <w:rPr>
          <w:b w:val="0"/>
          <w:bCs w:val="0"/>
        </w:rPr>
      </w:pPr>
      <w:r>
        <w:rPr/>
        <w:t>（</w:t>
      </w:r>
      <w:r>
        <w:rPr>
          <w:rFonts w:ascii="Times New Roman" w:hAnsi="Times New Roman" w:cs="Times New Roman" w:eastAsia="Times New Roman" w:hint="default"/>
        </w:rPr>
        <w:t>3</w:t>
      </w:r>
      <w:r>
        <w:rPr/>
        <w:t>）其他互联网运营服务的拓展</w:t>
      </w:r>
      <w:r>
        <w:rPr>
          <w:b w:val="0"/>
          <w:bCs w:val="0"/>
        </w:rPr>
      </w:r>
    </w:p>
    <w:p>
      <w:pPr>
        <w:spacing w:line="240" w:lineRule="auto" w:before="9"/>
        <w:rPr>
          <w:rFonts w:ascii="宋体" w:hAnsi="宋体" w:cs="宋体" w:eastAsia="宋体" w:hint="default"/>
          <w:b/>
          <w:bCs/>
          <w:sz w:val="19"/>
          <w:szCs w:val="19"/>
        </w:rPr>
      </w:pPr>
    </w:p>
    <w:p>
      <w:pPr>
        <w:pStyle w:val="BodyText"/>
        <w:spacing w:line="472" w:lineRule="auto"/>
        <w:ind w:right="190" w:firstLine="420"/>
        <w:jc w:val="both"/>
      </w:pPr>
      <w:r>
        <w:rPr>
          <w:rFonts w:ascii="Times New Roman" w:hAnsi="Times New Roman" w:cs="Times New Roman" w:eastAsia="Times New Roman" w:hint="default"/>
        </w:rPr>
        <w:t>2012</w:t>
      </w:r>
      <w:r>
        <w:rPr/>
        <w:t>年，公司组建专门团队，从国内、国外两个市场维度，积极推进互联网运营服务业务的覆盖范围，拓展面向国内 </w:t>
      </w:r>
      <w:r>
        <w:rPr>
          <w:spacing w:val="-2"/>
        </w:rPr>
        <w:t>外大型组织机构的互联网运营服务业务。在国内市场，面对国内传统行业与互联网相结合的日趋强烈的需求，公司针对有互</w:t>
      </w:r>
      <w:r>
        <w:rPr>
          <w:spacing w:val="-66"/>
        </w:rPr>
        <w:t> </w:t>
      </w:r>
      <w:r>
        <w:rPr>
          <w:spacing w:val="-66"/>
        </w:rPr>
      </w:r>
      <w:r>
        <w:rPr>
          <w:spacing w:val="-2"/>
        </w:rPr>
        <w:t>联网运营需求的大型组织机构，认真研究与论证其面向业务的互联网平台的构建与运营；在海外市场，公司定位于面向海外</w:t>
      </w:r>
      <w:r>
        <w:rPr>
          <w:spacing w:val="-63"/>
        </w:rPr>
        <w:t> </w:t>
      </w:r>
      <w:r>
        <w:rPr>
          <w:spacing w:val="-63"/>
        </w:rPr>
      </w:r>
      <w:r>
        <w:rPr>
          <w:spacing w:val="-2"/>
        </w:rPr>
        <w:t>电信运营商提供综合通讯运营服务，积极与当地大型电信运营商密切接触，商谈综合通信服务平台的建设与运营，提供包括</w:t>
      </w:r>
      <w:r>
        <w:rPr>
          <w:spacing w:val="-63"/>
        </w:rPr>
        <w:t> </w:t>
      </w:r>
      <w:r>
        <w:rPr>
          <w:spacing w:val="-63"/>
        </w:rPr>
      </w:r>
      <w:r>
        <w:rPr>
          <w:spacing w:val="-2"/>
        </w:rPr>
        <w:t>即时通讯在内的综合通信服务业务，报告期内，公司先后与印度、越南、俄罗斯、巴西、泰国、印尼、菲律宾、新加坡、马</w:t>
      </w:r>
      <w:r>
        <w:rPr>
          <w:spacing w:val="-73"/>
        </w:rPr>
        <w:t> </w:t>
      </w:r>
      <w:r>
        <w:rPr>
          <w:spacing w:val="-73"/>
        </w:rPr>
      </w:r>
      <w:r>
        <w:rPr/>
        <w:t>来西亚等国家的电信运营商进行交流与磋商。</w:t>
      </w:r>
    </w:p>
    <w:p>
      <w:pPr>
        <w:pStyle w:val="BodyText"/>
        <w:spacing w:line="489" w:lineRule="auto" w:before="98"/>
        <w:ind w:left="573" w:right="213" w:firstLine="2"/>
        <w:jc w:val="left"/>
      </w:pPr>
      <w:r>
        <w:rPr>
          <w:rFonts w:ascii="Times New Roman" w:hAnsi="Times New Roman" w:cs="Times New Roman" w:eastAsia="Times New Roman" w:hint="default"/>
          <w:b/>
          <w:bCs/>
        </w:rPr>
        <w:t>3</w:t>
      </w:r>
      <w:r>
        <w:rPr>
          <w:rFonts w:ascii="宋体" w:hAnsi="宋体" w:cs="宋体" w:eastAsia="宋体" w:hint="default"/>
          <w:b/>
          <w:bCs/>
        </w:rPr>
        <w:t>、互联网自主业务情况</w:t>
      </w:r>
      <w:r>
        <w:rPr>
          <w:rFonts w:ascii="宋体" w:hAnsi="宋体" w:cs="宋体" w:eastAsia="宋体" w:hint="default"/>
          <w:b/>
          <w:bCs/>
          <w:w w:val="99"/>
        </w:rPr>
        <w:t> </w:t>
      </w:r>
      <w:r>
        <w:rPr/>
        <w:t>目前，公司互联网自主业务主要为面向餐饮行业的互联网综合服务业务，由控股子公司</w:t>
      </w:r>
      <w:r>
        <w:rPr>
          <w:rFonts w:ascii="Times New Roman" w:hAnsi="Times New Roman" w:cs="Times New Roman" w:eastAsia="Times New Roman" w:hint="default"/>
        </w:rPr>
        <w:t>——</w:t>
      </w:r>
      <w:r>
        <w:rPr/>
        <w:t>北京神州泰岳良品电子商</w:t>
      </w:r>
    </w:p>
    <w:p>
      <w:pPr>
        <w:pStyle w:val="BodyText"/>
        <w:spacing w:line="240" w:lineRule="auto" w:before="11"/>
        <w:ind w:right="94"/>
        <w:jc w:val="left"/>
      </w:pPr>
      <w:r>
        <w:rPr/>
        <w:t>务有限公</w:t>
      </w:r>
      <w:r>
        <w:rPr>
          <w:spacing w:val="-10"/>
        </w:rPr>
        <w:t>司</w:t>
      </w:r>
      <w:r>
        <w:rPr/>
        <w:t>（简称为</w:t>
      </w:r>
      <w:r>
        <w:rPr>
          <w:rFonts w:ascii="Times New Roman" w:hAnsi="Times New Roman" w:cs="Times New Roman" w:eastAsia="Times New Roman" w:hint="default"/>
          <w:spacing w:val="-1"/>
          <w:w w:val="44"/>
        </w:rPr>
        <w:t>―</w:t>
      </w:r>
      <w:r>
        <w:rPr/>
        <w:t>神州良</w:t>
      </w:r>
      <w:r>
        <w:rPr>
          <w:spacing w:val="2"/>
        </w:rPr>
        <w:t>品</w:t>
      </w:r>
      <w:r>
        <w:rPr>
          <w:rFonts w:ascii="Times New Roman" w:hAnsi="Times New Roman" w:cs="Times New Roman" w:eastAsia="Times New Roman" w:hint="default"/>
          <w:spacing w:val="-1"/>
          <w:w w:val="158"/>
        </w:rPr>
        <w:t>‖</w:t>
      </w:r>
      <w:r>
        <w:rPr>
          <w:spacing w:val="-10"/>
        </w:rPr>
        <w:t>）</w:t>
      </w:r>
      <w:r>
        <w:rPr/>
        <w:t>全面负责</w:t>
      </w:r>
      <w:r>
        <w:rPr>
          <w:spacing w:val="-10"/>
        </w:rPr>
        <w:t>。</w:t>
      </w:r>
      <w:r>
        <w:rPr/>
        <w:t>该业务将充分</w:t>
      </w:r>
      <w:r>
        <w:rPr>
          <w:spacing w:val="2"/>
        </w:rPr>
        <w:t>发</w:t>
      </w:r>
      <w:r>
        <w:rPr/>
        <w:t>挥公司在软件研发</w:t>
      </w:r>
      <w:r>
        <w:rPr>
          <w:spacing w:val="-9"/>
        </w:rPr>
        <w:t>、</w:t>
      </w:r>
      <w:r>
        <w:rPr>
          <w:rFonts w:ascii="Times New Roman" w:hAnsi="Times New Roman" w:cs="Times New Roman" w:eastAsia="Times New Roman" w:hint="default"/>
        </w:rPr>
        <w:t>I</w:t>
      </w:r>
      <w:r>
        <w:rPr>
          <w:rFonts w:ascii="Times New Roman" w:hAnsi="Times New Roman" w:cs="Times New Roman" w:eastAsia="Times New Roman" w:hint="default"/>
          <w:spacing w:val="-2"/>
        </w:rPr>
        <w:t>T</w:t>
      </w:r>
      <w:r>
        <w:rPr/>
        <w:t>运维</w:t>
      </w:r>
      <w:r>
        <w:rPr>
          <w:spacing w:val="2"/>
        </w:rPr>
        <w:t>管</w:t>
      </w:r>
      <w:r>
        <w:rPr/>
        <w:t>理</w:t>
      </w:r>
      <w:r>
        <w:rPr>
          <w:spacing w:val="-10"/>
        </w:rPr>
        <w:t>、</w:t>
      </w:r>
      <w:r>
        <w:rPr/>
        <w:t>互联网开发及运营</w:t>
      </w:r>
      <w:r>
        <w:rPr>
          <w:spacing w:val="-10"/>
        </w:rPr>
        <w:t>、</w:t>
      </w:r>
      <w:r>
        <w:rPr/>
        <w:t>物</w:t>
      </w:r>
      <w:r>
        <w:rPr>
          <w:spacing w:val="2"/>
        </w:rPr>
        <w:t>联</w:t>
      </w:r>
      <w:r>
        <w:rPr/>
        <w:t>网</w:t>
      </w:r>
    </w:p>
    <w:p>
      <w:pPr>
        <w:spacing w:after="0" w:line="240" w:lineRule="auto"/>
        <w:jc w:val="left"/>
        <w:sectPr>
          <w:pgSz w:w="11910" w:h="16840"/>
          <w:pgMar w:header="852" w:footer="980" w:top="1340" w:bottom="1160" w:left="980" w:right="940"/>
        </w:sectPr>
      </w:pPr>
    </w:p>
    <w:p>
      <w:pPr>
        <w:spacing w:line="240" w:lineRule="auto" w:before="6"/>
        <w:rPr>
          <w:rFonts w:ascii="宋体" w:hAnsi="宋体" w:cs="宋体" w:eastAsia="宋体" w:hint="default"/>
          <w:sz w:val="10"/>
          <w:szCs w:val="10"/>
        </w:rPr>
      </w:pPr>
    </w:p>
    <w:p>
      <w:pPr>
        <w:pStyle w:val="BodyText"/>
        <w:spacing w:line="477" w:lineRule="auto" w:before="44"/>
        <w:ind w:right="195"/>
        <w:jc w:val="both"/>
      </w:pPr>
      <w:r>
        <w:rPr>
          <w:spacing w:val="-2"/>
        </w:rPr>
        <w:t>技术研究及应用等各方面的资源与能力，通过整合、创新与嫁接，稳步构建一个面向餐饮行业的食材生产商、餐饮企业、消</w:t>
      </w:r>
      <w:r>
        <w:rPr>
          <w:spacing w:val="-67"/>
        </w:rPr>
        <w:t> </w:t>
      </w:r>
      <w:r>
        <w:rPr>
          <w:spacing w:val="-67"/>
        </w:rPr>
      </w:r>
      <w:r>
        <w:rPr/>
        <w:t>费者的互联网综合服务平台，提供包括食材采销电子商务、餐饮企业软件云服务、移动订餐点菜、增值信息服务等业务。</w:t>
      </w:r>
    </w:p>
    <w:p>
      <w:pPr>
        <w:pStyle w:val="BodyText"/>
        <w:spacing w:line="463" w:lineRule="auto" w:before="95"/>
        <w:ind w:right="94" w:firstLine="420"/>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月，该项目正式启动。报告期内，神州良品着力进行采销电子商务、餐饮企业软件云服务、移动订餐点菜、增</w:t>
      </w:r>
      <w:r>
        <w:rPr/>
        <w:t> 值信息服务等功能的开发，同时积极进行市场推广、与食材厂商及经销商紧密合作，目前在北京地区能够覆盖的单体餐厅 </w:t>
      </w:r>
      <w:r>
        <w:rPr>
          <w:rFonts w:ascii="Times New Roman" w:hAnsi="Times New Roman" w:cs="Times New Roman" w:eastAsia="Times New Roman" w:hint="default"/>
        </w:rPr>
        <w:t>2,000</w:t>
      </w:r>
      <w:r>
        <w:rPr/>
        <w:t>余家、食材品类</w:t>
      </w:r>
      <w:r>
        <w:rPr>
          <w:rFonts w:ascii="Times New Roman" w:hAnsi="Times New Roman" w:cs="Times New Roman" w:eastAsia="Times New Roman" w:hint="default"/>
        </w:rPr>
        <w:t>2,000</w:t>
      </w:r>
      <w:r>
        <w:rPr/>
        <w:t>余种。该业务尚处于培育期，</w:t>
      </w:r>
      <w:r>
        <w:rPr>
          <w:rFonts w:ascii="Times New Roman" w:hAnsi="Times New Roman" w:cs="Times New Roman" w:eastAsia="Times New Roman" w:hint="default"/>
        </w:rPr>
        <w:t>2012</w:t>
      </w:r>
      <w:r>
        <w:rPr/>
        <w:t>年实现营业收入</w:t>
      </w:r>
      <w:r>
        <w:rPr>
          <w:rFonts w:ascii="Times New Roman" w:hAnsi="Times New Roman" w:cs="Times New Roman" w:eastAsia="Times New Roman" w:hint="default"/>
        </w:rPr>
        <w:t>8,839.60</w:t>
      </w:r>
      <w:r>
        <w:rPr/>
        <w:t>万元。</w:t>
      </w:r>
    </w:p>
    <w:p>
      <w:pPr>
        <w:pStyle w:val="BodyText"/>
        <w:spacing w:line="489" w:lineRule="auto" w:before="72"/>
        <w:ind w:left="573" w:right="213" w:firstLine="2"/>
        <w:jc w:val="left"/>
      </w:pPr>
      <w:r>
        <w:rPr>
          <w:rFonts w:ascii="Times New Roman" w:hAnsi="Times New Roman" w:cs="Times New Roman" w:eastAsia="Times New Roman" w:hint="default"/>
          <w:b/>
          <w:bCs/>
        </w:rPr>
        <w:t>4</w:t>
      </w:r>
      <w:r>
        <w:rPr>
          <w:rFonts w:ascii="宋体" w:hAnsi="宋体" w:cs="宋体" w:eastAsia="宋体" w:hint="default"/>
          <w:b/>
          <w:bCs/>
        </w:rPr>
        <w:t>、物联网业务情况</w:t>
      </w:r>
      <w:r>
        <w:rPr>
          <w:rFonts w:ascii="宋体" w:hAnsi="宋体" w:cs="宋体" w:eastAsia="宋体" w:hint="default"/>
          <w:b/>
          <w:bCs/>
          <w:w w:val="99"/>
        </w:rPr>
        <w:t> </w:t>
      </w:r>
      <w:r>
        <w:rPr/>
        <w:t>报告期内，积极开展物联网技术研究开发与应用实践。公司控股子公司</w:t>
      </w:r>
      <w:r>
        <w:rPr>
          <w:rFonts w:ascii="Times New Roman" w:hAnsi="Times New Roman" w:cs="Times New Roman" w:eastAsia="Times New Roman" w:hint="default"/>
        </w:rPr>
        <w:t>——</w:t>
      </w:r>
      <w:r>
        <w:rPr/>
        <w:t>奇点新源国际技术开发（北京）有限公司</w:t>
      </w:r>
    </w:p>
    <w:p>
      <w:pPr>
        <w:pStyle w:val="BodyText"/>
        <w:spacing w:line="468" w:lineRule="auto" w:before="11"/>
        <w:ind w:right="191"/>
        <w:jc w:val="both"/>
      </w:pPr>
      <w:r>
        <w:rPr/>
        <w:t>（简称</w:t>
      </w:r>
      <w:r>
        <w:rPr>
          <w:rFonts w:ascii="Times New Roman" w:hAnsi="Times New Roman" w:cs="Times New Roman" w:eastAsia="Times New Roman" w:hint="default"/>
          <w:spacing w:val="-1"/>
          <w:w w:val="44"/>
        </w:rPr>
        <w:t>―</w:t>
      </w:r>
      <w:r>
        <w:rPr/>
        <w:t>奇点国际</w:t>
      </w:r>
      <w:r>
        <w:rPr>
          <w:rFonts w:ascii="Times New Roman" w:hAnsi="Times New Roman" w:cs="Times New Roman" w:eastAsia="Times New Roman" w:hint="default"/>
          <w:spacing w:val="-1"/>
          <w:w w:val="158"/>
        </w:rPr>
        <w:t>‖</w:t>
      </w:r>
      <w:r>
        <w:rPr>
          <w:spacing w:val="-15"/>
        </w:rPr>
        <w:t>）</w:t>
      </w:r>
      <w:r>
        <w:rPr/>
        <w:t>开发了</w:t>
      </w:r>
      <w:r>
        <w:rPr>
          <w:rFonts w:ascii="Times New Roman" w:hAnsi="Times New Roman" w:cs="Times New Roman" w:eastAsia="Times New Roman" w:hint="default"/>
          <w:spacing w:val="-1"/>
          <w:w w:val="44"/>
        </w:rPr>
        <w:t>―</w:t>
      </w:r>
      <w:r>
        <w:rPr>
          <w:spacing w:val="2"/>
        </w:rPr>
        <w:t>无</w:t>
      </w:r>
      <w:r>
        <w:rPr/>
        <w:t>线通信与精确定位系统</w:t>
      </w:r>
      <w:r>
        <w:rPr>
          <w:rFonts w:ascii="Times New Roman" w:hAnsi="Times New Roman" w:cs="Times New Roman" w:eastAsia="Times New Roman" w:hint="default"/>
          <w:spacing w:val="-1"/>
          <w:w w:val="158"/>
        </w:rPr>
        <w:t>‖</w:t>
      </w:r>
      <w:r>
        <w:rPr>
          <w:spacing w:val="-15"/>
        </w:rPr>
        <w:t>，</w:t>
      </w:r>
      <w:r>
        <w:rPr/>
        <w:t>该</w:t>
      </w:r>
      <w:r>
        <w:rPr>
          <w:spacing w:val="2"/>
        </w:rPr>
        <w:t>系</w:t>
      </w:r>
      <w:r>
        <w:rPr/>
        <w:t>统能够面向复杂的封闭空间提供良好的无线通信</w:t>
      </w:r>
      <w:r>
        <w:rPr>
          <w:spacing w:val="-15"/>
        </w:rPr>
        <w:t>、</w:t>
      </w:r>
      <w:r>
        <w:rPr/>
        <w:t>精确位置服</w:t>
      </w:r>
      <w:r>
        <w:rPr/>
        <w:t> </w:t>
      </w:r>
      <w:r>
        <w:rPr>
          <w:spacing w:val="-2"/>
        </w:rPr>
        <w:t>务，在矿山、隧道、监狱、医院等复杂环境有着明显应用优势，目前已进入产品化阶段和实际生产环境试验阶段，并已开始</w:t>
      </w:r>
      <w:r>
        <w:rPr>
          <w:spacing w:val="-70"/>
        </w:rPr>
        <w:t> </w:t>
      </w:r>
      <w:r>
        <w:rPr>
          <w:spacing w:val="-70"/>
        </w:rPr>
      </w:r>
      <w:r>
        <w:rPr>
          <w:spacing w:val="-2"/>
        </w:rPr>
        <w:t>申请煤安资质等方面的认证，同时与神华集团下属企业达成战略合作，在神华集团系统（含神华集团各类子分公司）内合作</w:t>
      </w:r>
      <w:r>
        <w:rPr>
          <w:spacing w:val="-64"/>
        </w:rPr>
        <w:t> </w:t>
      </w:r>
      <w:r>
        <w:rPr>
          <w:spacing w:val="-64"/>
        </w:rPr>
      </w:r>
      <w:r>
        <w:rPr>
          <w:spacing w:val="-1"/>
          <w:w w:val="100"/>
        </w:rPr>
        <w:t>开发和销售</w:t>
      </w:r>
      <w:r>
        <w:rPr>
          <w:rFonts w:ascii="Times New Roman" w:hAnsi="Times New Roman" w:cs="Times New Roman" w:eastAsia="Times New Roman" w:hint="default"/>
          <w:spacing w:val="-1"/>
          <w:w w:val="100"/>
        </w:rPr>
        <w:t>―</w:t>
      </w:r>
      <w:r>
        <w:rPr>
          <w:spacing w:val="-1"/>
          <w:w w:val="100"/>
        </w:rPr>
        <w:t>精确定位与无线通信系统</w:t>
      </w:r>
      <w:r>
        <w:rPr>
          <w:rFonts w:ascii="Times New Roman" w:hAnsi="Times New Roman" w:cs="Times New Roman" w:eastAsia="Times New Roman" w:hint="default"/>
          <w:spacing w:val="-1"/>
          <w:w w:val="100"/>
        </w:rPr>
        <w:t>‖</w:t>
      </w:r>
      <w:r>
        <w:rPr>
          <w:spacing w:val="-1"/>
          <w:w w:val="100"/>
        </w:rPr>
        <w:t>，并在物联网产业链上与多家企业与机构探讨、磋商产业化合作模式。</w:t>
      </w:r>
    </w:p>
    <w:p>
      <w:pPr>
        <w:pStyle w:val="BodyText"/>
        <w:spacing w:line="516" w:lineRule="auto" w:before="70"/>
        <w:ind w:left="573" w:right="94" w:firstLine="2"/>
        <w:jc w:val="left"/>
      </w:pPr>
      <w:r>
        <w:rPr>
          <w:rFonts w:ascii="宋体" w:hAnsi="宋体" w:cs="宋体" w:eastAsia="宋体" w:hint="default"/>
          <w:b/>
          <w:bCs/>
        </w:rPr>
        <w:t>（二）技术创新情况</w:t>
      </w:r>
      <w:r>
        <w:rPr>
          <w:rFonts w:ascii="宋体" w:hAnsi="宋体" w:cs="宋体" w:eastAsia="宋体" w:hint="default"/>
          <w:b/>
          <w:bCs/>
          <w:w w:val="99"/>
        </w:rPr>
        <w:t> </w:t>
      </w:r>
      <w:r>
        <w:rPr/>
        <w:t>立足市场、持续创新是公司经营发展的核心要素。报告期内，公司继续加强技术创新的力度，优化研发管理模式，提</w:t>
      </w:r>
    </w:p>
    <w:p>
      <w:pPr>
        <w:pStyle w:val="BodyText"/>
        <w:spacing w:line="451" w:lineRule="auto" w:before="25"/>
        <w:ind w:right="191"/>
        <w:jc w:val="both"/>
      </w:pPr>
      <w:r>
        <w:rPr/>
        <w:t>升产品开发效率，不断推出新产品以满足用户的需要，共投入研发经费</w:t>
      </w:r>
      <w:r>
        <w:rPr>
          <w:rFonts w:ascii="Times New Roman" w:hAnsi="Times New Roman" w:cs="Times New Roman" w:eastAsia="Times New Roman" w:hint="default"/>
        </w:rPr>
        <w:t>19,150.27</w:t>
      </w:r>
      <w:r>
        <w:rPr/>
        <w:t>万元，占营业收入的比重为</w:t>
      </w:r>
      <w:r>
        <w:rPr>
          <w:rFonts w:ascii="Times New Roman" w:hAnsi="Times New Roman" w:cs="Times New Roman" w:eastAsia="Times New Roman" w:hint="default"/>
        </w:rPr>
        <w:t>13.59%</w:t>
      </w:r>
      <w:r>
        <w:rPr/>
        <w:t>，报告</w:t>
      </w:r>
      <w:r>
        <w:rPr>
          <w:spacing w:val="-16"/>
        </w:rPr>
        <w:t> </w:t>
      </w:r>
      <w:r>
        <w:rPr/>
        <w:t>期内公司新取得</w:t>
      </w:r>
      <w:r>
        <w:rPr>
          <w:rFonts w:ascii="Times New Roman" w:hAnsi="Times New Roman" w:cs="Times New Roman" w:eastAsia="Times New Roman" w:hint="default"/>
        </w:rPr>
        <w:t>80</w:t>
      </w:r>
      <w:r>
        <w:rPr/>
        <w:t>项软件著作权、</w:t>
      </w:r>
      <w:r>
        <w:rPr>
          <w:rFonts w:ascii="Times New Roman" w:hAnsi="Times New Roman" w:cs="Times New Roman" w:eastAsia="Times New Roman" w:hint="default"/>
        </w:rPr>
        <w:t>25</w:t>
      </w:r>
      <w:r>
        <w:rPr/>
        <w:t>项专利。</w:t>
      </w:r>
    </w:p>
    <w:p>
      <w:pPr>
        <w:pStyle w:val="BodyText"/>
        <w:spacing w:line="451" w:lineRule="auto" w:before="84"/>
        <w:ind w:right="102" w:firstLine="420"/>
        <w:jc w:val="both"/>
      </w:pPr>
      <w:r>
        <w:rPr/>
        <w:t>截至</w:t>
      </w:r>
      <w:r>
        <w:rPr>
          <w:rFonts w:ascii="Times New Roman" w:hAnsi="Times New Roman" w:cs="Times New Roman" w:eastAsia="Times New Roman" w:hint="default"/>
        </w:rPr>
        <w:t>2012</w:t>
      </w:r>
      <w:r>
        <w:rPr/>
        <w:t>年末，公司及其控股子公司合计拥有</w:t>
      </w:r>
      <w:r>
        <w:rPr>
          <w:rFonts w:ascii="Times New Roman" w:hAnsi="Times New Roman" w:cs="Times New Roman" w:eastAsia="Times New Roman" w:hint="default"/>
        </w:rPr>
        <w:t>457</w:t>
      </w:r>
      <w:r>
        <w:rPr/>
        <w:t>项计算机软件著作权、</w:t>
      </w:r>
      <w:r>
        <w:rPr>
          <w:rFonts w:ascii="Times New Roman" w:hAnsi="Times New Roman" w:cs="Times New Roman" w:eastAsia="Times New Roman" w:hint="default"/>
        </w:rPr>
        <w:t>123</w:t>
      </w:r>
      <w:r>
        <w:rPr/>
        <w:t>项产品登记证、</w:t>
      </w:r>
      <w:r>
        <w:rPr>
          <w:rFonts w:ascii="Times New Roman" w:hAnsi="Times New Roman" w:cs="Times New Roman" w:eastAsia="Times New Roman" w:hint="default"/>
        </w:rPr>
        <w:t>40</w:t>
      </w:r>
      <w:r>
        <w:rPr/>
        <w:t>项专利、已受理的专利 </w:t>
      </w:r>
      <w:r>
        <w:rPr>
          <w:w w:val="100"/>
        </w:rPr>
        <w:t>申请达</w:t>
      </w:r>
      <w:r>
        <w:rPr>
          <w:rFonts w:ascii="Times New Roman" w:hAnsi="Times New Roman" w:cs="Times New Roman" w:eastAsia="Times New Roman" w:hint="default"/>
          <w:w w:val="100"/>
        </w:rPr>
        <w:t>483</w:t>
      </w:r>
      <w:r>
        <w:rPr>
          <w:w w:val="100"/>
        </w:rPr>
        <w:t>项；</w:t>
      </w:r>
      <w:r>
        <w:rPr>
          <w:rFonts w:ascii="Times New Roman" w:hAnsi="Times New Roman" w:cs="Times New Roman" w:eastAsia="Times New Roman" w:hint="default"/>
          <w:w w:val="100"/>
        </w:rPr>
        <w:t>2011</w:t>
      </w:r>
      <w:r>
        <w:rPr>
          <w:w w:val="100"/>
        </w:rPr>
        <w:t>年度公司被评为</w:t>
      </w:r>
      <w:r>
        <w:rPr>
          <w:rFonts w:ascii="Times New Roman" w:hAnsi="Times New Roman" w:cs="Times New Roman" w:eastAsia="Times New Roman" w:hint="default"/>
          <w:w w:val="100"/>
        </w:rPr>
        <w:t>―</w:t>
      </w:r>
      <w:r>
        <w:rPr>
          <w:w w:val="100"/>
        </w:rPr>
        <w:t>国家企业技术中心</w:t>
      </w:r>
      <w:r>
        <w:rPr>
          <w:rFonts w:ascii="Times New Roman" w:hAnsi="Times New Roman" w:cs="Times New Roman" w:eastAsia="Times New Roman" w:hint="default"/>
          <w:w w:val="100"/>
        </w:rPr>
        <w:t>‖</w:t>
      </w:r>
      <w:r>
        <w:rPr>
          <w:w w:val="100"/>
        </w:rPr>
        <w:t>；公司及新媒传信连续多年被认定国家规划布局内重点软件企业，</w:t>
      </w:r>
      <w:r>
        <w:rPr/>
        <w:t> </w:t>
      </w:r>
      <w:r>
        <w:rPr>
          <w:spacing w:val="-4"/>
        </w:rPr>
        <w:t>等等，综合体现了公司的技术创新能力、研发实力、市场拓展能力、企业经营能力，成为企业长期持续健康发展的有力支撑。</w:t>
      </w:r>
    </w:p>
    <w:p>
      <w:pPr>
        <w:spacing w:line="516" w:lineRule="auto" w:before="115"/>
        <w:ind w:left="573" w:right="235" w:firstLine="2"/>
        <w:jc w:val="left"/>
        <w:rPr>
          <w:rFonts w:ascii="宋体" w:hAnsi="宋体" w:cs="宋体" w:eastAsia="宋体" w:hint="default"/>
          <w:sz w:val="18"/>
          <w:szCs w:val="18"/>
        </w:rPr>
      </w:pPr>
      <w:r>
        <w:rPr>
          <w:rFonts w:ascii="宋体" w:hAnsi="宋体" w:cs="宋体" w:eastAsia="宋体" w:hint="default"/>
          <w:b/>
          <w:bCs/>
          <w:sz w:val="18"/>
          <w:szCs w:val="18"/>
        </w:rPr>
        <w:t>（三）企业文化建设及员工发展情况</w:t>
      </w:r>
      <w:r>
        <w:rPr>
          <w:rFonts w:ascii="宋体" w:hAnsi="宋体" w:cs="宋体" w:eastAsia="宋体" w:hint="default"/>
          <w:b/>
          <w:bCs/>
          <w:w w:val="99"/>
          <w:sz w:val="18"/>
          <w:szCs w:val="18"/>
        </w:rPr>
        <w:t> </w:t>
      </w:r>
      <w:r>
        <w:rPr>
          <w:rFonts w:ascii="宋体" w:hAnsi="宋体" w:cs="宋体" w:eastAsia="宋体" w:hint="default"/>
          <w:sz w:val="18"/>
          <w:szCs w:val="18"/>
        </w:rPr>
        <w:t>公司始终坚持</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高绩效、高贡献、高回报</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的人才发展观，不仅要通过提升薪资竞争力来提高人才的吸引力，还要通过</w:t>
      </w:r>
    </w:p>
    <w:p>
      <w:pPr>
        <w:pStyle w:val="BodyText"/>
        <w:spacing w:line="518" w:lineRule="auto"/>
        <w:ind w:left="573" w:right="213" w:hanging="421"/>
        <w:jc w:val="left"/>
      </w:pPr>
      <w:r>
        <w:rPr/>
        <w:t>为员工创造良好的职业发展环境、营造适宜的企业文化氛围等系统性的措施来吸引、留住和激励人才。 报告期内，公司进一步优化完善绩效考核管理体系和激励机制，适时推出了股票期权与限制性股票相结合的复合型激</w:t>
      </w:r>
    </w:p>
    <w:p>
      <w:pPr>
        <w:pStyle w:val="BodyText"/>
        <w:spacing w:line="463" w:lineRule="auto" w:before="23"/>
        <w:ind w:right="190"/>
        <w:jc w:val="both"/>
      </w:pPr>
      <w:r>
        <w:rPr>
          <w:spacing w:val="-2"/>
        </w:rPr>
        <w:t>励计划，并于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月完成了授予登记工作。股权激励计划的实施有利于进一步完善公司治理结构，促进公司建立、健全</w:t>
      </w:r>
      <w:r>
        <w:rPr>
          <w:spacing w:val="-60"/>
        </w:rPr>
        <w:t> </w:t>
      </w:r>
      <w:r>
        <w:rPr>
          <w:spacing w:val="-60"/>
        </w:rPr>
      </w:r>
      <w:r>
        <w:rPr>
          <w:spacing w:val="-2"/>
        </w:rPr>
        <w:t>激励约束机制，加强公司与激励对象之间的紧密联系，充分调动公司管理人员及核心人员的积极性，有效地将股东利益、公</w:t>
      </w:r>
      <w:r>
        <w:rPr>
          <w:spacing w:val="-63"/>
        </w:rPr>
        <w:t> </w:t>
      </w:r>
      <w:r>
        <w:rPr>
          <w:spacing w:val="-63"/>
        </w:rPr>
      </w:r>
      <w:r>
        <w:rPr/>
        <w:t>司利益和经营者个人利益结合在一起，更好的推动公司发展。</w:t>
      </w:r>
    </w:p>
    <w:p>
      <w:pPr>
        <w:spacing w:line="516" w:lineRule="auto" w:before="106"/>
        <w:ind w:left="573" w:right="213" w:firstLine="2"/>
        <w:jc w:val="left"/>
        <w:rPr>
          <w:rFonts w:ascii="宋体" w:hAnsi="宋体" w:cs="宋体" w:eastAsia="宋体" w:hint="default"/>
          <w:sz w:val="18"/>
          <w:szCs w:val="18"/>
        </w:rPr>
      </w:pPr>
      <w:r>
        <w:rPr>
          <w:rFonts w:ascii="宋体" w:hAnsi="宋体" w:cs="宋体" w:eastAsia="宋体" w:hint="default"/>
          <w:b/>
          <w:bCs/>
          <w:sz w:val="18"/>
          <w:szCs w:val="18"/>
        </w:rPr>
        <w:t>（四）研发基地及区域性中心建设情况</w:t>
      </w:r>
      <w:r>
        <w:rPr>
          <w:rFonts w:ascii="宋体" w:hAnsi="宋体" w:cs="宋体" w:eastAsia="宋体" w:hint="default"/>
          <w:b/>
          <w:bCs/>
          <w:w w:val="99"/>
          <w:sz w:val="18"/>
          <w:szCs w:val="18"/>
        </w:rPr>
        <w:t> </w:t>
      </w:r>
      <w:r>
        <w:rPr>
          <w:rFonts w:ascii="宋体" w:hAnsi="宋体" w:cs="宋体" w:eastAsia="宋体" w:hint="default"/>
          <w:sz w:val="18"/>
          <w:szCs w:val="18"/>
        </w:rPr>
        <w:t>围绕整体战略规划，有针对性的构建以中心城市为节点辐射全国的营销与服务网络，全面拓宽市场覆盖面，提升服务</w:t>
      </w:r>
    </w:p>
    <w:p>
      <w:pPr>
        <w:pStyle w:val="BodyText"/>
        <w:spacing w:line="240" w:lineRule="auto" w:before="25"/>
        <w:ind w:right="0"/>
        <w:jc w:val="both"/>
      </w:pPr>
      <w:r>
        <w:rPr/>
        <w:t>质量及整体运营效率。</w:t>
      </w:r>
    </w:p>
    <w:p>
      <w:pPr>
        <w:spacing w:line="240" w:lineRule="auto" w:before="11"/>
        <w:rPr>
          <w:rFonts w:ascii="宋体" w:hAnsi="宋体" w:cs="宋体" w:eastAsia="宋体" w:hint="default"/>
          <w:sz w:val="20"/>
          <w:szCs w:val="20"/>
        </w:rPr>
      </w:pPr>
    </w:p>
    <w:p>
      <w:pPr>
        <w:pStyle w:val="BodyText"/>
        <w:spacing w:line="240" w:lineRule="auto"/>
        <w:ind w:left="573" w:right="94"/>
        <w:jc w:val="left"/>
      </w:pPr>
      <w:r>
        <w:rPr>
          <w:rFonts w:ascii="Times New Roman" w:hAnsi="Times New Roman" w:cs="Times New Roman" w:eastAsia="Times New Roman" w:hint="default"/>
        </w:rPr>
        <w:t>1</w:t>
      </w:r>
      <w:r>
        <w:rPr/>
        <w:t>、报告期内，由公司全资公司重庆新媒农信科技有限公司、重庆新媒亿网科技有限公司、重庆新迈峰科技有限公司共</w:t>
      </w:r>
    </w:p>
    <w:p>
      <w:pPr>
        <w:spacing w:after="0" w:line="240" w:lineRule="auto"/>
        <w:jc w:val="left"/>
        <w:sectPr>
          <w:footerReference w:type="default" r:id="rId14"/>
          <w:pgSz w:w="11910" w:h="16840"/>
          <w:pgMar w:footer="980" w:header="852" w:top="1340" w:bottom="1160" w:left="980" w:right="940"/>
          <w:pgNumType w:start="13"/>
        </w:sectPr>
      </w:pPr>
    </w:p>
    <w:p>
      <w:pPr>
        <w:spacing w:line="240" w:lineRule="auto" w:before="6"/>
        <w:rPr>
          <w:rFonts w:ascii="宋体" w:hAnsi="宋体" w:cs="宋体" w:eastAsia="宋体" w:hint="default"/>
          <w:sz w:val="10"/>
          <w:szCs w:val="10"/>
        </w:rPr>
      </w:pPr>
    </w:p>
    <w:p>
      <w:pPr>
        <w:pStyle w:val="BodyText"/>
        <w:spacing w:line="463" w:lineRule="auto" w:before="44"/>
        <w:ind w:right="89"/>
        <w:jc w:val="left"/>
      </w:pPr>
      <w:r>
        <w:rPr/>
        <w:t>同建设与实施的</w:t>
      </w:r>
      <w:r>
        <w:rPr>
          <w:rFonts w:ascii="Times New Roman" w:hAnsi="Times New Roman" w:cs="Times New Roman" w:eastAsia="Times New Roman" w:hint="default"/>
          <w:spacing w:val="-1"/>
          <w:w w:val="44"/>
        </w:rPr>
        <w:t>―</w:t>
      </w:r>
      <w:r>
        <w:rPr/>
        <w:t>重庆新媒农信研发生产基地项目</w:t>
      </w:r>
      <w:r>
        <w:rPr>
          <w:rFonts w:ascii="Times New Roman" w:hAnsi="Times New Roman" w:cs="Times New Roman" w:eastAsia="Times New Roman" w:hint="default"/>
          <w:spacing w:val="-1"/>
          <w:w w:val="158"/>
        </w:rPr>
        <w:t>‖</w:t>
      </w:r>
      <w:r>
        <w:rPr/>
        <w:t>已经完成开发区入驻</w:t>
      </w:r>
      <w:r>
        <w:rPr>
          <w:spacing w:val="-51"/>
        </w:rPr>
        <w:t>、</w:t>
      </w:r>
      <w:r>
        <w:rPr/>
        <w:t>土地招拍挂</w:t>
      </w:r>
      <w:r>
        <w:rPr>
          <w:spacing w:val="-51"/>
        </w:rPr>
        <w:t>、</w:t>
      </w:r>
      <w:r>
        <w:rPr/>
        <w:t>前期设计等手续</w:t>
      </w:r>
      <w:r>
        <w:rPr>
          <w:spacing w:val="-51"/>
        </w:rPr>
        <w:t>，</w:t>
      </w:r>
      <w:r>
        <w:rPr/>
        <w:t>并进入到规划许可、</w:t>
      </w:r>
      <w:r>
        <w:rPr/>
        <w:t> </w:t>
      </w:r>
      <w:r>
        <w:rPr>
          <w:spacing w:val="-2"/>
        </w:rPr>
        <w:t>建设许可阶段。本项目建成后，将用于打造公司面向全网的农村信息网运营支撑中心及服务体系，提供全方位的运营支撑服</w:t>
      </w:r>
      <w:r>
        <w:rPr>
          <w:spacing w:val="-63"/>
        </w:rPr>
        <w:t> </w:t>
      </w:r>
      <w:r>
        <w:rPr>
          <w:spacing w:val="-63"/>
        </w:rPr>
      </w:r>
      <w:r>
        <w:rPr/>
        <w:t>务，并探索物联网与农村信息网的融合，将农网业务的相关产品和技术延伸到物联网领域。</w:t>
      </w:r>
    </w:p>
    <w:p>
      <w:pPr>
        <w:pStyle w:val="BodyText"/>
        <w:spacing w:line="463" w:lineRule="auto" w:before="106"/>
        <w:ind w:right="94" w:firstLine="420"/>
        <w:jc w:val="left"/>
      </w:pPr>
      <w:r>
        <w:rPr>
          <w:rFonts w:ascii="Times New Roman" w:hAnsi="Times New Roman" w:cs="Times New Roman" w:eastAsia="Times New Roman" w:hint="default"/>
          <w:spacing w:val="-1"/>
          <w:w w:val="100"/>
        </w:rPr>
        <w:t>2</w:t>
      </w:r>
      <w:r>
        <w:rPr>
          <w:spacing w:val="-1"/>
          <w:w w:val="100"/>
        </w:rPr>
        <w:t>、由公司控股企业宁波普金通信设备有限公司负责建设与实施的</w:t>
      </w:r>
      <w:r>
        <w:rPr>
          <w:rFonts w:ascii="Times New Roman" w:hAnsi="Times New Roman" w:cs="Times New Roman" w:eastAsia="Times New Roman" w:hint="default"/>
          <w:spacing w:val="-1"/>
          <w:w w:val="100"/>
        </w:rPr>
        <w:t>―</w:t>
      </w:r>
      <w:r>
        <w:rPr>
          <w:spacing w:val="-1"/>
          <w:w w:val="100"/>
        </w:rPr>
        <w:t>宁波研发生产基地项目</w:t>
      </w:r>
      <w:r>
        <w:rPr>
          <w:rFonts w:ascii="Times New Roman" w:hAnsi="Times New Roman" w:cs="Times New Roman" w:eastAsia="Times New Roman" w:hint="default"/>
          <w:spacing w:val="-1"/>
          <w:w w:val="100"/>
        </w:rPr>
        <w:t>‖</w:t>
      </w:r>
      <w:r>
        <w:rPr>
          <w:spacing w:val="-1"/>
          <w:w w:val="100"/>
        </w:rPr>
        <w:t>正常有序进行，预计</w:t>
      </w:r>
      <w:r>
        <w:rPr>
          <w:rFonts w:ascii="Times New Roman" w:hAnsi="Times New Roman" w:cs="Times New Roman" w:eastAsia="Times New Roman" w:hint="default"/>
          <w:spacing w:val="-1"/>
          <w:w w:val="100"/>
        </w:rPr>
        <w:t>2013</w:t>
      </w:r>
      <w:r>
        <w:rPr>
          <w:spacing w:val="-1"/>
          <w:w w:val="100"/>
        </w:rPr>
        <w:t>年</w:t>
      </w:r>
      <w:r>
        <w:rPr/>
        <w:t> </w:t>
      </w:r>
      <w:r>
        <w:rPr>
          <w:spacing w:val="-4"/>
        </w:rPr>
        <w:t>内建设完成。项目建成后，将宁波普天及其下属企业迁至该基地，形成完善的通信网络质量检测设备与系统的研发、生产线，</w:t>
      </w:r>
      <w:r>
        <w:rPr>
          <w:spacing w:val="-46"/>
        </w:rPr>
        <w:t> </w:t>
      </w:r>
      <w:r>
        <w:rPr>
          <w:spacing w:val="-46"/>
        </w:rPr>
      </w:r>
      <w:r>
        <w:rPr/>
        <w:t>增强宁波普天的整体研发生产能力与服务水平。</w:t>
      </w:r>
    </w:p>
    <w:p>
      <w:pPr>
        <w:spacing w:line="240" w:lineRule="auto" w:before="2"/>
        <w:rPr>
          <w:rFonts w:ascii="宋体" w:hAnsi="宋体" w:cs="宋体" w:eastAsia="宋体" w:hint="default"/>
          <w:sz w:val="18"/>
          <w:szCs w:val="18"/>
        </w:rPr>
      </w:pPr>
    </w:p>
    <w:p>
      <w:pPr>
        <w:pStyle w:val="Heading2"/>
        <w:spacing w:line="240" w:lineRule="auto"/>
        <w:ind w:right="94"/>
        <w:jc w:val="left"/>
        <w:rPr>
          <w:b w:val="0"/>
          <w:bCs w:val="0"/>
        </w:rPr>
      </w:pPr>
      <w:r>
        <w:rPr/>
        <w:t>二、报告期内主要经营情况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、主营业务分析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）收入</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88" w:firstLine="360"/>
        <w:jc w:val="both"/>
      </w:pPr>
      <w:r>
        <w:rPr>
          <w:spacing w:val="-2"/>
        </w:rPr>
        <w:t>报告期内，公司立足于运维管理、互联网运营服务两大业务领域，深耕细作、积极拓展，公司整体营收规模在不断增长</w:t>
      </w:r>
      <w:r>
        <w:rPr/>
        <w:t> </w:t>
      </w:r>
      <w:r>
        <w:rPr>
          <w:spacing w:val="-2"/>
        </w:rPr>
        <w:t>的同时，产品线进一步丰富、业务结构进一步优化，呈现出“互联网运营服务业务稳步发展、运维管理业务快速提升”的态</w:t>
      </w:r>
      <w:r>
        <w:rPr>
          <w:spacing w:val="-62"/>
        </w:rPr>
        <w:t> </w:t>
      </w:r>
      <w:r>
        <w:rPr>
          <w:spacing w:val="-62"/>
        </w:rPr>
      </w:r>
      <w:r>
        <w:rPr/>
        <w:t>势。</w:t>
      </w:r>
      <w:r>
        <w:rPr>
          <w:rFonts w:ascii="宋体" w:hAnsi="宋体" w:cs="宋体" w:eastAsia="宋体" w:hint="default"/>
        </w:rPr>
        <w:t>2012</w:t>
      </w:r>
      <w:r>
        <w:rPr/>
        <w:t>年，公司实现营业总收入</w:t>
      </w:r>
      <w:r>
        <w:rPr>
          <w:rFonts w:ascii="宋体" w:hAnsi="宋体" w:cs="宋体" w:eastAsia="宋体" w:hint="default"/>
        </w:rPr>
        <w:t>140,951.29</w:t>
      </w:r>
      <w:r>
        <w:rPr/>
        <w:t>万元，比去年同期增长了</w:t>
      </w:r>
      <w:r>
        <w:rPr>
          <w:rFonts w:ascii="宋体" w:hAnsi="宋体" w:cs="宋体" w:eastAsia="宋体" w:hint="default"/>
        </w:rPr>
        <w:t>21.8%</w:t>
      </w:r>
      <w:r>
        <w:rPr/>
        <w:t>。</w:t>
      </w:r>
    </w:p>
    <w:p>
      <w:pPr>
        <w:pStyle w:val="Heading5"/>
        <w:spacing w:line="240" w:lineRule="auto" w:before="95"/>
        <w:ind w:right="94"/>
        <w:jc w:val="left"/>
        <w:rPr>
          <w:b w:val="0"/>
          <w:bCs w:val="0"/>
        </w:rPr>
      </w:pPr>
      <w:r>
        <w:rPr/>
        <w:t>公司实物销售收入是否大于劳务收入</w:t>
      </w:r>
      <w:r>
        <w:rPr>
          <w:b w:val="0"/>
          <w:bCs w:val="0"/>
        </w:rPr>
      </w:r>
    </w:p>
    <w:p>
      <w:pPr>
        <w:spacing w:line="240" w:lineRule="auto" w:before="12"/>
        <w:rPr>
          <w:rFonts w:ascii="宋体" w:hAnsi="宋体" w:cs="宋体" w:eastAsia="宋体" w:hint="default"/>
          <w:b/>
          <w:bCs/>
          <w:sz w:val="20"/>
          <w:szCs w:val="20"/>
        </w:rPr>
      </w:pPr>
    </w:p>
    <w:p>
      <w:pPr>
        <w:spacing w:line="487" w:lineRule="auto" w:before="0"/>
        <w:ind w:left="152" w:right="782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w:t>
      </w:r>
      <w:r>
        <w:rPr>
          <w:rFonts w:ascii="宋体" w:hAnsi="宋体" w:cs="宋体" w:eastAsia="宋体" w:hint="default"/>
          <w:b/>
          <w:bCs/>
          <w:sz w:val="18"/>
          <w:szCs w:val="18"/>
        </w:rPr>
        <w:t>公司重大的在手订单情况</w:t>
      </w:r>
      <w:r>
        <w:rPr>
          <w:rFonts w:ascii="宋体" w:hAnsi="宋体" w:cs="宋体" w:eastAsia="宋体" w:hint="default"/>
          <w:sz w:val="18"/>
          <w:szCs w:val="18"/>
        </w:rPr>
      </w:r>
    </w:p>
    <w:p>
      <w:pPr>
        <w:spacing w:line="489" w:lineRule="auto" w:before="88"/>
        <w:ind w:left="152" w:right="818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数量分散的订单情况</w:t>
      </w:r>
      <w:r>
        <w:rPr>
          <w:rFonts w:ascii="宋体" w:hAnsi="宋体" w:cs="宋体" w:eastAsia="宋体" w:hint="default"/>
          <w:sz w:val="18"/>
          <w:szCs w:val="18"/>
        </w:rPr>
      </w:r>
    </w:p>
    <w:p>
      <w:pPr>
        <w:pStyle w:val="BodyText"/>
        <w:spacing w:line="489" w:lineRule="auto" w:before="83"/>
        <w:ind w:left="510" w:right="94" w:hanging="3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报告期内，公司签署的订单比上年相应增加并执行良好，截至报告期末公司及控股子公司已签约尚未结转收入的合同余</w:t>
      </w:r>
    </w:p>
    <w:p>
      <w:pPr>
        <w:pStyle w:val="BodyText"/>
        <w:spacing w:line="518" w:lineRule="auto" w:before="45"/>
        <w:ind w:left="602" w:right="94" w:hanging="450"/>
        <w:jc w:val="left"/>
      </w:pPr>
      <w:r>
        <w:rPr/>
        <w:t>额约为</w:t>
      </w:r>
      <w:r>
        <w:rPr>
          <w:rFonts w:ascii="宋体" w:hAnsi="宋体" w:cs="宋体" w:eastAsia="宋体" w:hint="default"/>
        </w:rPr>
        <w:t>7.5</w:t>
      </w:r>
      <w:r>
        <w:rPr/>
        <w:t>亿元左右，较年初已签约尚未结转收入余额</w:t>
      </w:r>
      <w:r>
        <w:rPr>
          <w:rFonts w:ascii="宋体" w:hAnsi="宋体" w:cs="宋体" w:eastAsia="宋体" w:hint="default"/>
        </w:rPr>
        <w:t>5.45</w:t>
      </w:r>
      <w:r>
        <w:rPr/>
        <w:t>亿元增长</w:t>
      </w:r>
      <w:r>
        <w:rPr>
          <w:rFonts w:ascii="宋体" w:hAnsi="宋体" w:cs="宋体" w:eastAsia="宋体" w:hint="default"/>
        </w:rPr>
        <w:t>37.61%</w:t>
      </w:r>
      <w:r>
        <w:rPr/>
        <w:t>，具体如下： </w:t>
      </w:r>
      <w:r>
        <w:rPr>
          <w:rFonts w:ascii="宋体" w:hAnsi="宋体" w:cs="宋体" w:eastAsia="宋体" w:hint="default"/>
          <w:spacing w:val="-2"/>
        </w:rPr>
        <w:t>1</w:t>
      </w:r>
      <w:r>
        <w:rPr>
          <w:spacing w:val="-2"/>
        </w:rPr>
        <w:t>、截止</w:t>
      </w:r>
      <w:r>
        <w:rPr>
          <w:rFonts w:ascii="宋体" w:hAnsi="宋体" w:cs="宋体" w:eastAsia="宋体" w:hint="default"/>
          <w:spacing w:val="-2"/>
        </w:rPr>
        <w:t>2012</w:t>
      </w:r>
      <w:r>
        <w:rPr>
          <w:spacing w:val="-2"/>
        </w:rPr>
        <w:t>年末，公司运维管理业务已签约尚未结转收入的合同余额约为</w:t>
      </w:r>
      <w:r>
        <w:rPr>
          <w:rFonts w:ascii="宋体" w:hAnsi="宋体" w:cs="宋体" w:eastAsia="宋体" w:hint="default"/>
          <w:spacing w:val="-2"/>
        </w:rPr>
        <w:t>6.71</w:t>
      </w:r>
      <w:r>
        <w:rPr>
          <w:spacing w:val="-2"/>
        </w:rPr>
        <w:t>亿元，其中，运维管理解决方案未确认</w:t>
      </w:r>
    </w:p>
    <w:p>
      <w:pPr>
        <w:pStyle w:val="BodyText"/>
        <w:spacing w:line="516" w:lineRule="auto" w:before="24"/>
        <w:ind w:left="510" w:right="186" w:hanging="359"/>
        <w:jc w:val="left"/>
        <w:rPr>
          <w:rFonts w:ascii="宋体" w:hAnsi="宋体" w:cs="宋体" w:eastAsia="宋体" w:hint="default"/>
        </w:rPr>
      </w:pPr>
      <w:r>
        <w:rPr/>
        <w:t>收入的合同金额</w:t>
      </w:r>
      <w:r>
        <w:rPr>
          <w:rFonts w:ascii="宋体" w:hAnsi="宋体" w:cs="宋体" w:eastAsia="宋体" w:hint="default"/>
        </w:rPr>
        <w:t>6</w:t>
      </w:r>
      <w:r>
        <w:rPr/>
        <w:t>亿元、宁波普天拨测类业务未确认收入合同金额</w:t>
      </w:r>
      <w:r>
        <w:rPr>
          <w:rFonts w:ascii="宋体" w:hAnsi="宋体" w:cs="宋体" w:eastAsia="宋体" w:hint="default"/>
        </w:rPr>
        <w:t>4,400</w:t>
      </w:r>
      <w:r>
        <w:rPr/>
        <w:t>万元；系统集成购销合同余额</w:t>
      </w:r>
      <w:r>
        <w:rPr>
          <w:rFonts w:ascii="宋体" w:hAnsi="宋体" w:cs="宋体" w:eastAsia="宋体" w:hint="default"/>
        </w:rPr>
        <w:t>2,700</w:t>
      </w:r>
      <w:r>
        <w:rPr/>
        <w:t>万元。</w:t>
      </w:r>
      <w:r>
        <w:rPr>
          <w:spacing w:val="-87"/>
        </w:rPr>
        <w:t> </w:t>
      </w:r>
      <w:r>
        <w:rPr>
          <w:rFonts w:ascii="宋体" w:hAnsi="宋体" w:cs="宋体" w:eastAsia="宋体" w:hint="default"/>
        </w:rPr>
        <w:t>2</w:t>
      </w:r>
      <w:r>
        <w:rPr/>
        <w:t>、互联网开发运营类业务已签约尚未结转收入的合同余额约为</w:t>
      </w:r>
      <w:r>
        <w:rPr>
          <w:rFonts w:ascii="宋体" w:hAnsi="宋体" w:cs="宋体" w:eastAsia="宋体" w:hint="default"/>
        </w:rPr>
        <w:t>7,840</w:t>
      </w:r>
      <w:r>
        <w:rPr/>
        <w:t>万元，其中飞信开发支撑业务的合同金额为</w:t>
      </w:r>
      <w:r>
        <w:rPr>
          <w:rFonts w:ascii="宋体" w:hAnsi="宋体" w:cs="宋体" w:eastAsia="宋体" w:hint="default"/>
        </w:rPr>
        <w:t>6,400</w:t>
      </w:r>
    </w:p>
    <w:p>
      <w:pPr>
        <w:pStyle w:val="BodyText"/>
        <w:spacing w:line="518" w:lineRule="auto" w:before="25"/>
        <w:ind w:left="510" w:right="186" w:hanging="359"/>
        <w:jc w:val="left"/>
      </w:pPr>
      <w:r>
        <w:rPr/>
        <w:t>万元；农信通开发运营支撑合同金额为</w:t>
      </w:r>
      <w:r>
        <w:rPr>
          <w:rFonts w:ascii="宋体" w:hAnsi="宋体" w:cs="宋体" w:eastAsia="宋体" w:hint="default"/>
        </w:rPr>
        <w:t>700</w:t>
      </w:r>
      <w:r>
        <w:rPr/>
        <w:t>万元；其它互联网开发运营类业务合同金额</w:t>
      </w:r>
      <w:r>
        <w:rPr>
          <w:rFonts w:ascii="宋体" w:hAnsi="宋体" w:cs="宋体" w:eastAsia="宋体" w:hint="default"/>
        </w:rPr>
        <w:t>740</w:t>
      </w:r>
      <w:r>
        <w:rPr/>
        <w:t>万元。 另外，</w:t>
      </w:r>
      <w:r>
        <w:rPr>
          <w:rFonts w:ascii="宋体" w:hAnsi="宋体" w:cs="宋体" w:eastAsia="宋体" w:hint="default"/>
        </w:rPr>
        <w:t>2013</w:t>
      </w:r>
      <w:r>
        <w:rPr/>
        <w:t>年</w:t>
      </w:r>
      <w:r>
        <w:rPr>
          <w:rFonts w:ascii="宋体" w:hAnsi="宋体" w:cs="宋体" w:eastAsia="宋体" w:hint="default"/>
        </w:rPr>
        <w:t>4</w:t>
      </w:r>
      <w:r>
        <w:rPr/>
        <w:t>月，公司全资子公司新媒传信与中国移动通信集团广东有限公司就</w:t>
      </w: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1</w:t>
      </w:r>
      <w:r>
        <w:rPr/>
        <w:t>日—</w:t>
      </w:r>
      <w:r>
        <w:rPr>
          <w:rFonts w:ascii="宋体" w:hAnsi="宋体" w:cs="宋体" w:eastAsia="宋体" w:hint="default"/>
        </w:rPr>
        <w:t>2013</w:t>
      </w:r>
      <w:r>
        <w:rPr/>
        <w:t>年</w:t>
      </w:r>
      <w:r>
        <w:rPr>
          <w:rFonts w:ascii="宋体" w:hAnsi="宋体" w:cs="宋体" w:eastAsia="宋体" w:hint="default"/>
        </w:rPr>
        <w:t>6</w:t>
      </w:r>
      <w:r>
        <w:rPr/>
        <w:t>月</w:t>
      </w:r>
      <w:r>
        <w:rPr>
          <w:rFonts w:ascii="宋体" w:hAnsi="宋体" w:cs="宋体" w:eastAsia="宋体" w:hint="default"/>
        </w:rPr>
        <w:t>30</w:t>
      </w:r>
      <w:r>
        <w:rPr/>
        <w:t>日期间</w:t>
      </w:r>
    </w:p>
    <w:p>
      <w:pPr>
        <w:pStyle w:val="BodyText"/>
        <w:spacing w:line="477" w:lineRule="auto" w:before="23"/>
        <w:ind w:right="184"/>
        <w:jc w:val="left"/>
      </w:pPr>
      <w:r>
        <w:rPr/>
        <w:t>的飞信系统开发与支撑工作的商务已经确定，总金额约为</w:t>
      </w:r>
      <w:r>
        <w:rPr>
          <w:rFonts w:ascii="宋体" w:hAnsi="宋体" w:cs="宋体" w:eastAsia="宋体" w:hint="default"/>
        </w:rPr>
        <w:t>3.24</w:t>
      </w:r>
      <w:r>
        <w:rPr/>
        <w:t>亿元，其中：（</w:t>
      </w:r>
      <w:r>
        <w:rPr>
          <w:rFonts w:ascii="宋体" w:hAnsi="宋体" w:cs="宋体" w:eastAsia="宋体" w:hint="default"/>
        </w:rPr>
        <w:t>1</w:t>
      </w:r>
      <w:r>
        <w:rPr/>
        <w:t>）</w:t>
      </w: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1</w:t>
      </w:r>
      <w:r>
        <w:rPr/>
        <w:t>日至</w:t>
      </w:r>
      <w:r>
        <w:rPr>
          <w:rFonts w:ascii="宋体" w:hAnsi="宋体" w:cs="宋体" w:eastAsia="宋体" w:hint="default"/>
        </w:rPr>
        <w:t>2013</w:t>
      </w:r>
      <w:r>
        <w:rPr/>
        <w:t>年</w:t>
      </w:r>
      <w:r>
        <w:rPr>
          <w:rFonts w:ascii="宋体" w:hAnsi="宋体" w:cs="宋体" w:eastAsia="宋体" w:hint="default"/>
        </w:rPr>
        <w:t>4</w:t>
      </w:r>
      <w:r>
        <w:rPr/>
        <w:t>月</w:t>
      </w:r>
      <w:r>
        <w:rPr>
          <w:rFonts w:ascii="宋体" w:hAnsi="宋体" w:cs="宋体" w:eastAsia="宋体" w:hint="default"/>
        </w:rPr>
        <w:t>30</w:t>
      </w:r>
      <w:r>
        <w:rPr/>
        <w:t>日为飞信业 </w:t>
      </w:r>
      <w:r>
        <w:rPr>
          <w:spacing w:val="-2"/>
        </w:rPr>
        <w:t>务的开发与支撑工作，服务费用金额约为</w:t>
      </w:r>
      <w:r>
        <w:rPr>
          <w:rFonts w:ascii="宋体" w:hAnsi="宋体" w:cs="宋体" w:eastAsia="宋体" w:hint="default"/>
          <w:spacing w:val="-2"/>
        </w:rPr>
        <w:t>2.93</w:t>
      </w:r>
      <w:r>
        <w:rPr>
          <w:spacing w:val="-2"/>
        </w:rPr>
        <w:t>亿元；（</w:t>
      </w:r>
      <w:r>
        <w:rPr>
          <w:rFonts w:ascii="宋体" w:hAnsi="宋体" w:cs="宋体" w:eastAsia="宋体" w:hint="default"/>
          <w:spacing w:val="-2"/>
        </w:rPr>
        <w:t>2</w:t>
      </w:r>
      <w:r>
        <w:rPr>
          <w:spacing w:val="-2"/>
        </w:rPr>
        <w:t>）</w:t>
      </w:r>
      <w:r>
        <w:rPr>
          <w:rFonts w:ascii="宋体" w:hAnsi="宋体" w:cs="宋体" w:eastAsia="宋体" w:hint="default"/>
          <w:spacing w:val="-2"/>
        </w:rPr>
        <w:t>2013</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2013</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30</w:t>
      </w:r>
      <w:r>
        <w:rPr>
          <w:spacing w:val="-2"/>
        </w:rPr>
        <w:t>日为配合招标工作过渡阶段的保障服</w:t>
      </w:r>
    </w:p>
    <w:p>
      <w:pPr>
        <w:spacing w:after="0" w:line="477" w:lineRule="auto"/>
        <w:jc w:val="left"/>
        <w:sectPr>
          <w:pgSz w:w="11910" w:h="16840"/>
          <w:pgMar w:header="852" w:footer="980" w:top="1340" w:bottom="1160" w:left="980" w:right="940"/>
        </w:sectPr>
      </w:pPr>
    </w:p>
    <w:p>
      <w:pPr>
        <w:spacing w:line="240" w:lineRule="auto" w:before="6"/>
        <w:rPr>
          <w:rFonts w:ascii="宋体" w:hAnsi="宋体" w:cs="宋体" w:eastAsia="宋体" w:hint="default"/>
          <w:sz w:val="10"/>
          <w:szCs w:val="10"/>
        </w:rPr>
      </w:pPr>
    </w:p>
    <w:p>
      <w:pPr>
        <w:spacing w:line="518" w:lineRule="auto" w:before="44"/>
        <w:ind w:left="152" w:right="5457" w:firstLine="0"/>
        <w:jc w:val="left"/>
        <w:rPr>
          <w:rFonts w:ascii="宋体" w:hAnsi="宋体" w:cs="宋体" w:eastAsia="宋体" w:hint="default"/>
          <w:sz w:val="18"/>
          <w:szCs w:val="18"/>
        </w:rPr>
      </w:pPr>
      <w:r>
        <w:rPr>
          <w:rFonts w:ascii="宋体" w:hAnsi="宋体" w:cs="宋体" w:eastAsia="宋体" w:hint="default"/>
          <w:sz w:val="18"/>
          <w:szCs w:val="18"/>
        </w:rPr>
        <w:t>务工作，保障工作服务费用合计约为</w:t>
      </w:r>
      <w:r>
        <w:rPr>
          <w:rFonts w:ascii="宋体" w:hAnsi="宋体" w:cs="宋体" w:eastAsia="宋体" w:hint="default"/>
          <w:sz w:val="18"/>
          <w:szCs w:val="18"/>
        </w:rPr>
        <w:t>0.31</w:t>
      </w:r>
      <w:r>
        <w:rPr>
          <w:rFonts w:ascii="宋体" w:hAnsi="宋体" w:cs="宋体" w:eastAsia="宋体" w:hint="default"/>
          <w:sz w:val="18"/>
          <w:szCs w:val="18"/>
        </w:rPr>
        <w:t>亿元。 </w:t>
      </w:r>
      <w:r>
        <w:rPr>
          <w:rFonts w:ascii="宋体" w:hAnsi="宋体" w:cs="宋体" w:eastAsia="宋体" w:hint="default"/>
          <w:b/>
          <w:bCs/>
          <w:sz w:val="18"/>
          <w:szCs w:val="18"/>
        </w:rPr>
        <w:t>公司报告期内产品或服务发生重大变化或调整有关情况</w:t>
      </w:r>
      <w:r>
        <w:rPr>
          <w:rFonts w:ascii="宋体" w:hAnsi="宋体" w:cs="宋体" w:eastAsia="宋体" w:hint="default"/>
          <w:sz w:val="18"/>
          <w:szCs w:val="18"/>
        </w:rPr>
      </w:r>
    </w:p>
    <w:p>
      <w:pPr>
        <w:pStyle w:val="BodyText"/>
        <w:spacing w:line="240" w:lineRule="auto" w:before="62"/>
        <w:ind w:right="545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ind w:right="5457"/>
        <w:jc w:val="left"/>
        <w:rPr>
          <w:b w:val="0"/>
          <w:bCs w:val="0"/>
        </w:rPr>
      </w:pPr>
      <w:r>
        <w:rPr/>
        <w:t>（</w:t>
      </w:r>
      <w:r>
        <w:rPr>
          <w:rFonts w:ascii="Times New Roman" w:hAnsi="Times New Roman" w:cs="Times New Roman" w:eastAsia="Times New Roman" w:hint="default"/>
        </w:rPr>
        <w:t>2</w:t>
      </w:r>
      <w:r>
        <w:rPr/>
        <w:t>）成本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7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8"/>
        <w:gridCol w:w="1217"/>
        <w:gridCol w:w="1904"/>
        <w:gridCol w:w="1200"/>
        <w:gridCol w:w="1777"/>
        <w:gridCol w:w="1330"/>
      </w:tblGrid>
      <w:tr>
        <w:trPr>
          <w:trHeight w:val="401"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行业分类</w:t>
            </w:r>
          </w:p>
        </w:tc>
        <w:tc>
          <w:tcPr>
            <w:tcW w:w="31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403"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0"/>
              <w:jc w:val="right"/>
              <w:rPr>
                <w:rFonts w:ascii="宋体" w:hAnsi="宋体" w:cs="宋体" w:eastAsia="宋体" w:hint="default"/>
                <w:sz w:val="18"/>
                <w:szCs w:val="18"/>
              </w:rPr>
            </w:pPr>
            <w:r>
              <w:rPr>
                <w:rFonts w:ascii="宋体" w:hAnsi="宋体" w:cs="宋体" w:eastAsia="宋体" w:hint="default"/>
                <w:spacing w:val="-1"/>
                <w:sz w:val="18"/>
                <w:szCs w:val="18"/>
              </w:rPr>
              <w:t>占营业成本比重（</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9"/>
              <w:jc w:val="right"/>
              <w:rPr>
                <w:rFonts w:ascii="宋体" w:hAnsi="宋体" w:cs="宋体" w:eastAsia="宋体" w:hint="default"/>
                <w:sz w:val="18"/>
                <w:szCs w:val="18"/>
              </w:rPr>
            </w:pPr>
            <w:r>
              <w:rPr>
                <w:rFonts w:ascii="宋体" w:hAnsi="宋体" w:cs="宋体" w:eastAsia="宋体" w:hint="default"/>
                <w:spacing w:val="-1"/>
                <w:sz w:val="18"/>
                <w:szCs w:val="18"/>
              </w:rPr>
              <w:t>占营业成本比重（</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33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运维管理业务（解决方案）</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126,038,394.06</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25.64%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99,053,658.11</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26.63%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27.24%</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其中：电信领域</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88,144,029.95</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17.93%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71,093,027.24</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19.11%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23.98%</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金融领域</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10,693,047.90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3,933,126.85</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171.87%</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能源领域</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3,753,930.62</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8,147,249.97</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-53.92%</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政府领域</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2,959,423.34</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12,088,940.71</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-75.52%</w:t>
            </w:r>
          </w:p>
        </w:tc>
      </w:tr>
      <w:tr>
        <w:trPr>
          <w:trHeight w:val="4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z w:val="18"/>
                <w:szCs w:val="18"/>
              </w:rPr>
              <w:t>其他领域</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20,487,962.25</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4.17%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3,791,313.34</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1.02%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440.39%</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运维管理业务（系统集成购 销）</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123,072,024.85</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25.04%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94,126,692.65</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25.31%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30.75%</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互联网运营业务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156,694,824.93</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31.87%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178,589,334.39</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48.01%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-12.26%</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
              <w:jc w:val="right"/>
              <w:rPr>
                <w:rFonts w:ascii="宋体" w:hAnsi="宋体" w:cs="宋体" w:eastAsia="宋体" w:hint="default"/>
                <w:sz w:val="18"/>
                <w:szCs w:val="18"/>
              </w:rPr>
            </w:pPr>
            <w:r>
              <w:rPr>
                <w:rFonts w:ascii="宋体" w:hAnsi="宋体" w:cs="宋体" w:eastAsia="宋体" w:hint="default"/>
                <w:spacing w:val="-1"/>
                <w:sz w:val="18"/>
                <w:szCs w:val="18"/>
              </w:rPr>
              <w:t>其中：飞信开发与运营</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125,956,206.24</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25.62%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164,509,911.20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44.23%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-23.44%</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
              <w:jc w:val="right"/>
              <w:rPr>
                <w:rFonts w:ascii="宋体" w:hAnsi="宋体" w:cs="宋体" w:eastAsia="宋体" w:hint="default"/>
                <w:sz w:val="18"/>
                <w:szCs w:val="18"/>
              </w:rPr>
            </w:pPr>
            <w:r>
              <w:rPr>
                <w:rFonts w:ascii="宋体" w:hAnsi="宋体" w:cs="宋体" w:eastAsia="宋体" w:hint="default"/>
                <w:sz w:val="18"/>
                <w:szCs w:val="18"/>
              </w:rPr>
              <w:t>农网开发与运营</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23,070,430.29</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13,801,131.42</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67.16%</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
              <w:jc w:val="right"/>
              <w:rPr>
                <w:rFonts w:ascii="宋体" w:hAnsi="宋体" w:cs="宋体" w:eastAsia="宋体" w:hint="default"/>
                <w:sz w:val="18"/>
                <w:szCs w:val="18"/>
              </w:rPr>
            </w:pPr>
            <w:r>
              <w:rPr>
                <w:rFonts w:ascii="宋体" w:hAnsi="宋体" w:cs="宋体" w:eastAsia="宋体" w:hint="default"/>
                <w:sz w:val="18"/>
                <w:szCs w:val="18"/>
              </w:rPr>
              <w:t>其他互联网服务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7,668,188.40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278,291.77</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2,655.45%</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电子商务业务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85,744,433.42</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17.44%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156,405.98</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54,721.71%</w:t>
            </w:r>
          </w:p>
        </w:tc>
      </w:tr>
    </w:tbl>
    <w:p>
      <w:pPr>
        <w:spacing w:line="240" w:lineRule="auto" w:before="3"/>
        <w:rPr>
          <w:rFonts w:ascii="宋体" w:hAnsi="宋体" w:cs="宋体" w:eastAsia="宋体" w:hint="default"/>
          <w:sz w:val="19"/>
          <w:szCs w:val="19"/>
        </w:rPr>
      </w:pPr>
    </w:p>
    <w:p>
      <w:pPr>
        <w:pStyle w:val="Heading3"/>
        <w:spacing w:line="240" w:lineRule="auto" w:before="36"/>
        <w:ind w:right="5457"/>
        <w:jc w:val="left"/>
        <w:rPr>
          <w:b w:val="0"/>
          <w:bCs w:val="0"/>
        </w:rPr>
      </w:pPr>
      <w:r>
        <w:rPr/>
        <w:t>（</w:t>
      </w:r>
      <w:r>
        <w:rPr>
          <w:rFonts w:ascii="Times New Roman" w:hAnsi="Times New Roman" w:cs="Times New Roman" w:eastAsia="Times New Roman" w:hint="default"/>
        </w:rPr>
        <w:t>3</w:t>
      </w:r>
      <w:r>
        <w:rPr/>
        <w:t>）费用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71"/>
        <w:jc w:val="right"/>
      </w:pPr>
      <w:r>
        <w:rPr/>
        <w:t>单位：元</w:t>
      </w:r>
    </w:p>
    <w:p>
      <w:pPr>
        <w:spacing w:line="240" w:lineRule="auto" w:before="8"/>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55"/>
        <w:gridCol w:w="2384"/>
        <w:gridCol w:w="2374"/>
        <w:gridCol w:w="2120"/>
      </w:tblGrid>
      <w:tr>
        <w:trPr>
          <w:trHeight w:val="414" w:hRule="exact"/>
        </w:trPr>
        <w:tc>
          <w:tcPr>
            <w:tcW w:w="27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18" w:hRule="exact"/>
        </w:trPr>
        <w:tc>
          <w:tcPr>
            <w:tcW w:w="2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2384" w:type="dxa"/>
            <w:tcBorders>
              <w:top w:val="single" w:sz="7"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84,736,920.43</w:t>
            </w:r>
          </w:p>
        </w:tc>
        <w:tc>
          <w:tcPr>
            <w:tcW w:w="2374"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76,572,761.22</w:t>
            </w:r>
          </w:p>
        </w:tc>
        <w:tc>
          <w:tcPr>
            <w:tcW w:w="2120"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94"/>
              <w:ind w:right="14"/>
              <w:jc w:val="right"/>
              <w:rPr>
                <w:rFonts w:ascii="Times New Roman" w:hAnsi="Times New Roman" w:cs="Times New Roman" w:eastAsia="Times New Roman" w:hint="default"/>
                <w:sz w:val="18"/>
                <w:szCs w:val="18"/>
              </w:rPr>
            </w:pPr>
            <w:r>
              <w:rPr>
                <w:rFonts w:ascii="Times New Roman"/>
                <w:sz w:val="18"/>
              </w:rPr>
              <w:t>10.66%</w:t>
            </w:r>
          </w:p>
        </w:tc>
      </w:tr>
      <w:tr>
        <w:trPr>
          <w:trHeight w:val="401" w:hRule="exact"/>
        </w:trPr>
        <w:tc>
          <w:tcPr>
            <w:tcW w:w="2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3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429,853,567.31</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371,270,061.90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15.78%</w:t>
            </w:r>
          </w:p>
        </w:tc>
      </w:tr>
      <w:tr>
        <w:trPr>
          <w:trHeight w:val="418" w:hRule="exact"/>
        </w:trPr>
        <w:tc>
          <w:tcPr>
            <w:tcW w:w="2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23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-29,536,214.97</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-28,361,777.71</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z w:val="18"/>
              </w:rPr>
              <w:t>4.14%</w:t>
            </w:r>
          </w:p>
        </w:tc>
      </w:tr>
      <w:tr>
        <w:trPr>
          <w:trHeight w:val="418" w:hRule="exact"/>
        </w:trPr>
        <w:tc>
          <w:tcPr>
            <w:tcW w:w="2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所得税</w:t>
            </w:r>
          </w:p>
        </w:tc>
        <w:tc>
          <w:tcPr>
            <w:tcW w:w="23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18,195,239.71</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32,992,592.03</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4"/>
              <w:jc w:val="right"/>
              <w:rPr>
                <w:rFonts w:ascii="Times New Roman" w:hAnsi="Times New Roman" w:cs="Times New Roman" w:eastAsia="Times New Roman" w:hint="default"/>
                <w:sz w:val="18"/>
                <w:szCs w:val="18"/>
              </w:rPr>
            </w:pPr>
            <w:r>
              <w:rPr>
                <w:rFonts w:ascii="Times New Roman"/>
                <w:sz w:val="18"/>
              </w:rPr>
              <w:t>-44.85%</w:t>
            </w:r>
          </w:p>
        </w:tc>
      </w:tr>
    </w:tbl>
    <w:p>
      <w:pPr>
        <w:spacing w:line="240" w:lineRule="auto" w:before="3"/>
        <w:rPr>
          <w:rFonts w:ascii="宋体" w:hAnsi="宋体" w:cs="宋体" w:eastAsia="宋体" w:hint="default"/>
          <w:sz w:val="15"/>
          <w:szCs w:val="15"/>
        </w:rPr>
      </w:pPr>
    </w:p>
    <w:p>
      <w:pPr>
        <w:pStyle w:val="BodyText"/>
        <w:spacing w:line="451" w:lineRule="auto" w:before="44"/>
        <w:ind w:right="168" w:firstLine="360"/>
        <w:jc w:val="both"/>
      </w:pPr>
      <w:r>
        <w:rPr>
          <w:spacing w:val="-2"/>
        </w:rPr>
        <w:t>主要原因为</w:t>
      </w:r>
      <w:r>
        <w:rPr>
          <w:rFonts w:ascii="Times New Roman" w:hAnsi="Times New Roman" w:cs="Times New Roman" w:eastAsia="Times New Roman" w:hint="default"/>
          <w:spacing w:val="-2"/>
        </w:rPr>
        <w:t>2011</w:t>
      </w:r>
      <w:r>
        <w:rPr>
          <w:spacing w:val="-2"/>
        </w:rPr>
        <w:t>年度公司及全资子公司新媒传信企业所得税税率分别按</w:t>
      </w:r>
      <w:r>
        <w:rPr>
          <w:rFonts w:ascii="Times New Roman" w:hAnsi="Times New Roman" w:cs="Times New Roman" w:eastAsia="Times New Roman" w:hint="default"/>
          <w:spacing w:val="-2"/>
        </w:rPr>
        <w:t>15%</w:t>
      </w:r>
      <w:r>
        <w:rPr>
          <w:spacing w:val="-2"/>
        </w:rPr>
        <w:t>、</w:t>
      </w:r>
      <w:r>
        <w:rPr>
          <w:rFonts w:ascii="Times New Roman" w:hAnsi="Times New Roman" w:cs="Times New Roman" w:eastAsia="Times New Roman" w:hint="default"/>
          <w:spacing w:val="-2"/>
        </w:rPr>
        <w:t>12.5%</w:t>
      </w:r>
      <w:r>
        <w:rPr>
          <w:spacing w:val="-2"/>
        </w:rPr>
        <w:t>计算，</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月公司及新媒传信均</w:t>
      </w:r>
      <w:r>
        <w:rPr/>
        <w:t> 被认定为</w:t>
      </w:r>
      <w:r>
        <w:rPr>
          <w:rFonts w:ascii="Times New Roman" w:hAnsi="Times New Roman" w:cs="Times New Roman" w:eastAsia="Times New Roman" w:hint="default"/>
        </w:rPr>
        <w:t>2011-2012</w:t>
      </w:r>
      <w:r>
        <w:rPr/>
        <w:t>年度国家规划布局内重点软件企业，根据相关规定，公司及新媒传信</w:t>
      </w:r>
      <w:r>
        <w:rPr>
          <w:rFonts w:ascii="Times New Roman" w:hAnsi="Times New Roman" w:cs="Times New Roman" w:eastAsia="Times New Roman" w:hint="default"/>
        </w:rPr>
        <w:t>2011</w:t>
      </w:r>
      <w:r>
        <w:rPr/>
        <w:t>年度、</w:t>
      </w:r>
      <w:r>
        <w:rPr>
          <w:rFonts w:ascii="Times New Roman" w:hAnsi="Times New Roman" w:cs="Times New Roman" w:eastAsia="Times New Roman" w:hint="default"/>
        </w:rPr>
        <w:t>2012</w:t>
      </w:r>
      <w:r>
        <w:rPr/>
        <w:t>年度企业所得税税 率按</w:t>
      </w:r>
      <w:r>
        <w:rPr>
          <w:rFonts w:ascii="Times New Roman" w:hAnsi="Times New Roman" w:cs="Times New Roman" w:eastAsia="Times New Roman" w:hint="default"/>
        </w:rPr>
        <w:t>10%</w:t>
      </w:r>
      <w:r>
        <w:rPr/>
        <w:t>执行。</w:t>
      </w:r>
    </w:p>
    <w:p>
      <w:pPr>
        <w:spacing w:after="0" w:line="451" w:lineRule="auto"/>
        <w:jc w:val="both"/>
        <w:sectPr>
          <w:pgSz w:w="11910" w:h="16840"/>
          <w:pgMar w:header="852" w:footer="980" w:top="1340" w:bottom="1160" w:left="980" w:right="960"/>
        </w:sectPr>
      </w:pPr>
    </w:p>
    <w:p>
      <w:pPr>
        <w:pStyle w:val="Heading3"/>
        <w:spacing w:line="240" w:lineRule="auto" w:before="81"/>
        <w:ind w:left="412" w:right="0"/>
        <w:jc w:val="left"/>
        <w:rPr>
          <w:b w:val="0"/>
          <w:bCs w:val="0"/>
        </w:rPr>
      </w:pPr>
      <w:r>
        <w:rPr/>
        <w:t>（</w:t>
      </w:r>
      <w:r>
        <w:rPr>
          <w:rFonts w:ascii="Times New Roman" w:hAnsi="Times New Roman" w:cs="Times New Roman" w:eastAsia="Times New Roman" w:hint="default"/>
        </w:rPr>
        <w:t>4</w:t>
      </w:r>
      <w:r>
        <w:rPr/>
        <w:t>）研发投入</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412" w:right="0" w:firstLine="360"/>
        <w:jc w:val="left"/>
      </w:pPr>
      <w:r>
        <w:rPr>
          <w:spacing w:val="-2"/>
        </w:rPr>
        <w:t>持续的自主创新能力是市场竞争力的核心要素，公司自成立来一直高度重视研发投入力度，近几年研发投入一直都保持</w:t>
      </w:r>
      <w:r>
        <w:rPr/>
        <w:t> 在公司营业收入的</w:t>
      </w:r>
      <w:r>
        <w:rPr>
          <w:rFonts w:ascii="宋体" w:hAnsi="宋体" w:cs="宋体" w:eastAsia="宋体" w:hint="default"/>
        </w:rPr>
        <w:t>10%</w:t>
      </w:r>
      <w:r>
        <w:rPr/>
        <w:t>以上，持续的研发投入为公司巩固和进一步提高技术竞争优势提供了有力的物质保障。</w:t>
      </w:r>
    </w:p>
    <w:p>
      <w:pPr>
        <w:spacing w:line="240" w:lineRule="auto" w:before="1"/>
        <w:rPr>
          <w:rFonts w:ascii="宋体" w:hAnsi="宋体" w:cs="宋体" w:eastAsia="宋体" w:hint="default"/>
          <w:sz w:val="16"/>
          <w:szCs w:val="16"/>
        </w:rPr>
      </w:pPr>
    </w:p>
    <w:p>
      <w:pPr>
        <w:pStyle w:val="Heading5"/>
        <w:spacing w:line="240" w:lineRule="auto"/>
        <w:ind w:left="773" w:right="0"/>
        <w:jc w:val="left"/>
        <w:rPr>
          <w:b w:val="0"/>
          <w:bCs w:val="0"/>
        </w:rPr>
      </w:pPr>
      <w:r>
        <w:rPr/>
        <w:t>近三年公司研发投入金额及占营业收入的比例：</w:t>
      </w:r>
      <w:r>
        <w:rPr>
          <w:b w:val="0"/>
          <w:bCs w:val="0"/>
        </w:rPr>
      </w:r>
    </w:p>
    <w:p>
      <w:pPr>
        <w:spacing w:line="240" w:lineRule="auto" w:before="0"/>
        <w:rPr>
          <w:rFonts w:ascii="宋体" w:hAnsi="宋体" w:cs="宋体" w:eastAsia="宋体" w:hint="default"/>
          <w:b/>
          <w:bCs/>
          <w:sz w:val="23"/>
          <w:szCs w:val="23"/>
        </w:rPr>
      </w:pPr>
    </w:p>
    <w:tbl>
      <w:tblPr>
        <w:tblW w:w="0" w:type="auto"/>
        <w:jc w:val="left"/>
        <w:tblInd w:w="420" w:type="dxa"/>
        <w:tblLayout w:type="fixed"/>
        <w:tblCellMar>
          <w:top w:w="0" w:type="dxa"/>
          <w:left w:w="0" w:type="dxa"/>
          <w:bottom w:w="0" w:type="dxa"/>
          <w:right w:w="0" w:type="dxa"/>
        </w:tblCellMar>
        <w:tblLook w:val="01E0"/>
      </w:tblPr>
      <w:tblGrid>
        <w:gridCol w:w="2369"/>
        <w:gridCol w:w="947"/>
        <w:gridCol w:w="1456"/>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191,502,706.13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173,093,946.37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101,489,366.38</w:t>
            </w:r>
          </w:p>
        </w:tc>
      </w:tr>
      <w:tr>
        <w:trPr>
          <w:trHeight w:val="401" w:hRule="exact"/>
        </w:trPr>
        <w:tc>
          <w:tcPr>
            <w:tcW w:w="2369"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研发投入占营业收入比例（</w:t>
            </w:r>
            <w:r>
              <w:rPr>
                <w:rFonts w:ascii="Times New Roman" w:hAnsi="Times New Roman" w:cs="Times New Roman" w:eastAsia="Times New Roman" w:hint="default"/>
                <w:spacing w:val="-5"/>
                <w:sz w:val="18"/>
                <w:szCs w:val="18"/>
              </w:rPr>
              <w:t>%</w:t>
            </w:r>
          </w:p>
        </w:tc>
        <w:tc>
          <w:tcPr>
            <w:tcW w:w="947" w:type="dxa"/>
            <w:tcBorders>
              <w:top w:val="single" w:sz="4" w:space="0" w:color="000000"/>
              <w:left w:val="single" w:sz="23" w:space="0" w:color="FFFFFF"/>
              <w:bottom w:val="single" w:sz="4" w:space="0" w:color="000000"/>
              <w:right w:val="nil" w:sz="6" w:space="0" w:color="auto"/>
            </w:tcBorders>
          </w:tcPr>
          <w:p>
            <w:pPr/>
          </w:p>
        </w:tc>
        <w:tc>
          <w:tcPr>
            <w:tcW w:w="1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75" w:right="0"/>
              <w:jc w:val="left"/>
              <w:rPr>
                <w:rFonts w:ascii="Times New Roman" w:hAnsi="Times New Roman" w:cs="Times New Roman" w:eastAsia="Times New Roman" w:hint="default"/>
                <w:sz w:val="18"/>
                <w:szCs w:val="18"/>
              </w:rPr>
            </w:pPr>
            <w:r>
              <w:rPr>
                <w:rFonts w:ascii="Times New Roman"/>
                <w:sz w:val="18"/>
              </w:rPr>
              <w:t>13.59%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12.06%</w:t>
            </w:r>
          </w:p>
        </w:tc>
      </w:tr>
    </w:tbl>
    <w:p>
      <w:pPr>
        <w:spacing w:line="240" w:lineRule="auto" w:before="3"/>
        <w:rPr>
          <w:rFonts w:ascii="宋体" w:hAnsi="宋体" w:cs="宋体" w:eastAsia="宋体" w:hint="default"/>
          <w:b/>
          <w:bCs/>
          <w:sz w:val="15"/>
          <w:szCs w:val="15"/>
        </w:rPr>
      </w:pPr>
    </w:p>
    <w:p>
      <w:pPr>
        <w:pStyle w:val="Heading5"/>
        <w:spacing w:line="240" w:lineRule="auto" w:before="44"/>
        <w:ind w:left="773" w:right="0"/>
        <w:jc w:val="left"/>
        <w:rPr>
          <w:b w:val="0"/>
          <w:bCs w:val="0"/>
        </w:rPr>
      </w:pPr>
      <w:r>
        <w:rPr/>
        <w:pict>
          <v:shape style="position:absolute;margin-left:170.300003pt;margin-top:-30.038269pt;width:124.25pt;height:19.6pt;mso-position-horizontal-relative:page;mso-position-vertical-relative:paragraph;z-index:-946960"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177.740005pt;margin-top:-30.038269pt;width:116.8pt;height:19.6pt;mso-position-horizontal-relative:page;mso-position-vertical-relative:paragraph;z-index:-946936" coordorigin="3555,-601" coordsize="2336,392">
            <v:shape style="position:absolute;left:3555;top:-601;width:2336;height:392" coordorigin="3555,-601" coordsize="2336,392" path="m3555,-210l5890,-210,5890,-601,3555,-601,3555,-210xe" filled="true" fillcolor="#ffffff" stroked="false">
              <v:path arrowok="t"/>
              <v:fill type="solid"/>
            </v:shape>
            <w10:wrap type="none"/>
          </v:group>
        </w:pict>
      </w:r>
      <w:r>
        <w:rPr/>
        <w:t>计算机著作权情况：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53"/>
        <w:ind w:left="773" w:right="0"/>
        <w:jc w:val="left"/>
      </w:pPr>
      <w:r>
        <w:rPr/>
        <w:t>截至</w:t>
      </w:r>
      <w:r>
        <w:rPr>
          <w:spacing w:val="-3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年末，公司及其控股子公司合计拥有</w:t>
      </w:r>
      <w:r>
        <w:rPr>
          <w:spacing w:val="-36"/>
        </w:rPr>
        <w:t> </w:t>
      </w:r>
      <w:r>
        <w:rPr>
          <w:rFonts w:ascii="Times New Roman" w:hAnsi="Times New Roman" w:cs="Times New Roman" w:eastAsia="Times New Roman" w:hint="default"/>
        </w:rPr>
        <w:t>457</w:t>
      </w:r>
      <w:r>
        <w:rPr>
          <w:rFonts w:ascii="Times New Roman" w:hAnsi="Times New Roman" w:cs="Times New Roman" w:eastAsia="Times New Roman" w:hint="default"/>
          <w:spacing w:val="10"/>
        </w:rPr>
        <w:t> </w:t>
      </w:r>
      <w:r>
        <w:rPr/>
        <w:t>项计算机软件著作权、</w:t>
      </w:r>
      <w:r>
        <w:rPr>
          <w:rFonts w:ascii="Times New Roman" w:hAnsi="Times New Roman" w:cs="Times New Roman" w:eastAsia="Times New Roman" w:hint="default"/>
        </w:rPr>
        <w:t>123</w:t>
      </w:r>
      <w:r>
        <w:rPr>
          <w:rFonts w:ascii="Times New Roman" w:hAnsi="Times New Roman" w:cs="Times New Roman" w:eastAsia="Times New Roman" w:hint="default"/>
          <w:spacing w:val="10"/>
        </w:rPr>
        <w:t> </w:t>
      </w:r>
      <w:r>
        <w:rPr/>
        <w:t>项产品登记证。其中报告期内，公司新</w:t>
      </w:r>
    </w:p>
    <w:p>
      <w:pPr>
        <w:spacing w:line="240" w:lineRule="auto" w:before="9"/>
        <w:rPr>
          <w:rFonts w:ascii="宋体" w:hAnsi="宋体" w:cs="宋体" w:eastAsia="宋体" w:hint="default"/>
          <w:sz w:val="16"/>
          <w:szCs w:val="16"/>
        </w:rPr>
      </w:pPr>
    </w:p>
    <w:p>
      <w:pPr>
        <w:pStyle w:val="BodyText"/>
        <w:spacing w:line="240" w:lineRule="auto"/>
        <w:ind w:left="412" w:right="0"/>
        <w:jc w:val="left"/>
      </w:pPr>
      <w:r>
        <w:rPr/>
        <w:t>取得</w:t>
      </w:r>
      <w:r>
        <w:rPr>
          <w:spacing w:val="-44"/>
        </w:rPr>
        <w:t> </w:t>
      </w:r>
      <w:r>
        <w:rPr>
          <w:rFonts w:ascii="Times New Roman" w:hAnsi="Times New Roman" w:cs="Times New Roman" w:eastAsia="Times New Roman" w:hint="default"/>
        </w:rPr>
        <w:t>80</w:t>
      </w:r>
      <w:r>
        <w:rPr>
          <w:rFonts w:ascii="Times New Roman" w:hAnsi="Times New Roman" w:cs="Times New Roman" w:eastAsia="Times New Roman" w:hint="default"/>
          <w:spacing w:val="1"/>
        </w:rPr>
        <w:t> </w:t>
      </w:r>
      <w:r>
        <w:rPr/>
        <w:t>项软件著作权。</w:t>
      </w:r>
    </w:p>
    <w:p>
      <w:pPr>
        <w:spacing w:line="240" w:lineRule="auto" w:before="4"/>
        <w:rPr>
          <w:rFonts w:ascii="宋体" w:hAnsi="宋体" w:cs="宋体" w:eastAsia="宋体"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675"/>
        <w:gridCol w:w="3262"/>
        <w:gridCol w:w="3687"/>
        <w:gridCol w:w="1460"/>
        <w:gridCol w:w="1142"/>
      </w:tblGrid>
      <w:tr>
        <w:trPr>
          <w:trHeight w:val="406" w:hRule="exact"/>
        </w:trPr>
        <w:tc>
          <w:tcPr>
            <w:tcW w:w="67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26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36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left="1204" w:right="0"/>
              <w:jc w:val="left"/>
              <w:rPr>
                <w:rFonts w:ascii="宋体" w:hAnsi="宋体" w:cs="宋体" w:eastAsia="宋体" w:hint="default"/>
                <w:sz w:val="18"/>
                <w:szCs w:val="18"/>
              </w:rPr>
            </w:pPr>
            <w:r>
              <w:rPr>
                <w:rFonts w:ascii="宋体" w:hAnsi="宋体" w:cs="宋体" w:eastAsia="宋体" w:hint="default"/>
                <w:b/>
                <w:bCs/>
                <w:sz w:val="18"/>
                <w:szCs w:val="18"/>
              </w:rPr>
              <w:t>产品著作权名称</w:t>
            </w:r>
            <w:r>
              <w:rPr>
                <w:rFonts w:ascii="宋体" w:hAnsi="宋体" w:cs="宋体" w:eastAsia="宋体" w:hint="default"/>
                <w:sz w:val="18"/>
                <w:szCs w:val="18"/>
              </w:rPr>
            </w:r>
          </w:p>
        </w:tc>
        <w:tc>
          <w:tcPr>
            <w:tcW w:w="14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left="454" w:right="0"/>
              <w:jc w:val="left"/>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14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b/>
                <w:bCs/>
                <w:sz w:val="18"/>
                <w:szCs w:val="18"/>
              </w:rPr>
              <w:t>签发日期</w:t>
            </w:r>
            <w:r>
              <w:rPr>
                <w:rFonts w:ascii="宋体" w:hAnsi="宋体" w:cs="宋体" w:eastAsia="宋体" w:hint="default"/>
                <w:sz w:val="18"/>
                <w:szCs w:val="18"/>
              </w:rPr>
            </w:r>
          </w:p>
        </w:tc>
      </w:tr>
      <w:tr>
        <w:trPr>
          <w:trHeight w:val="714"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北京神州泰岳软件股份有限公司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综合分析系统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Ultra-NOAS]</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V3.0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0451308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9"/>
              <w:jc w:val="right"/>
              <w:rPr>
                <w:rFonts w:ascii="Times New Roman" w:hAnsi="Times New Roman" w:cs="Times New Roman" w:eastAsia="Times New Roman" w:hint="default"/>
                <w:sz w:val="18"/>
                <w:szCs w:val="18"/>
              </w:rPr>
            </w:pPr>
            <w:r>
              <w:rPr>
                <w:rFonts w:ascii="Times New Roman"/>
                <w:sz w:val="18"/>
              </w:rPr>
              <w:t>2012.9.4</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北京神州泰岳软件股份有限公司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系统管理软件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Ultra-FIMS]V1.0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0451311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9"/>
              <w:jc w:val="right"/>
              <w:rPr>
                <w:rFonts w:ascii="Times New Roman" w:hAnsi="Times New Roman" w:cs="Times New Roman" w:eastAsia="Times New Roman" w:hint="default"/>
                <w:sz w:val="18"/>
                <w:szCs w:val="18"/>
              </w:rPr>
            </w:pPr>
            <w:r>
              <w:rPr>
                <w:rFonts w:ascii="Times New Roman"/>
                <w:sz w:val="18"/>
              </w:rPr>
              <w:t>2012.9.4</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北京神州泰岳软件股份有限公司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集客支撑软件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Ultra-INFOWIN]V1.0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0451313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9"/>
              <w:jc w:val="right"/>
              <w:rPr>
                <w:rFonts w:ascii="Times New Roman" w:hAnsi="Times New Roman" w:cs="Times New Roman" w:eastAsia="Times New Roman" w:hint="default"/>
                <w:sz w:val="18"/>
                <w:szCs w:val="18"/>
              </w:rPr>
            </w:pPr>
            <w:r>
              <w:rPr>
                <w:rFonts w:ascii="Times New Roman"/>
                <w:sz w:val="18"/>
              </w:rPr>
              <w:t>2012.9.4</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北京神州泰岳软件股份有限公司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综合采集平台软件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Ultra-IDCP]V3.0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0460609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2012.9.27</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北京神州泰岳软件股份有限公司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拓扑监控系统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Ultra-TPMS]</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0460640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2012.9.27</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北京神州泰岳软件股份有限公司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知识管理平台软件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Ultra-KM]V3.0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0460633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2012.9.27</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北京神州泰岳软件股份有限公司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统一配置管理系统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Ultra-CMDB]V3.0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0458138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2012.9.21</w:t>
            </w:r>
          </w:p>
        </w:tc>
      </w:tr>
      <w:tr>
        <w:trPr>
          <w:trHeight w:val="716"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北京神州泰岳软件股份有限公司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10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通</w:t>
            </w:r>
            <w:r>
              <w:rPr>
                <w:rFonts w:ascii="宋体" w:hAnsi="宋体" w:cs="宋体" w:eastAsia="宋体" w:hint="default"/>
                <w:spacing w:val="-9"/>
                <w:sz w:val="18"/>
                <w:szCs w:val="18"/>
              </w:rPr>
              <w:t> </w:t>
            </w:r>
            <w:r>
              <w:rPr>
                <w:rFonts w:ascii="宋体" w:hAnsi="宋体" w:cs="宋体" w:eastAsia="宋体" w:hint="default"/>
                <w:sz w:val="18"/>
                <w:szCs w:val="18"/>
              </w:rPr>
              <w:t>用</w:t>
            </w:r>
            <w:r>
              <w:rPr>
                <w:rFonts w:ascii="宋体" w:hAnsi="宋体" w:cs="宋体" w:eastAsia="宋体" w:hint="default"/>
                <w:spacing w:val="-9"/>
                <w:sz w:val="18"/>
                <w:szCs w:val="18"/>
              </w:rPr>
              <w:t> </w:t>
            </w:r>
            <w:r>
              <w:rPr>
                <w:rFonts w:ascii="宋体" w:hAnsi="宋体" w:cs="宋体" w:eastAsia="宋体" w:hint="default"/>
                <w:sz w:val="18"/>
                <w:szCs w:val="18"/>
              </w:rPr>
              <w:t>服</w:t>
            </w:r>
            <w:r>
              <w:rPr>
                <w:rFonts w:ascii="宋体" w:hAnsi="宋体" w:cs="宋体" w:eastAsia="宋体" w:hint="default"/>
                <w:spacing w:val="-9"/>
                <w:sz w:val="18"/>
                <w:szCs w:val="18"/>
              </w:rPr>
              <w:t> </w:t>
            </w:r>
            <w:r>
              <w:rPr>
                <w:rFonts w:ascii="宋体" w:hAnsi="宋体" w:cs="宋体" w:eastAsia="宋体" w:hint="default"/>
                <w:sz w:val="18"/>
                <w:szCs w:val="18"/>
              </w:rPr>
              <w:t>务</w:t>
            </w:r>
            <w:r>
              <w:rPr>
                <w:rFonts w:ascii="宋体" w:hAnsi="宋体" w:cs="宋体" w:eastAsia="宋体" w:hint="default"/>
                <w:spacing w:val="-7"/>
                <w:sz w:val="18"/>
                <w:szCs w:val="18"/>
              </w:rPr>
              <w:t> </w:t>
            </w:r>
            <w:r>
              <w:rPr>
                <w:rFonts w:ascii="宋体" w:hAnsi="宋体" w:cs="宋体" w:eastAsia="宋体" w:hint="default"/>
                <w:sz w:val="18"/>
                <w:szCs w:val="18"/>
              </w:rPr>
              <w:t>流</w:t>
            </w:r>
            <w:r>
              <w:rPr>
                <w:rFonts w:ascii="宋体" w:hAnsi="宋体" w:cs="宋体" w:eastAsia="宋体" w:hint="default"/>
                <w:spacing w:val="-9"/>
                <w:sz w:val="18"/>
                <w:szCs w:val="18"/>
              </w:rPr>
              <w:t> </w:t>
            </w:r>
            <w:r>
              <w:rPr>
                <w:rFonts w:ascii="宋体" w:hAnsi="宋体" w:cs="宋体" w:eastAsia="宋体" w:hint="default"/>
                <w:sz w:val="18"/>
                <w:szCs w:val="18"/>
              </w:rPr>
              <w:t>程</w:t>
            </w:r>
            <w:r>
              <w:rPr>
                <w:rFonts w:ascii="宋体" w:hAnsi="宋体" w:cs="宋体" w:eastAsia="宋体" w:hint="default"/>
                <w:spacing w:val="-9"/>
                <w:sz w:val="18"/>
                <w:szCs w:val="18"/>
              </w:rPr>
              <w:t> </w:t>
            </w:r>
            <w:r>
              <w:rPr>
                <w:rFonts w:ascii="宋体" w:hAnsi="宋体" w:cs="宋体" w:eastAsia="宋体" w:hint="default"/>
                <w:sz w:val="18"/>
                <w:szCs w:val="18"/>
              </w:rPr>
              <w:t>管</w:t>
            </w:r>
            <w:r>
              <w:rPr>
                <w:rFonts w:ascii="宋体" w:hAnsi="宋体" w:cs="宋体" w:eastAsia="宋体" w:hint="default"/>
                <w:spacing w:val="-9"/>
                <w:sz w:val="18"/>
                <w:szCs w:val="18"/>
              </w:rPr>
              <w:t> </w:t>
            </w:r>
            <w:r>
              <w:rPr>
                <w:rFonts w:ascii="宋体" w:hAnsi="宋体" w:cs="宋体" w:eastAsia="宋体" w:hint="default"/>
                <w:sz w:val="18"/>
                <w:szCs w:val="18"/>
              </w:rPr>
              <w:t>理</w:t>
            </w:r>
            <w:r>
              <w:rPr>
                <w:rFonts w:ascii="宋体" w:hAnsi="宋体" w:cs="宋体" w:eastAsia="宋体" w:hint="default"/>
                <w:spacing w:val="-7"/>
                <w:sz w:val="18"/>
                <w:szCs w:val="18"/>
              </w:rPr>
              <w:t> </w:t>
            </w:r>
            <w:r>
              <w:rPr>
                <w:rFonts w:ascii="宋体" w:hAnsi="宋体" w:cs="宋体" w:eastAsia="宋体" w:hint="default"/>
                <w:sz w:val="18"/>
                <w:szCs w:val="18"/>
              </w:rPr>
              <w:t>软</w:t>
            </w:r>
            <w:r>
              <w:rPr>
                <w:rFonts w:ascii="宋体" w:hAnsi="宋体" w:cs="宋体" w:eastAsia="宋体" w:hint="default"/>
                <w:spacing w:val="-7"/>
                <w:sz w:val="18"/>
                <w:szCs w:val="18"/>
              </w:rPr>
              <w:t> </w:t>
            </w:r>
            <w:r>
              <w:rPr>
                <w:rFonts w:ascii="宋体" w:hAnsi="宋体" w:cs="宋体" w:eastAsia="宋体" w:hint="default"/>
                <w:sz w:val="18"/>
                <w:szCs w:val="18"/>
              </w:rPr>
              <w:t>件</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pacing w:val="54"/>
                <w:sz w:val="18"/>
                <w:szCs w:val="18"/>
              </w:rPr>
              <w:t>简称：</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Ultra-Uflow]V4.0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0458050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2012.9.21</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北京神州泰岳软件股份有限公司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区域监控软件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Ultra-SIMS]V1.0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0457687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2012.9.20</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10</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北京神州泰岳软件股份有限公司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集中性能监控系统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Ultra-CPMS]V1.0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0457779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2012.9.20</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新媒农信合作方自助服务系统</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w:t>
            </w:r>
            <w:r>
              <w:rPr>
                <w:rFonts w:ascii="宋体" w:hAnsi="宋体" w:cs="宋体" w:eastAsia="宋体" w:hint="default"/>
                <w:sz w:val="18"/>
                <w:szCs w:val="18"/>
              </w:rPr>
              <w:t>登</w:t>
            </w:r>
            <w:r>
              <w:rPr>
                <w:rFonts w:ascii="宋体" w:hAnsi="宋体" w:cs="宋体" w:eastAsia="宋体" w:hint="default"/>
                <w:spacing w:val="-3"/>
                <w:sz w:val="18"/>
                <w:szCs w:val="18"/>
              </w:rPr>
              <w:t> </w:t>
            </w:r>
            <w:r>
              <w:rPr>
                <w:rFonts w:ascii="宋体" w:hAnsi="宋体" w:cs="宋体" w:eastAsia="宋体" w:hint="default"/>
                <w:spacing w:val="86"/>
                <w:sz w:val="18"/>
                <w:szCs w:val="18"/>
              </w:rPr>
              <w:t>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0473704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2012.9.18</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40" w:bottom="1160" w:left="720" w:right="720"/>
        </w:sectPr>
      </w:pPr>
    </w:p>
    <w:tbl>
      <w:tblPr>
        <w:tblW w:w="0" w:type="auto"/>
        <w:jc w:val="left"/>
        <w:tblInd w:w="115" w:type="dxa"/>
        <w:tblLayout w:type="fixed"/>
        <w:tblCellMar>
          <w:top w:w="0" w:type="dxa"/>
          <w:left w:w="0" w:type="dxa"/>
          <w:bottom w:w="0" w:type="dxa"/>
          <w:right w:w="0" w:type="dxa"/>
        </w:tblCellMar>
        <w:tblLook w:val="01E0"/>
      </w:tblPr>
      <w:tblGrid>
        <w:gridCol w:w="675"/>
        <w:gridCol w:w="3262"/>
        <w:gridCol w:w="3687"/>
        <w:gridCol w:w="1460"/>
        <w:gridCol w:w="1142"/>
      </w:tblGrid>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12</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新媒农信业务办理平台</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0473623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2012.9.18</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13</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新媒农信二线客户运营支撑系统</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0473627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2012.9.18</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14</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新媒农信运维监控系统</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0473632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2012.9.18</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15</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新媒农信业务信息管理平台</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0473635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2012.9.18</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16</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新媒农信田园生活汇采编下发系统</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0473639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2012.9.18</w:t>
            </w:r>
          </w:p>
        </w:tc>
      </w:tr>
      <w:tr>
        <w:trPr>
          <w:trHeight w:val="716"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17</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新媒农信个性化定制管理系统</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0473867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2012.9.18</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18</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新媒农信业务支撑系统</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0473870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2012.9.18</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19</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新媒农信动态记录系统</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0473873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2012.9.18</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20</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新媒农信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Ibatis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映射文件生成软件</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0473875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2012.9.18</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21</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新媒农信信息查询系统</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0473804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2012.9.18</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22</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新媒农信专题模块化系统</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0473806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2012.9.18</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23</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北京神州泰岳软件股份有限公司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二次分析软件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Ultra-InsideAnalysis]V3.0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0450530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2012.9.1</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24</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北京神州泰岳软件股份有限公司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概况监控软件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Ultra-NOMS]V1.0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0450322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2012.9.1</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25</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新媒农信短彩信平台系统</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0427744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2012.7.5</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26</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新媒农信远程过程调用软件</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0427742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2012.7.5</w:t>
            </w:r>
          </w:p>
        </w:tc>
      </w:tr>
      <w:tr>
        <w:trPr>
          <w:trHeight w:val="716"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27</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新媒农信用户短信上行信息分发系统</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0427749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2012.7.5</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28</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新媒农信产品订购软件</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0427747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2012.7.5</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29</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新媒农信集群短信适配器系统</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0427746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2012.7.5</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30</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新媒农信农产品供求系统</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0437275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2012.7.31</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80" w:top="1440" w:bottom="1160" w:left="720" w:right="720"/>
        </w:sectPr>
      </w:pPr>
    </w:p>
    <w:tbl>
      <w:tblPr>
        <w:tblW w:w="0" w:type="auto"/>
        <w:jc w:val="left"/>
        <w:tblInd w:w="115" w:type="dxa"/>
        <w:tblLayout w:type="fixed"/>
        <w:tblCellMar>
          <w:top w:w="0" w:type="dxa"/>
          <w:left w:w="0" w:type="dxa"/>
          <w:bottom w:w="0" w:type="dxa"/>
          <w:right w:w="0" w:type="dxa"/>
        </w:tblCellMar>
        <w:tblLook w:val="01E0"/>
      </w:tblPr>
      <w:tblGrid>
        <w:gridCol w:w="675"/>
        <w:gridCol w:w="3262"/>
        <w:gridCol w:w="3687"/>
        <w:gridCol w:w="1460"/>
        <w:gridCol w:w="1142"/>
      </w:tblGrid>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31</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新媒农信分布式应用程序记录采集系统</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0437284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2012.7.31</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32</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新媒农信高吞吐量服务器调度系统</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0437277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2012.7.31</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33</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新媒农信海量数据快速检索系统</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0422658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2012.6.26</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34</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新媒农信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ORACLE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数据库集中管理系统</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0422879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2012.6.25</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35</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北京神州泰岳软件股份有限公司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网络巡逻兵软件</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Ultra-Netpatrol_V2.0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0421833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2012.6.20</w:t>
            </w:r>
          </w:p>
        </w:tc>
      </w:tr>
      <w:tr>
        <w:trPr>
          <w:trHeight w:val="716"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36</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北京神州泰岳软件股份有限公司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路测数据管理分析系统</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Ultra-DTAS</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V2.0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0421619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2012.6.20</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37</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北京神州泰岳软件股份有限公司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路测数据管理系统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Ultra-DTMS</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V2.0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0421476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2012.6.20</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38</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北京神州泰岳软件股份有限公司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扫频数据分析系统</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Ultra-SFAS</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V2.0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0421824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2012.6.20</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39</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新媒农信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EXCEL</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数据模板转换软件</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0413549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2012.5.31</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40</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北京神州泰岳软件股份有限公司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103" w:right="103"/>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企业综合安全审计系统</w:t>
            </w:r>
            <w:r>
              <w:rPr>
                <w:rFonts w:ascii="宋体" w:hAnsi="宋体" w:cs="宋体" w:eastAsia="宋体" w:hint="default"/>
                <w:spacing w:val="29"/>
                <w:sz w:val="18"/>
                <w:szCs w:val="18"/>
              </w:rPr>
              <w:t> </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Ultra-ESA]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V2.0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0397684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2012.4.17</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41</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新媒农信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ORM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分布式业务开发系统</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0386890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2012.3.12</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42</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新媒农信后向业务能力总线平台系统</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0386888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2012.3.12</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43</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新媒农信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Javascript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表单验证软件</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0386882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2012.3.12</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44</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新媒农信短彩信生存及下发系统软件</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0386885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2012.3.12</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45</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新媒农信多线程和并发测试模拟器软件</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0386893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2012.3.12</w:t>
            </w:r>
          </w:p>
        </w:tc>
      </w:tr>
      <w:tr>
        <w:trPr>
          <w:trHeight w:val="716"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46</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网页嵌入式消息同步系统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0377849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2012.2.15</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47</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网页版消息同步系统</w:t>
            </w:r>
            <w:r>
              <w:rPr>
                <w:rFonts w:ascii="Times New Roman" w:hAnsi="Times New Roman" w:cs="Times New Roman" w:eastAsia="Times New Roman" w:hint="default"/>
                <w:sz w:val="18"/>
                <w:szCs w:val="18"/>
              </w:rPr>
              <w:t>[Feinno-WI]</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0377859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2012.2.15</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48</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分享一下</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系统</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99"/>
                <w:sz w:val="18"/>
                <w:szCs w:val="18"/>
              </w:rPr>
              <w:t>F</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w w:val="99"/>
                <w:sz w:val="18"/>
                <w:szCs w:val="18"/>
              </w:rPr>
              <w:t>w</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pacing w:val="1"/>
                <w:w w:val="99"/>
                <w:sz w:val="18"/>
                <w:szCs w:val="18"/>
              </w:rPr>
              <w:t>V</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0377861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2012.2.15</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49</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Web</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短信中心系统</w:t>
            </w:r>
            <w:r>
              <w:rPr>
                <w:rFonts w:ascii="Times New Roman" w:hAnsi="Times New Roman" w:cs="Times New Roman" w:eastAsia="Times New Roman" w:hint="default"/>
                <w:sz w:val="18"/>
                <w:szCs w:val="18"/>
              </w:rPr>
              <w:t>[Feinno-WSMSC]V1.0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0377864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2012.2.15</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440" w:bottom="1160" w:left="720" w:right="720"/>
        </w:sectPr>
      </w:pPr>
    </w:p>
    <w:tbl>
      <w:tblPr>
        <w:tblW w:w="0" w:type="auto"/>
        <w:jc w:val="left"/>
        <w:tblInd w:w="115" w:type="dxa"/>
        <w:tblLayout w:type="fixed"/>
        <w:tblCellMar>
          <w:top w:w="0" w:type="dxa"/>
          <w:left w:w="0" w:type="dxa"/>
          <w:bottom w:w="0" w:type="dxa"/>
          <w:right w:w="0" w:type="dxa"/>
        </w:tblCellMar>
        <w:tblLook w:val="01E0"/>
      </w:tblPr>
      <w:tblGrid>
        <w:gridCol w:w="675"/>
        <w:gridCol w:w="3262"/>
        <w:gridCol w:w="3687"/>
        <w:gridCol w:w="1460"/>
        <w:gridCol w:w="1142"/>
      </w:tblGrid>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50</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基于信令的模拟器系统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0377834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2012.2.15</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51</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基于信令的自动化测试系统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0377874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2012.2.15</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52</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手机客户端接入代理服务软件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0377879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2012.2.15</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53</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Symbian </w:t>
            </w:r>
            <w:r>
              <w:rPr>
                <w:rFonts w:ascii="宋体" w:hAnsi="宋体" w:cs="宋体" w:eastAsia="宋体" w:hint="default"/>
                <w:sz w:val="18"/>
                <w:szCs w:val="18"/>
              </w:rPr>
              <w:t>平台软件开发日志记录系统</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0377852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2012.2.15</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54</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2"/>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消息同步应用程序与输入法的嵌入式应用软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件</w:t>
            </w:r>
            <w:r>
              <w:rPr>
                <w:rFonts w:ascii="Times New Roman" w:hAnsi="Times New Roman" w:cs="Times New Roman" w:eastAsia="Times New Roman" w:hint="default"/>
                <w:sz w:val="18"/>
                <w:szCs w:val="18"/>
              </w:rPr>
              <w:t>[Feinno-FSSG]V1.0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0377886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2012.2.15</w:t>
            </w:r>
          </w:p>
        </w:tc>
      </w:tr>
      <w:tr>
        <w:trPr>
          <w:trHeight w:val="716"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55</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公开手机号系统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0377881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2012.2.15</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56</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缓存自定制序列化系统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0377883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2012.2.15</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57</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天气服务温馨提示软件</w:t>
            </w:r>
            <w:r>
              <w:rPr>
                <w:rFonts w:ascii="Times New Roman" w:hAnsi="Times New Roman" w:cs="Times New Roman" w:eastAsia="Times New Roman" w:hint="default"/>
                <w:sz w:val="18"/>
                <w:szCs w:val="18"/>
              </w:rPr>
              <w:t>[Feinno-GWS]V1.0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0377885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2012.2.15</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58</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好友优化系统</w:t>
            </w:r>
            <w:r>
              <w:rPr>
                <w:rFonts w:ascii="Times New Roman" w:hAnsi="Times New Roman" w:cs="Times New Roman" w:eastAsia="Times New Roman" w:hint="default"/>
                <w:sz w:val="18"/>
                <w:szCs w:val="18"/>
              </w:rPr>
              <w:t>[Feinno-BOS]V1.0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0377840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2012.2.15</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59</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群聚合软件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0377842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2012.2.15</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60</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热线系统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0377845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2012.2.15</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61</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可定制的用户界面生成系统</w:t>
            </w:r>
            <w:r>
              <w:rPr>
                <w:rFonts w:ascii="Times New Roman" w:hAnsi="Times New Roman" w:cs="Times New Roman" w:eastAsia="Times New Roman" w:hint="default"/>
                <w:sz w:val="18"/>
                <w:szCs w:val="18"/>
              </w:rPr>
              <w:t>[Feinno-CUIGS]</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0377850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2012.2.15</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62</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软件升级系统</w:t>
            </w:r>
            <w:r>
              <w:rPr>
                <w:rFonts w:ascii="Times New Roman" w:hAnsi="Times New Roman" w:cs="Times New Roman" w:eastAsia="Times New Roman" w:hint="default"/>
                <w:sz w:val="18"/>
                <w:szCs w:val="18"/>
              </w:rPr>
              <w:t>[feinno-SUS]V1.0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0377839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2012.2.15</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63</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 种 分 层 组 件 式 插 件 架 构 系</w:t>
            </w:r>
            <w:r>
              <w:rPr>
                <w:rFonts w:ascii="宋体" w:hAnsi="宋体" w:cs="宋体" w:eastAsia="宋体" w:hint="default"/>
                <w:spacing w:val="39"/>
                <w:sz w:val="18"/>
                <w:szCs w:val="18"/>
              </w:rPr>
              <w:t> </w:t>
            </w:r>
            <w:r>
              <w:rPr>
                <w:rFonts w:ascii="宋体" w:hAnsi="宋体" w:cs="宋体" w:eastAsia="宋体" w:hint="default"/>
                <w:sz w:val="18"/>
                <w:szCs w:val="18"/>
              </w:rPr>
              <w:t>统</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[Feinno-AHFS]V1.0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0377836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2012.2.15</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64</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互联网图片转换系统</w:t>
            </w:r>
            <w:r>
              <w:rPr>
                <w:rFonts w:ascii="Times New Roman" w:hAnsi="Times New Roman" w:cs="Times New Roman" w:eastAsia="Times New Roman" w:hint="default"/>
                <w:sz w:val="18"/>
                <w:szCs w:val="18"/>
              </w:rPr>
              <w:t>[Feinno-FPC]V1.0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0377877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2012.2.15</w:t>
            </w:r>
          </w:p>
        </w:tc>
      </w:tr>
      <w:tr>
        <w:trPr>
          <w:trHeight w:val="716"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65</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一种远程方法调用系统</w:t>
            </w:r>
            <w:r>
              <w:rPr>
                <w:rFonts w:ascii="Times New Roman" w:hAnsi="Times New Roman" w:cs="Times New Roman" w:eastAsia="Times New Roman" w:hint="default"/>
                <w:sz w:val="18"/>
                <w:szCs w:val="18"/>
              </w:rPr>
              <w:t>[Feinno-FRPCS]V1.0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0377865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2012.2.15</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66</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新媒传信办公平台系统</w:t>
            </w:r>
            <w:r>
              <w:rPr>
                <w:rFonts w:ascii="Times New Roman" w:hAnsi="Times New Roman" w:cs="Times New Roman" w:eastAsia="Times New Roman" w:hint="default"/>
                <w:sz w:val="18"/>
                <w:szCs w:val="18"/>
              </w:rPr>
              <w:t>[Feinno-OA]V3.0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0377832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2012.2.15</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67</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自有业务点播系统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0377858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2012.2.15</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68</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短彩信平台服务系统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0377854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2012.2.15</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440" w:bottom="1160" w:left="720" w:right="720"/>
        </w:sectPr>
      </w:pPr>
    </w:p>
    <w:tbl>
      <w:tblPr>
        <w:tblW w:w="0" w:type="auto"/>
        <w:jc w:val="left"/>
        <w:tblInd w:w="115" w:type="dxa"/>
        <w:tblLayout w:type="fixed"/>
        <w:tblCellMar>
          <w:top w:w="0" w:type="dxa"/>
          <w:left w:w="0" w:type="dxa"/>
          <w:bottom w:w="0" w:type="dxa"/>
          <w:right w:w="0" w:type="dxa"/>
        </w:tblCellMar>
        <w:tblLook w:val="01E0"/>
      </w:tblPr>
      <w:tblGrid>
        <w:gridCol w:w="675"/>
        <w:gridCol w:w="3262"/>
        <w:gridCol w:w="3687"/>
        <w:gridCol w:w="1460"/>
        <w:gridCol w:w="1142"/>
      </w:tblGrid>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69</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报文同步枢纽系统</w:t>
            </w:r>
            <w:r>
              <w:rPr>
                <w:rFonts w:ascii="Times New Roman" w:hAnsi="Times New Roman" w:cs="Times New Roman" w:eastAsia="Times New Roman" w:hint="default"/>
                <w:sz w:val="18"/>
                <w:szCs w:val="18"/>
              </w:rPr>
              <w:t>[Feinno-BHS]V1.0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0377872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2012.2.15</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70</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自定义编码规范插件系统</w:t>
            </w:r>
            <w:r>
              <w:rPr>
                <w:rFonts w:ascii="Times New Roman" w:hAnsi="Times New Roman" w:cs="Times New Roman" w:eastAsia="Times New Roman" w:hint="default"/>
                <w:sz w:val="18"/>
                <w:szCs w:val="18"/>
              </w:rPr>
              <w:t>[Feinno-CS]V1.0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0377869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2012.2.15</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71</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连续图片播放工具软件</w:t>
            </w:r>
            <w:r>
              <w:rPr>
                <w:rFonts w:ascii="Times New Roman" w:hAnsi="Times New Roman" w:cs="Times New Roman" w:eastAsia="Times New Roman" w:hint="default"/>
                <w:sz w:val="18"/>
                <w:szCs w:val="18"/>
              </w:rPr>
              <w:t>[Feinno-IP]V1.0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0377873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2012.2.15</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72</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Bossi </w:t>
            </w:r>
            <w:r>
              <w:rPr>
                <w:rFonts w:ascii="宋体" w:hAnsi="宋体" w:cs="宋体" w:eastAsia="宋体" w:hint="default"/>
                <w:sz w:val="18"/>
                <w:szCs w:val="18"/>
              </w:rPr>
              <w:t>开户系统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0377856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2012.2.15</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73</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企业版消息同步开放平台系统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0377876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2012.2.15</w:t>
            </w:r>
          </w:p>
        </w:tc>
      </w:tr>
      <w:tr>
        <w:trPr>
          <w:trHeight w:val="716"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74</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北京神州泰岳软件股份有限公司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告警监控管理系统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Ultra-FMMS]V1.0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0490634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2012.12.11</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75</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北京神州泰岳软件股份有限公司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大屏呈现系统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Ultra-Show]</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V1.0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0466100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2012.10.18</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76</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北京神州泰岳软件股份有限公司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103" w:right="10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用户管理公共服务软件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Ultra-PASM]</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V3.0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0463644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2012.10.12</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77</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北京神州泰岳软件股份有限公司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统一身份管控系统  </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Ultra-IAM]</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V3.0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0397809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2012.04.17</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78</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北京神州泰岳软件股份有限公司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103" w:right="101"/>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综合指令服务引擎软件</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简称：</w:t>
            </w:r>
            <w:r>
              <w:rPr>
                <w:rFonts w:ascii="Times New Roman" w:hAnsi="Times New Roman" w:cs="Times New Roman" w:eastAsia="Times New Roman" w:hint="default"/>
                <w:spacing w:val="6"/>
                <w:sz w:val="18"/>
                <w:szCs w:val="18"/>
              </w:rPr>
              <w:t>Ultra-IASE]</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Times New Roman" w:hAnsi="Times New Roman" w:cs="Times New Roman" w:eastAsia="Times New Roman" w:hint="default"/>
                <w:sz w:val="18"/>
                <w:szCs w:val="18"/>
              </w:rPr>
              <w:t>V3.0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0394300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2012.04.06</w:t>
            </w:r>
          </w:p>
        </w:tc>
      </w:tr>
      <w:tr>
        <w:trPr>
          <w:trHeight w:val="7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79</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北京神州泰岳软件股份有限公司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103" w:right="103"/>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综合维护管理平台软件</w:t>
            </w:r>
            <w:r>
              <w:rPr>
                <w:rFonts w:ascii="Times New Roman" w:hAnsi="Times New Roman" w:cs="Times New Roman" w:eastAsia="Times New Roman" w:hint="default"/>
                <w:spacing w:val="14"/>
                <w:sz w:val="18"/>
                <w:szCs w:val="18"/>
              </w:rPr>
              <w:t>[</w:t>
            </w:r>
            <w:r>
              <w:rPr>
                <w:rFonts w:ascii="Times New Roman" w:hAnsi="Times New Roman" w:cs="Times New Roman" w:eastAsia="Times New Roman" w:hint="default"/>
                <w:spacing w:val="-31"/>
                <w:sz w:val="18"/>
                <w:szCs w:val="18"/>
              </w:rPr>
              <w:t> </w:t>
            </w:r>
            <w:r>
              <w:rPr>
                <w:rFonts w:ascii="宋体" w:hAnsi="宋体" w:cs="宋体" w:eastAsia="宋体" w:hint="default"/>
                <w:spacing w:val="9"/>
                <w:sz w:val="18"/>
                <w:szCs w:val="18"/>
              </w:rPr>
              <w:t>简称：</w:t>
            </w:r>
            <w:r>
              <w:rPr>
                <w:rFonts w:ascii="宋体" w:hAnsi="宋体" w:cs="宋体" w:eastAsia="宋体" w:hint="default"/>
                <w:spacing w:val="-76"/>
                <w:sz w:val="18"/>
                <w:szCs w:val="18"/>
              </w:rPr>
              <w:t> </w:t>
            </w:r>
            <w:r>
              <w:rPr>
                <w:rFonts w:ascii="Times New Roman" w:hAnsi="Times New Roman" w:cs="Times New Roman" w:eastAsia="Times New Roman" w:hint="default"/>
                <w:sz w:val="18"/>
                <w:szCs w:val="18"/>
              </w:rPr>
              <w:t>Ultra-OAS]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V3.0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0394302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2012.04.06</w:t>
            </w:r>
          </w:p>
        </w:tc>
      </w:tr>
      <w:tr>
        <w:trPr>
          <w:trHeight w:val="715"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80</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北京神州泰岳软件股份有限公司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日常运维管理系统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Ultra-DOMS]</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V3.0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6"/>
                <w:sz w:val="18"/>
                <w:szCs w:val="18"/>
              </w:rPr>
              <w:t>软著登字</w:t>
            </w:r>
            <w:r>
              <w:rPr>
                <w:rFonts w:ascii="宋体" w:hAnsi="宋体" w:cs="宋体" w:eastAsia="宋体" w:hint="default"/>
                <w:sz w:val="18"/>
                <w:szCs w:val="18"/>
              </w:rPr>
              <w:t>第</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0393780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2012.04.05</w:t>
            </w:r>
          </w:p>
        </w:tc>
      </w:tr>
    </w:tbl>
    <w:p>
      <w:pPr>
        <w:spacing w:line="240" w:lineRule="auto" w:before="3"/>
        <w:rPr>
          <w:rFonts w:ascii="宋体" w:hAnsi="宋体" w:cs="宋体" w:eastAsia="宋体" w:hint="default"/>
          <w:sz w:val="15"/>
          <w:szCs w:val="15"/>
        </w:rPr>
      </w:pPr>
    </w:p>
    <w:p>
      <w:pPr>
        <w:pStyle w:val="Heading5"/>
        <w:spacing w:line="240" w:lineRule="auto" w:before="44"/>
        <w:ind w:left="773" w:right="0"/>
        <w:jc w:val="left"/>
        <w:rPr>
          <w:b w:val="0"/>
          <w:bCs w:val="0"/>
        </w:rPr>
      </w:pPr>
      <w:r>
        <w:rPr/>
        <w:t>专利情况：</w:t>
      </w:r>
      <w:r>
        <w:rPr>
          <w:b w:val="0"/>
          <w:bCs w:val="0"/>
        </w:rPr>
      </w:r>
    </w:p>
    <w:p>
      <w:pPr>
        <w:spacing w:line="240" w:lineRule="auto" w:before="0"/>
        <w:rPr>
          <w:rFonts w:ascii="宋体" w:hAnsi="宋体" w:cs="宋体" w:eastAsia="宋体" w:hint="default"/>
          <w:b/>
          <w:bCs/>
          <w:sz w:val="18"/>
          <w:szCs w:val="18"/>
        </w:rPr>
      </w:pPr>
    </w:p>
    <w:p>
      <w:pPr>
        <w:pStyle w:val="BodyText"/>
        <w:spacing w:line="477" w:lineRule="auto" w:before="153"/>
        <w:ind w:left="412" w:right="0" w:firstLine="360"/>
        <w:jc w:val="left"/>
      </w:pPr>
      <w:r>
        <w:rPr>
          <w:spacing w:val="-2"/>
        </w:rPr>
        <w:t>公司在加强技术创新的力度的同时，高度重视专利的申请与保护，报告期内，新获专利</w:t>
      </w:r>
      <w:r>
        <w:rPr>
          <w:rFonts w:ascii="宋体" w:hAnsi="宋体" w:cs="宋体" w:eastAsia="宋体" w:hint="default"/>
          <w:spacing w:val="-2"/>
        </w:rPr>
        <w:t>25</w:t>
      </w:r>
      <w:r>
        <w:rPr>
          <w:spacing w:val="-2"/>
        </w:rPr>
        <w:t>项目。截至目前，公司及其控</w:t>
      </w:r>
      <w:r>
        <w:rPr/>
        <w:t> 股子公司合计拥有</w:t>
      </w:r>
      <w:r>
        <w:rPr>
          <w:rFonts w:ascii="宋体" w:hAnsi="宋体" w:cs="宋体" w:eastAsia="宋体" w:hint="default"/>
        </w:rPr>
        <w:t>40</w:t>
      </w:r>
      <w:r>
        <w:rPr/>
        <w:t>项专利、已受理的专利申请</w:t>
      </w:r>
      <w:r>
        <w:rPr>
          <w:rFonts w:ascii="宋体" w:hAnsi="宋体" w:cs="宋体" w:eastAsia="宋体" w:hint="default"/>
        </w:rPr>
        <w:t>483</w:t>
      </w:r>
      <w:r>
        <w:rPr/>
        <w:t>项。已获授权的专利情况：</w:t>
      </w:r>
    </w:p>
    <w:p>
      <w:pPr>
        <w:spacing w:line="240" w:lineRule="auto" w:before="5"/>
        <w:rPr>
          <w:rFonts w:ascii="宋体" w:hAnsi="宋体" w:cs="宋体" w:eastAsia="宋体" w:hint="default"/>
          <w:sz w:val="9"/>
          <w:szCs w:val="9"/>
        </w:rPr>
      </w:pPr>
    </w:p>
    <w:tbl>
      <w:tblPr>
        <w:tblW w:w="0" w:type="auto"/>
        <w:jc w:val="left"/>
        <w:tblInd w:w="321" w:type="dxa"/>
        <w:tblLayout w:type="fixed"/>
        <w:tblCellMar>
          <w:top w:w="0" w:type="dxa"/>
          <w:left w:w="0" w:type="dxa"/>
          <w:bottom w:w="0" w:type="dxa"/>
          <w:right w:w="0" w:type="dxa"/>
        </w:tblCellMar>
        <w:tblLook w:val="01E0"/>
      </w:tblPr>
      <w:tblGrid>
        <w:gridCol w:w="644"/>
        <w:gridCol w:w="3409"/>
        <w:gridCol w:w="1015"/>
        <w:gridCol w:w="1812"/>
        <w:gridCol w:w="1757"/>
        <w:gridCol w:w="1176"/>
      </w:tblGrid>
      <w:tr>
        <w:trPr>
          <w:trHeight w:val="403"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40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b/>
                <w:bCs/>
                <w:sz w:val="18"/>
                <w:szCs w:val="18"/>
              </w:rPr>
              <w:t>内容</w:t>
            </w:r>
            <w:r>
              <w:rPr>
                <w:rFonts w:ascii="宋体" w:hAnsi="宋体" w:cs="宋体" w:eastAsia="宋体" w:hint="default"/>
                <w:sz w:val="18"/>
                <w:szCs w:val="18"/>
              </w:rPr>
            </w:r>
          </w:p>
        </w:tc>
        <w:tc>
          <w:tcPr>
            <w:tcW w:w="101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75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申请人</w:t>
            </w:r>
            <w:r>
              <w:rPr>
                <w:rFonts w:ascii="宋体" w:hAnsi="宋体" w:cs="宋体" w:eastAsia="宋体" w:hint="default"/>
                <w:sz w:val="18"/>
                <w:szCs w:val="18"/>
              </w:rPr>
            </w:r>
          </w:p>
        </w:tc>
        <w:tc>
          <w:tcPr>
            <w:tcW w:w="117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b/>
                <w:bCs/>
                <w:sz w:val="18"/>
                <w:szCs w:val="18"/>
              </w:rPr>
              <w:t>授权公告日</w:t>
            </w:r>
            <w:r>
              <w:rPr>
                <w:rFonts w:ascii="宋体" w:hAnsi="宋体" w:cs="宋体" w:eastAsia="宋体" w:hint="default"/>
                <w:sz w:val="18"/>
                <w:szCs w:val="18"/>
              </w:rPr>
            </w:r>
          </w:p>
        </w:tc>
      </w:tr>
      <w:tr>
        <w:trPr>
          <w:trHeight w:val="713"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105" w:right="98"/>
              <w:jc w:val="left"/>
              <w:rPr>
                <w:rFonts w:ascii="宋体" w:hAnsi="宋体" w:cs="宋体" w:eastAsia="宋体" w:hint="default"/>
                <w:sz w:val="18"/>
                <w:szCs w:val="18"/>
              </w:rPr>
            </w:pPr>
            <w:r>
              <w:rPr>
                <w:rFonts w:ascii="宋体" w:hAnsi="宋体" w:cs="宋体" w:eastAsia="宋体" w:hint="default"/>
                <w:sz w:val="18"/>
                <w:szCs w:val="18"/>
              </w:rPr>
              <w:t>一种基于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SNMP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MPLS-VPN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网络拓扑 的发现方法及系统</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ZL20091237528.X</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北京神州泰岳软件 </w:t>
            </w:r>
            <w:r>
              <w:rPr>
                <w:rFonts w:ascii="宋体" w:hAnsi="宋体" w:cs="宋体" w:eastAsia="宋体" w:hint="default"/>
                <w:sz w:val="18"/>
                <w:szCs w:val="18"/>
              </w:rPr>
              <w:t>股份有限公司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2011-11-30</w:t>
            </w:r>
          </w:p>
        </w:tc>
      </w:tr>
      <w:tr>
        <w:trPr>
          <w:trHeight w:val="715"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6"/>
              <w:jc w:val="center"/>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的话务量分布呈现方法及系统</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ZL20091243047.X</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北京神州泰岳软件 </w:t>
            </w:r>
            <w:r>
              <w:rPr>
                <w:rFonts w:ascii="宋体" w:hAnsi="宋体" w:cs="宋体" w:eastAsia="宋体" w:hint="default"/>
                <w:sz w:val="18"/>
                <w:szCs w:val="18"/>
              </w:rPr>
              <w:t>股份有限公司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2012-1-11</w:t>
            </w:r>
          </w:p>
        </w:tc>
      </w:tr>
      <w:tr>
        <w:trPr>
          <w:trHeight w:val="713"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105"/>
              <w:jc w:val="left"/>
              <w:rPr>
                <w:rFonts w:ascii="宋体" w:hAnsi="宋体" w:cs="宋体" w:eastAsia="宋体" w:hint="default"/>
                <w:sz w:val="18"/>
                <w:szCs w:val="18"/>
              </w:rPr>
            </w:pPr>
            <w:r>
              <w:rPr>
                <w:rFonts w:ascii="宋体" w:hAnsi="宋体" w:cs="宋体" w:eastAsia="宋体" w:hint="default"/>
                <w:spacing w:val="7"/>
                <w:sz w:val="18"/>
                <w:szCs w:val="18"/>
              </w:rPr>
              <w:t>一种利用矩阵展示计算机安全信息的方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法</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ZL20091244090.8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北京神州泰岳软件 </w:t>
            </w:r>
            <w:r>
              <w:rPr>
                <w:rFonts w:ascii="宋体" w:hAnsi="宋体" w:cs="宋体" w:eastAsia="宋体" w:hint="default"/>
                <w:sz w:val="18"/>
                <w:szCs w:val="18"/>
              </w:rPr>
              <w:t>股份有限公司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2012-1-25</w:t>
            </w:r>
          </w:p>
        </w:tc>
      </w:tr>
      <w:tr>
        <w:trPr>
          <w:trHeight w:val="715"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7"/>
              <w:jc w:val="left"/>
              <w:rPr>
                <w:rFonts w:ascii="宋体" w:hAnsi="宋体" w:cs="宋体" w:eastAsia="宋体" w:hint="default"/>
                <w:sz w:val="18"/>
                <w:szCs w:val="18"/>
              </w:rPr>
            </w:pPr>
            <w:r>
              <w:rPr>
                <w:rFonts w:ascii="宋体" w:hAnsi="宋体" w:cs="宋体" w:eastAsia="宋体" w:hint="default"/>
                <w:spacing w:val="7"/>
                <w:sz w:val="18"/>
                <w:szCs w:val="18"/>
              </w:rPr>
              <w:t>一种基于状态机的安全监控关联分析方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法</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ZL20091243576.X</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北京神州泰岳软件 </w:t>
            </w:r>
            <w:r>
              <w:rPr>
                <w:rFonts w:ascii="宋体" w:hAnsi="宋体" w:cs="宋体" w:eastAsia="宋体" w:hint="default"/>
                <w:sz w:val="18"/>
                <w:szCs w:val="18"/>
              </w:rPr>
              <w:t>股份有限公司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2011-12-14</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80" w:top="1440" w:bottom="1160" w:left="720" w:right="720"/>
        </w:sectPr>
      </w:pPr>
    </w:p>
    <w:tbl>
      <w:tblPr>
        <w:tblW w:w="0" w:type="auto"/>
        <w:jc w:val="left"/>
        <w:tblInd w:w="101" w:type="dxa"/>
        <w:tblLayout w:type="fixed"/>
        <w:tblCellMar>
          <w:top w:w="0" w:type="dxa"/>
          <w:left w:w="0" w:type="dxa"/>
          <w:bottom w:w="0" w:type="dxa"/>
          <w:right w:w="0" w:type="dxa"/>
        </w:tblCellMar>
        <w:tblLook w:val="01E0"/>
      </w:tblPr>
      <w:tblGrid>
        <w:gridCol w:w="644"/>
        <w:gridCol w:w="3409"/>
        <w:gridCol w:w="1015"/>
        <w:gridCol w:w="1812"/>
        <w:gridCol w:w="1757"/>
        <w:gridCol w:w="1176"/>
      </w:tblGrid>
      <w:tr>
        <w:trPr>
          <w:trHeight w:val="713"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34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ITSM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系统的动态数据授权</w:t>
            </w:r>
          </w:p>
        </w:tc>
        <w:tc>
          <w:tcPr>
            <w:tcW w:w="10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ZL20091244444.9</w:t>
            </w:r>
          </w:p>
        </w:tc>
        <w:tc>
          <w:tcPr>
            <w:tcW w:w="1757" w:type="dxa"/>
            <w:tcBorders>
              <w:top w:val="nil" w:sz="6" w:space="0" w:color="auto"/>
              <w:left w:val="single" w:sz="4" w:space="0" w:color="000000"/>
              <w:bottom w:val="single" w:sz="4" w:space="0" w:color="000000"/>
              <w:right w:val="single" w:sz="4" w:space="0" w:color="000000"/>
            </w:tcBorders>
          </w:tcPr>
          <w:p>
            <w:pPr>
              <w:pStyle w:val="TableParagraph"/>
              <w:spacing w:line="319" w:lineRule="auto" w:before="49"/>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北京神州泰岳软件 </w:t>
            </w:r>
            <w:r>
              <w:rPr>
                <w:rFonts w:ascii="宋体" w:hAnsi="宋体" w:cs="宋体" w:eastAsia="宋体" w:hint="default"/>
                <w:sz w:val="18"/>
                <w:szCs w:val="18"/>
              </w:rPr>
              <w:t>股份有限公司</w:t>
            </w:r>
          </w:p>
        </w:tc>
        <w:tc>
          <w:tcPr>
            <w:tcW w:w="11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2011-7-27</w:t>
            </w:r>
          </w:p>
        </w:tc>
      </w:tr>
      <w:tr>
        <w:trPr>
          <w:trHeight w:val="715"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6"/>
              <w:ind w:left="105" w:right="107"/>
              <w:jc w:val="left"/>
              <w:rPr>
                <w:rFonts w:ascii="宋体" w:hAnsi="宋体" w:cs="宋体" w:eastAsia="宋体" w:hint="default"/>
                <w:sz w:val="18"/>
                <w:szCs w:val="18"/>
              </w:rPr>
            </w:pPr>
            <w:r>
              <w:rPr>
                <w:rFonts w:ascii="宋体" w:hAnsi="宋体" w:cs="宋体" w:eastAsia="宋体" w:hint="default"/>
                <w:spacing w:val="7"/>
                <w:sz w:val="18"/>
                <w:szCs w:val="18"/>
              </w:rPr>
              <w:t>基于监控模板的软硬件性能监控方法及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系统</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ZL20101202705.3</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6"/>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北京神州泰岳软件 </w:t>
            </w:r>
            <w:r>
              <w:rPr>
                <w:rFonts w:ascii="宋体" w:hAnsi="宋体" w:cs="宋体" w:eastAsia="宋体" w:hint="default"/>
                <w:sz w:val="18"/>
                <w:szCs w:val="18"/>
              </w:rPr>
              <w:t>股份有限公司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2012-1-11</w:t>
            </w:r>
          </w:p>
        </w:tc>
      </w:tr>
      <w:tr>
        <w:trPr>
          <w:trHeight w:val="713"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协议的群发文件方法</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ZL201010213174.8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北京神州泰岳软件 </w:t>
            </w:r>
            <w:r>
              <w:rPr>
                <w:rFonts w:ascii="宋体" w:hAnsi="宋体" w:cs="宋体" w:eastAsia="宋体" w:hint="default"/>
                <w:sz w:val="18"/>
                <w:szCs w:val="18"/>
              </w:rPr>
              <w:t>股份有限公司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2011-12-14</w:t>
            </w:r>
          </w:p>
        </w:tc>
      </w:tr>
      <w:tr>
        <w:trPr>
          <w:trHeight w:val="715"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基于服务器的告警过滤系统及方法</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ZL200910241897.6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6"/>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北京神州泰岳软件 </w:t>
            </w:r>
            <w:r>
              <w:rPr>
                <w:rFonts w:ascii="宋体" w:hAnsi="宋体" w:cs="宋体" w:eastAsia="宋体" w:hint="default"/>
                <w:sz w:val="18"/>
                <w:szCs w:val="18"/>
              </w:rPr>
              <w:t>股份有限公司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2012-3-21</w:t>
            </w:r>
          </w:p>
        </w:tc>
      </w:tr>
      <w:tr>
        <w:trPr>
          <w:trHeight w:val="713"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Flash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合成方法</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ZL20101282573.X</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北京神州泰岳软件 </w:t>
            </w:r>
            <w:r>
              <w:rPr>
                <w:rFonts w:ascii="宋体" w:hAnsi="宋体" w:cs="宋体" w:eastAsia="宋体" w:hint="default"/>
                <w:sz w:val="18"/>
                <w:szCs w:val="18"/>
              </w:rPr>
              <w:t>股份有限公司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2012-4-25</w:t>
            </w:r>
          </w:p>
        </w:tc>
      </w:tr>
      <w:tr>
        <w:trPr>
          <w:trHeight w:val="716"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6"/>
              <w:ind w:left="105" w:right="98"/>
              <w:jc w:val="left"/>
              <w:rPr>
                <w:rFonts w:ascii="宋体" w:hAnsi="宋体" w:cs="宋体" w:eastAsia="宋体" w:hint="default"/>
                <w:sz w:val="18"/>
                <w:szCs w:val="18"/>
              </w:rPr>
            </w:pPr>
            <w:r>
              <w:rPr>
                <w:rFonts w:ascii="宋体" w:hAnsi="宋体" w:cs="宋体" w:eastAsia="宋体" w:hint="default"/>
                <w:sz w:val="18"/>
                <w:szCs w:val="18"/>
              </w:rPr>
              <w:t>一种基于</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USSD</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的手机浏览器初始化方</w:t>
            </w:r>
            <w:r>
              <w:rPr>
                <w:rFonts w:ascii="宋体" w:hAnsi="宋体" w:cs="宋体" w:eastAsia="宋体" w:hint="default"/>
                <w:spacing w:val="-88"/>
                <w:sz w:val="18"/>
                <w:szCs w:val="18"/>
              </w:rPr>
              <w:t> </w:t>
            </w:r>
            <w:r>
              <w:rPr>
                <w:rFonts w:ascii="宋体" w:hAnsi="宋体" w:cs="宋体" w:eastAsia="宋体" w:hint="default"/>
                <w:sz w:val="18"/>
                <w:szCs w:val="18"/>
              </w:rPr>
              <w:t>法</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ZL20101161370.5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北京神州泰岳软件 </w:t>
            </w:r>
            <w:r>
              <w:rPr>
                <w:rFonts w:ascii="宋体" w:hAnsi="宋体" w:cs="宋体" w:eastAsia="宋体" w:hint="default"/>
                <w:sz w:val="18"/>
                <w:szCs w:val="18"/>
              </w:rPr>
              <w:t>股份有限公司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2012-9-5</w:t>
            </w:r>
          </w:p>
        </w:tc>
      </w:tr>
      <w:tr>
        <w:trPr>
          <w:trHeight w:val="713"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EOMS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系统的表单生成方法</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ZL20101576192.2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北京神州泰岳软件 </w:t>
            </w:r>
            <w:r>
              <w:rPr>
                <w:rFonts w:ascii="宋体" w:hAnsi="宋体" w:cs="宋体" w:eastAsia="宋体" w:hint="default"/>
                <w:sz w:val="18"/>
                <w:szCs w:val="18"/>
              </w:rPr>
              <w:t>股份有限公司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2012-9-5</w:t>
            </w:r>
          </w:p>
        </w:tc>
      </w:tr>
      <w:tr>
        <w:trPr>
          <w:trHeight w:val="715"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客户端调用服务的路由方法及系统</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ZL20101503906.7</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6"/>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北京神州泰岳软件 </w:t>
            </w:r>
            <w:r>
              <w:rPr>
                <w:rFonts w:ascii="宋体" w:hAnsi="宋体" w:cs="宋体" w:eastAsia="宋体" w:hint="default"/>
                <w:sz w:val="18"/>
                <w:szCs w:val="18"/>
              </w:rPr>
              <w:t>股份有限公司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2012-10-10</w:t>
            </w:r>
          </w:p>
        </w:tc>
      </w:tr>
      <w:tr>
        <w:trPr>
          <w:trHeight w:val="713"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105" w:right="107"/>
              <w:jc w:val="left"/>
              <w:rPr>
                <w:rFonts w:ascii="宋体" w:hAnsi="宋体" w:cs="宋体" w:eastAsia="宋体" w:hint="default"/>
                <w:sz w:val="18"/>
                <w:szCs w:val="18"/>
              </w:rPr>
            </w:pPr>
            <w:r>
              <w:rPr>
                <w:rFonts w:ascii="宋体" w:hAnsi="宋体" w:cs="宋体" w:eastAsia="宋体" w:hint="default"/>
                <w:spacing w:val="7"/>
                <w:sz w:val="18"/>
                <w:szCs w:val="18"/>
              </w:rPr>
              <w:t>一种基于消息队列的应用软件响应时间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测量方法及系统</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ZL20091237529.4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北京神州泰岳软件 </w:t>
            </w:r>
            <w:r>
              <w:rPr>
                <w:rFonts w:ascii="宋体" w:hAnsi="宋体" w:cs="宋体" w:eastAsia="宋体" w:hint="default"/>
                <w:sz w:val="18"/>
                <w:szCs w:val="18"/>
              </w:rPr>
              <w:t>股份有限公司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2012-10-10</w:t>
            </w:r>
          </w:p>
        </w:tc>
      </w:tr>
      <w:tr>
        <w:trPr>
          <w:trHeight w:val="715"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工作流系统中任务并发处理方法</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ZL20101539998.4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6"/>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北京神州泰岳软件 </w:t>
            </w:r>
            <w:r>
              <w:rPr>
                <w:rFonts w:ascii="宋体" w:hAnsi="宋体" w:cs="宋体" w:eastAsia="宋体" w:hint="default"/>
                <w:sz w:val="18"/>
                <w:szCs w:val="18"/>
              </w:rPr>
              <w:t>股份有限公司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2012-12-19</w:t>
            </w:r>
          </w:p>
        </w:tc>
      </w:tr>
      <w:tr>
        <w:trPr>
          <w:trHeight w:val="713"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动画表情图片播放方法及系统</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ZL20101282578.2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4"/>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北京神州泰岳软件 </w:t>
            </w:r>
            <w:r>
              <w:rPr>
                <w:rFonts w:ascii="宋体" w:hAnsi="宋体" w:cs="宋体" w:eastAsia="宋体" w:hint="default"/>
                <w:sz w:val="18"/>
                <w:szCs w:val="18"/>
              </w:rPr>
              <w:t>股份有限公司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2012-12-19</w:t>
            </w:r>
          </w:p>
        </w:tc>
      </w:tr>
      <w:tr>
        <w:trPr>
          <w:trHeight w:val="715"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安全检查方法</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ZL20101622266.1</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6"/>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北京神州泰岳软件 </w:t>
            </w:r>
            <w:r>
              <w:rPr>
                <w:rFonts w:ascii="宋体" w:hAnsi="宋体" w:cs="宋体" w:eastAsia="宋体" w:hint="default"/>
                <w:sz w:val="18"/>
                <w:szCs w:val="18"/>
              </w:rPr>
              <w:t>股份有限公司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2012-12-19</w:t>
            </w:r>
          </w:p>
        </w:tc>
      </w:tr>
      <w:tr>
        <w:trPr>
          <w:trHeight w:val="1418"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17</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自动拨号系统中的前段自动测试设备</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新型</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sz w:val="18"/>
              </w:rPr>
              <w:t>201220219557.0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61"/>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北京神州泰岳软件 </w:t>
            </w:r>
            <w:r>
              <w:rPr>
                <w:rFonts w:ascii="宋体" w:hAnsi="宋体" w:cs="宋体" w:eastAsia="宋体" w:hint="default"/>
                <w:sz w:val="18"/>
                <w:szCs w:val="18"/>
              </w:rPr>
              <w:t>股份有限公司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9"/>
              <w:ind w:left="103" w:right="89"/>
              <w:jc w:val="left"/>
              <w:rPr>
                <w:rFonts w:ascii="宋体" w:hAnsi="宋体" w:cs="宋体" w:eastAsia="宋体" w:hint="default"/>
                <w:sz w:val="18"/>
                <w:szCs w:val="18"/>
              </w:rPr>
            </w:pPr>
            <w:r>
              <w:rPr>
                <w:rFonts w:ascii="宋体" w:hAnsi="宋体" w:cs="宋体" w:eastAsia="宋体" w:hint="default"/>
                <w:spacing w:val="14"/>
                <w:sz w:val="18"/>
                <w:szCs w:val="18"/>
              </w:rPr>
              <w:t>已授权，证 </w:t>
            </w:r>
            <w:r>
              <w:rPr>
                <w:rFonts w:ascii="宋体" w:hAnsi="宋体" w:cs="宋体" w:eastAsia="宋体" w:hint="default"/>
                <w:sz w:val="18"/>
                <w:szCs w:val="18"/>
              </w:rPr>
              <w:t>书未发</w:t>
            </w:r>
          </w:p>
        </w:tc>
      </w:tr>
      <w:tr>
        <w:trPr>
          <w:trHeight w:val="1419"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18</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的文件断点续传方法</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sz w:val="18"/>
              </w:rPr>
              <w:t>201010213183.7</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61"/>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北京神州泰岳软件 </w:t>
            </w:r>
            <w:r>
              <w:rPr>
                <w:rFonts w:ascii="宋体" w:hAnsi="宋体" w:cs="宋体" w:eastAsia="宋体" w:hint="default"/>
                <w:sz w:val="18"/>
                <w:szCs w:val="18"/>
              </w:rPr>
              <w:t>股份有限公司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9"/>
              <w:ind w:left="103" w:right="103"/>
              <w:jc w:val="left"/>
              <w:rPr>
                <w:rFonts w:ascii="宋体" w:hAnsi="宋体" w:cs="宋体" w:eastAsia="宋体" w:hint="default"/>
                <w:sz w:val="18"/>
                <w:szCs w:val="18"/>
              </w:rPr>
            </w:pPr>
            <w:r>
              <w:rPr>
                <w:rFonts w:ascii="宋体" w:hAnsi="宋体" w:cs="宋体" w:eastAsia="宋体" w:hint="default"/>
                <w:spacing w:val="11"/>
                <w:sz w:val="18"/>
                <w:szCs w:val="18"/>
              </w:rPr>
              <w:t>已授权，证</w:t>
            </w:r>
            <w:r>
              <w:rPr>
                <w:rFonts w:ascii="宋体" w:hAnsi="宋体" w:cs="宋体" w:eastAsia="宋体" w:hint="default"/>
                <w:sz w:val="18"/>
                <w:szCs w:val="18"/>
              </w:rPr>
              <w:t> 书未发</w:t>
            </w:r>
          </w:p>
        </w:tc>
      </w:tr>
      <w:tr>
        <w:trPr>
          <w:trHeight w:val="713"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单元测试系统</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201010293400.8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4"/>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北京神州泰岳软件 </w:t>
            </w:r>
            <w:r>
              <w:rPr>
                <w:rFonts w:ascii="宋体" w:hAnsi="宋体" w:cs="宋体" w:eastAsia="宋体" w:hint="default"/>
                <w:sz w:val="18"/>
                <w:szCs w:val="18"/>
              </w:rPr>
              <w:t>股份有限公司</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1418"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20</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05" w:right="107"/>
              <w:jc w:val="left"/>
              <w:rPr>
                <w:rFonts w:ascii="宋体" w:hAnsi="宋体" w:cs="宋体" w:eastAsia="宋体" w:hint="default"/>
                <w:sz w:val="18"/>
                <w:szCs w:val="18"/>
              </w:rPr>
            </w:pPr>
            <w:r>
              <w:rPr>
                <w:rFonts w:ascii="宋体" w:hAnsi="宋体" w:cs="宋体" w:eastAsia="宋体" w:hint="default"/>
                <w:spacing w:val="7"/>
                <w:sz w:val="18"/>
                <w:szCs w:val="18"/>
              </w:rPr>
              <w:t>数据持久化框架与数据库代理之间的通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信方法及系统</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sz w:val="18"/>
              </w:rPr>
              <w:t>201010295788.5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北京神州泰岳软件 </w:t>
            </w:r>
            <w:r>
              <w:rPr>
                <w:rFonts w:ascii="宋体" w:hAnsi="宋体" w:cs="宋体" w:eastAsia="宋体" w:hint="default"/>
                <w:sz w:val="18"/>
                <w:szCs w:val="18"/>
              </w:rPr>
              <w:t>股份有限公司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03" w:right="89"/>
              <w:jc w:val="left"/>
              <w:rPr>
                <w:rFonts w:ascii="宋体" w:hAnsi="宋体" w:cs="宋体" w:eastAsia="宋体" w:hint="default"/>
                <w:sz w:val="18"/>
                <w:szCs w:val="18"/>
              </w:rPr>
            </w:pPr>
            <w:r>
              <w:rPr>
                <w:rFonts w:ascii="宋体" w:hAnsi="宋体" w:cs="宋体" w:eastAsia="宋体" w:hint="default"/>
                <w:spacing w:val="14"/>
                <w:sz w:val="18"/>
                <w:szCs w:val="18"/>
              </w:rPr>
              <w:t>已授权，证 </w:t>
            </w:r>
            <w:r>
              <w:rPr>
                <w:rFonts w:ascii="宋体" w:hAnsi="宋体" w:cs="宋体" w:eastAsia="宋体" w:hint="default"/>
                <w:sz w:val="18"/>
                <w:szCs w:val="18"/>
              </w:rPr>
              <w:t>书未发</w:t>
            </w:r>
          </w:p>
        </w:tc>
      </w:tr>
      <w:tr>
        <w:trPr>
          <w:trHeight w:val="403"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21</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pacing w:val="7"/>
                <w:sz w:val="18"/>
                <w:szCs w:val="18"/>
              </w:rPr>
              <w:t>基于移动终端的网页数据结构化显示方</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Times New Roman" w:hAnsi="Times New Roman" w:cs="Times New Roman" w:eastAsia="Times New Roman" w:hint="default"/>
                <w:sz w:val="18"/>
                <w:szCs w:val="18"/>
              </w:rPr>
            </w:pPr>
            <w:r>
              <w:rPr>
                <w:rFonts w:ascii="Times New Roman"/>
                <w:sz w:val="18"/>
              </w:rPr>
              <w:t>201010611911.X</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pacing w:val="14"/>
                <w:sz w:val="18"/>
                <w:szCs w:val="18"/>
              </w:rPr>
              <w:t>重庆新媒农信科技</w:t>
            </w:r>
            <w:r>
              <w:rPr>
                <w:rFonts w:ascii="宋体" w:hAnsi="宋体" w:cs="宋体" w:eastAsia="宋体" w:hint="default"/>
                <w:sz w:val="18"/>
                <w:szCs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Times New Roman" w:hAnsi="Times New Roman" w:cs="Times New Roman" w:eastAsia="Times New Roman" w:hint="default"/>
                <w:sz w:val="18"/>
                <w:szCs w:val="18"/>
              </w:rPr>
            </w:pPr>
            <w:r>
              <w:rPr>
                <w:rFonts w:ascii="Times New Roman"/>
                <w:sz w:val="18"/>
              </w:rPr>
              <w:t>2012-5-4</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80" w:top="1440" w:bottom="1160" w:left="940" w:right="920"/>
        </w:sectPr>
      </w:pPr>
    </w:p>
    <w:tbl>
      <w:tblPr>
        <w:tblW w:w="0" w:type="auto"/>
        <w:jc w:val="left"/>
        <w:tblInd w:w="101" w:type="dxa"/>
        <w:tblLayout w:type="fixed"/>
        <w:tblCellMar>
          <w:top w:w="0" w:type="dxa"/>
          <w:left w:w="0" w:type="dxa"/>
          <w:bottom w:w="0" w:type="dxa"/>
          <w:right w:w="0" w:type="dxa"/>
        </w:tblCellMar>
        <w:tblLook w:val="01E0"/>
      </w:tblPr>
      <w:tblGrid>
        <w:gridCol w:w="644"/>
        <w:gridCol w:w="3409"/>
        <w:gridCol w:w="1015"/>
        <w:gridCol w:w="1812"/>
        <w:gridCol w:w="1757"/>
        <w:gridCol w:w="1176"/>
      </w:tblGrid>
      <w:tr>
        <w:trPr>
          <w:trHeight w:val="399"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
        </w:tc>
        <w:tc>
          <w:tcPr>
            <w:tcW w:w="34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法</w:t>
            </w:r>
          </w:p>
        </w:tc>
        <w:tc>
          <w:tcPr>
            <w:tcW w:w="1015" w:type="dxa"/>
            <w:tcBorders>
              <w:top w:val="nil" w:sz="6" w:space="0" w:color="auto"/>
              <w:left w:val="single" w:sz="4" w:space="0" w:color="000000"/>
              <w:bottom w:val="single" w:sz="4" w:space="0" w:color="000000"/>
              <w:right w:val="single" w:sz="4" w:space="0" w:color="000000"/>
            </w:tcBorders>
          </w:tcPr>
          <w:p>
            <w:pPr/>
          </w:p>
        </w:tc>
        <w:tc>
          <w:tcPr>
            <w:tcW w:w="1812" w:type="dxa"/>
            <w:tcBorders>
              <w:top w:val="nil" w:sz="6" w:space="0" w:color="auto"/>
              <w:left w:val="single" w:sz="4" w:space="0" w:color="000000"/>
              <w:bottom w:val="single" w:sz="4" w:space="0" w:color="000000"/>
              <w:right w:val="single" w:sz="4" w:space="0" w:color="000000"/>
            </w:tcBorders>
          </w:tcPr>
          <w:p>
            <w:pPr/>
          </w:p>
        </w:tc>
        <w:tc>
          <w:tcPr>
            <w:tcW w:w="17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76"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网页数据定向抓取方法</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201010612405.2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103" w:right="87"/>
              <w:jc w:val="left"/>
              <w:rPr>
                <w:rFonts w:ascii="宋体" w:hAnsi="宋体" w:cs="宋体" w:eastAsia="宋体" w:hint="default"/>
                <w:sz w:val="18"/>
                <w:szCs w:val="18"/>
              </w:rPr>
            </w:pPr>
            <w:r>
              <w:rPr>
                <w:rFonts w:ascii="宋体" w:hAnsi="宋体" w:cs="宋体" w:eastAsia="宋体" w:hint="default"/>
                <w:spacing w:val="14"/>
                <w:sz w:val="18"/>
                <w:szCs w:val="18"/>
              </w:rPr>
              <w:t>重庆新媒农信科技 </w:t>
            </w:r>
            <w:r>
              <w:rPr>
                <w:rFonts w:ascii="宋体" w:hAnsi="宋体" w:cs="宋体" w:eastAsia="宋体" w:hint="default"/>
                <w:sz w:val="18"/>
                <w:szCs w:val="18"/>
              </w:rPr>
              <w:t>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2012-8-23</w:t>
            </w:r>
          </w:p>
        </w:tc>
      </w:tr>
      <w:tr>
        <w:trPr>
          <w:trHeight w:val="715"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基于移动终端的网页显示系统及方法</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201010598636.2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103" w:right="87"/>
              <w:jc w:val="left"/>
              <w:rPr>
                <w:rFonts w:ascii="宋体" w:hAnsi="宋体" w:cs="宋体" w:eastAsia="宋体" w:hint="default"/>
                <w:sz w:val="18"/>
                <w:szCs w:val="18"/>
              </w:rPr>
            </w:pPr>
            <w:r>
              <w:rPr>
                <w:rFonts w:ascii="宋体" w:hAnsi="宋体" w:cs="宋体" w:eastAsia="宋体" w:hint="default"/>
                <w:spacing w:val="14"/>
                <w:sz w:val="18"/>
                <w:szCs w:val="18"/>
              </w:rPr>
              <w:t>重庆新媒农信科技 </w:t>
            </w:r>
            <w:r>
              <w:rPr>
                <w:rFonts w:ascii="宋体" w:hAnsi="宋体" w:cs="宋体" w:eastAsia="宋体" w:hint="default"/>
                <w:sz w:val="18"/>
                <w:szCs w:val="18"/>
              </w:rPr>
              <w:t>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2012-10-8</w:t>
            </w:r>
          </w:p>
        </w:tc>
      </w:tr>
      <w:tr>
        <w:trPr>
          <w:trHeight w:val="713"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多业务状态控制、加载和卸载方法</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201010617866.9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103" w:right="87"/>
              <w:jc w:val="left"/>
              <w:rPr>
                <w:rFonts w:ascii="宋体" w:hAnsi="宋体" w:cs="宋体" w:eastAsia="宋体" w:hint="default"/>
                <w:sz w:val="18"/>
                <w:szCs w:val="18"/>
              </w:rPr>
            </w:pPr>
            <w:r>
              <w:rPr>
                <w:rFonts w:ascii="宋体" w:hAnsi="宋体" w:cs="宋体" w:eastAsia="宋体" w:hint="default"/>
                <w:spacing w:val="14"/>
                <w:sz w:val="18"/>
                <w:szCs w:val="18"/>
              </w:rPr>
              <w:t>重庆新媒农信科技 </w:t>
            </w:r>
            <w:r>
              <w:rPr>
                <w:rFonts w:ascii="宋体" w:hAnsi="宋体" w:cs="宋体" w:eastAsia="宋体" w:hint="default"/>
                <w:sz w:val="18"/>
                <w:szCs w:val="18"/>
              </w:rPr>
              <w:t>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2012-10-10</w:t>
            </w:r>
          </w:p>
        </w:tc>
      </w:tr>
      <w:tr>
        <w:trPr>
          <w:trHeight w:val="715"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一种自动切换情景模式的手机</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新型</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ZL201120293173.9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北京新媒传信科技 </w:t>
            </w:r>
            <w:r>
              <w:rPr>
                <w:rFonts w:ascii="宋体" w:hAnsi="宋体" w:cs="宋体" w:eastAsia="宋体" w:hint="default"/>
                <w:sz w:val="18"/>
                <w:szCs w:val="18"/>
              </w:rPr>
              <w:t>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2012-3-28</w:t>
            </w:r>
          </w:p>
        </w:tc>
      </w:tr>
      <w:tr>
        <w:trPr>
          <w:trHeight w:val="713"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抄表系统</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新型</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ZL201120230413.0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北京新媒传信科技 </w:t>
            </w:r>
            <w:r>
              <w:rPr>
                <w:rFonts w:ascii="宋体" w:hAnsi="宋体" w:cs="宋体" w:eastAsia="宋体" w:hint="default"/>
                <w:sz w:val="18"/>
                <w:szCs w:val="18"/>
              </w:rPr>
              <w:t>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2012-1-18</w:t>
            </w:r>
          </w:p>
        </w:tc>
      </w:tr>
      <w:tr>
        <w:trPr>
          <w:trHeight w:val="715"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一种应用服务平台系统</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新型</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ZL201120114489.7</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北京新媒传信科技 </w:t>
            </w:r>
            <w:r>
              <w:rPr>
                <w:rFonts w:ascii="宋体" w:hAnsi="宋体" w:cs="宋体" w:eastAsia="宋体" w:hint="default"/>
                <w:sz w:val="18"/>
                <w:szCs w:val="18"/>
              </w:rPr>
              <w:t>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2011-12-14</w:t>
            </w:r>
          </w:p>
        </w:tc>
      </w:tr>
      <w:tr>
        <w:trPr>
          <w:trHeight w:val="713"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28</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一种服务器集群系统</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新型</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ZL201120215047.1</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北京新媒传信科技 </w:t>
            </w:r>
            <w:r>
              <w:rPr>
                <w:rFonts w:ascii="宋体" w:hAnsi="宋体" w:cs="宋体" w:eastAsia="宋体" w:hint="default"/>
                <w:sz w:val="18"/>
                <w:szCs w:val="18"/>
              </w:rPr>
              <w:t>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2012-1-18</w:t>
            </w:r>
          </w:p>
        </w:tc>
      </w:tr>
      <w:tr>
        <w:trPr>
          <w:trHeight w:val="715"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WEB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数据库平台</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ZL201010604557.8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北京新媒传信科技 </w:t>
            </w:r>
            <w:r>
              <w:rPr>
                <w:rFonts w:ascii="宋体" w:hAnsi="宋体" w:cs="宋体" w:eastAsia="宋体" w:hint="default"/>
                <w:sz w:val="18"/>
                <w:szCs w:val="18"/>
              </w:rPr>
              <w:t>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2012-9-5</w:t>
            </w:r>
          </w:p>
        </w:tc>
      </w:tr>
      <w:tr>
        <w:trPr>
          <w:trHeight w:val="713"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一种图像相似度计算方法和装置</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ZL201010611938.9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北京新媒传信科技 </w:t>
            </w:r>
            <w:r>
              <w:rPr>
                <w:rFonts w:ascii="宋体" w:hAnsi="宋体" w:cs="宋体" w:eastAsia="宋体" w:hint="default"/>
                <w:sz w:val="18"/>
                <w:szCs w:val="18"/>
              </w:rPr>
              <w:t>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2012-11-21</w:t>
            </w:r>
          </w:p>
        </w:tc>
      </w:tr>
      <w:tr>
        <w:trPr>
          <w:trHeight w:val="716"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基于序列模式的新词发现方法</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ZL201010503929.8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北京新媒传信科技 </w:t>
            </w:r>
            <w:r>
              <w:rPr>
                <w:rFonts w:ascii="宋体" w:hAnsi="宋体" w:cs="宋体" w:eastAsia="宋体" w:hint="default"/>
                <w:sz w:val="18"/>
                <w:szCs w:val="18"/>
              </w:rPr>
              <w:t>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2012-11-14</w:t>
            </w:r>
          </w:p>
        </w:tc>
      </w:tr>
      <w:tr>
        <w:trPr>
          <w:trHeight w:val="713"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多媒体子系统业务管理系统</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新型</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ZL201120210431.2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北京新媒传信科技 </w:t>
            </w:r>
            <w:r>
              <w:rPr>
                <w:rFonts w:ascii="宋体" w:hAnsi="宋体" w:cs="宋体" w:eastAsia="宋体" w:hint="default"/>
                <w:sz w:val="18"/>
                <w:szCs w:val="18"/>
              </w:rPr>
              <w:t>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2012-11-21</w:t>
            </w:r>
          </w:p>
        </w:tc>
      </w:tr>
      <w:tr>
        <w:trPr>
          <w:trHeight w:val="715"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一种多进程间的通信方法</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ZL201110104966.6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北京新媒传信科技 </w:t>
            </w:r>
            <w:r>
              <w:rPr>
                <w:rFonts w:ascii="宋体" w:hAnsi="宋体" w:cs="宋体" w:eastAsia="宋体" w:hint="default"/>
                <w:sz w:val="18"/>
                <w:szCs w:val="18"/>
              </w:rPr>
              <w:t>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2012-11-21</w:t>
            </w:r>
          </w:p>
        </w:tc>
      </w:tr>
      <w:tr>
        <w:trPr>
          <w:trHeight w:val="713"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一种移动</w:t>
            </w:r>
            <w:r>
              <w:rPr>
                <w:rFonts w:ascii="Times New Roman" w:hAnsi="Times New Roman" w:cs="Times New Roman" w:eastAsia="Times New Roman" w:hint="default"/>
                <w:sz w:val="18"/>
                <w:szCs w:val="18"/>
              </w:rPr>
              <w:t>/</w:t>
            </w:r>
            <w:r>
              <w:rPr>
                <w:rFonts w:ascii="宋体" w:hAnsi="宋体" w:cs="宋体" w:eastAsia="宋体" w:hint="default"/>
                <w:sz w:val="18"/>
                <w:szCs w:val="18"/>
              </w:rPr>
              <w:t>拉伸窗口的方法以及装置</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ZL201010611872.3</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北京新媒传信科技 </w:t>
            </w:r>
            <w:r>
              <w:rPr>
                <w:rFonts w:ascii="宋体" w:hAnsi="宋体" w:cs="宋体" w:eastAsia="宋体" w:hint="default"/>
                <w:sz w:val="18"/>
                <w:szCs w:val="18"/>
              </w:rPr>
              <w:t>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2012-12-5</w:t>
            </w:r>
          </w:p>
        </w:tc>
      </w:tr>
      <w:tr>
        <w:trPr>
          <w:trHeight w:val="1419"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35</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RSS </w:t>
            </w:r>
            <w:r>
              <w:rPr>
                <w:rFonts w:ascii="宋体" w:hAnsi="宋体" w:cs="宋体" w:eastAsia="宋体" w:hint="default"/>
                <w:sz w:val="18"/>
                <w:szCs w:val="18"/>
              </w:rPr>
              <w:t>数据采集方法及系统</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sz w:val="18"/>
              </w:rPr>
              <w:t>ZL201010503936.8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北京新媒传信科技 </w:t>
            </w:r>
            <w:r>
              <w:rPr>
                <w:rFonts w:ascii="宋体" w:hAnsi="宋体" w:cs="宋体" w:eastAsia="宋体" w:hint="default"/>
                <w:sz w:val="18"/>
                <w:szCs w:val="18"/>
              </w:rPr>
              <w:t>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03" w:right="89"/>
              <w:jc w:val="left"/>
              <w:rPr>
                <w:rFonts w:ascii="宋体" w:hAnsi="宋体" w:cs="宋体" w:eastAsia="宋体" w:hint="default"/>
                <w:sz w:val="18"/>
                <w:szCs w:val="18"/>
              </w:rPr>
            </w:pPr>
            <w:r>
              <w:rPr>
                <w:rFonts w:ascii="宋体" w:hAnsi="宋体" w:cs="宋体" w:eastAsia="宋体" w:hint="default"/>
                <w:spacing w:val="14"/>
                <w:sz w:val="18"/>
                <w:szCs w:val="18"/>
              </w:rPr>
              <w:t>已授权，证 </w:t>
            </w:r>
            <w:r>
              <w:rPr>
                <w:rFonts w:ascii="宋体" w:hAnsi="宋体" w:cs="宋体" w:eastAsia="宋体" w:hint="default"/>
                <w:sz w:val="18"/>
                <w:szCs w:val="18"/>
              </w:rPr>
              <w:t>书未发</w:t>
            </w:r>
          </w:p>
        </w:tc>
      </w:tr>
      <w:tr>
        <w:trPr>
          <w:trHeight w:val="1418"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36</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SIP-C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协议的交互方法及系统</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sz w:val="18"/>
              </w:rPr>
              <w:t>ZL201010503895.2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03" w:right="87"/>
              <w:jc w:val="left"/>
              <w:rPr>
                <w:rFonts w:ascii="宋体" w:hAnsi="宋体" w:cs="宋体" w:eastAsia="宋体" w:hint="default"/>
                <w:sz w:val="18"/>
                <w:szCs w:val="18"/>
              </w:rPr>
            </w:pPr>
            <w:r>
              <w:rPr>
                <w:rFonts w:ascii="宋体" w:hAnsi="宋体" w:cs="宋体" w:eastAsia="宋体" w:hint="default"/>
                <w:spacing w:val="14"/>
                <w:sz w:val="18"/>
                <w:szCs w:val="18"/>
              </w:rPr>
              <w:t>北京新媒传信科技 </w:t>
            </w:r>
            <w:r>
              <w:rPr>
                <w:rFonts w:ascii="宋体" w:hAnsi="宋体" w:cs="宋体" w:eastAsia="宋体" w:hint="default"/>
                <w:sz w:val="18"/>
                <w:szCs w:val="18"/>
              </w:rPr>
              <w:t>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03" w:right="89"/>
              <w:jc w:val="left"/>
              <w:rPr>
                <w:rFonts w:ascii="宋体" w:hAnsi="宋体" w:cs="宋体" w:eastAsia="宋体" w:hint="default"/>
                <w:sz w:val="18"/>
                <w:szCs w:val="18"/>
              </w:rPr>
            </w:pPr>
            <w:r>
              <w:rPr>
                <w:rFonts w:ascii="宋体" w:hAnsi="宋体" w:cs="宋体" w:eastAsia="宋体" w:hint="default"/>
                <w:spacing w:val="14"/>
                <w:sz w:val="18"/>
                <w:szCs w:val="18"/>
              </w:rPr>
              <w:t>已授权，证 </w:t>
            </w:r>
            <w:r>
              <w:rPr>
                <w:rFonts w:ascii="宋体" w:hAnsi="宋体" w:cs="宋体" w:eastAsia="宋体" w:hint="default"/>
                <w:sz w:val="18"/>
                <w:szCs w:val="18"/>
              </w:rPr>
              <w:t>书未发</w:t>
            </w:r>
          </w:p>
        </w:tc>
      </w:tr>
      <w:tr>
        <w:trPr>
          <w:trHeight w:val="713"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4"/>
              <w:ind w:left="105" w:right="98"/>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SMS</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MMS</w:t>
            </w:r>
            <w:r>
              <w:rPr>
                <w:rFonts w:ascii="Times New Roman" w:hAnsi="Times New Roman" w:cs="Times New Roman" w:eastAsia="Times New Roman" w:hint="default"/>
                <w:sz w:val="18"/>
                <w:szCs w:val="18"/>
              </w:rPr>
              <w:t> </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USSD </w:t>
            </w:r>
            <w:r>
              <w:rPr>
                <w:rFonts w:ascii="宋体" w:hAnsi="宋体" w:cs="宋体" w:eastAsia="宋体" w:hint="default"/>
                <w:sz w:val="18"/>
                <w:szCs w:val="18"/>
              </w:rPr>
              <w:t>业务端到端公 众信息终端</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新型</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ZL20062</w:t>
            </w:r>
            <w:r>
              <w:rPr>
                <w:rFonts w:ascii="Times New Roman"/>
                <w:spacing w:val="-4"/>
                <w:sz w:val="18"/>
              </w:rPr>
              <w:t> </w:t>
            </w:r>
            <w:r>
              <w:rPr>
                <w:rFonts w:ascii="Times New Roman"/>
                <w:sz w:val="18"/>
              </w:rPr>
              <w:t>100646.8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103" w:right="87"/>
              <w:jc w:val="left"/>
              <w:rPr>
                <w:rFonts w:ascii="宋体" w:hAnsi="宋体" w:cs="宋体" w:eastAsia="宋体" w:hint="default"/>
                <w:sz w:val="18"/>
                <w:szCs w:val="18"/>
              </w:rPr>
            </w:pPr>
            <w:r>
              <w:rPr>
                <w:rFonts w:ascii="宋体" w:hAnsi="宋体" w:cs="宋体" w:eastAsia="宋体" w:hint="default"/>
                <w:spacing w:val="14"/>
                <w:sz w:val="18"/>
                <w:szCs w:val="18"/>
              </w:rPr>
              <w:t>宁波普天通信技术 </w:t>
            </w:r>
            <w:r>
              <w:rPr>
                <w:rFonts w:ascii="宋体" w:hAnsi="宋体" w:cs="宋体" w:eastAsia="宋体" w:hint="default"/>
                <w:sz w:val="18"/>
                <w:szCs w:val="18"/>
              </w:rPr>
              <w:t>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2007-5-2</w:t>
            </w:r>
          </w:p>
        </w:tc>
      </w:tr>
      <w:tr>
        <w:trPr>
          <w:trHeight w:val="715"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移动通信网络多业务自动拨测仪</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新型</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ZL20052</w:t>
            </w:r>
            <w:r>
              <w:rPr>
                <w:rFonts w:ascii="Times New Roman"/>
                <w:spacing w:val="-4"/>
                <w:sz w:val="18"/>
              </w:rPr>
              <w:t> </w:t>
            </w:r>
            <w:r>
              <w:rPr>
                <w:rFonts w:ascii="Times New Roman"/>
                <w:sz w:val="18"/>
              </w:rPr>
              <w:t>102162.2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6"/>
              <w:ind w:left="103" w:right="87"/>
              <w:jc w:val="left"/>
              <w:rPr>
                <w:rFonts w:ascii="宋体" w:hAnsi="宋体" w:cs="宋体" w:eastAsia="宋体" w:hint="default"/>
                <w:sz w:val="18"/>
                <w:szCs w:val="18"/>
              </w:rPr>
            </w:pPr>
            <w:r>
              <w:rPr>
                <w:rFonts w:ascii="宋体" w:hAnsi="宋体" w:cs="宋体" w:eastAsia="宋体" w:hint="default"/>
                <w:spacing w:val="14"/>
                <w:sz w:val="18"/>
                <w:szCs w:val="18"/>
              </w:rPr>
              <w:t>宁波普天通信技术 </w:t>
            </w:r>
            <w:r>
              <w:rPr>
                <w:rFonts w:ascii="宋体" w:hAnsi="宋体" w:cs="宋体" w:eastAsia="宋体" w:hint="default"/>
                <w:sz w:val="18"/>
                <w:szCs w:val="18"/>
              </w:rPr>
              <w:t>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2006-6-14</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80" w:top="1440" w:bottom="1160" w:left="940" w:right="920"/>
        </w:sectPr>
      </w:pPr>
    </w:p>
    <w:p>
      <w:pPr>
        <w:spacing w:line="240" w:lineRule="auto" w:before="2"/>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644"/>
        <w:gridCol w:w="3409"/>
        <w:gridCol w:w="1015"/>
        <w:gridCol w:w="1812"/>
        <w:gridCol w:w="1757"/>
        <w:gridCol w:w="1176"/>
      </w:tblGrid>
      <w:tr>
        <w:trPr>
          <w:trHeight w:val="713"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w:t>
            </w:r>
          </w:p>
        </w:tc>
        <w:tc>
          <w:tcPr>
            <w:tcW w:w="34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自动拨测仪</w:t>
            </w:r>
          </w:p>
        </w:tc>
        <w:tc>
          <w:tcPr>
            <w:tcW w:w="10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ZL20093131812.X</w:t>
            </w:r>
          </w:p>
        </w:tc>
        <w:tc>
          <w:tcPr>
            <w:tcW w:w="1757" w:type="dxa"/>
            <w:tcBorders>
              <w:top w:val="nil" w:sz="6" w:space="0" w:color="auto"/>
              <w:left w:val="single" w:sz="4" w:space="0" w:color="000000"/>
              <w:bottom w:val="single" w:sz="4" w:space="0" w:color="000000"/>
              <w:right w:val="single" w:sz="4" w:space="0" w:color="000000"/>
            </w:tcBorders>
          </w:tcPr>
          <w:p>
            <w:pPr>
              <w:pStyle w:val="TableParagraph"/>
              <w:spacing w:line="319" w:lineRule="auto" w:before="53"/>
              <w:ind w:left="103" w:right="87"/>
              <w:jc w:val="left"/>
              <w:rPr>
                <w:rFonts w:ascii="宋体" w:hAnsi="宋体" w:cs="宋体" w:eastAsia="宋体" w:hint="default"/>
                <w:sz w:val="18"/>
                <w:szCs w:val="18"/>
              </w:rPr>
            </w:pPr>
            <w:r>
              <w:rPr>
                <w:rFonts w:ascii="宋体" w:hAnsi="宋体" w:cs="宋体" w:eastAsia="宋体" w:hint="default"/>
                <w:spacing w:val="14"/>
                <w:sz w:val="18"/>
                <w:szCs w:val="18"/>
              </w:rPr>
              <w:t>宁波普天通信技术 </w:t>
            </w:r>
            <w:r>
              <w:rPr>
                <w:rFonts w:ascii="宋体" w:hAnsi="宋体" w:cs="宋体" w:eastAsia="宋体" w:hint="default"/>
                <w:sz w:val="18"/>
                <w:szCs w:val="18"/>
              </w:rPr>
              <w:t>有限公司</w:t>
            </w:r>
          </w:p>
        </w:tc>
        <w:tc>
          <w:tcPr>
            <w:tcW w:w="11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2010-1-6</w:t>
            </w:r>
          </w:p>
        </w:tc>
      </w:tr>
      <w:tr>
        <w:trPr>
          <w:trHeight w:val="715" w:hRule="exact"/>
        </w:trPr>
        <w:tc>
          <w:tcPr>
            <w:tcW w:w="64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107"/>
              <w:jc w:val="left"/>
              <w:rPr>
                <w:rFonts w:ascii="宋体" w:hAnsi="宋体" w:cs="宋体" w:eastAsia="宋体" w:hint="default"/>
                <w:sz w:val="18"/>
                <w:szCs w:val="18"/>
              </w:rPr>
            </w:pPr>
            <w:r>
              <w:rPr>
                <w:rFonts w:ascii="宋体" w:hAnsi="宋体" w:cs="宋体" w:eastAsia="宋体" w:hint="default"/>
                <w:spacing w:val="7"/>
                <w:sz w:val="18"/>
                <w:szCs w:val="18"/>
              </w:rPr>
              <w:t>一种基于三轴按键和图像识别的通用手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机测试系统</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新型</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ZL20102</w:t>
            </w:r>
            <w:r>
              <w:rPr>
                <w:rFonts w:ascii="Times New Roman"/>
                <w:spacing w:val="-4"/>
                <w:sz w:val="18"/>
              </w:rPr>
              <w:t> </w:t>
            </w:r>
            <w:r>
              <w:rPr>
                <w:rFonts w:ascii="Times New Roman"/>
                <w:sz w:val="18"/>
              </w:rPr>
              <w:t>516550.6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87"/>
              <w:jc w:val="left"/>
              <w:rPr>
                <w:rFonts w:ascii="宋体" w:hAnsi="宋体" w:cs="宋体" w:eastAsia="宋体" w:hint="default"/>
                <w:sz w:val="18"/>
                <w:szCs w:val="18"/>
              </w:rPr>
            </w:pPr>
            <w:r>
              <w:rPr>
                <w:rFonts w:ascii="宋体" w:hAnsi="宋体" w:cs="宋体" w:eastAsia="宋体" w:hint="default"/>
                <w:spacing w:val="14"/>
                <w:sz w:val="18"/>
                <w:szCs w:val="18"/>
              </w:rPr>
              <w:t>宁波普天通信技术 </w:t>
            </w:r>
            <w:r>
              <w:rPr>
                <w:rFonts w:ascii="宋体" w:hAnsi="宋体" w:cs="宋体" w:eastAsia="宋体" w:hint="default"/>
                <w:sz w:val="18"/>
                <w:szCs w:val="18"/>
              </w:rPr>
              <w:t>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2011-4-27</w:t>
            </w:r>
          </w:p>
        </w:tc>
      </w:tr>
    </w:tbl>
    <w:p>
      <w:pPr>
        <w:spacing w:line="240" w:lineRule="auto" w:before="3"/>
        <w:rPr>
          <w:rFonts w:ascii="宋体" w:hAnsi="宋体" w:cs="宋体" w:eastAsia="宋体" w:hint="default"/>
          <w:sz w:val="19"/>
          <w:szCs w:val="19"/>
        </w:rPr>
      </w:pPr>
    </w:p>
    <w:p>
      <w:pPr>
        <w:pStyle w:val="Heading3"/>
        <w:spacing w:line="240" w:lineRule="auto" w:before="36"/>
        <w:ind w:left="192" w:right="251"/>
        <w:jc w:val="left"/>
        <w:rPr>
          <w:b w:val="0"/>
          <w:bCs w:val="0"/>
        </w:rPr>
      </w:pPr>
      <w:r>
        <w:rPr/>
        <w:t>（</w:t>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11"/>
        <w:jc w:val="right"/>
      </w:pPr>
      <w:r>
        <w:rPr/>
        <w:t>单位：元</w:t>
      </w:r>
    </w:p>
    <w:p>
      <w:pPr>
        <w:spacing w:line="240" w:lineRule="auto" w:before="2"/>
        <w:rPr>
          <w:rFonts w:ascii="宋体" w:hAnsi="宋体" w:cs="宋体" w:eastAsia="宋体" w:hint="default"/>
          <w:sz w:val="8"/>
          <w:szCs w:val="8"/>
        </w:rPr>
      </w:pPr>
    </w:p>
    <w:tbl>
      <w:tblPr>
        <w:tblW w:w="0" w:type="auto"/>
        <w:jc w:val="left"/>
        <w:tblInd w:w="20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1,457,261,038.00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1,035,237,072.78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40.77%</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1,228,217,063.39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820,976,515.73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49.6%</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229,043,974.61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214,260,557.05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11,758,922.35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11,962,015.79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161,398,152.56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455,242,613.21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-64.55%</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-149,639,230.21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-443,280,597.42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-66.24%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44,795,841.75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23,266,700.00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92.53%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113,760,000.00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106,467,996.00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6.85%</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-68,964,158.25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-83,201,296.00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-17.11%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10,439,048.29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-312,221,336.37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-103.34%</w:t>
            </w:r>
          </w:p>
        </w:tc>
      </w:tr>
    </w:tbl>
    <w:p>
      <w:pPr>
        <w:spacing w:line="240" w:lineRule="auto" w:before="5"/>
        <w:rPr>
          <w:rFonts w:ascii="宋体" w:hAnsi="宋体" w:cs="宋体" w:eastAsia="宋体" w:hint="default"/>
          <w:sz w:val="6"/>
          <w:szCs w:val="6"/>
        </w:rPr>
      </w:pPr>
    </w:p>
    <w:p>
      <w:pPr>
        <w:pStyle w:val="Heading5"/>
        <w:spacing w:line="240" w:lineRule="auto" w:before="44"/>
        <w:ind w:left="192" w:right="251"/>
        <w:jc w:val="left"/>
        <w:rPr>
          <w:b w:val="0"/>
          <w:bCs w:val="0"/>
        </w:rPr>
      </w:pPr>
      <w:r>
        <w:rPr/>
        <w:t>相关数据同比发生变动</w:t>
      </w:r>
      <w:r>
        <w:rPr>
          <w:spacing w:val="-47"/>
        </w:rPr>
        <w:t> </w:t>
      </w:r>
      <w:r>
        <w:rPr>
          <w:rFonts w:ascii="Times New Roman" w:hAnsi="Times New Roman" w:cs="Times New Roman" w:eastAsia="Times New Roman" w:hint="default"/>
        </w:rPr>
        <w:t>30%</w:t>
      </w:r>
      <w:r>
        <w:rPr/>
        <w:t>以上的原因说明</w:t>
      </w:r>
      <w:r>
        <w:rPr>
          <w:b w:val="0"/>
          <w:bCs w:val="0"/>
        </w:rPr>
      </w:r>
    </w:p>
    <w:p>
      <w:pPr>
        <w:spacing w:line="240" w:lineRule="auto" w:before="9"/>
        <w:rPr>
          <w:rFonts w:ascii="宋体" w:hAnsi="宋体" w:cs="宋体" w:eastAsia="宋体" w:hint="default"/>
          <w:b/>
          <w:bCs/>
          <w:sz w:val="19"/>
          <w:szCs w:val="19"/>
        </w:rPr>
      </w:pPr>
    </w:p>
    <w:p>
      <w:pPr>
        <w:pStyle w:val="BodyText"/>
        <w:spacing w:line="240" w:lineRule="auto"/>
        <w:ind w:left="192" w:right="2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1"/>
        <w:rPr>
          <w:rFonts w:ascii="宋体" w:hAnsi="宋体" w:cs="宋体" w:eastAsia="宋体" w:hint="default"/>
          <w:sz w:val="19"/>
          <w:szCs w:val="19"/>
        </w:rPr>
      </w:pPr>
    </w:p>
    <w:p>
      <w:pPr>
        <w:pStyle w:val="BodyText"/>
        <w:spacing w:line="477" w:lineRule="auto"/>
        <w:ind w:left="192" w:right="251" w:firstLine="360"/>
        <w:jc w:val="left"/>
      </w:pPr>
      <w:r>
        <w:rPr/>
        <w:t>报告期内，公司经营活动现金流入较上期增长</w:t>
      </w:r>
      <w:r>
        <w:rPr>
          <w:spacing w:val="-47"/>
        </w:rPr>
        <w:t> </w:t>
      </w:r>
      <w:r>
        <w:rPr>
          <w:rFonts w:ascii="宋体" w:hAnsi="宋体" w:cs="宋体" w:eastAsia="宋体" w:hint="default"/>
        </w:rPr>
        <w:t>40.77%</w:t>
      </w:r>
      <w:r>
        <w:rPr/>
        <w:t>，主要系本期营业收入较去年增长的同时，加强应收账款的管理 及与客户的沟通，提高结算进度；</w:t>
      </w:r>
    </w:p>
    <w:p>
      <w:pPr>
        <w:pStyle w:val="BodyText"/>
        <w:spacing w:line="451" w:lineRule="auto" w:before="95"/>
        <w:ind w:left="192" w:right="235" w:firstLine="360"/>
        <w:jc w:val="left"/>
      </w:pPr>
      <w:r>
        <w:rPr/>
        <w:t>经营活动现金流出较上期增长</w:t>
      </w:r>
      <w:r>
        <w:rPr>
          <w:spacing w:val="-46"/>
        </w:rPr>
        <w:t> </w:t>
      </w:r>
      <w:r>
        <w:rPr>
          <w:rFonts w:ascii="Times New Roman" w:hAnsi="Times New Roman" w:cs="Times New Roman" w:eastAsia="Times New Roman" w:hint="default"/>
        </w:rPr>
        <w:t>49.60%</w:t>
      </w:r>
      <w:r>
        <w:rPr/>
        <w:t>，系公司收入规模的扩大的同时，加大第三方产品及服务的外购以及从事食材电 子商务业务而支付的现金，同时职工薪酬增长所致；</w:t>
      </w:r>
    </w:p>
    <w:p>
      <w:pPr>
        <w:pStyle w:val="BodyText"/>
        <w:spacing w:line="518" w:lineRule="auto" w:before="113"/>
        <w:ind w:left="553" w:right="2453"/>
        <w:jc w:val="left"/>
      </w:pPr>
      <w:r>
        <w:rPr/>
        <w:t>投资活动现金流出较上期大幅下降，主要系本期投资活动少于去年同期所致。 筹集活动流入较去年同期大幅增长，主要系收到了激励对象购买限制性股票的认购资金。</w:t>
      </w:r>
    </w:p>
    <w:p>
      <w:pPr>
        <w:pStyle w:val="Heading5"/>
        <w:spacing w:line="240" w:lineRule="auto" w:before="64"/>
        <w:ind w:left="192" w:right="251"/>
        <w:jc w:val="left"/>
        <w:rPr>
          <w:b w:val="0"/>
          <w:bCs w:val="0"/>
        </w:rPr>
      </w:pPr>
      <w:r>
        <w:rPr/>
        <w:t>报告期内公司经营活动的现金流量与本年度净利润存在重大差异的原因说明</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192" w:right="2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52" w:footer="980" w:top="1340" w:bottom="1160" w:left="940" w:right="920"/>
        </w:sectPr>
      </w:pPr>
    </w:p>
    <w:p>
      <w:pPr>
        <w:pStyle w:val="Heading3"/>
        <w:spacing w:line="240" w:lineRule="auto" w:before="81"/>
        <w:ind w:right="0"/>
        <w:jc w:val="left"/>
        <w:rPr>
          <w:b w:val="0"/>
          <w:bCs w:val="0"/>
        </w:rPr>
      </w:pPr>
      <w:r>
        <w:rPr/>
        <w:t>（</w:t>
      </w:r>
      <w:r>
        <w:rPr>
          <w:rFonts w:ascii="Times New Roman" w:hAnsi="Times New Roman" w:cs="Times New Roman" w:eastAsia="Times New Roman" w:hint="default"/>
        </w:rPr>
        <w:t>6</w:t>
      </w:r>
      <w:r>
        <w:rPr/>
        <w:t>）公司主要供应商、客户情况</w:t>
      </w:r>
      <w:r>
        <w:rPr>
          <w:b w:val="0"/>
          <w:bCs w:val="0"/>
        </w:rPr>
      </w:r>
    </w:p>
    <w:p>
      <w:pPr>
        <w:spacing w:line="240" w:lineRule="auto" w:before="5"/>
        <w:rPr>
          <w:rFonts w:ascii="宋体" w:hAnsi="宋体" w:cs="宋体" w:eastAsia="宋体" w:hint="default"/>
          <w:b/>
          <w:bCs/>
          <w:sz w:val="32"/>
          <w:szCs w:val="32"/>
        </w:rPr>
      </w:pPr>
    </w:p>
    <w:p>
      <w:pPr>
        <w:pStyle w:val="Heading5"/>
        <w:spacing w:line="240" w:lineRule="auto"/>
        <w:ind w:right="0"/>
        <w:jc w:val="left"/>
        <w:rPr>
          <w:b w:val="0"/>
          <w:bCs w:val="0"/>
        </w:rPr>
      </w:pPr>
      <w:r>
        <w:rPr/>
        <w:t>公司主要销售客户情况</w:t>
      </w:r>
      <w:r>
        <w:rPr>
          <w:b w:val="0"/>
          <w:bCs w:val="0"/>
        </w:rPr>
      </w:r>
    </w:p>
    <w:p>
      <w:pPr>
        <w:spacing w:line="240" w:lineRule="auto" w:before="0"/>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559"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822,046,745.35</w:t>
            </w:r>
          </w:p>
        </w:tc>
      </w:tr>
      <w:tr>
        <w:trPr>
          <w:trHeight w:val="557"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58.31%</w:t>
            </w:r>
          </w:p>
        </w:tc>
      </w:tr>
    </w:tbl>
    <w:p>
      <w:pPr>
        <w:spacing w:line="240" w:lineRule="auto" w:before="5"/>
        <w:rPr>
          <w:rFonts w:ascii="宋体" w:hAnsi="宋体" w:cs="宋体" w:eastAsia="宋体" w:hint="default"/>
          <w:b/>
          <w:bCs/>
          <w:sz w:val="6"/>
          <w:szCs w:val="6"/>
        </w:rPr>
      </w:pPr>
    </w:p>
    <w:p>
      <w:pPr>
        <w:pStyle w:val="Heading5"/>
        <w:spacing w:line="240" w:lineRule="auto" w:before="44"/>
        <w:ind w:right="0"/>
        <w:jc w:val="left"/>
        <w:rPr>
          <w:b w:val="0"/>
          <w:bCs w:val="0"/>
        </w:rPr>
      </w:pPr>
      <w:r>
        <w:rPr/>
        <w:t>向单一客户销售比例超过</w:t>
      </w:r>
      <w:r>
        <w:rPr>
          <w:spacing w:val="-50"/>
        </w:rPr>
        <w:t> </w:t>
      </w:r>
      <w:r>
        <w:rPr>
          <w:rFonts w:ascii="Times New Roman" w:hAnsi="Times New Roman" w:cs="Times New Roman" w:eastAsia="Times New Roman" w:hint="default"/>
        </w:rPr>
        <w:t>30%</w:t>
      </w:r>
      <w:r>
        <w:rPr/>
        <w:t>的客户资料</w:t>
      </w:r>
      <w:r>
        <w:rPr>
          <w:b w:val="0"/>
          <w:bCs w:val="0"/>
        </w:rPr>
      </w:r>
    </w:p>
    <w:p>
      <w:pPr>
        <w:spacing w:line="240" w:lineRule="auto" w:before="11"/>
        <w:rPr>
          <w:rFonts w:ascii="宋体" w:hAnsi="宋体" w:cs="宋体" w:eastAsia="宋体"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1844"/>
        <w:gridCol w:w="2084"/>
        <w:gridCol w:w="2820"/>
        <w:gridCol w:w="2821"/>
      </w:tblGrid>
      <w:tr>
        <w:trPr>
          <w:trHeight w:val="1027"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57"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2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9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40"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9"/>
              <w:ind w:left="866" w:right="53" w:hanging="812"/>
              <w:jc w:val="left"/>
              <w:rPr>
                <w:rFonts w:ascii="宋体" w:hAnsi="宋体" w:cs="宋体" w:eastAsia="宋体" w:hint="default"/>
                <w:sz w:val="18"/>
                <w:szCs w:val="18"/>
              </w:rPr>
            </w:pPr>
            <w:r>
              <w:rPr>
                <w:rFonts w:ascii="宋体" w:hAnsi="宋体" w:cs="宋体" w:eastAsia="宋体" w:hint="default"/>
                <w:sz w:val="18"/>
                <w:szCs w:val="18"/>
              </w:rPr>
              <w:t>销售金额或比例与以前年度相比变 化情况的说明</w:t>
            </w:r>
          </w:p>
        </w:tc>
      </w:tr>
      <w:tr>
        <w:trPr>
          <w:trHeight w:val="196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5"/>
              <w:ind w:left="24" w:right="189"/>
              <w:jc w:val="left"/>
              <w:rPr>
                <w:rFonts w:ascii="宋体" w:hAnsi="宋体" w:cs="宋体" w:eastAsia="宋体" w:hint="default"/>
                <w:sz w:val="18"/>
                <w:szCs w:val="18"/>
              </w:rPr>
            </w:pPr>
            <w:r>
              <w:rPr>
                <w:rFonts w:ascii="宋体" w:hAnsi="宋体" w:cs="宋体" w:eastAsia="宋体" w:hint="default"/>
                <w:sz w:val="18"/>
                <w:szCs w:val="18"/>
              </w:rPr>
              <w:t>中国移动通信集团广 东有限公司</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614,706,576.41</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43.61%</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主要原因系飞信业务管理工作</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月转至中国移动广东公司</w:t>
            </w:r>
            <w:r>
              <w:rPr>
                <w:rFonts w:ascii="宋体" w:hAnsi="宋体" w:cs="宋体" w:eastAsia="宋体" w:hint="default"/>
                <w:spacing w:val="-91"/>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年度与其确认相应收入是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年度确认收入是</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559"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614,706,576.41</w:t>
            </w:r>
          </w:p>
        </w:tc>
        <w:tc>
          <w:tcPr>
            <w:tcW w:w="282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43.61%</w:t>
            </w:r>
          </w:p>
        </w:tc>
        <w:tc>
          <w:tcPr>
            <w:tcW w:w="2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6"/>
          <w:szCs w:val="6"/>
        </w:rPr>
      </w:pPr>
    </w:p>
    <w:p>
      <w:pPr>
        <w:pStyle w:val="Heading5"/>
        <w:spacing w:line="240" w:lineRule="auto" w:before="44"/>
        <w:ind w:right="0"/>
        <w:jc w:val="left"/>
        <w:rPr>
          <w:b w:val="0"/>
          <w:bCs w:val="0"/>
        </w:rPr>
      </w:pPr>
      <w:r>
        <w:rPr/>
        <w:t>公司主要供应商情况</w:t>
      </w:r>
      <w:r>
        <w:rPr>
          <w:b w:val="0"/>
          <w:bCs w:val="0"/>
        </w:rPr>
      </w:r>
    </w:p>
    <w:p>
      <w:pPr>
        <w:spacing w:line="240" w:lineRule="auto" w:before="0"/>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560"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76,177,321.69</w:t>
            </w:r>
          </w:p>
        </w:tc>
      </w:tr>
      <w:tr>
        <w:trPr>
          <w:trHeight w:val="557" w:hRule="exact"/>
        </w:trPr>
        <w:tc>
          <w:tcPr>
            <w:tcW w:w="42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15.33%</w:t>
            </w:r>
          </w:p>
        </w:tc>
      </w:tr>
    </w:tbl>
    <w:p>
      <w:pPr>
        <w:spacing w:line="240" w:lineRule="auto" w:before="5"/>
        <w:rPr>
          <w:rFonts w:ascii="宋体" w:hAnsi="宋体" w:cs="宋体" w:eastAsia="宋体" w:hint="default"/>
          <w:b/>
          <w:bCs/>
          <w:sz w:val="6"/>
          <w:szCs w:val="6"/>
        </w:rPr>
      </w:pPr>
    </w:p>
    <w:p>
      <w:pPr>
        <w:pStyle w:val="Heading5"/>
        <w:spacing w:line="240" w:lineRule="auto" w:before="44"/>
        <w:ind w:right="0"/>
        <w:jc w:val="left"/>
        <w:rPr>
          <w:b w:val="0"/>
          <w:bCs w:val="0"/>
        </w:rPr>
      </w:pPr>
      <w:r>
        <w:rPr/>
        <w:pict>
          <v:shape style="position:absolute;margin-left:263.570007pt;margin-top:-32.048294pt;width:270.2pt;height:27.4pt;mso-position-horizontal-relative:page;mso-position-vertical-relative:paragraph;z-index:-946912" type="#_x0000_t202" filled="false" stroked="false">
            <v:textbox inset="0,0,0,0">
              <w:txbxContent>
                <w:p>
                  <w:pPr>
                    <w:pStyle w:val="BodyText"/>
                    <w:spacing w:line="240" w:lineRule="auto" w:before="128"/>
                    <w:ind w:left="0" w:right="0"/>
                    <w:jc w:val="left"/>
                  </w:pPr>
                  <w:r>
                    <w:rPr/>
                    <w:t>）</w:t>
                  </w:r>
                </w:p>
              </w:txbxContent>
            </v:textbox>
            <w10:wrap type="none"/>
          </v:shape>
        </w:pict>
      </w:r>
      <w:r>
        <w:rPr/>
        <w:pict>
          <v:group style="position:absolute;margin-left:271.010010pt;margin-top:-32.048294pt;width:262.75pt;height:27.4pt;mso-position-horizontal-relative:page;mso-position-vertical-relative:paragraph;z-index:-946888" coordorigin="5420,-641" coordsize="5255,548">
            <v:shape style="position:absolute;left:5420;top:-641;width:5255;height:548" coordorigin="5420,-641" coordsize="5255,548" path="m5420,-94l10675,-94,10675,-641,5420,-641,5420,-94xe" filled="true" fillcolor="#ffffff" stroked="false">
              <v:path arrowok="t"/>
              <v:fill type="solid"/>
            </v:shape>
            <w10:wrap type="none"/>
          </v:group>
        </w:pict>
      </w:r>
      <w:r>
        <w:rPr/>
        <w:t>向单一供应商采购比例超过</w:t>
      </w:r>
      <w:r>
        <w:rPr>
          <w:spacing w:val="-47"/>
        </w:rPr>
        <w:t> </w:t>
      </w:r>
      <w:r>
        <w:rPr>
          <w:rFonts w:ascii="Times New Roman" w:hAnsi="Times New Roman" w:cs="Times New Roman" w:eastAsia="Times New Roman" w:hint="default"/>
        </w:rPr>
        <w:t>30%</w:t>
      </w:r>
      <w:r>
        <w:rPr/>
        <w:t>的客户资料</w:t>
      </w:r>
      <w:r>
        <w:rPr>
          <w:b w:val="0"/>
          <w:bCs w:val="0"/>
        </w:rPr>
      </w:r>
    </w:p>
    <w:p>
      <w:pPr>
        <w:spacing w:line="240" w:lineRule="auto" w:before="11"/>
        <w:rPr>
          <w:rFonts w:ascii="宋体" w:hAnsi="宋体" w:cs="宋体" w:eastAsia="宋体"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）公司未来发展与规划延续至报告期的说明</w:t>
      </w:r>
      <w:r>
        <w:rPr>
          <w:b w:val="0"/>
          <w:bCs w:val="0"/>
        </w:rPr>
      </w:r>
    </w:p>
    <w:p>
      <w:pPr>
        <w:spacing w:line="240" w:lineRule="auto" w:before="5"/>
        <w:rPr>
          <w:rFonts w:ascii="宋体" w:hAnsi="宋体" w:cs="宋体" w:eastAsia="宋体" w:hint="default"/>
          <w:b/>
          <w:bCs/>
          <w:sz w:val="32"/>
          <w:szCs w:val="32"/>
        </w:rPr>
      </w:pPr>
    </w:p>
    <w:p>
      <w:pPr>
        <w:pStyle w:val="Heading5"/>
        <w:spacing w:line="240" w:lineRule="auto"/>
        <w:ind w:right="0"/>
        <w:jc w:val="left"/>
        <w:rPr>
          <w:b w:val="0"/>
          <w:bCs w:val="0"/>
        </w:rPr>
      </w:pPr>
      <w:r>
        <w:rPr/>
        <w:t>首次公开发行招股说明书中披露的未来发展与规划在本报告期的实施情况</w:t>
      </w:r>
      <w:r>
        <w:rPr>
          <w:b w:val="0"/>
          <w:bCs w:val="0"/>
        </w:rPr>
      </w:r>
    </w:p>
    <w:p>
      <w:pPr>
        <w:spacing w:line="240" w:lineRule="auto" w:before="12"/>
        <w:rPr>
          <w:rFonts w:ascii="宋体" w:hAnsi="宋体" w:cs="宋体" w:eastAsia="宋体" w:hint="default"/>
          <w:b/>
          <w:bCs/>
          <w:sz w:val="20"/>
          <w:szCs w:val="20"/>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9"/>
          <w:szCs w:val="19"/>
        </w:rPr>
      </w:pPr>
    </w:p>
    <w:p>
      <w:pPr>
        <w:pStyle w:val="BodyText"/>
        <w:spacing w:line="472" w:lineRule="auto"/>
        <w:ind w:right="0" w:firstLine="360"/>
        <w:jc w:val="left"/>
        <w:rPr>
          <w:rFonts w:ascii="宋体" w:hAnsi="宋体" w:cs="宋体" w:eastAsia="宋体" w:hint="default"/>
        </w:rPr>
      </w:pP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10</w:t>
      </w:r>
      <w:r>
        <w:rPr>
          <w:spacing w:val="-2"/>
        </w:rPr>
        <w:t>月，公司招股说明书中披露了未来三年的具体发展目标：进一步巩固和提高公司在我国</w:t>
      </w:r>
      <w:r>
        <w:rPr>
          <w:rFonts w:ascii="Times New Roman" w:hAnsi="Times New Roman" w:cs="Times New Roman" w:eastAsia="Times New Roman" w:hint="default"/>
          <w:spacing w:val="-2"/>
        </w:rPr>
        <w:t>IT</w:t>
      </w:r>
      <w:r>
        <w:rPr>
          <w:spacing w:val="-2"/>
        </w:rPr>
        <w:t>运维管理领域的领先</w:t>
      </w:r>
      <w:r>
        <w:rPr/>
        <w:t> </w:t>
      </w:r>
      <w:r>
        <w:rPr>
          <w:spacing w:val="-2"/>
        </w:rPr>
        <w:t>市场地位，进一步增强公司的核心竞争力，积极探索移动互联网运维支撑外包服务模式在其他业务领域的拓展和复制，为公</w:t>
      </w:r>
      <w:r>
        <w:rPr>
          <w:spacing w:val="-61"/>
        </w:rPr>
        <w:t> </w:t>
      </w:r>
      <w:r>
        <w:rPr>
          <w:spacing w:val="-61"/>
        </w:rPr>
      </w:r>
      <w:r>
        <w:rPr>
          <w:spacing w:val="-2"/>
        </w:rPr>
        <w:t>司增加新的利润增长点。并制定了产品计划、服务计划、技术计划、营销体系计划、国际合作计划、人力资源计划等发展规</w:t>
      </w:r>
      <w:r>
        <w:rPr>
          <w:spacing w:val="-68"/>
        </w:rPr>
        <w:t> </w:t>
      </w:r>
      <w:r>
        <w:rPr>
          <w:spacing w:val="-68"/>
        </w:rPr>
      </w:r>
      <w:r>
        <w:rPr>
          <w:spacing w:val="-1"/>
          <w:w w:val="100"/>
        </w:rPr>
        <w:t>划。报告期内，上述计划得到了很好的实施，具体内容详见本节之</w:t>
      </w:r>
      <w:r>
        <w:rPr>
          <w:rFonts w:ascii="Times New Roman" w:hAnsi="Times New Roman" w:cs="Times New Roman" w:eastAsia="Times New Roman" w:hint="default"/>
          <w:spacing w:val="-1"/>
          <w:w w:val="100"/>
        </w:rPr>
        <w:t>―</w:t>
      </w:r>
      <w:r>
        <w:rPr>
          <w:spacing w:val="-1"/>
          <w:w w:val="100"/>
        </w:rPr>
        <w:t>管理层讨论与分析</w:t>
      </w:r>
      <w:r>
        <w:rPr>
          <w:rFonts w:ascii="Times New Roman" w:hAnsi="Times New Roman" w:cs="Times New Roman" w:eastAsia="Times New Roman" w:hint="default"/>
          <w:spacing w:val="-1"/>
          <w:w w:val="100"/>
        </w:rPr>
        <w:t>‖</w:t>
      </w:r>
      <w:r>
        <w:rPr>
          <w:spacing w:val="-1"/>
          <w:w w:val="100"/>
        </w:rPr>
        <w:t>。</w:t>
      </w:r>
      <w:r>
        <w:rPr/>
        <w:t> </w:t>
      </w:r>
      <w:r>
        <w:rPr>
          <w:rFonts w:ascii="宋体" w:hAnsi="宋体" w:cs="宋体" w:eastAsia="宋体" w:hint="default"/>
          <w:b/>
          <w:bCs/>
        </w:rPr>
        <w:t>公司回顾总结前期披露的发展战略和经营计划在报告期内的进展情况</w:t>
      </w:r>
      <w:r>
        <w:rPr>
          <w:rFonts w:ascii="宋体" w:hAnsi="宋体" w:cs="宋体" w:eastAsia="宋体" w:hint="default"/>
        </w:rPr>
      </w:r>
    </w:p>
    <w:p>
      <w:pPr>
        <w:spacing w:after="0" w:line="472" w:lineRule="auto"/>
        <w:jc w:val="left"/>
        <w:rPr>
          <w:rFonts w:ascii="宋体" w:hAnsi="宋体" w:cs="宋体" w:eastAsia="宋体" w:hint="default"/>
        </w:rPr>
        <w:sectPr>
          <w:pgSz w:w="11910" w:h="16840"/>
          <w:pgMar w:header="852" w:footer="980" w:top="1340" w:bottom="1160" w:left="980" w:right="980"/>
        </w:sectPr>
      </w:pPr>
    </w:p>
    <w:p>
      <w:pPr>
        <w:spacing w:line="240" w:lineRule="auto" w:before="6"/>
        <w:rPr>
          <w:rFonts w:ascii="宋体" w:hAnsi="宋体" w:cs="宋体" w:eastAsia="宋体" w:hint="default"/>
          <w:b/>
          <w:bCs/>
          <w:sz w:val="10"/>
          <w:szCs w:val="10"/>
        </w:rPr>
      </w:pPr>
    </w:p>
    <w:p>
      <w:pPr>
        <w:spacing w:line="489" w:lineRule="auto" w:before="44"/>
        <w:ind w:left="152" w:right="435" w:firstLine="360"/>
        <w:jc w:val="left"/>
        <w:rPr>
          <w:rFonts w:ascii="宋体" w:hAnsi="宋体" w:cs="宋体" w:eastAsia="宋体" w:hint="default"/>
          <w:sz w:val="18"/>
          <w:szCs w:val="18"/>
        </w:rPr>
      </w:pPr>
      <w:r>
        <w:rPr>
          <w:rFonts w:ascii="宋体" w:hAnsi="宋体" w:cs="宋体" w:eastAsia="宋体" w:hint="default"/>
          <w:sz w:val="18"/>
          <w:szCs w:val="18"/>
        </w:rPr>
        <w:t>报告期内公司围绕发展战略和</w:t>
      </w:r>
      <w:r>
        <w:rPr>
          <w:rFonts w:ascii="Times New Roman" w:hAnsi="Times New Roman" w:cs="Times New Roman" w:eastAsia="Times New Roman" w:hint="default"/>
          <w:spacing w:val="1"/>
          <w:sz w:val="18"/>
          <w:szCs w:val="18"/>
        </w:rPr>
        <w:t>2012</w:t>
      </w:r>
      <w:r>
        <w:rPr>
          <w:rFonts w:ascii="宋体" w:hAnsi="宋体" w:cs="宋体" w:eastAsia="宋体" w:hint="default"/>
          <w:sz w:val="18"/>
          <w:szCs w:val="18"/>
        </w:rPr>
        <w:t>年度经营计划，积极推进</w:t>
      </w:r>
      <w:r>
        <w:rPr>
          <w:rFonts w:ascii="宋体" w:hAnsi="宋体" w:cs="宋体" w:eastAsia="宋体" w:hint="default"/>
          <w:spacing w:val="-3"/>
          <w:sz w:val="18"/>
          <w:szCs w:val="18"/>
        </w:rPr>
        <w:t>各</w:t>
      </w:r>
      <w:r>
        <w:rPr>
          <w:rFonts w:ascii="宋体" w:hAnsi="宋体" w:cs="宋体" w:eastAsia="宋体" w:hint="default"/>
          <w:sz w:val="18"/>
          <w:szCs w:val="18"/>
        </w:rPr>
        <w:t>项工作，具体情况详见本节之</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 </w:t>
      </w:r>
      <w:r>
        <w:rPr>
          <w:rFonts w:ascii="宋体" w:hAnsi="宋体" w:cs="宋体" w:eastAsia="宋体" w:hint="default"/>
          <w:b/>
          <w:bCs/>
          <w:sz w:val="18"/>
          <w:szCs w:val="18"/>
        </w:rPr>
        <w:t>公司实际经营业绩较曾公开披露过的本年度盈利预测低于或高于</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20%</w:t>
      </w:r>
      <w:r>
        <w:rPr>
          <w:rFonts w:ascii="宋体" w:hAnsi="宋体" w:cs="宋体" w:eastAsia="宋体" w:hint="default"/>
          <w:b/>
          <w:bCs/>
          <w:sz w:val="18"/>
          <w:szCs w:val="18"/>
        </w:rPr>
        <w:t>以上的差异原因</w:t>
      </w:r>
      <w:r>
        <w:rPr>
          <w:rFonts w:ascii="宋体" w:hAnsi="宋体" w:cs="宋体" w:eastAsia="宋体" w:hint="default"/>
          <w:sz w:val="18"/>
          <w:szCs w:val="18"/>
        </w:rPr>
      </w:r>
    </w:p>
    <w:p>
      <w:pPr>
        <w:spacing w:before="5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w:t>
      </w:r>
      <w:r>
        <w:rPr/>
        <w:t>、主营业务分部报告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运维管理业务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（解决方案）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462,952,488.45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126,038,394.06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72.78%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其中：电信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390,607,459.87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88,144,029.95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8"/>
              <w:jc w:val="right"/>
              <w:rPr>
                <w:rFonts w:ascii="宋体" w:hAnsi="宋体" w:cs="宋体" w:eastAsia="宋体" w:hint="default"/>
                <w:sz w:val="18"/>
                <w:szCs w:val="18"/>
              </w:rPr>
            </w:pPr>
            <w:r>
              <w:rPr>
                <w:rFonts w:ascii="宋体" w:hAnsi="宋体" w:cs="宋体" w:eastAsia="宋体" w:hint="default"/>
                <w:sz w:val="18"/>
                <w:szCs w:val="18"/>
              </w:rPr>
              <w:t>金融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31,147,120.63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10,693,047.90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171.87%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-14.35%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8"/>
              <w:jc w:val="right"/>
              <w:rPr>
                <w:rFonts w:ascii="宋体" w:hAnsi="宋体" w:cs="宋体" w:eastAsia="宋体" w:hint="default"/>
                <w:sz w:val="18"/>
                <w:szCs w:val="18"/>
              </w:rPr>
            </w:pPr>
            <w:r>
              <w:rPr>
                <w:rFonts w:ascii="宋体" w:hAnsi="宋体" w:cs="宋体" w:eastAsia="宋体" w:hint="default"/>
                <w:sz w:val="18"/>
                <w:szCs w:val="18"/>
              </w:rPr>
              <w:t>能源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8,202,828.09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3,753,930.62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14.46%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8"/>
              <w:jc w:val="right"/>
              <w:rPr>
                <w:rFonts w:ascii="宋体" w:hAnsi="宋体" w:cs="宋体" w:eastAsia="宋体" w:hint="default"/>
                <w:sz w:val="18"/>
                <w:szCs w:val="18"/>
              </w:rPr>
            </w:pPr>
            <w:r>
              <w:rPr>
                <w:rFonts w:ascii="宋体" w:hAnsi="宋体" w:cs="宋体" w:eastAsia="宋体" w:hint="default"/>
                <w:sz w:val="18"/>
                <w:szCs w:val="18"/>
              </w:rPr>
              <w:t>政府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6,840,118.27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2,959,423.34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8"/>
              <w:jc w:val="righ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26,154,961.59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20,487,962.25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-58.03%</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运维管理业务</w:t>
            </w:r>
          </w:p>
          <w:p>
            <w:pPr>
              <w:pStyle w:val="TableParagraph"/>
              <w:spacing w:line="319" w:lineRule="auto" w:before="74"/>
              <w:ind w:left="24" w:right="252"/>
              <w:jc w:val="left"/>
              <w:rPr>
                <w:rFonts w:ascii="宋体" w:hAnsi="宋体" w:cs="宋体" w:eastAsia="宋体" w:hint="default"/>
                <w:sz w:val="18"/>
                <w:szCs w:val="18"/>
              </w:rPr>
            </w:pPr>
            <w:r>
              <w:rPr>
                <w:rFonts w:ascii="宋体" w:hAnsi="宋体" w:cs="宋体" w:eastAsia="宋体" w:hint="default"/>
                <w:sz w:val="18"/>
                <w:szCs w:val="18"/>
              </w:rPr>
              <w:t>（系统集成购 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135,348,652.51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123,072,024.85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互联网运营业务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704,107,505.64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156,694,824.93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77.75%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其中：飞信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585,973,324.64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125,956,206.24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8"/>
              <w:jc w:val="right"/>
              <w:rPr>
                <w:rFonts w:ascii="宋体" w:hAnsi="宋体" w:cs="宋体" w:eastAsia="宋体" w:hint="default"/>
                <w:sz w:val="18"/>
                <w:szCs w:val="18"/>
              </w:rPr>
            </w:pPr>
            <w:r>
              <w:rPr>
                <w:rFonts w:ascii="宋体" w:hAnsi="宋体" w:cs="宋体" w:eastAsia="宋体" w:hint="default"/>
                <w:sz w:val="18"/>
                <w:szCs w:val="18"/>
              </w:rPr>
              <w:t>农网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100,297,947.98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23,070,430.29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8"/>
              <w:jc w:val="righ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17,836,233.02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7,668,188.40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2,655.45%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-38.62%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电子商务业务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88,594,028.49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85,744,433.42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31,896.17%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54,721.71%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-40.3%</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软件产品开发与 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195,635,411.80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28,826,031.26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847,481,672.47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193,849,825.96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259,291,562.33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183,129,386.62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15.79%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88,594,028.49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85,744,433.42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31,896.17%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54,721.71%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-40.3%</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大陆地区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1,391,002,675.09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491,549,677.26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64.66%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-2.88%</w:t>
            </w:r>
          </w:p>
        </w:tc>
      </w:tr>
    </w:tbl>
    <w:p>
      <w:pPr>
        <w:spacing w:line="240" w:lineRule="auto" w:before="5"/>
        <w:rPr>
          <w:rFonts w:ascii="宋体" w:hAnsi="宋体" w:cs="宋体" w:eastAsia="宋体" w:hint="default"/>
          <w:sz w:val="6"/>
          <w:szCs w:val="6"/>
        </w:rPr>
      </w:pPr>
    </w:p>
    <w:p>
      <w:pPr>
        <w:pStyle w:val="Heading5"/>
        <w:spacing w:line="240" w:lineRule="auto" w:before="44"/>
        <w:ind w:right="0"/>
        <w:jc w:val="left"/>
        <w:rPr>
          <w:b w:val="0"/>
          <w:bCs w:val="0"/>
        </w:rPr>
      </w:pPr>
      <w:r>
        <w:rPr/>
        <w:t>公司主营业务数据统计口径在报告期发生调整的情况下，公司最近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年按报告期末口径调整后的主营业务数据</w:t>
      </w:r>
      <w:r>
        <w:rPr>
          <w:b w:val="0"/>
          <w:bCs w:val="0"/>
        </w:rPr>
      </w:r>
    </w:p>
    <w:p>
      <w:pPr>
        <w:spacing w:line="240" w:lineRule="auto" w:before="9"/>
        <w:rPr>
          <w:rFonts w:ascii="宋体" w:hAnsi="宋体" w:cs="宋体" w:eastAsia="宋体"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52" w:footer="980" w:top="1340" w:bottom="1160" w:left="980" w:right="980"/>
        </w:sectPr>
      </w:pPr>
    </w:p>
    <w:p>
      <w:pPr>
        <w:pStyle w:val="Heading3"/>
        <w:spacing w:line="240" w:lineRule="auto" w:before="81"/>
        <w:ind w:right="5994"/>
        <w:jc w:val="left"/>
        <w:rPr>
          <w:b w:val="0"/>
          <w:bCs w:val="0"/>
        </w:rPr>
      </w:pPr>
      <w:r>
        <w:rPr>
          <w:rFonts w:ascii="Times New Roman" w:hAnsi="Times New Roman" w:cs="Times New Roman" w:eastAsia="Times New Roman" w:hint="default"/>
        </w:rPr>
        <w:t>3</w:t>
      </w:r>
      <w:r>
        <w:rPr/>
        <w:t>、资产、负债状况分析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5994"/>
        <w:jc w:val="left"/>
        <w:rPr>
          <w:b w:val="0"/>
          <w:bCs w:val="0"/>
        </w:rPr>
      </w:pPr>
      <w:r>
        <w:rPr/>
        <w:t>（</w:t>
      </w:r>
      <w:r>
        <w:rPr>
          <w:rFonts w:ascii="Times New Roman" w:hAnsi="Times New Roman" w:cs="Times New Roman" w:eastAsia="Times New Roman" w:hint="default"/>
        </w:rPr>
        <w:t>1</w:t>
      </w:r>
      <w:r>
        <w:rPr/>
        <w:t>）资产项目重大变动情况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331"/>
        <w:jc w:val="right"/>
      </w:pPr>
      <w:r>
        <w:rPr/>
        <w:t>单位：元</w:t>
      </w:r>
    </w:p>
    <w:p>
      <w:pPr>
        <w:spacing w:line="240" w:lineRule="auto" w:before="11"/>
        <w:rPr>
          <w:rFonts w:ascii="宋体" w:hAnsi="宋体" w:cs="宋体" w:eastAsia="宋体" w:hint="default"/>
          <w:sz w:val="24"/>
          <w:szCs w:val="24"/>
        </w:rPr>
      </w:pPr>
    </w:p>
    <w:p>
      <w:pPr>
        <w:pStyle w:val="BodyText"/>
        <w:spacing w:line="240" w:lineRule="auto" w:before="44"/>
        <w:ind w:left="0" w:right="300"/>
        <w:jc w:val="right"/>
      </w:pPr>
      <w:r>
        <w:rPr/>
        <w:pict>
          <v:shape style="position:absolute;margin-left:310.489990pt;margin-top:9.711701pt;width:90.9pt;height:19.7pt;mso-position-horizontal-relative:page;mso-position-vertical-relative:paragraph;z-index:-946864" type="#_x0000_t202" filled="false" stroked="false">
            <v:textbox inset="0,0,0,0">
              <w:txbxContent>
                <w:p>
                  <w:pPr>
                    <w:pStyle w:val="BodyText"/>
                    <w:spacing w:line="240" w:lineRule="auto" w:before="49"/>
                    <w:ind w:left="0" w:right="0"/>
                    <w:jc w:val="left"/>
                  </w:pPr>
                  <w:r>
                    <w:rPr/>
                    <w:t>）</w:t>
                  </w:r>
                </w:p>
              </w:txbxContent>
            </v:textbox>
            <w10:wrap type="none"/>
          </v:shape>
        </w:pict>
      </w:r>
      <w:r>
        <w:rPr/>
        <w:pict>
          <v:shape style="position:absolute;margin-left:56.400002pt;margin-top:-10.808298pt;width:481.3pt;height:258.4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76"/>
                    <w:gridCol w:w="1683"/>
                    <w:gridCol w:w="1536"/>
                    <w:gridCol w:w="373"/>
                    <w:gridCol w:w="1353"/>
                    <w:gridCol w:w="1537"/>
                    <w:gridCol w:w="1154"/>
                  </w:tblGrid>
                  <w:tr>
                    <w:trPr>
                      <w:trHeight w:val="206" w:hRule="exact"/>
                    </w:trPr>
                    <w:tc>
                      <w:tcPr>
                        <w:tcW w:w="19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2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326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15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976" w:type="dxa"/>
                        <w:vMerge w:val="restart"/>
                        <w:tcBorders>
                          <w:top w:val="nil" w:sz="6" w:space="0" w:color="auto"/>
                          <w:left w:val="single" w:sz="4" w:space="0" w:color="000000"/>
                          <w:right w:val="single" w:sz="4" w:space="0" w:color="000000"/>
                        </w:tcBorders>
                        <w:shd w:val="clear" w:color="auto" w:fill="D2D2D2"/>
                      </w:tcPr>
                      <w:p>
                        <w:pPr/>
                      </w:p>
                    </w:tc>
                    <w:tc>
                      <w:tcPr>
                        <w:tcW w:w="3219" w:type="dxa"/>
                        <w:gridSpan w:val="2"/>
                        <w:vMerge/>
                        <w:tcBorders>
                          <w:left w:val="single" w:sz="4" w:space="0" w:color="000000"/>
                          <w:bottom w:val="single" w:sz="4" w:space="0" w:color="000000"/>
                          <w:right w:val="single" w:sz="4" w:space="0" w:color="000000"/>
                        </w:tcBorders>
                        <w:shd w:val="clear" w:color="auto" w:fill="D2D2D2"/>
                      </w:tcPr>
                      <w:p>
                        <w:pPr/>
                      </w:p>
                    </w:tc>
                    <w:tc>
                      <w:tcPr>
                        <w:tcW w:w="3262" w:type="dxa"/>
                        <w:gridSpan w:val="3"/>
                        <w:vMerge/>
                        <w:tcBorders>
                          <w:left w:val="single" w:sz="4" w:space="0" w:color="000000"/>
                          <w:bottom w:val="single" w:sz="4" w:space="0" w:color="000000"/>
                          <w:right w:val="single" w:sz="4" w:space="0" w:color="000000"/>
                        </w:tcBorders>
                        <w:shd w:val="clear" w:color="auto" w:fill="D2D2D2"/>
                      </w:tcPr>
                      <w:p>
                        <w:pPr/>
                      </w:p>
                    </w:tc>
                    <w:tc>
                      <w:tcPr>
                        <w:tcW w:w="11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比重增减（</w:t>
                        </w:r>
                        <w:r>
                          <w:rPr>
                            <w:rFonts w:ascii="Times New Roman" w:hAnsi="Times New Roman" w:cs="Times New Roman" w:eastAsia="Times New Roman" w:hint="default"/>
                            <w:spacing w:val="-8"/>
                            <w:sz w:val="18"/>
                            <w:szCs w:val="18"/>
                          </w:rPr>
                          <w:t>%</w:t>
                        </w:r>
                      </w:p>
                    </w:tc>
                  </w:tr>
                  <w:tr>
                    <w:trPr>
                      <w:trHeight w:val="109" w:hRule="exact"/>
                    </w:trPr>
                    <w:tc>
                      <w:tcPr>
                        <w:tcW w:w="1976" w:type="dxa"/>
                        <w:vMerge/>
                        <w:tcBorders>
                          <w:left w:val="single" w:sz="4" w:space="0" w:color="000000"/>
                          <w:right w:val="single" w:sz="4" w:space="0" w:color="000000"/>
                        </w:tcBorders>
                        <w:shd w:val="clear" w:color="auto" w:fill="D2D2D2"/>
                      </w:tcPr>
                      <w:p>
                        <w:pPr/>
                      </w:p>
                    </w:tc>
                    <w:tc>
                      <w:tcPr>
                        <w:tcW w:w="16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占总资产比例（</w:t>
                        </w:r>
                        <w:r>
                          <w:rPr>
                            <w:rFonts w:ascii="Times New Roman" w:hAnsi="Times New Roman" w:cs="Times New Roman" w:eastAsia="Times New Roman" w:hint="default"/>
                            <w:spacing w:val="-3"/>
                            <w:sz w:val="18"/>
                            <w:szCs w:val="18"/>
                          </w:rPr>
                          <w:t>%</w:t>
                        </w:r>
                      </w:p>
                    </w:tc>
                    <w:tc>
                      <w:tcPr>
                        <w:tcW w:w="373" w:type="dxa"/>
                        <w:tcBorders>
                          <w:top w:val="single" w:sz="4" w:space="0" w:color="000000"/>
                          <w:left w:val="single" w:sz="4" w:space="0" w:color="000000"/>
                          <w:bottom w:val="nil" w:sz="6" w:space="0" w:color="auto"/>
                          <w:right w:val="nil" w:sz="6" w:space="0" w:color="auto"/>
                        </w:tcBorders>
                        <w:shd w:val="clear" w:color="auto" w:fill="D2D2D2"/>
                      </w:tcPr>
                      <w:p>
                        <w:pPr/>
                      </w:p>
                    </w:tc>
                    <w:tc>
                      <w:tcPr>
                        <w:tcW w:w="1353" w:type="dxa"/>
                        <w:tcBorders>
                          <w:top w:val="single" w:sz="4" w:space="0" w:color="000000"/>
                          <w:left w:val="nil" w:sz="6" w:space="0" w:color="auto"/>
                          <w:bottom w:val="nil" w:sz="6" w:space="0" w:color="auto"/>
                          <w:right w:val="single" w:sz="4" w:space="0" w:color="000000"/>
                        </w:tcBorders>
                        <w:shd w:val="clear" w:color="auto" w:fill="D2D2D2"/>
                      </w:tcPr>
                      <w:p>
                        <w:pPr/>
                      </w:p>
                    </w:tc>
                    <w:tc>
                      <w:tcPr>
                        <w:tcW w:w="15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占总资产比例（</w:t>
                        </w:r>
                        <w:r>
                          <w:rPr>
                            <w:rFonts w:ascii="Times New Roman" w:hAnsi="Times New Roman" w:cs="Times New Roman" w:eastAsia="Times New Roman" w:hint="default"/>
                            <w:spacing w:val="-3"/>
                            <w:sz w:val="18"/>
                            <w:szCs w:val="18"/>
                          </w:rPr>
                          <w:t>%</w:t>
                        </w:r>
                      </w:p>
                    </w:tc>
                    <w:tc>
                      <w:tcPr>
                        <w:tcW w:w="1154" w:type="dxa"/>
                        <w:vMerge/>
                        <w:tcBorders>
                          <w:left w:val="single" w:sz="4" w:space="0" w:color="000000"/>
                          <w:bottom w:val="nil" w:sz="6" w:space="0" w:color="auto"/>
                          <w:right w:val="single" w:sz="4" w:space="0" w:color="000000"/>
                        </w:tcBorders>
                        <w:shd w:val="clear" w:color="auto" w:fill="D2D2D2"/>
                      </w:tcPr>
                      <w:p>
                        <w:pPr/>
                      </w:p>
                    </w:tc>
                  </w:tr>
                  <w:tr>
                    <w:trPr>
                      <w:trHeight w:val="92" w:hRule="exact"/>
                    </w:trPr>
                    <w:tc>
                      <w:tcPr>
                        <w:tcW w:w="1976" w:type="dxa"/>
                        <w:vMerge/>
                        <w:tcBorders>
                          <w:left w:val="single" w:sz="4" w:space="0" w:color="000000"/>
                          <w:bottom w:val="nil" w:sz="6" w:space="0" w:color="auto"/>
                          <w:right w:val="single" w:sz="4" w:space="0" w:color="000000"/>
                        </w:tcBorders>
                        <w:shd w:val="clear" w:color="auto" w:fill="D2D2D2"/>
                      </w:tcPr>
                      <w:p>
                        <w:pPr/>
                      </w:p>
                    </w:tc>
                    <w:tc>
                      <w:tcPr>
                        <w:tcW w:w="1683" w:type="dxa"/>
                        <w:vMerge/>
                        <w:tcBorders>
                          <w:left w:val="single" w:sz="4" w:space="0" w:color="000000"/>
                          <w:right w:val="single" w:sz="4" w:space="0" w:color="000000"/>
                        </w:tcBorders>
                        <w:shd w:val="clear" w:color="auto" w:fill="D2D2D2"/>
                      </w:tcPr>
                      <w:p>
                        <w:pPr/>
                      </w:p>
                    </w:tc>
                    <w:tc>
                      <w:tcPr>
                        <w:tcW w:w="1536" w:type="dxa"/>
                        <w:vMerge/>
                        <w:tcBorders>
                          <w:left w:val="single" w:sz="4" w:space="0" w:color="000000"/>
                          <w:right w:val="single" w:sz="4" w:space="0" w:color="000000"/>
                        </w:tcBorders>
                        <w:shd w:val="clear" w:color="auto" w:fill="D2D2D2"/>
                      </w:tcPr>
                      <w:p>
                        <w:pPr/>
                      </w:p>
                    </w:tc>
                    <w:tc>
                      <w:tcPr>
                        <w:tcW w:w="373" w:type="dxa"/>
                        <w:vMerge w:val="restart"/>
                        <w:tcBorders>
                          <w:top w:val="nil" w:sz="6" w:space="0" w:color="auto"/>
                          <w:left w:val="single" w:sz="4" w:space="0" w:color="000000"/>
                          <w:right w:val="nil" w:sz="6" w:space="0" w:color="auto"/>
                        </w:tcBorders>
                        <w:shd w:val="clear" w:color="auto" w:fill="D2D2D2"/>
                      </w:tcPr>
                      <w:p>
                        <w:pPr/>
                      </w:p>
                    </w:tc>
                    <w:tc>
                      <w:tcPr>
                        <w:tcW w:w="1353" w:type="dxa"/>
                        <w:vMerge w:val="restart"/>
                        <w:tcBorders>
                          <w:top w:val="nil" w:sz="6" w:space="0" w:color="auto"/>
                          <w:left w:val="nil" w:sz="6" w:space="0" w:color="auto"/>
                          <w:right w:val="single" w:sz="4" w:space="0" w:color="000000"/>
                        </w:tcBorders>
                        <w:shd w:val="clear" w:color="auto" w:fill="D2D2D2"/>
                      </w:tcPr>
                      <w:p>
                        <w:pPr>
                          <w:pStyle w:val="TableParagraph"/>
                          <w:spacing w:line="185" w:lineRule="exact"/>
                          <w:ind w:left="31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37" w:type="dxa"/>
                        <w:vMerge/>
                        <w:tcBorders>
                          <w:left w:val="single" w:sz="4" w:space="0" w:color="000000"/>
                          <w:right w:val="single" w:sz="4" w:space="0" w:color="000000"/>
                        </w:tcBorders>
                        <w:shd w:val="clear" w:color="auto" w:fill="D2D2D2"/>
                      </w:tcPr>
                      <w:p>
                        <w:pPr/>
                      </w:p>
                    </w:tc>
                    <w:tc>
                      <w:tcPr>
                        <w:tcW w:w="1154" w:type="dxa"/>
                        <w:vMerge w:val="restart"/>
                        <w:tcBorders>
                          <w:top w:val="nil" w:sz="6" w:space="0" w:color="auto"/>
                          <w:left w:val="single" w:sz="4" w:space="0" w:color="000000"/>
                          <w:right w:val="single" w:sz="4" w:space="0" w:color="000000"/>
                        </w:tcBorders>
                        <w:shd w:val="clear" w:color="auto" w:fill="D2D2D2"/>
                      </w:tcPr>
                      <w:p>
                        <w:pPr>
                          <w:pStyle w:val="TableParagraph"/>
                          <w:spacing w:line="185"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06" w:hRule="exact"/>
                    </w:trPr>
                    <w:tc>
                      <w:tcPr>
                        <w:tcW w:w="19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83" w:type="dxa"/>
                        <w:vMerge/>
                        <w:tcBorders>
                          <w:left w:val="single" w:sz="4" w:space="0" w:color="000000"/>
                          <w:bottom w:val="single" w:sz="4" w:space="0" w:color="000000"/>
                          <w:right w:val="single" w:sz="4" w:space="0" w:color="000000"/>
                        </w:tcBorders>
                        <w:shd w:val="clear" w:color="auto" w:fill="D2D2D2"/>
                      </w:tcPr>
                      <w:p>
                        <w:pPr/>
                      </w:p>
                    </w:tc>
                    <w:tc>
                      <w:tcPr>
                        <w:tcW w:w="1536" w:type="dxa"/>
                        <w:vMerge/>
                        <w:tcBorders>
                          <w:left w:val="single" w:sz="4" w:space="0" w:color="000000"/>
                          <w:bottom w:val="single" w:sz="4" w:space="0" w:color="000000"/>
                          <w:right w:val="single" w:sz="4" w:space="0" w:color="000000"/>
                        </w:tcBorders>
                        <w:shd w:val="clear" w:color="auto" w:fill="D2D2D2"/>
                      </w:tcPr>
                      <w:p>
                        <w:pPr/>
                      </w:p>
                    </w:tc>
                    <w:tc>
                      <w:tcPr>
                        <w:tcW w:w="373" w:type="dxa"/>
                        <w:vMerge/>
                        <w:tcBorders>
                          <w:left w:val="single" w:sz="4" w:space="0" w:color="000000"/>
                          <w:bottom w:val="single" w:sz="4" w:space="0" w:color="000000"/>
                          <w:right w:val="nil" w:sz="6" w:space="0" w:color="auto"/>
                        </w:tcBorders>
                        <w:shd w:val="clear" w:color="auto" w:fill="D2D2D2"/>
                      </w:tcPr>
                      <w:p>
                        <w:pPr/>
                      </w:p>
                    </w:tc>
                    <w:tc>
                      <w:tcPr>
                        <w:tcW w:w="1353" w:type="dxa"/>
                        <w:vMerge/>
                        <w:tcBorders>
                          <w:left w:val="nil" w:sz="6" w:space="0" w:color="auto"/>
                          <w:bottom w:val="single" w:sz="4" w:space="0" w:color="000000"/>
                          <w:right w:val="single" w:sz="4" w:space="0" w:color="000000"/>
                        </w:tcBorders>
                        <w:shd w:val="clear" w:color="auto" w:fill="D2D2D2"/>
                      </w:tcPr>
                      <w:p>
                        <w:pPr/>
                      </w:p>
                    </w:tc>
                    <w:tc>
                      <w:tcPr>
                        <w:tcW w:w="1537" w:type="dxa"/>
                        <w:vMerge/>
                        <w:tcBorders>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r>
                  <w:tr>
                    <w:trPr>
                      <w:trHeight w:val="115" w:hRule="exact"/>
                    </w:trPr>
                    <w:tc>
                      <w:tcPr>
                        <w:tcW w:w="19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3" w:type="dxa"/>
                        <w:vMerge w:val="restart"/>
                        <w:tcBorders>
                          <w:top w:val="single" w:sz="4" w:space="0" w:color="000000"/>
                          <w:left w:val="single" w:sz="10" w:space="0" w:color="D2D2D2"/>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1,376,172,702.71</w:t>
                        </w:r>
                      </w:p>
                    </w:tc>
                    <w:tc>
                      <w:tcPr>
                        <w:tcW w:w="153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950" w:right="0"/>
                          <w:jc w:val="left"/>
                          <w:rPr>
                            <w:rFonts w:ascii="Times New Roman" w:hAnsi="Times New Roman" w:cs="Times New Roman" w:eastAsia="Times New Roman" w:hint="default"/>
                            <w:sz w:val="18"/>
                            <w:szCs w:val="18"/>
                          </w:rPr>
                        </w:pPr>
                        <w:r>
                          <w:rPr>
                            <w:rFonts w:ascii="Times New Roman"/>
                            <w:sz w:val="18"/>
                          </w:rPr>
                          <w:t>39.13%</w:t>
                        </w:r>
                      </w:p>
                    </w:tc>
                    <w:tc>
                      <w:tcPr>
                        <w:tcW w:w="1726"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1,366,601,707.17</w:t>
                        </w:r>
                      </w:p>
                    </w:tc>
                    <w:tc>
                      <w:tcPr>
                        <w:tcW w:w="153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950" w:right="0"/>
                          <w:jc w:val="left"/>
                          <w:rPr>
                            <w:rFonts w:ascii="Times New Roman" w:hAnsi="Times New Roman" w:cs="Times New Roman" w:eastAsia="Times New Roman" w:hint="default"/>
                            <w:sz w:val="18"/>
                            <w:szCs w:val="18"/>
                          </w:rPr>
                        </w:pPr>
                        <w:r>
                          <w:rPr>
                            <w:rFonts w:ascii="Times New Roman"/>
                            <w:sz w:val="18"/>
                          </w:rPr>
                          <w:t>41.77%</w:t>
                        </w: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-2.64%</w:t>
                        </w:r>
                      </w:p>
                    </w:tc>
                  </w:tr>
                  <w:tr>
                    <w:trPr>
                      <w:trHeight w:val="506" w:hRule="exact"/>
                    </w:trPr>
                    <w:tc>
                      <w:tcPr>
                        <w:tcW w:w="197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83" w:type="dxa"/>
                        <w:vMerge/>
                        <w:tcBorders>
                          <w:left w:val="single" w:sz="10" w:space="0" w:color="D2D2D2"/>
                          <w:bottom w:val="single" w:sz="4" w:space="0" w:color="000000"/>
                          <w:right w:val="single" w:sz="4" w:space="0" w:color="000000"/>
                        </w:tcBorders>
                      </w:tcPr>
                      <w:p>
                        <w:pPr/>
                      </w:p>
                    </w:tc>
                    <w:tc>
                      <w:tcPr>
                        <w:tcW w:w="1536" w:type="dxa"/>
                        <w:vMerge/>
                        <w:tcBorders>
                          <w:left w:val="single" w:sz="4" w:space="0" w:color="000000"/>
                          <w:bottom w:val="single" w:sz="4" w:space="0" w:color="000000"/>
                          <w:right w:val="single" w:sz="4" w:space="0" w:color="000000"/>
                        </w:tcBorders>
                      </w:tcPr>
                      <w:p>
                        <w:pPr/>
                      </w:p>
                    </w:tc>
                    <w:tc>
                      <w:tcPr>
                        <w:tcW w:w="1726" w:type="dxa"/>
                        <w:gridSpan w:val="2"/>
                        <w:vMerge/>
                        <w:tcBorders>
                          <w:left w:val="single" w:sz="4" w:space="0" w:color="000000"/>
                          <w:bottom w:val="single" w:sz="4" w:space="0" w:color="000000"/>
                          <w:right w:val="single" w:sz="4" w:space="0" w:color="000000"/>
                        </w:tcBorders>
                      </w:tcPr>
                      <w:p>
                        <w:pPr/>
                      </w:p>
                    </w:tc>
                    <w:tc>
                      <w:tcPr>
                        <w:tcW w:w="1537"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r>
                  <w:tr>
                    <w:trPr>
                      <w:trHeight w:val="115" w:hRule="exact"/>
                    </w:trPr>
                    <w:tc>
                      <w:tcPr>
                        <w:tcW w:w="19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3" w:type="dxa"/>
                        <w:vMerge w:val="restart"/>
                        <w:tcBorders>
                          <w:top w:val="single" w:sz="4" w:space="0" w:color="000000"/>
                          <w:left w:val="single" w:sz="10" w:space="0" w:color="D2D2D2"/>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714,213,558.83</w:t>
                        </w:r>
                      </w:p>
                    </w:tc>
                    <w:tc>
                      <w:tcPr>
                        <w:tcW w:w="153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950" w:right="0"/>
                          <w:jc w:val="left"/>
                          <w:rPr>
                            <w:rFonts w:ascii="Times New Roman" w:hAnsi="Times New Roman" w:cs="Times New Roman" w:eastAsia="Times New Roman" w:hint="default"/>
                            <w:sz w:val="18"/>
                            <w:szCs w:val="18"/>
                          </w:rPr>
                        </w:pPr>
                        <w:r>
                          <w:rPr>
                            <w:rFonts w:ascii="Times New Roman"/>
                            <w:sz w:val="18"/>
                          </w:rPr>
                          <w:t>20.31%</w:t>
                        </w:r>
                      </w:p>
                    </w:tc>
                    <w:tc>
                      <w:tcPr>
                        <w:tcW w:w="1726"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68" w:right="0"/>
                          <w:jc w:val="left"/>
                          <w:rPr>
                            <w:rFonts w:ascii="Times New Roman" w:hAnsi="Times New Roman" w:cs="Times New Roman" w:eastAsia="Times New Roman" w:hint="default"/>
                            <w:sz w:val="18"/>
                            <w:szCs w:val="18"/>
                          </w:rPr>
                        </w:pPr>
                        <w:r>
                          <w:rPr>
                            <w:rFonts w:ascii="Times New Roman"/>
                            <w:sz w:val="18"/>
                          </w:rPr>
                          <w:t>576,890,099.24</w:t>
                        </w:r>
                      </w:p>
                    </w:tc>
                    <w:tc>
                      <w:tcPr>
                        <w:tcW w:w="153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950" w:right="0"/>
                          <w:jc w:val="left"/>
                          <w:rPr>
                            <w:rFonts w:ascii="Times New Roman" w:hAnsi="Times New Roman" w:cs="Times New Roman" w:eastAsia="Times New Roman" w:hint="default"/>
                            <w:sz w:val="18"/>
                            <w:szCs w:val="18"/>
                          </w:rPr>
                        </w:pPr>
                        <w:r>
                          <w:rPr>
                            <w:rFonts w:ascii="Times New Roman"/>
                            <w:sz w:val="18"/>
                          </w:rPr>
                          <w:t>17.63%</w:t>
                        </w: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655" w:right="0"/>
                          <w:jc w:val="left"/>
                          <w:rPr>
                            <w:rFonts w:ascii="Times New Roman" w:hAnsi="Times New Roman" w:cs="Times New Roman" w:eastAsia="Times New Roman" w:hint="default"/>
                            <w:sz w:val="18"/>
                            <w:szCs w:val="18"/>
                          </w:rPr>
                        </w:pPr>
                        <w:r>
                          <w:rPr>
                            <w:rFonts w:ascii="Times New Roman"/>
                            <w:sz w:val="18"/>
                          </w:rPr>
                          <w:t>2.68%</w:t>
                        </w:r>
                      </w:p>
                    </w:tc>
                  </w:tr>
                  <w:tr>
                    <w:trPr>
                      <w:trHeight w:val="506" w:hRule="exact"/>
                    </w:trPr>
                    <w:tc>
                      <w:tcPr>
                        <w:tcW w:w="197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83" w:type="dxa"/>
                        <w:vMerge/>
                        <w:tcBorders>
                          <w:left w:val="single" w:sz="10" w:space="0" w:color="D2D2D2"/>
                          <w:bottom w:val="single" w:sz="4" w:space="0" w:color="000000"/>
                          <w:right w:val="single" w:sz="4" w:space="0" w:color="000000"/>
                        </w:tcBorders>
                      </w:tcPr>
                      <w:p>
                        <w:pPr/>
                      </w:p>
                    </w:tc>
                    <w:tc>
                      <w:tcPr>
                        <w:tcW w:w="1536" w:type="dxa"/>
                        <w:vMerge/>
                        <w:tcBorders>
                          <w:left w:val="single" w:sz="4" w:space="0" w:color="000000"/>
                          <w:bottom w:val="single" w:sz="4" w:space="0" w:color="000000"/>
                          <w:right w:val="single" w:sz="4" w:space="0" w:color="000000"/>
                        </w:tcBorders>
                      </w:tcPr>
                      <w:p>
                        <w:pPr/>
                      </w:p>
                    </w:tc>
                    <w:tc>
                      <w:tcPr>
                        <w:tcW w:w="1726" w:type="dxa"/>
                        <w:gridSpan w:val="2"/>
                        <w:vMerge/>
                        <w:tcBorders>
                          <w:left w:val="single" w:sz="4" w:space="0" w:color="000000"/>
                          <w:bottom w:val="single" w:sz="4" w:space="0" w:color="000000"/>
                          <w:right w:val="single" w:sz="4" w:space="0" w:color="000000"/>
                        </w:tcBorders>
                      </w:tcPr>
                      <w:p>
                        <w:pPr/>
                      </w:p>
                    </w:tc>
                    <w:tc>
                      <w:tcPr>
                        <w:tcW w:w="1537"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r>
                  <w:tr>
                    <w:trPr>
                      <w:trHeight w:val="115" w:hRule="exact"/>
                    </w:trPr>
                    <w:tc>
                      <w:tcPr>
                        <w:tcW w:w="19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3"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105,353,266.75</w:t>
                        </w:r>
                      </w:p>
                    </w:tc>
                    <w:tc>
                      <w:tcPr>
                        <w:tcW w:w="153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w:t>
                        </w:r>
                      </w:p>
                    </w:tc>
                    <w:tc>
                      <w:tcPr>
                        <w:tcW w:w="1726" w:type="dxa"/>
                        <w:gridSpan w:val="2"/>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99,879,942.36</w:t>
                        </w:r>
                      </w:p>
                    </w:tc>
                    <w:tc>
                      <w:tcPr>
                        <w:tcW w:w="153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3.05%</w:t>
                        </w: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-0.05%</w:t>
                        </w:r>
                      </w:p>
                    </w:tc>
                  </w:tr>
                  <w:tr>
                    <w:trPr>
                      <w:trHeight w:val="507" w:hRule="exact"/>
                    </w:trPr>
                    <w:tc>
                      <w:tcPr>
                        <w:tcW w:w="197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83" w:type="dxa"/>
                        <w:vMerge/>
                        <w:tcBorders>
                          <w:left w:val="single" w:sz="10" w:space="0" w:color="D2D2D2"/>
                          <w:bottom w:val="single" w:sz="4" w:space="0" w:color="000000"/>
                          <w:right w:val="single" w:sz="4" w:space="0" w:color="000000"/>
                        </w:tcBorders>
                      </w:tcPr>
                      <w:p>
                        <w:pPr/>
                      </w:p>
                    </w:tc>
                    <w:tc>
                      <w:tcPr>
                        <w:tcW w:w="1536" w:type="dxa"/>
                        <w:vMerge/>
                        <w:tcBorders>
                          <w:left w:val="single" w:sz="4" w:space="0" w:color="000000"/>
                          <w:bottom w:val="single" w:sz="4" w:space="0" w:color="000000"/>
                          <w:right w:val="single" w:sz="4" w:space="0" w:color="000000"/>
                        </w:tcBorders>
                      </w:tcPr>
                      <w:p>
                        <w:pPr/>
                      </w:p>
                    </w:tc>
                    <w:tc>
                      <w:tcPr>
                        <w:tcW w:w="1726" w:type="dxa"/>
                        <w:gridSpan w:val="2"/>
                        <w:vMerge/>
                        <w:tcBorders>
                          <w:left w:val="single" w:sz="4" w:space="0" w:color="000000"/>
                          <w:bottom w:val="single" w:sz="4" w:space="0" w:color="000000"/>
                          <w:right w:val="single" w:sz="4" w:space="0" w:color="000000"/>
                        </w:tcBorders>
                      </w:tcPr>
                      <w:p>
                        <w:pPr/>
                      </w:p>
                    </w:tc>
                    <w:tc>
                      <w:tcPr>
                        <w:tcW w:w="1537"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r>
                  <w:tr>
                    <w:trPr>
                      <w:trHeight w:val="115" w:hRule="exact"/>
                    </w:trPr>
                    <w:tc>
                      <w:tcPr>
                        <w:tcW w:w="19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3" w:type="dxa"/>
                        <w:vMerge w:val="restart"/>
                        <w:tcBorders>
                          <w:top w:val="single" w:sz="4" w:space="0" w:color="000000"/>
                          <w:left w:val="single" w:sz="10" w:space="0" w:color="D2D2D2"/>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180,362,188.92</w:t>
                        </w:r>
                      </w:p>
                    </w:tc>
                    <w:tc>
                      <w:tcPr>
                        <w:tcW w:w="153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5.13%</w:t>
                        </w:r>
                      </w:p>
                    </w:tc>
                    <w:tc>
                      <w:tcPr>
                        <w:tcW w:w="1726"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68" w:right="0"/>
                          <w:jc w:val="left"/>
                          <w:rPr>
                            <w:rFonts w:ascii="Times New Roman" w:hAnsi="Times New Roman" w:cs="Times New Roman" w:eastAsia="Times New Roman" w:hint="default"/>
                            <w:sz w:val="18"/>
                            <w:szCs w:val="18"/>
                          </w:rPr>
                        </w:pPr>
                        <w:r>
                          <w:rPr>
                            <w:rFonts w:ascii="Times New Roman"/>
                            <w:sz w:val="18"/>
                          </w:rPr>
                          <w:t>184,443,651.12</w:t>
                        </w:r>
                      </w:p>
                    </w:tc>
                    <w:tc>
                      <w:tcPr>
                        <w:tcW w:w="153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5.64%</w:t>
                        </w: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-0.51%</w:t>
                        </w:r>
                      </w:p>
                    </w:tc>
                  </w:tr>
                  <w:tr>
                    <w:trPr>
                      <w:trHeight w:val="506" w:hRule="exact"/>
                    </w:trPr>
                    <w:tc>
                      <w:tcPr>
                        <w:tcW w:w="197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83" w:type="dxa"/>
                        <w:vMerge/>
                        <w:tcBorders>
                          <w:left w:val="single" w:sz="10" w:space="0" w:color="D2D2D2"/>
                          <w:bottom w:val="single" w:sz="4" w:space="0" w:color="000000"/>
                          <w:right w:val="single" w:sz="4" w:space="0" w:color="000000"/>
                        </w:tcBorders>
                      </w:tcPr>
                      <w:p>
                        <w:pPr/>
                      </w:p>
                    </w:tc>
                    <w:tc>
                      <w:tcPr>
                        <w:tcW w:w="1536" w:type="dxa"/>
                        <w:vMerge/>
                        <w:tcBorders>
                          <w:left w:val="single" w:sz="4" w:space="0" w:color="000000"/>
                          <w:bottom w:val="single" w:sz="4" w:space="0" w:color="000000"/>
                          <w:right w:val="single" w:sz="4" w:space="0" w:color="000000"/>
                        </w:tcBorders>
                      </w:tcPr>
                      <w:p>
                        <w:pPr/>
                      </w:p>
                    </w:tc>
                    <w:tc>
                      <w:tcPr>
                        <w:tcW w:w="1726" w:type="dxa"/>
                        <w:gridSpan w:val="2"/>
                        <w:vMerge/>
                        <w:tcBorders>
                          <w:left w:val="single" w:sz="4" w:space="0" w:color="000000"/>
                          <w:bottom w:val="single" w:sz="4" w:space="0" w:color="000000"/>
                          <w:right w:val="single" w:sz="4" w:space="0" w:color="000000"/>
                        </w:tcBorders>
                      </w:tcPr>
                      <w:p>
                        <w:pPr/>
                      </w:p>
                    </w:tc>
                    <w:tc>
                      <w:tcPr>
                        <w:tcW w:w="1537"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r>
                  <w:tr>
                    <w:trPr>
                      <w:trHeight w:val="115" w:hRule="exact"/>
                    </w:trPr>
                    <w:tc>
                      <w:tcPr>
                        <w:tcW w:w="19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3" w:type="dxa"/>
                        <w:vMerge w:val="restart"/>
                        <w:tcBorders>
                          <w:top w:val="single" w:sz="4" w:space="0" w:color="000000"/>
                          <w:left w:val="single" w:sz="10" w:space="0" w:color="D2D2D2"/>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396,446,741.75</w:t>
                        </w:r>
                      </w:p>
                    </w:tc>
                    <w:tc>
                      <w:tcPr>
                        <w:tcW w:w="153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957" w:right="0"/>
                          <w:jc w:val="left"/>
                          <w:rPr>
                            <w:rFonts w:ascii="Times New Roman" w:hAnsi="Times New Roman" w:cs="Times New Roman" w:eastAsia="Times New Roman" w:hint="default"/>
                            <w:sz w:val="18"/>
                            <w:szCs w:val="18"/>
                          </w:rPr>
                        </w:pPr>
                        <w:r>
                          <w:rPr>
                            <w:rFonts w:ascii="Times New Roman"/>
                            <w:sz w:val="18"/>
                          </w:rPr>
                          <w:t>11.27%</w:t>
                        </w:r>
                      </w:p>
                    </w:tc>
                    <w:tc>
                      <w:tcPr>
                        <w:tcW w:w="1726"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76" w:right="0"/>
                          <w:jc w:val="left"/>
                          <w:rPr>
                            <w:rFonts w:ascii="Times New Roman" w:hAnsi="Times New Roman" w:cs="Times New Roman" w:eastAsia="Times New Roman" w:hint="default"/>
                            <w:sz w:val="18"/>
                            <w:szCs w:val="18"/>
                          </w:rPr>
                        </w:pPr>
                        <w:r>
                          <w:rPr>
                            <w:rFonts w:ascii="Times New Roman"/>
                            <w:sz w:val="18"/>
                          </w:rPr>
                          <w:t>316,242,141.11</w:t>
                        </w:r>
                      </w:p>
                    </w:tc>
                    <w:tc>
                      <w:tcPr>
                        <w:tcW w:w="153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9.67%</w:t>
                        </w: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46" w:right="0"/>
                          <w:jc w:val="left"/>
                          <w:rPr>
                            <w:rFonts w:ascii="Times New Roman" w:hAnsi="Times New Roman" w:cs="Times New Roman" w:eastAsia="Times New Roman" w:hint="default"/>
                            <w:sz w:val="18"/>
                            <w:szCs w:val="18"/>
                          </w:rPr>
                        </w:pPr>
                        <w:r>
                          <w:rPr>
                            <w:rFonts w:ascii="Times New Roman"/>
                            <w:sz w:val="18"/>
                          </w:rPr>
                          <w:t>1.6%</w:t>
                        </w:r>
                      </w:p>
                    </w:tc>
                  </w:tr>
                  <w:tr>
                    <w:trPr>
                      <w:trHeight w:val="509" w:hRule="exact"/>
                    </w:trPr>
                    <w:tc>
                      <w:tcPr>
                        <w:tcW w:w="197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83" w:type="dxa"/>
                        <w:vMerge/>
                        <w:tcBorders>
                          <w:left w:val="single" w:sz="10" w:space="0" w:color="D2D2D2"/>
                          <w:bottom w:val="single" w:sz="4" w:space="0" w:color="000000"/>
                          <w:right w:val="single" w:sz="4" w:space="0" w:color="000000"/>
                        </w:tcBorders>
                      </w:tcPr>
                      <w:p>
                        <w:pPr/>
                      </w:p>
                    </w:tc>
                    <w:tc>
                      <w:tcPr>
                        <w:tcW w:w="1536" w:type="dxa"/>
                        <w:vMerge/>
                        <w:tcBorders>
                          <w:left w:val="single" w:sz="4" w:space="0" w:color="000000"/>
                          <w:bottom w:val="single" w:sz="4" w:space="0" w:color="000000"/>
                          <w:right w:val="single" w:sz="4" w:space="0" w:color="000000"/>
                        </w:tcBorders>
                      </w:tcPr>
                      <w:p>
                        <w:pPr/>
                      </w:p>
                    </w:tc>
                    <w:tc>
                      <w:tcPr>
                        <w:tcW w:w="1726" w:type="dxa"/>
                        <w:gridSpan w:val="2"/>
                        <w:vMerge/>
                        <w:tcBorders>
                          <w:left w:val="single" w:sz="4" w:space="0" w:color="000000"/>
                          <w:bottom w:val="single" w:sz="4" w:space="0" w:color="000000"/>
                          <w:right w:val="single" w:sz="4" w:space="0" w:color="000000"/>
                        </w:tcBorders>
                      </w:tcPr>
                      <w:p>
                        <w:pPr/>
                      </w:p>
                    </w:tc>
                    <w:tc>
                      <w:tcPr>
                        <w:tcW w:w="1537"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r>
                  <w:tr>
                    <w:trPr>
                      <w:trHeight w:val="115" w:hRule="exact"/>
                    </w:trPr>
                    <w:tc>
                      <w:tcPr>
                        <w:tcW w:w="19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3" w:type="dxa"/>
                        <w:vMerge w:val="restart"/>
                        <w:tcBorders>
                          <w:top w:val="single" w:sz="4" w:space="0" w:color="000000"/>
                          <w:left w:val="single" w:sz="10" w:space="0" w:color="D2D2D2"/>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337,281,080.45</w:t>
                        </w:r>
                      </w:p>
                    </w:tc>
                    <w:tc>
                      <w:tcPr>
                        <w:tcW w:w="153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9.59%</w:t>
                        </w:r>
                      </w:p>
                    </w:tc>
                    <w:tc>
                      <w:tcPr>
                        <w:tcW w:w="1726"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68" w:right="0"/>
                          <w:jc w:val="left"/>
                          <w:rPr>
                            <w:rFonts w:ascii="Times New Roman" w:hAnsi="Times New Roman" w:cs="Times New Roman" w:eastAsia="Times New Roman" w:hint="default"/>
                            <w:sz w:val="18"/>
                            <w:szCs w:val="18"/>
                          </w:rPr>
                        </w:pPr>
                        <w:r>
                          <w:rPr>
                            <w:rFonts w:ascii="Times New Roman"/>
                            <w:sz w:val="18"/>
                          </w:rPr>
                          <w:t>326,479,453.93</w:t>
                        </w:r>
                      </w:p>
                    </w:tc>
                    <w:tc>
                      <w:tcPr>
                        <w:tcW w:w="153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9.98%</w:t>
                        </w: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-0.39%</w:t>
                        </w:r>
                      </w:p>
                    </w:tc>
                  </w:tr>
                  <w:tr>
                    <w:trPr>
                      <w:trHeight w:val="506" w:hRule="exact"/>
                    </w:trPr>
                    <w:tc>
                      <w:tcPr>
                        <w:tcW w:w="197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83" w:type="dxa"/>
                        <w:vMerge/>
                        <w:tcBorders>
                          <w:left w:val="single" w:sz="10" w:space="0" w:color="D2D2D2"/>
                          <w:bottom w:val="single" w:sz="4" w:space="0" w:color="000000"/>
                          <w:right w:val="single" w:sz="4" w:space="0" w:color="000000"/>
                        </w:tcBorders>
                      </w:tcPr>
                      <w:p>
                        <w:pPr/>
                      </w:p>
                    </w:tc>
                    <w:tc>
                      <w:tcPr>
                        <w:tcW w:w="1536" w:type="dxa"/>
                        <w:vMerge/>
                        <w:tcBorders>
                          <w:left w:val="single" w:sz="4" w:space="0" w:color="000000"/>
                          <w:bottom w:val="single" w:sz="4" w:space="0" w:color="000000"/>
                          <w:right w:val="single" w:sz="4" w:space="0" w:color="000000"/>
                        </w:tcBorders>
                      </w:tcPr>
                      <w:p>
                        <w:pPr/>
                      </w:p>
                    </w:tc>
                    <w:tc>
                      <w:tcPr>
                        <w:tcW w:w="1726" w:type="dxa"/>
                        <w:gridSpan w:val="2"/>
                        <w:vMerge/>
                        <w:tcBorders>
                          <w:left w:val="single" w:sz="4" w:space="0" w:color="000000"/>
                          <w:bottom w:val="single" w:sz="4" w:space="0" w:color="000000"/>
                          <w:right w:val="single" w:sz="4" w:space="0" w:color="000000"/>
                        </w:tcBorders>
                      </w:tcPr>
                      <w:p>
                        <w:pPr/>
                      </w:p>
                    </w:tc>
                    <w:tc>
                      <w:tcPr>
                        <w:tcW w:w="1537"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r>
                  <w:tr>
                    <w:trPr>
                      <w:trHeight w:val="115" w:hRule="exact"/>
                    </w:trPr>
                    <w:tc>
                      <w:tcPr>
                        <w:tcW w:w="19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3" w:type="dxa"/>
                        <w:vMerge w:val="restart"/>
                        <w:tcBorders>
                          <w:top w:val="single" w:sz="4" w:space="0" w:color="000000"/>
                          <w:left w:val="single" w:sz="10" w:space="0" w:color="D2D2D2"/>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19,948,464.33</w:t>
                        </w:r>
                      </w:p>
                    </w:tc>
                    <w:tc>
                      <w:tcPr>
                        <w:tcW w:w="153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0.57%</w:t>
                        </w:r>
                      </w:p>
                    </w:tc>
                    <w:tc>
                      <w:tcPr>
                        <w:tcW w:w="1726"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48" w:right="0"/>
                          <w:jc w:val="left"/>
                          <w:rPr>
                            <w:rFonts w:ascii="Times New Roman" w:hAnsi="Times New Roman" w:cs="Times New Roman" w:eastAsia="Times New Roman" w:hint="default"/>
                            <w:sz w:val="18"/>
                            <w:szCs w:val="18"/>
                          </w:rPr>
                        </w:pPr>
                        <w:r>
                          <w:rPr>
                            <w:rFonts w:ascii="Times New Roman"/>
                            <w:sz w:val="18"/>
                          </w:rPr>
                          <w:t>4,704,754.05</w:t>
                        </w:r>
                      </w:p>
                    </w:tc>
                    <w:tc>
                      <w:tcPr>
                        <w:tcW w:w="153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0.14%</w:t>
                        </w: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655" w:right="0"/>
                          <w:jc w:val="left"/>
                          <w:rPr>
                            <w:rFonts w:ascii="Times New Roman" w:hAnsi="Times New Roman" w:cs="Times New Roman" w:eastAsia="Times New Roman" w:hint="default"/>
                            <w:sz w:val="18"/>
                            <w:szCs w:val="18"/>
                          </w:rPr>
                        </w:pPr>
                        <w:r>
                          <w:rPr>
                            <w:rFonts w:ascii="Times New Roman"/>
                            <w:sz w:val="18"/>
                          </w:rPr>
                          <w:t>0.43%</w:t>
                        </w:r>
                      </w:p>
                    </w:tc>
                  </w:tr>
                  <w:tr>
                    <w:trPr>
                      <w:trHeight w:val="506" w:hRule="exact"/>
                    </w:trPr>
                    <w:tc>
                      <w:tcPr>
                        <w:tcW w:w="197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83" w:type="dxa"/>
                        <w:vMerge/>
                        <w:tcBorders>
                          <w:left w:val="single" w:sz="10" w:space="0" w:color="D2D2D2"/>
                          <w:bottom w:val="single" w:sz="4" w:space="0" w:color="000000"/>
                          <w:right w:val="single" w:sz="4" w:space="0" w:color="000000"/>
                        </w:tcBorders>
                      </w:tcPr>
                      <w:p>
                        <w:pPr/>
                      </w:p>
                    </w:tc>
                    <w:tc>
                      <w:tcPr>
                        <w:tcW w:w="1536" w:type="dxa"/>
                        <w:vMerge/>
                        <w:tcBorders>
                          <w:left w:val="single" w:sz="4" w:space="0" w:color="000000"/>
                          <w:bottom w:val="single" w:sz="4" w:space="0" w:color="000000"/>
                          <w:right w:val="single" w:sz="4" w:space="0" w:color="000000"/>
                        </w:tcBorders>
                      </w:tcPr>
                      <w:p>
                        <w:pPr/>
                      </w:p>
                    </w:tc>
                    <w:tc>
                      <w:tcPr>
                        <w:tcW w:w="1726" w:type="dxa"/>
                        <w:gridSpan w:val="2"/>
                        <w:vMerge/>
                        <w:tcBorders>
                          <w:left w:val="single" w:sz="4" w:space="0" w:color="000000"/>
                          <w:bottom w:val="single" w:sz="4" w:space="0" w:color="000000"/>
                          <w:right w:val="single" w:sz="4" w:space="0" w:color="000000"/>
                        </w:tcBorders>
                      </w:tcPr>
                      <w:p>
                        <w:pPr/>
                      </w:p>
                    </w:tc>
                    <w:tc>
                      <w:tcPr>
                        <w:tcW w:w="1537"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3"/>
        <w:spacing w:line="240" w:lineRule="auto" w:before="36"/>
        <w:ind w:right="5994"/>
        <w:jc w:val="left"/>
        <w:rPr>
          <w:b w:val="0"/>
          <w:bCs w:val="0"/>
        </w:rPr>
      </w:pPr>
      <w:r>
        <w:rPr/>
        <w:t>（</w:t>
      </w:r>
      <w:r>
        <w:rPr>
          <w:rFonts w:ascii="Times New Roman" w:hAnsi="Times New Roman" w:cs="Times New Roman" w:eastAsia="Times New Roman" w:hint="default"/>
        </w:rPr>
        <w:t>2</w:t>
      </w:r>
      <w:r>
        <w:rPr/>
        <w:t>）负债项目重大变动情况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331"/>
        <w:jc w:val="right"/>
      </w:pPr>
      <w:r>
        <w:rPr/>
        <w:t>单位：元</w:t>
      </w:r>
    </w:p>
    <w:p>
      <w:pPr>
        <w:spacing w:line="240" w:lineRule="auto" w:before="0"/>
        <w:rPr>
          <w:rFonts w:ascii="宋体" w:hAnsi="宋体" w:cs="宋体" w:eastAsia="宋体" w:hint="default"/>
          <w:sz w:val="25"/>
          <w:szCs w:val="25"/>
        </w:rPr>
      </w:pPr>
    </w:p>
    <w:p>
      <w:pPr>
        <w:pStyle w:val="BodyText"/>
        <w:spacing w:line="221" w:lineRule="exact" w:before="44"/>
        <w:ind w:left="0" w:right="103"/>
        <w:jc w:val="right"/>
      </w:pPr>
      <w:r>
        <w:rPr/>
        <w:pict>
          <v:shape style="position:absolute;margin-left:315.190002pt;margin-top:10.071717pt;width:93.15pt;height:19.6pt;mso-position-horizontal-relative:page;mso-position-vertical-relative:paragraph;z-index:-946840" type="#_x0000_t202" filled="false" stroked="false">
            <v:textbox inset="0,0,0,0">
              <w:txbxContent>
                <w:p>
                  <w:pPr>
                    <w:pStyle w:val="BodyText"/>
                    <w:spacing w:line="240" w:lineRule="auto" w:before="49"/>
                    <w:ind w:left="0" w:right="0"/>
                    <w:jc w:val="left"/>
                  </w:pPr>
                  <w:r>
                    <w:rPr/>
                    <w:t>）</w:t>
                  </w:r>
                </w:p>
              </w:txbxContent>
            </v:textbox>
            <w10:wrap type="none"/>
          </v:shape>
        </w:pict>
      </w:r>
      <w:r>
        <w:rPr/>
        <w:pict>
          <v:shape style="position:absolute;margin-left:57pt;margin-top:-10.868282pt;width:490.45pt;height:82.3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4"/>
                    <w:gridCol w:w="1727"/>
                    <w:gridCol w:w="1568"/>
                    <w:gridCol w:w="1762"/>
                    <w:gridCol w:w="1568"/>
                    <w:gridCol w:w="1176"/>
                  </w:tblGrid>
                  <w:tr>
                    <w:trPr>
                      <w:trHeight w:val="208" w:hRule="exact"/>
                    </w:trPr>
                    <w:tc>
                      <w:tcPr>
                        <w:tcW w:w="1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29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3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4" w:hRule="exact"/>
                    </w:trPr>
                    <w:tc>
                      <w:tcPr>
                        <w:tcW w:w="1994" w:type="dxa"/>
                        <w:vMerge w:val="restart"/>
                        <w:tcBorders>
                          <w:top w:val="nil" w:sz="6" w:space="0" w:color="auto"/>
                          <w:left w:val="single" w:sz="4" w:space="0" w:color="000000"/>
                          <w:right w:val="single" w:sz="4" w:space="0" w:color="000000"/>
                        </w:tcBorders>
                        <w:shd w:val="clear" w:color="auto" w:fill="D2D2D2"/>
                      </w:tcPr>
                      <w:p>
                        <w:pPr/>
                      </w:p>
                    </w:tc>
                    <w:tc>
                      <w:tcPr>
                        <w:tcW w:w="3295" w:type="dxa"/>
                        <w:gridSpan w:val="2"/>
                        <w:vMerge/>
                        <w:tcBorders>
                          <w:left w:val="single" w:sz="4" w:space="0" w:color="000000"/>
                          <w:bottom w:val="single" w:sz="4" w:space="0" w:color="000000"/>
                          <w:right w:val="single" w:sz="4" w:space="0" w:color="000000"/>
                        </w:tcBorders>
                        <w:shd w:val="clear" w:color="auto" w:fill="D2D2D2"/>
                      </w:tcPr>
                      <w:p>
                        <w:pPr/>
                      </w:p>
                    </w:tc>
                    <w:tc>
                      <w:tcPr>
                        <w:tcW w:w="3329" w:type="dxa"/>
                        <w:gridSpan w:val="2"/>
                        <w:vMerge/>
                        <w:tcBorders>
                          <w:left w:val="single" w:sz="4" w:space="0" w:color="000000"/>
                          <w:bottom w:val="single" w:sz="4" w:space="0" w:color="000000"/>
                          <w:right w:val="single" w:sz="4" w:space="0" w:color="000000"/>
                        </w:tcBorders>
                        <w:shd w:val="clear" w:color="auto" w:fill="D2D2D2"/>
                      </w:tcPr>
                      <w:p>
                        <w:pPr/>
                      </w:p>
                    </w:tc>
                    <w:tc>
                      <w:tcPr>
                        <w:tcW w:w="11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比重增减（</w:t>
                        </w:r>
                        <w:r>
                          <w:rPr>
                            <w:rFonts w:ascii="Times New Roman" w:hAnsi="Times New Roman" w:cs="Times New Roman" w:eastAsia="Times New Roman" w:hint="default"/>
                            <w:spacing w:val="-4"/>
                            <w:sz w:val="18"/>
                            <w:szCs w:val="18"/>
                          </w:rPr>
                          <w:t>%</w:t>
                        </w:r>
                      </w:p>
                    </w:tc>
                  </w:tr>
                  <w:tr>
                    <w:trPr>
                      <w:trHeight w:val="199" w:hRule="exact"/>
                    </w:trPr>
                    <w:tc>
                      <w:tcPr>
                        <w:tcW w:w="1994" w:type="dxa"/>
                        <w:vMerge/>
                        <w:tcBorders>
                          <w:left w:val="single" w:sz="4" w:space="0" w:color="000000"/>
                          <w:bottom w:val="nil" w:sz="6" w:space="0" w:color="auto"/>
                          <w:right w:val="single" w:sz="4" w:space="0" w:color="000000"/>
                        </w:tcBorders>
                        <w:shd w:val="clear" w:color="auto" w:fill="D2D2D2"/>
                      </w:tcPr>
                      <w:p>
                        <w:pPr/>
                      </w:p>
                    </w:tc>
                    <w:tc>
                      <w:tcPr>
                        <w:tcW w:w="1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占总资产比例（</w:t>
                        </w:r>
                        <w:r>
                          <w:rPr>
                            <w:rFonts w:ascii="Times New Roman" w:hAnsi="Times New Roman" w:cs="Times New Roman" w:eastAsia="Times New Roman" w:hint="default"/>
                            <w:sz w:val="18"/>
                            <w:szCs w:val="18"/>
                          </w:rPr>
                          <w:t>%</w:t>
                        </w:r>
                      </w:p>
                    </w:tc>
                    <w:tc>
                      <w:tcPr>
                        <w:tcW w:w="1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占总资产比例（</w:t>
                        </w:r>
                        <w:r>
                          <w:rPr>
                            <w:rFonts w:ascii="Times New Roman" w:hAnsi="Times New Roman" w:cs="Times New Roman" w:eastAsia="Times New Roman" w:hint="default"/>
                            <w:sz w:val="18"/>
                            <w:szCs w:val="18"/>
                          </w:rPr>
                          <w:t>%</w:t>
                        </w:r>
                      </w:p>
                    </w:tc>
                    <w:tc>
                      <w:tcPr>
                        <w:tcW w:w="1176" w:type="dxa"/>
                        <w:vMerge/>
                        <w:tcBorders>
                          <w:left w:val="single" w:sz="4" w:space="0" w:color="000000"/>
                          <w:bottom w:val="nil" w:sz="6" w:space="0" w:color="auto"/>
                          <w:right w:val="single" w:sz="4" w:space="0" w:color="000000"/>
                        </w:tcBorders>
                        <w:shd w:val="clear" w:color="auto" w:fill="D2D2D2"/>
                      </w:tcPr>
                      <w:p>
                        <w:pPr/>
                      </w:p>
                    </w:tc>
                  </w:tr>
                  <w:tr>
                    <w:trPr>
                      <w:trHeight w:val="209" w:hRule="exact"/>
                    </w:trPr>
                    <w:tc>
                      <w:tcPr>
                        <w:tcW w:w="1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27" w:type="dxa"/>
                        <w:vMerge/>
                        <w:tcBorders>
                          <w:left w:val="single" w:sz="4" w:space="0" w:color="000000"/>
                          <w:bottom w:val="single" w:sz="4" w:space="0" w:color="000000"/>
                          <w:right w:val="single" w:sz="4" w:space="0" w:color="000000"/>
                        </w:tcBorders>
                        <w:shd w:val="clear" w:color="auto" w:fill="D2D2D2"/>
                      </w:tcPr>
                      <w:p>
                        <w:pPr/>
                      </w:p>
                    </w:tc>
                    <w:tc>
                      <w:tcPr>
                        <w:tcW w:w="1568" w:type="dxa"/>
                        <w:vMerge/>
                        <w:tcBorders>
                          <w:left w:val="single" w:sz="4" w:space="0" w:color="000000"/>
                          <w:bottom w:val="single" w:sz="4" w:space="0" w:color="000000"/>
                          <w:right w:val="single" w:sz="4" w:space="0" w:color="000000"/>
                        </w:tcBorders>
                        <w:shd w:val="clear" w:color="auto" w:fill="D2D2D2"/>
                      </w:tcPr>
                      <w:p>
                        <w:pPr/>
                      </w:p>
                    </w:tc>
                    <w:tc>
                      <w:tcPr>
                        <w:tcW w:w="1762" w:type="dxa"/>
                        <w:vMerge/>
                        <w:tcBorders>
                          <w:left w:val="single" w:sz="4" w:space="0" w:color="000000"/>
                          <w:bottom w:val="single" w:sz="4" w:space="0" w:color="000000"/>
                          <w:right w:val="single" w:sz="4" w:space="0" w:color="000000"/>
                        </w:tcBorders>
                        <w:shd w:val="clear" w:color="auto" w:fill="D2D2D2"/>
                      </w:tcPr>
                      <w:p>
                        <w:pPr/>
                      </w:p>
                    </w:tc>
                    <w:tc>
                      <w:tcPr>
                        <w:tcW w:w="1568" w:type="dxa"/>
                        <w:vMerge/>
                        <w:tcBorders>
                          <w:left w:val="single" w:sz="4" w:space="0" w:color="000000"/>
                          <w:bottom w:val="single" w:sz="4" w:space="0" w:color="000000"/>
                          <w:right w:val="single" w:sz="4" w:space="0" w:color="000000"/>
                        </w:tcBorders>
                        <w:shd w:val="clear" w:color="auto" w:fill="D2D2D2"/>
                      </w:tcPr>
                      <w:p>
                        <w:pPr/>
                      </w:p>
                    </w:tc>
                    <w:tc>
                      <w:tcPr>
                        <w:tcW w:w="11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1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w:t>
                        </w:r>
                      </w:p>
                    </w:tc>
                  </w:tr>
                  <w:tr>
                    <w:trPr>
                      <w:trHeight w:val="41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pStyle w:val="BodyText"/>
        <w:spacing w:line="221" w:lineRule="exact"/>
        <w:ind w:left="0" w:right="129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2"/>
        <w:ind w:right="5994"/>
        <w:jc w:val="left"/>
        <w:rPr>
          <w:b w:val="0"/>
          <w:bCs w:val="0"/>
        </w:rPr>
      </w:pPr>
      <w:r>
        <w:rPr/>
        <w:t>（</w:t>
      </w:r>
      <w:r>
        <w:rPr>
          <w:rFonts w:ascii="Times New Roman" w:hAnsi="Times New Roman" w:cs="Times New Roman" w:eastAsia="Times New Roman" w:hint="default"/>
        </w:rPr>
        <w:t>3</w:t>
      </w:r>
      <w:r>
        <w:rPr/>
        <w:t>）以公允价值计量的资产和负债</w:t>
      </w:r>
      <w:r>
        <w:rPr>
          <w:b w:val="0"/>
          <w:bCs w:val="0"/>
        </w:rPr>
      </w:r>
    </w:p>
    <w:p>
      <w:pPr>
        <w:spacing w:line="240" w:lineRule="auto" w:before="2"/>
        <w:rPr>
          <w:rFonts w:ascii="宋体" w:hAnsi="宋体" w:cs="宋体" w:eastAsia="宋体" w:hint="default"/>
          <w:b/>
          <w:bCs/>
          <w:sz w:val="32"/>
          <w:szCs w:val="32"/>
        </w:rPr>
      </w:pPr>
    </w:p>
    <w:p>
      <w:pPr>
        <w:pStyle w:val="BodyText"/>
        <w:spacing w:line="518" w:lineRule="auto"/>
        <w:ind w:right="5994"/>
        <w:jc w:val="left"/>
      </w:pPr>
      <w:r>
        <w:rPr/>
        <w:t>报告期内公司无以公允价值计量的资产和负债。 报告期内公司主要资产计量属性是否发生重大变化</w:t>
      </w:r>
    </w:p>
    <w:p>
      <w:pPr>
        <w:pStyle w:val="BodyText"/>
        <w:spacing w:line="240" w:lineRule="auto" w:before="64"/>
        <w:ind w:right="5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5994"/>
        <w:jc w:val="left"/>
        <w:rPr>
          <w:b w:val="0"/>
          <w:bCs w:val="0"/>
        </w:rPr>
      </w:pPr>
      <w:r>
        <w:rPr>
          <w:rFonts w:ascii="Times New Roman" w:hAnsi="Times New Roman" w:cs="Times New Roman" w:eastAsia="Times New Roman" w:hint="default"/>
        </w:rPr>
        <w:t>4</w:t>
      </w:r>
      <w:r>
        <w:rPr/>
        <w:t>、公司竞争能力重大变化分析</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0" w:firstLine="420"/>
        <w:jc w:val="left"/>
      </w:pPr>
      <w:r>
        <w:rPr>
          <w:spacing w:val="-2"/>
        </w:rPr>
        <w:t>公司的核心竞争力主要集中体现于市场品牌、客户资源、行业经验、技术与产品、人才团队、服务等方面。报告期内，</w:t>
      </w:r>
      <w:r>
        <w:rPr/>
        <w:t> 公司的上述竞争优势都不同程度地得到了提升。</w:t>
      </w:r>
    </w:p>
    <w:p>
      <w:pPr>
        <w:spacing w:after="0" w:line="477" w:lineRule="auto"/>
        <w:jc w:val="left"/>
        <w:sectPr>
          <w:pgSz w:w="11910" w:h="16840"/>
          <w:pgMar w:header="852" w:footer="980" w:top="1340" w:bottom="1160" w:left="980" w:right="800"/>
        </w:sectPr>
      </w:pPr>
    </w:p>
    <w:p>
      <w:pPr>
        <w:spacing w:line="240" w:lineRule="auto" w:before="6"/>
        <w:rPr>
          <w:rFonts w:ascii="宋体" w:hAnsi="宋体" w:cs="宋体" w:eastAsia="宋体" w:hint="default"/>
          <w:sz w:val="10"/>
          <w:szCs w:val="10"/>
        </w:rPr>
      </w:pPr>
    </w:p>
    <w:p>
      <w:pPr>
        <w:spacing w:line="518" w:lineRule="auto" w:before="44"/>
        <w:ind w:left="573" w:right="117"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）市场品牌与客户资源优势</w:t>
      </w:r>
      <w:r>
        <w:rPr>
          <w:rFonts w:ascii="宋体" w:hAnsi="宋体" w:cs="宋体" w:eastAsia="宋体" w:hint="default"/>
          <w:b/>
          <w:bCs/>
          <w:w w:val="99"/>
          <w:sz w:val="18"/>
          <w:szCs w:val="18"/>
        </w:rPr>
        <w:t> </w:t>
      </w:r>
      <w:r>
        <w:rPr>
          <w:rFonts w:ascii="宋体" w:hAnsi="宋体" w:cs="宋体" w:eastAsia="宋体" w:hint="default"/>
          <w:sz w:val="18"/>
          <w:szCs w:val="18"/>
        </w:rPr>
        <w:t>公司在多年的业务发展过程中积累了一批以电信行业为主，兼顾金融、政府、能源、交通等行业中的大中型企业以及</w:t>
      </w:r>
    </w:p>
    <w:p>
      <w:pPr>
        <w:pStyle w:val="BodyText"/>
        <w:spacing w:line="477" w:lineRule="auto" w:before="23"/>
        <w:ind w:right="117"/>
        <w:jc w:val="left"/>
      </w:pPr>
      <w:r>
        <w:rPr/>
        <w:t>政府机构的优质客户资源，主要包括</w:t>
      </w:r>
      <w:r>
        <w:rPr>
          <w:rFonts w:ascii="宋体" w:hAnsi="宋体" w:cs="宋体" w:eastAsia="宋体" w:hint="default"/>
        </w:rPr>
        <w:t>:</w:t>
      </w:r>
      <w:r>
        <w:rPr/>
        <w:t>中国移动、中国联通、中国电信、人民银行、建设银行、光大银行、民生银行、中国</w:t>
      </w:r>
      <w:r>
        <w:rPr>
          <w:spacing w:val="-83"/>
        </w:rPr>
        <w:t> </w:t>
      </w:r>
      <w:r>
        <w:rPr>
          <w:spacing w:val="-83"/>
        </w:rPr>
      </w:r>
      <w:r>
        <w:rPr>
          <w:spacing w:val="-2"/>
        </w:rPr>
        <w:t>人寿、新华人寿、上海证券交易所、中国证券登记结算公司、中国海洋石油总公司、国家电网公司、南方电网公司、中国华</w:t>
      </w:r>
      <w:r>
        <w:rPr>
          <w:spacing w:val="-73"/>
        </w:rPr>
        <w:t> </w:t>
      </w:r>
      <w:r>
        <w:rPr>
          <w:spacing w:val="-73"/>
        </w:rPr>
      </w:r>
      <w:r>
        <w:rPr>
          <w:spacing w:val="-4"/>
        </w:rPr>
        <w:t>能、国务院办公厅、全国政协办公厅、国家地震局、国家知识专利局、北京市人民政府、新华通讯社、中央人民广播电台等。</w:t>
      </w:r>
      <w:r>
        <w:rPr>
          <w:spacing w:val="-41"/>
        </w:rPr>
        <w:t> </w:t>
      </w:r>
      <w:r>
        <w:rPr>
          <w:spacing w:val="-41"/>
        </w:rPr>
      </w:r>
      <w:r>
        <w:rPr>
          <w:spacing w:val="-4"/>
        </w:rPr>
        <w:t>公司的产品和服务在上述客户中得到了广泛应用与高度认同，在业内留下了良好的口碑。良好的市场品牌和优质的客户资源，</w:t>
      </w:r>
      <w:r>
        <w:rPr>
          <w:spacing w:val="-43"/>
        </w:rPr>
        <w:t> </w:t>
      </w:r>
      <w:r>
        <w:rPr>
          <w:spacing w:val="-43"/>
        </w:rPr>
      </w:r>
      <w:r>
        <w:rPr/>
        <w:t>为公司进一步拓展新的市场空间、保持稳定的增长奠定了坚实的基础。</w:t>
      </w:r>
    </w:p>
    <w:p>
      <w:pPr>
        <w:pStyle w:val="BodyText"/>
        <w:spacing w:line="477" w:lineRule="auto" w:before="92"/>
        <w:ind w:right="117" w:firstLine="420"/>
        <w:jc w:val="left"/>
      </w:pPr>
      <w:r>
        <w:rPr>
          <w:rFonts w:ascii="宋体" w:hAnsi="宋体" w:cs="宋体" w:eastAsia="宋体" w:hint="default"/>
          <w:spacing w:val="-1"/>
        </w:rPr>
        <w:t>2007</w:t>
      </w:r>
      <w:r>
        <w:rPr>
          <w:spacing w:val="-1"/>
        </w:rPr>
        <w:t>年，公司被北京市人民政府、科学技术部和中国科学院联合认定为“中关村科技园区创新型试点企业”；</w:t>
      </w:r>
      <w:r>
        <w:rPr>
          <w:rFonts w:ascii="宋体" w:hAnsi="宋体" w:cs="宋体" w:eastAsia="宋体" w:hint="default"/>
          <w:spacing w:val="-1"/>
        </w:rPr>
        <w:t>2008</w:t>
      </w:r>
      <w:r>
        <w:rPr>
          <w:spacing w:val="-1"/>
        </w:rPr>
        <w:t>年，</w:t>
      </w:r>
      <w:r>
        <w:rPr/>
        <w:t> 被中国中小商业企业协会、中国中小企业家年会组委会评为“</w:t>
      </w:r>
      <w:r>
        <w:rPr>
          <w:rFonts w:ascii="宋体" w:hAnsi="宋体" w:cs="宋体" w:eastAsia="宋体" w:hint="default"/>
        </w:rPr>
        <w:t>2008</w:t>
      </w:r>
      <w:r>
        <w:rPr/>
        <w:t>中国科技创新型中小企业</w:t>
      </w:r>
      <w:r>
        <w:rPr>
          <w:rFonts w:ascii="宋体" w:hAnsi="宋体" w:cs="宋体" w:eastAsia="宋体" w:hint="default"/>
        </w:rPr>
        <w:t>100</w:t>
      </w:r>
      <w:r>
        <w:rPr/>
        <w:t>强”；</w:t>
      </w:r>
      <w:r>
        <w:rPr>
          <w:spacing w:val="-38"/>
        </w:rPr>
        <w:t> </w:t>
      </w:r>
      <w:r>
        <w:rPr>
          <w:rFonts w:ascii="宋体" w:hAnsi="宋体" w:cs="宋体" w:eastAsia="宋体" w:hint="default"/>
          <w:spacing w:val="-3"/>
        </w:rPr>
        <w:t>2009</w:t>
      </w:r>
      <w:r>
        <w:rPr>
          <w:spacing w:val="-3"/>
        </w:rPr>
        <w:t>年，被中国软件</w:t>
      </w:r>
      <w:r>
        <w:rPr/>
        <w:t> </w:t>
      </w:r>
      <w:r>
        <w:rPr>
          <w:spacing w:val="-2"/>
        </w:rPr>
        <w:t>行业协会评为“</w:t>
      </w:r>
      <w:r>
        <w:rPr>
          <w:rFonts w:ascii="宋体" w:hAnsi="宋体" w:cs="宋体" w:eastAsia="宋体" w:hint="default"/>
          <w:spacing w:val="-2"/>
        </w:rPr>
        <w:t>2009</w:t>
      </w:r>
      <w:r>
        <w:rPr>
          <w:spacing w:val="-2"/>
        </w:rPr>
        <w:t>中国软件产业脊梁企业”；</w:t>
      </w:r>
      <w:r>
        <w:rPr>
          <w:rFonts w:ascii="宋体" w:hAnsi="宋体" w:cs="宋体" w:eastAsia="宋体" w:hint="default"/>
          <w:spacing w:val="-2"/>
        </w:rPr>
        <w:t>2011</w:t>
      </w:r>
      <w:r>
        <w:rPr>
          <w:spacing w:val="-2"/>
        </w:rPr>
        <w:t>年，公司被国家发展改革委、科技部、财政部、海关总署、国家税务总</w:t>
      </w:r>
      <w:r>
        <w:rPr>
          <w:spacing w:val="-63"/>
        </w:rPr>
        <w:t> </w:t>
      </w:r>
      <w:r>
        <w:rPr>
          <w:spacing w:val="-63"/>
        </w:rPr>
      </w:r>
      <w:r>
        <w:rPr>
          <w:spacing w:val="-3"/>
        </w:rPr>
        <w:t>局公司评为“国家企业技术中心”；荣获了中国软件行业协会评选的“</w:t>
      </w:r>
      <w:r>
        <w:rPr>
          <w:rFonts w:ascii="宋体" w:hAnsi="宋体" w:cs="宋体" w:eastAsia="宋体" w:hint="default"/>
          <w:spacing w:val="-3"/>
        </w:rPr>
        <w:t>2011</w:t>
      </w:r>
      <w:r>
        <w:rPr>
          <w:spacing w:val="-3"/>
        </w:rPr>
        <w:t>中国软件和信息技术服务业最有价值品牌”；北</w:t>
      </w:r>
      <w:r>
        <w:rPr>
          <w:spacing w:val="-47"/>
        </w:rPr>
        <w:t> </w:t>
      </w:r>
      <w:r>
        <w:rPr>
          <w:spacing w:val="-47"/>
        </w:rPr>
      </w:r>
      <w:r>
        <w:rPr>
          <w:spacing w:val="-2"/>
        </w:rPr>
        <w:t>京中关村国际孵化软件协会评选的“</w:t>
      </w:r>
      <w:r>
        <w:rPr>
          <w:rFonts w:ascii="宋体" w:hAnsi="宋体" w:cs="宋体" w:eastAsia="宋体" w:hint="default"/>
          <w:spacing w:val="-2"/>
        </w:rPr>
        <w:t>2010</w:t>
      </w:r>
      <w:r>
        <w:rPr>
          <w:spacing w:val="-2"/>
        </w:rPr>
        <w:t>年度中关村国家自主创新示范区核心区软件行业创新示范百强企业”；赛迪网评选</w:t>
      </w:r>
      <w:r>
        <w:rPr>
          <w:spacing w:val="-62"/>
        </w:rPr>
        <w:t> </w:t>
      </w:r>
      <w:r>
        <w:rPr>
          <w:spacing w:val="-62"/>
        </w:rPr>
      </w:r>
      <w:r>
        <w:rPr/>
        <w:t>的“</w:t>
      </w:r>
      <w:r>
        <w:rPr>
          <w:rFonts w:ascii="宋体" w:hAnsi="宋体" w:cs="宋体" w:eastAsia="宋体" w:hint="default"/>
        </w:rPr>
        <w:t>2011</w:t>
      </w:r>
      <w:r>
        <w:rPr/>
        <w:t>年创新</w:t>
      </w:r>
      <w:r>
        <w:rPr>
          <w:rFonts w:ascii="宋体" w:hAnsi="宋体" w:cs="宋体" w:eastAsia="宋体" w:hint="default"/>
        </w:rPr>
        <w:t>IT</w:t>
      </w:r>
      <w:r>
        <w:rPr/>
        <w:t>领军企业奖”；中国企业联合会评选的“</w:t>
      </w:r>
      <w:r>
        <w:rPr>
          <w:rFonts w:ascii="宋体" w:hAnsi="宋体" w:cs="宋体" w:eastAsia="宋体" w:hint="default"/>
        </w:rPr>
        <w:t>2010-2011</w:t>
      </w:r>
      <w:r>
        <w:rPr/>
        <w:t>年度全国企业文化优秀成果”；工业和信息化部评选 的“</w:t>
      </w:r>
      <w:r>
        <w:rPr>
          <w:rFonts w:ascii="宋体" w:hAnsi="宋体" w:cs="宋体" w:eastAsia="宋体" w:hint="default"/>
        </w:rPr>
        <w:t>2011</w:t>
      </w:r>
      <w:r>
        <w:rPr/>
        <w:t>中国软件业务收入前百家企业”；通信产业报社评选的“中国通信设备技术供应商</w:t>
      </w:r>
      <w:r>
        <w:rPr>
          <w:rFonts w:ascii="宋体" w:hAnsi="宋体" w:cs="宋体" w:eastAsia="宋体" w:hint="default"/>
        </w:rPr>
        <w:t>50</w:t>
      </w:r>
      <w:r>
        <w:rPr/>
        <w:t>强（</w:t>
      </w:r>
      <w:r>
        <w:rPr>
          <w:rFonts w:ascii="宋体" w:hAnsi="宋体" w:cs="宋体" w:eastAsia="宋体" w:hint="default"/>
        </w:rPr>
        <w:t>2010-2011</w:t>
      </w:r>
      <w:r>
        <w:rPr/>
        <w:t>）”</w:t>
      </w:r>
    </w:p>
    <w:p>
      <w:pPr>
        <w:spacing w:line="518" w:lineRule="auto" w:before="95"/>
        <w:ind w:left="573" w:right="117"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）运维管理行业经验优势及互联网开发及运营实践经验</w:t>
      </w:r>
      <w:r>
        <w:rPr>
          <w:rFonts w:ascii="宋体" w:hAnsi="宋体" w:cs="宋体" w:eastAsia="宋体" w:hint="default"/>
          <w:b/>
          <w:bCs/>
          <w:w w:val="99"/>
          <w:sz w:val="18"/>
          <w:szCs w:val="18"/>
        </w:rPr>
        <w:t> </w:t>
      </w:r>
      <w:r>
        <w:rPr>
          <w:rFonts w:ascii="宋体" w:hAnsi="宋体" w:cs="宋体" w:eastAsia="宋体" w:hint="default"/>
          <w:sz w:val="18"/>
          <w:szCs w:val="18"/>
        </w:rPr>
        <w:t>公司拥有丰富的电信、金融、能源等行业和政府机构的运维管理项目实施经验，尤其是在线关键业务</w:t>
      </w:r>
      <w:r>
        <w:rPr>
          <w:rFonts w:ascii="宋体" w:hAnsi="宋体" w:cs="宋体" w:eastAsia="宋体" w:hint="default"/>
          <w:sz w:val="18"/>
          <w:szCs w:val="18"/>
        </w:rPr>
        <w:t>IT</w:t>
      </w:r>
      <w:r>
        <w:rPr>
          <w:rFonts w:ascii="宋体" w:hAnsi="宋体" w:cs="宋体" w:eastAsia="宋体" w:hint="default"/>
          <w:sz w:val="18"/>
          <w:szCs w:val="18"/>
        </w:rPr>
        <w:t>运维管理的经</w:t>
      </w:r>
    </w:p>
    <w:p>
      <w:pPr>
        <w:pStyle w:val="BodyText"/>
        <w:spacing w:line="477" w:lineRule="auto" w:before="23"/>
        <w:ind w:right="117"/>
        <w:jc w:val="left"/>
      </w:pPr>
      <w:r>
        <w:rPr>
          <w:spacing w:val="-4"/>
        </w:rPr>
        <w:t>验和方法论。作为电信运营商的重要合作伙伴，公司积累了丰富的电信行业项目经验，多次参与电信运营商技术规范的制定，</w:t>
      </w:r>
      <w:r>
        <w:rPr>
          <w:spacing w:val="-44"/>
        </w:rPr>
        <w:t> </w:t>
      </w:r>
      <w:r>
        <w:rPr>
          <w:spacing w:val="-44"/>
        </w:rPr>
      </w:r>
      <w:r>
        <w:rPr>
          <w:spacing w:val="-2"/>
        </w:rPr>
        <w:t>通过对电信运营商的运维需求进行深入分析和梳理，积淀了丰富的实践经验并将其向其他行业推广，从而为其他行业的客户</w:t>
      </w:r>
      <w:r>
        <w:rPr>
          <w:spacing w:val="-64"/>
        </w:rPr>
        <w:t> </w:t>
      </w:r>
      <w:r>
        <w:rPr>
          <w:spacing w:val="-64"/>
        </w:rPr>
      </w:r>
      <w:r>
        <w:rPr/>
        <w:t>提供成熟优质的产品和服务。</w:t>
      </w:r>
    </w:p>
    <w:p>
      <w:pPr>
        <w:pStyle w:val="BodyText"/>
        <w:spacing w:line="477" w:lineRule="auto" w:before="92"/>
        <w:ind w:right="211" w:firstLine="420"/>
        <w:jc w:val="both"/>
      </w:pPr>
      <w:r>
        <w:rPr/>
        <w:t>公司在飞信业务、农信通业务的开发运营实践中，形成了强大的互联网产品开发能力和运营能力，在技术、产品、团 </w:t>
      </w:r>
      <w:r>
        <w:rPr>
          <w:spacing w:val="-2"/>
        </w:rPr>
        <w:t>队、运营经验、对互联网市场的理解等诸多方面均有着深厚的积累，这些为公司在互联网运营服务领域的进一步发展打下了</w:t>
      </w:r>
      <w:r>
        <w:rPr>
          <w:spacing w:val="-64"/>
        </w:rPr>
        <w:t> </w:t>
      </w:r>
      <w:r>
        <w:rPr>
          <w:spacing w:val="-64"/>
        </w:rPr>
      </w:r>
      <w:r>
        <w:rPr/>
        <w:t>坚实基础，有利于公司拓展面向国内外大型组织机构的互联网运营业务。</w:t>
      </w:r>
    </w:p>
    <w:p>
      <w:pPr>
        <w:pStyle w:val="BodyText"/>
        <w:spacing w:line="518" w:lineRule="auto" w:before="95"/>
        <w:ind w:left="573" w:right="195" w:firstLine="2"/>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）技术与产品优势</w:t>
      </w:r>
      <w:r>
        <w:rPr>
          <w:rFonts w:ascii="宋体" w:hAnsi="宋体" w:cs="宋体" w:eastAsia="宋体" w:hint="default"/>
          <w:b/>
          <w:bCs/>
          <w:w w:val="99"/>
        </w:rPr>
        <w:t> </w:t>
      </w:r>
      <w:r>
        <w:rPr>
          <w:rFonts w:ascii="宋体" w:hAnsi="宋体" w:cs="宋体" w:eastAsia="宋体" w:hint="default"/>
          <w:spacing w:val="-1"/>
        </w:rPr>
        <w:t>A</w:t>
      </w:r>
      <w:r>
        <w:rPr>
          <w:spacing w:val="-1"/>
        </w:rPr>
        <w:t>、公司既有强大的项目实施团队也有专业产品研发团队，基于从用户或市场中不断提炼出的需求，通过实施和研发部</w:t>
      </w:r>
    </w:p>
    <w:p>
      <w:pPr>
        <w:pStyle w:val="BodyText"/>
        <w:spacing w:line="516" w:lineRule="auto" w:before="23"/>
        <w:ind w:left="573" w:right="197" w:hanging="421"/>
        <w:jc w:val="left"/>
      </w:pPr>
      <w:r>
        <w:rPr/>
        <w:t>门的快速互动，形成了良性的技术和产品水平不断提升和创新的机制。 </w:t>
      </w:r>
      <w:r>
        <w:rPr>
          <w:rFonts w:ascii="宋体" w:hAnsi="宋体" w:cs="宋体" w:eastAsia="宋体" w:hint="default"/>
          <w:spacing w:val="-1"/>
        </w:rPr>
        <w:t>B</w:t>
      </w:r>
      <w:r>
        <w:rPr>
          <w:spacing w:val="-1"/>
        </w:rPr>
        <w:t>、公司长期紧密跟踪运维管理的技术发展趋势，深度挖掘客户对</w:t>
      </w:r>
      <w:r>
        <w:rPr>
          <w:rFonts w:ascii="宋体" w:hAnsi="宋体" w:cs="宋体" w:eastAsia="宋体" w:hint="default"/>
          <w:spacing w:val="-1"/>
        </w:rPr>
        <w:t>IT</w:t>
      </w:r>
      <w:r>
        <w:rPr>
          <w:spacing w:val="-1"/>
        </w:rPr>
        <w:t>系统（尤其在线关键业务</w:t>
      </w:r>
      <w:r>
        <w:rPr>
          <w:rFonts w:ascii="宋体" w:hAnsi="宋体" w:cs="宋体" w:eastAsia="宋体" w:hint="default"/>
          <w:spacing w:val="-1"/>
        </w:rPr>
        <w:t>IT</w:t>
      </w:r>
      <w:r>
        <w:rPr>
          <w:spacing w:val="-1"/>
        </w:rPr>
        <w:t>应用系统）的运维管理</w:t>
      </w:r>
    </w:p>
    <w:p>
      <w:pPr>
        <w:pStyle w:val="BodyText"/>
        <w:spacing w:line="477" w:lineRule="auto" w:before="25"/>
        <w:ind w:right="114"/>
        <w:jc w:val="left"/>
      </w:pPr>
      <w:r>
        <w:rPr/>
        <w:t>需求，形成了一系列独特的软件产品和方法论。技术水平在国内处于领先地位，即使与</w:t>
      </w:r>
      <w:r>
        <w:rPr>
          <w:rFonts w:ascii="宋体" w:hAnsi="宋体" w:cs="宋体" w:eastAsia="宋体" w:hint="default"/>
        </w:rPr>
        <w:t>IBM</w:t>
      </w:r>
      <w:r>
        <w:rPr/>
        <w:t>、</w:t>
      </w:r>
      <w:r>
        <w:rPr>
          <w:rFonts w:ascii="宋体" w:hAnsi="宋体" w:cs="宋体" w:eastAsia="宋体" w:hint="default"/>
        </w:rPr>
        <w:t>HP</w:t>
      </w:r>
      <w:r>
        <w:rPr/>
        <w:t>、</w:t>
      </w:r>
      <w:r>
        <w:rPr>
          <w:rFonts w:ascii="宋体" w:hAnsi="宋体" w:cs="宋体" w:eastAsia="宋体" w:hint="default"/>
        </w:rPr>
        <w:t>BMC</w:t>
      </w:r>
      <w:r>
        <w:rPr/>
        <w:t>、</w:t>
      </w:r>
      <w:r>
        <w:rPr>
          <w:rFonts w:ascii="宋体" w:hAnsi="宋体" w:cs="宋体" w:eastAsia="宋体" w:hint="default"/>
        </w:rPr>
        <w:t>CA</w:t>
      </w:r>
      <w:r>
        <w:rPr/>
        <w:t>等国际厂商相比， </w:t>
      </w:r>
      <w:r>
        <w:rPr>
          <w:spacing w:val="-2"/>
        </w:rPr>
        <w:t>在可靠性、丰富性、独特性和创新性等方面也形成了有力竞争并局部有所超越，公司所提供的解决方案符合国内外的相关标</w:t>
      </w:r>
      <w:r>
        <w:rPr>
          <w:spacing w:val="-66"/>
        </w:rPr>
        <w:t> </w:t>
      </w:r>
      <w:r>
        <w:rPr>
          <w:spacing w:val="-66"/>
        </w:rPr>
      </w:r>
      <w:r>
        <w:rPr>
          <w:spacing w:val="-2"/>
        </w:rPr>
        <w:t>准与规范，在理论基础和系统架构上均达到国际一流水平；与国内同行业厂商比较，公司的产品在上述各方面均具有一定的</w:t>
      </w:r>
    </w:p>
    <w:p>
      <w:pPr>
        <w:spacing w:after="0" w:line="477" w:lineRule="auto"/>
        <w:jc w:val="left"/>
        <w:sectPr>
          <w:pgSz w:w="11910" w:h="16840"/>
          <w:pgMar w:header="852" w:footer="980" w:top="1340" w:bottom="1160" w:left="980" w:right="920"/>
        </w:sectPr>
      </w:pPr>
    </w:p>
    <w:p>
      <w:pPr>
        <w:spacing w:line="240" w:lineRule="auto" w:before="6"/>
        <w:rPr>
          <w:rFonts w:ascii="宋体" w:hAnsi="宋体" w:cs="宋体" w:eastAsia="宋体" w:hint="default"/>
          <w:sz w:val="10"/>
          <w:szCs w:val="10"/>
        </w:rPr>
      </w:pPr>
    </w:p>
    <w:p>
      <w:pPr>
        <w:pStyle w:val="BodyText"/>
        <w:spacing w:line="240" w:lineRule="auto" w:before="44"/>
        <w:ind w:right="94"/>
        <w:jc w:val="left"/>
      </w:pPr>
      <w:r>
        <w:rPr/>
        <w:t>领先优势。</w:t>
      </w:r>
    </w:p>
    <w:p>
      <w:pPr>
        <w:spacing w:line="240" w:lineRule="auto" w:before="12"/>
        <w:rPr>
          <w:rFonts w:ascii="宋体" w:hAnsi="宋体" w:cs="宋体" w:eastAsia="宋体" w:hint="default"/>
          <w:sz w:val="20"/>
          <w:szCs w:val="20"/>
        </w:rPr>
      </w:pPr>
    </w:p>
    <w:p>
      <w:pPr>
        <w:pStyle w:val="BodyText"/>
        <w:spacing w:line="477" w:lineRule="auto"/>
        <w:ind w:right="181" w:firstLine="420"/>
        <w:jc w:val="both"/>
      </w:pPr>
      <w:r>
        <w:rPr>
          <w:rFonts w:ascii="宋体" w:hAnsi="宋体" w:cs="宋体" w:eastAsia="宋体" w:hint="default"/>
          <w:spacing w:val="-1"/>
        </w:rPr>
        <w:t>C</w:t>
      </w:r>
      <w:r>
        <w:rPr>
          <w:spacing w:val="-1"/>
        </w:rPr>
        <w:t>、公司及新媒传信连续多年均被认定为国家规划布局内重点软件企业，同时公司具备计算机系统集成一级资质、国家</w:t>
      </w:r>
      <w:r>
        <w:rPr/>
        <w:t> </w:t>
      </w:r>
      <w:r>
        <w:rPr>
          <w:spacing w:val="5"/>
        </w:rPr>
        <w:t>信息安全认证服务二级资质、</w:t>
      </w:r>
      <w:r>
        <w:rPr>
          <w:rFonts w:ascii="宋体" w:hAnsi="宋体" w:cs="宋体" w:eastAsia="宋体" w:hint="default"/>
          <w:spacing w:val="5"/>
        </w:rPr>
        <w:t>ISO20000</w:t>
      </w:r>
      <w:r>
        <w:rPr>
          <w:rFonts w:ascii="宋体" w:hAnsi="宋体" w:cs="宋体" w:eastAsia="宋体" w:hint="default"/>
          <w:spacing w:val="27"/>
        </w:rPr>
        <w:t> </w:t>
      </w:r>
      <w:r>
        <w:rPr>
          <w:rFonts w:ascii="宋体" w:hAnsi="宋体" w:cs="宋体" w:eastAsia="宋体" w:hint="default"/>
          <w:spacing w:val="8"/>
        </w:rPr>
        <w:t>IT</w:t>
      </w:r>
      <w:r>
        <w:rPr>
          <w:spacing w:val="8"/>
        </w:rPr>
        <w:t>服务管理国际标准认证、软件能力成熟度模型集成（</w:t>
      </w:r>
      <w:r>
        <w:rPr>
          <w:spacing w:val="-73"/>
        </w:rPr>
        <w:t> </w:t>
      </w:r>
      <w:r>
        <w:rPr>
          <w:rFonts w:ascii="宋体" w:hAnsi="宋体" w:cs="宋体" w:eastAsia="宋体" w:hint="default"/>
        </w:rPr>
        <w:t>CMMI</w:t>
      </w:r>
      <w:r>
        <w:rPr>
          <w:rFonts w:ascii="宋体" w:hAnsi="宋体" w:cs="宋体" w:eastAsia="宋体" w:hint="default"/>
          <w:spacing w:val="24"/>
        </w:rPr>
        <w:t> </w:t>
      </w:r>
      <w:r>
        <w:rPr>
          <w:rFonts w:ascii="宋体" w:hAnsi="宋体" w:cs="宋体" w:eastAsia="宋体" w:hint="default"/>
          <w:spacing w:val="8"/>
        </w:rPr>
        <w:t>L3</w:t>
      </w:r>
      <w:r>
        <w:rPr>
          <w:spacing w:val="8"/>
        </w:rPr>
        <w:t>）三级认证、</w:t>
      </w:r>
      <w:r>
        <w:rPr>
          <w:spacing w:val="-85"/>
        </w:rPr>
        <w:t> </w:t>
      </w:r>
      <w:r>
        <w:rPr>
          <w:rFonts w:ascii="宋体" w:hAnsi="宋体" w:cs="宋体" w:eastAsia="宋体" w:hint="default"/>
          <w:spacing w:val="-2"/>
        </w:rPr>
        <w:t>ISO9001:2000</w:t>
      </w:r>
      <w:r>
        <w:rPr>
          <w:spacing w:val="-2"/>
        </w:rPr>
        <w:t>质量管理体系认证等多项资质；截至</w:t>
      </w:r>
      <w:r>
        <w:rPr>
          <w:rFonts w:ascii="宋体" w:hAnsi="宋体" w:cs="宋体" w:eastAsia="宋体" w:hint="default"/>
          <w:spacing w:val="-2"/>
        </w:rPr>
        <w:t>2012</w:t>
      </w:r>
      <w:r>
        <w:rPr>
          <w:spacing w:val="-2"/>
        </w:rPr>
        <w:t>年末公司及其控股子公司合计拥有</w:t>
      </w:r>
      <w:r>
        <w:rPr>
          <w:rFonts w:ascii="宋体" w:hAnsi="宋体" w:cs="宋体" w:eastAsia="宋体" w:hint="default"/>
          <w:spacing w:val="-2"/>
        </w:rPr>
        <w:t>457</w:t>
      </w:r>
      <w:r>
        <w:rPr>
          <w:spacing w:val="-2"/>
        </w:rPr>
        <w:t>项计算机软件著作权、</w:t>
      </w:r>
      <w:r>
        <w:rPr>
          <w:rFonts w:ascii="宋体" w:hAnsi="宋体" w:cs="宋体" w:eastAsia="宋体" w:hint="default"/>
          <w:spacing w:val="-2"/>
        </w:rPr>
        <w:t>123</w:t>
      </w:r>
      <w:r>
        <w:rPr>
          <w:spacing w:val="-2"/>
        </w:rPr>
        <w:t>项产</w:t>
      </w:r>
      <w:r>
        <w:rPr>
          <w:spacing w:val="-55"/>
        </w:rPr>
        <w:t> </w:t>
      </w:r>
      <w:r>
        <w:rPr/>
        <w:t>品登记证证、</w:t>
      </w:r>
      <w:r>
        <w:rPr>
          <w:rFonts w:ascii="宋体" w:hAnsi="宋体" w:cs="宋体" w:eastAsia="宋体" w:hint="default"/>
        </w:rPr>
        <w:t>40</w:t>
      </w:r>
      <w:r>
        <w:rPr/>
        <w:t>项专利、已受理的专利申请达</w:t>
      </w:r>
      <w:r>
        <w:rPr>
          <w:rFonts w:ascii="宋体" w:hAnsi="宋体" w:cs="宋体" w:eastAsia="宋体" w:hint="default"/>
        </w:rPr>
        <w:t>483</w:t>
      </w:r>
      <w:r>
        <w:rPr/>
        <w:t>项；</w:t>
      </w:r>
      <w:r>
        <w:rPr>
          <w:rFonts w:ascii="宋体" w:hAnsi="宋体" w:cs="宋体" w:eastAsia="宋体" w:hint="default"/>
        </w:rPr>
        <w:t>2011</w:t>
      </w:r>
      <w:r>
        <w:rPr/>
        <w:t>年度公司被评为“国家企业技术中心”，综合体现了公司的技术</w:t>
      </w:r>
      <w:r>
        <w:rPr>
          <w:spacing w:val="-87"/>
        </w:rPr>
        <w:t> </w:t>
      </w:r>
      <w:r>
        <w:rPr>
          <w:spacing w:val="-87"/>
        </w:rPr>
      </w:r>
      <w:r>
        <w:rPr/>
        <w:t>创新能力、研发实力、市场拓展能力、企业经营能力，成为企业长期持续健康发展的有力支撑。</w:t>
      </w:r>
    </w:p>
    <w:p>
      <w:pPr>
        <w:pStyle w:val="BodyText"/>
        <w:spacing w:line="518" w:lineRule="auto" w:before="92"/>
        <w:ind w:left="573" w:right="94" w:firstLine="2"/>
        <w:jc w:val="left"/>
      </w:pPr>
      <w:r>
        <w:rPr>
          <w:rFonts w:ascii="宋体" w:hAnsi="宋体" w:cs="宋体" w:eastAsia="宋体" w:hint="default"/>
          <w:b/>
          <w:bCs/>
        </w:rPr>
        <w:t>（</w:t>
      </w:r>
      <w:r>
        <w:rPr>
          <w:rFonts w:ascii="宋体" w:hAnsi="宋体" w:cs="宋体" w:eastAsia="宋体" w:hint="default"/>
          <w:b/>
          <w:bCs/>
        </w:rPr>
        <w:t>4</w:t>
      </w:r>
      <w:r>
        <w:rPr>
          <w:rFonts w:ascii="宋体" w:hAnsi="宋体" w:cs="宋体" w:eastAsia="宋体" w:hint="default"/>
          <w:b/>
          <w:bCs/>
        </w:rPr>
        <w:t>）人才团队优势</w:t>
      </w:r>
      <w:r>
        <w:rPr>
          <w:rFonts w:ascii="宋体" w:hAnsi="宋体" w:cs="宋体" w:eastAsia="宋体" w:hint="default"/>
          <w:b/>
          <w:bCs/>
          <w:w w:val="99"/>
        </w:rPr>
        <w:t> </w:t>
      </w:r>
      <w:r>
        <w:rPr/>
        <w:t>公司拥有稳定的核心管理团队和优秀的技术团队。核心管理团队稳定且具有丰富的运维管理市场经验、互联网运营经</w:t>
      </w:r>
    </w:p>
    <w:p>
      <w:pPr>
        <w:pStyle w:val="BodyText"/>
        <w:spacing w:line="477" w:lineRule="auto" w:before="24"/>
        <w:ind w:right="184"/>
        <w:jc w:val="left"/>
      </w:pPr>
      <w:r>
        <w:rPr/>
        <w:t>验和企业管理能力，对运维管理行业、互联网行业的业务发展趋势具有深刻理解。截至</w:t>
      </w:r>
      <w:r>
        <w:rPr>
          <w:rFonts w:ascii="宋体" w:hAnsi="宋体" w:cs="宋体" w:eastAsia="宋体" w:hint="default"/>
        </w:rPr>
        <w:t>2012</w:t>
      </w:r>
      <w:r>
        <w:rPr/>
        <w:t>年末，公司人员规模超过</w:t>
      </w:r>
      <w:r>
        <w:rPr>
          <w:rFonts w:ascii="宋体" w:hAnsi="宋体" w:cs="宋体" w:eastAsia="宋体" w:hint="default"/>
        </w:rPr>
        <w:t>4,567</w:t>
      </w:r>
      <w:r>
        <w:rPr>
          <w:rFonts w:ascii="宋体" w:hAnsi="宋体" w:cs="宋体" w:eastAsia="宋体" w:hint="default"/>
          <w:spacing w:val="-86"/>
        </w:rPr>
        <w:t> </w:t>
      </w:r>
      <w:r>
        <w:rPr>
          <w:rFonts w:ascii="宋体" w:hAnsi="宋体" w:cs="宋体" w:eastAsia="宋体" w:hint="default"/>
          <w:spacing w:val="-86"/>
        </w:rPr>
      </w:r>
      <w:r>
        <w:rPr/>
        <w:t>人，其中技术研发人员占到员工总数的</w:t>
      </w:r>
      <w:r>
        <w:rPr>
          <w:rFonts w:ascii="宋体" w:hAnsi="宋体" w:cs="宋体" w:eastAsia="宋体" w:hint="default"/>
        </w:rPr>
        <w:t>80%</w:t>
      </w:r>
      <w:r>
        <w:rPr/>
        <w:t>左右。</w:t>
      </w:r>
    </w:p>
    <w:p>
      <w:pPr>
        <w:pStyle w:val="BodyText"/>
        <w:spacing w:line="516" w:lineRule="auto" w:before="95"/>
        <w:ind w:left="573" w:right="94" w:firstLine="2"/>
        <w:jc w:val="left"/>
      </w:pPr>
      <w:r>
        <w:rPr>
          <w:rFonts w:ascii="宋体" w:hAnsi="宋体" w:cs="宋体" w:eastAsia="宋体" w:hint="default"/>
          <w:b/>
          <w:bCs/>
        </w:rPr>
        <w:t>（</w:t>
      </w:r>
      <w:r>
        <w:rPr>
          <w:rFonts w:ascii="宋体" w:hAnsi="宋体" w:cs="宋体" w:eastAsia="宋体" w:hint="default"/>
          <w:b/>
          <w:bCs/>
        </w:rPr>
        <w:t>5</w:t>
      </w:r>
      <w:r>
        <w:rPr>
          <w:rFonts w:ascii="宋体" w:hAnsi="宋体" w:cs="宋体" w:eastAsia="宋体" w:hint="default"/>
          <w:b/>
          <w:bCs/>
        </w:rPr>
        <w:t>）服务优势</w:t>
      </w:r>
      <w:r>
        <w:rPr>
          <w:rFonts w:ascii="宋体" w:hAnsi="宋体" w:cs="宋体" w:eastAsia="宋体" w:hint="default"/>
          <w:b/>
          <w:bCs/>
          <w:w w:val="99"/>
        </w:rPr>
        <w:t> </w:t>
      </w:r>
      <w:r>
        <w:rPr/>
        <w:t>公司具备快速的产品提炼能力、快速的反应能力、持续的服务能力和综合性的支持服务能力以及多样的服务形式。凭</w:t>
      </w:r>
    </w:p>
    <w:p>
      <w:pPr>
        <w:pStyle w:val="BodyText"/>
        <w:spacing w:line="477" w:lineRule="auto" w:before="25"/>
        <w:ind w:right="94"/>
        <w:jc w:val="left"/>
      </w:pPr>
      <w:r>
        <w:rPr>
          <w:spacing w:val="-2"/>
        </w:rPr>
        <w:t>借多年来在运维管理行业、互联网行业的实践经验积累，能快速分析市场及客户的需求、形成解决方案或产品，为客户提供</w:t>
      </w:r>
      <w:r>
        <w:rPr>
          <w:spacing w:val="-65"/>
        </w:rPr>
        <w:t> </w:t>
      </w:r>
      <w:r>
        <w:rPr>
          <w:spacing w:val="-65"/>
        </w:rPr>
      </w:r>
      <w:r>
        <w:rPr/>
        <w:t>多方位的、高质量的技术开发与面向业务运营的运维支撑服务。</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r>
        <w:rPr>
          <w:rFonts w:ascii="Times New Roman" w:hAnsi="Times New Roman" w:cs="Times New Roman" w:eastAsia="Times New Roman" w:hint="default"/>
        </w:rPr>
        <w:t>5</w:t>
      </w:r>
      <w:r>
        <w:rPr/>
        <w:t>、投资状况分析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1"/>
        <w:jc w:val="right"/>
      </w:pPr>
      <w:r>
        <w:rPr/>
        <w:t>单位：万元</w:t>
      </w:r>
    </w:p>
    <w:p>
      <w:pPr>
        <w:spacing w:line="240" w:lineRule="auto" w:before="9"/>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42"/>
        <w:gridCol w:w="5565"/>
      </w:tblGrid>
      <w:tr>
        <w:trPr>
          <w:trHeight w:val="416" w:hRule="exact"/>
        </w:trPr>
        <w:tc>
          <w:tcPr>
            <w:tcW w:w="4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5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170,336.31</w:t>
            </w:r>
          </w:p>
        </w:tc>
      </w:tr>
      <w:tr>
        <w:trPr>
          <w:trHeight w:val="418" w:hRule="exact"/>
        </w:trPr>
        <w:tc>
          <w:tcPr>
            <w:tcW w:w="4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5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w w:val="95"/>
                <w:sz w:val="18"/>
              </w:rPr>
              <w:t>13,119.32</w:t>
            </w:r>
          </w:p>
        </w:tc>
      </w:tr>
      <w:tr>
        <w:trPr>
          <w:trHeight w:val="413" w:hRule="exact"/>
        </w:trPr>
        <w:tc>
          <w:tcPr>
            <w:tcW w:w="4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5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99,250.9</w:t>
            </w:r>
          </w:p>
        </w:tc>
      </w:tr>
      <w:tr>
        <w:trPr>
          <w:trHeight w:val="416" w:hRule="exact"/>
        </w:trPr>
        <w:tc>
          <w:tcPr>
            <w:tcW w:w="4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5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0</w:t>
            </w:r>
          </w:p>
        </w:tc>
      </w:tr>
      <w:tr>
        <w:trPr>
          <w:trHeight w:val="421" w:hRule="exact"/>
        </w:trPr>
        <w:tc>
          <w:tcPr>
            <w:tcW w:w="4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5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w:t>
            </w:r>
          </w:p>
        </w:tc>
      </w:tr>
      <w:tr>
        <w:trPr>
          <w:trHeight w:val="431" w:hRule="exact"/>
        </w:trPr>
        <w:tc>
          <w:tcPr>
            <w:tcW w:w="4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565" w:type="dxa"/>
            <w:tcBorders>
              <w:top w:val="single" w:sz="4" w:space="0" w:color="000000"/>
              <w:left w:val="single" w:sz="12" w:space="0" w:color="D2D2D2"/>
              <w:bottom w:val="single" w:sz="8" w:space="0" w:color="000000"/>
              <w:right w:val="single" w:sz="4" w:space="0" w:color="000000"/>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97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7"/>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757" w:hRule="exact"/>
        </w:trPr>
        <w:tc>
          <w:tcPr>
            <w:tcW w:w="9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72" w:right="0"/>
              <w:jc w:val="left"/>
              <w:rPr>
                <w:rFonts w:ascii="宋体" w:hAnsi="宋体" w:cs="宋体" w:eastAsia="宋体" w:hint="default"/>
                <w:sz w:val="18"/>
                <w:szCs w:val="18"/>
              </w:rPr>
            </w:pPr>
            <w:r>
              <w:rPr>
                <w:rFonts w:ascii="宋体" w:hAnsi="宋体" w:cs="宋体" w:eastAsia="宋体" w:hint="default"/>
                <w:sz w:val="18"/>
                <w:szCs w:val="18"/>
              </w:rPr>
              <w:t>公司募集资金净额为</w:t>
            </w:r>
            <w:r>
              <w:rPr>
                <w:rFonts w:ascii="宋体" w:hAnsi="宋体" w:cs="宋体" w:eastAsia="宋体" w:hint="default"/>
                <w:spacing w:val="-48"/>
                <w:sz w:val="18"/>
                <w:szCs w:val="18"/>
              </w:rPr>
              <w:t> </w:t>
            </w:r>
            <w:r>
              <w:rPr>
                <w:rFonts w:ascii="宋体" w:hAnsi="宋体" w:cs="宋体" w:eastAsia="宋体" w:hint="default"/>
                <w:sz w:val="18"/>
                <w:szCs w:val="18"/>
              </w:rPr>
              <w:t>170,336.31</w:t>
            </w:r>
            <w:r>
              <w:rPr>
                <w:rFonts w:ascii="宋体" w:hAnsi="宋体" w:cs="宋体" w:eastAsia="宋体" w:hint="default"/>
                <w:spacing w:val="-45"/>
                <w:sz w:val="18"/>
                <w:szCs w:val="18"/>
              </w:rPr>
              <w:t> </w:t>
            </w:r>
            <w:r>
              <w:rPr>
                <w:rFonts w:ascii="宋体" w:hAnsi="宋体" w:cs="宋体" w:eastAsia="宋体" w:hint="default"/>
                <w:sz w:val="18"/>
                <w:szCs w:val="18"/>
              </w:rPr>
              <w:t>万元，其中招股说明书所列的六个募集资金适用项目计划金额</w:t>
            </w:r>
            <w:r>
              <w:rPr>
                <w:rFonts w:ascii="宋体" w:hAnsi="宋体" w:cs="宋体" w:eastAsia="宋体" w:hint="default"/>
                <w:spacing w:val="-47"/>
                <w:sz w:val="18"/>
                <w:szCs w:val="18"/>
              </w:rPr>
              <w:t> </w:t>
            </w:r>
            <w:r>
              <w:rPr>
                <w:rFonts w:ascii="宋体" w:hAnsi="宋体" w:cs="宋体" w:eastAsia="宋体" w:hint="default"/>
                <w:sz w:val="18"/>
                <w:szCs w:val="18"/>
              </w:rPr>
              <w:t>50,252.80</w:t>
            </w:r>
            <w:r>
              <w:rPr>
                <w:rFonts w:ascii="宋体" w:hAnsi="宋体" w:cs="宋体" w:eastAsia="宋体" w:hint="default"/>
                <w:spacing w:val="-46"/>
                <w:sz w:val="18"/>
                <w:szCs w:val="18"/>
              </w:rPr>
              <w:t> </w:t>
            </w:r>
            <w:r>
              <w:rPr>
                <w:rFonts w:ascii="宋体" w:hAnsi="宋体" w:cs="宋体" w:eastAsia="宋体" w:hint="default"/>
                <w:sz w:val="18"/>
                <w:szCs w:val="18"/>
              </w:rPr>
              <w:t>万元、超募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资金总额为</w:t>
            </w:r>
            <w:r>
              <w:rPr>
                <w:rFonts w:ascii="宋体" w:hAnsi="宋体" w:cs="宋体" w:eastAsia="宋体" w:hint="default"/>
                <w:spacing w:val="-47"/>
                <w:sz w:val="18"/>
                <w:szCs w:val="18"/>
              </w:rPr>
              <w:t> </w:t>
            </w:r>
            <w:r>
              <w:rPr>
                <w:rFonts w:ascii="宋体" w:hAnsi="宋体" w:cs="宋体" w:eastAsia="宋体" w:hint="default"/>
                <w:sz w:val="18"/>
                <w:szCs w:val="18"/>
              </w:rPr>
              <w:t>120,083.51</w:t>
            </w:r>
            <w:r>
              <w:rPr>
                <w:rFonts w:ascii="宋体" w:hAnsi="宋体" w:cs="宋体" w:eastAsia="宋体" w:hint="default"/>
                <w:spacing w:val="-46"/>
                <w:sz w:val="18"/>
                <w:szCs w:val="18"/>
              </w:rPr>
              <w:t> </w:t>
            </w:r>
            <w:r>
              <w:rPr>
                <w:rFonts w:ascii="宋体" w:hAnsi="宋体" w:cs="宋体" w:eastAsia="宋体" w:hint="default"/>
                <w:sz w:val="18"/>
                <w:szCs w:val="18"/>
              </w:rPr>
              <w:t>万元。总体使用情况如下：</w:t>
            </w:r>
            <w:r>
              <w:rPr>
                <w:rFonts w:ascii="宋体" w:hAnsi="宋体" w:cs="宋体" w:eastAsia="宋体" w:hint="default"/>
                <w:sz w:val="18"/>
                <w:szCs w:val="18"/>
              </w:rPr>
              <w:t>1</w:t>
            </w:r>
            <w:r>
              <w:rPr>
                <w:rFonts w:ascii="宋体" w:hAnsi="宋体" w:cs="宋体" w:eastAsia="宋体" w:hint="default"/>
                <w:sz w:val="18"/>
                <w:szCs w:val="18"/>
              </w:rPr>
              <w:t>、截止</w:t>
            </w:r>
            <w:r>
              <w:rPr>
                <w:rFonts w:ascii="宋体" w:hAnsi="宋体" w:cs="宋体" w:eastAsia="宋体" w:hint="default"/>
                <w:spacing w:val="-48"/>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年末，招股说明书所列募集资金项目已经实施完毕，实际</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使用</w:t>
            </w:r>
            <w:r>
              <w:rPr>
                <w:rFonts w:ascii="宋体" w:hAnsi="宋体" w:cs="宋体" w:eastAsia="宋体" w:hint="default"/>
                <w:spacing w:val="-47"/>
                <w:sz w:val="18"/>
                <w:szCs w:val="18"/>
              </w:rPr>
              <w:t> </w:t>
            </w:r>
            <w:r>
              <w:rPr>
                <w:rFonts w:ascii="宋体" w:hAnsi="宋体" w:cs="宋体" w:eastAsia="宋体" w:hint="default"/>
                <w:sz w:val="18"/>
                <w:szCs w:val="18"/>
              </w:rPr>
              <w:t>29,521.39</w:t>
            </w:r>
            <w:r>
              <w:rPr>
                <w:rFonts w:ascii="宋体" w:hAnsi="宋体" w:cs="宋体" w:eastAsia="宋体" w:hint="default"/>
                <w:spacing w:val="-46"/>
                <w:sz w:val="18"/>
                <w:szCs w:val="18"/>
              </w:rPr>
              <w:t> </w:t>
            </w:r>
            <w:r>
              <w:rPr>
                <w:rFonts w:ascii="宋体" w:hAnsi="宋体" w:cs="宋体" w:eastAsia="宋体" w:hint="default"/>
                <w:sz w:val="18"/>
                <w:szCs w:val="18"/>
              </w:rPr>
              <w:t>万元，结余</w:t>
            </w:r>
            <w:r>
              <w:rPr>
                <w:rFonts w:ascii="宋体" w:hAnsi="宋体" w:cs="宋体" w:eastAsia="宋体" w:hint="default"/>
                <w:spacing w:val="-50"/>
                <w:sz w:val="18"/>
                <w:szCs w:val="18"/>
              </w:rPr>
              <w:t> </w:t>
            </w:r>
            <w:r>
              <w:rPr>
                <w:rFonts w:ascii="宋体" w:hAnsi="宋体" w:cs="宋体" w:eastAsia="宋体" w:hint="default"/>
                <w:sz w:val="18"/>
                <w:szCs w:val="18"/>
              </w:rPr>
              <w:t>20,731.41</w:t>
            </w:r>
            <w:r>
              <w:rPr>
                <w:rFonts w:ascii="宋体" w:hAnsi="宋体" w:cs="宋体" w:eastAsia="宋体" w:hint="default"/>
                <w:spacing w:val="-45"/>
                <w:sz w:val="18"/>
                <w:szCs w:val="18"/>
              </w:rPr>
              <w:t> </w:t>
            </w:r>
            <w:r>
              <w:rPr>
                <w:rFonts w:ascii="宋体" w:hAnsi="宋体" w:cs="宋体" w:eastAsia="宋体" w:hint="default"/>
                <w:sz w:val="18"/>
                <w:szCs w:val="18"/>
              </w:rPr>
              <w:t>万元。</w:t>
            </w:r>
            <w:r>
              <w:rPr>
                <w:rFonts w:ascii="宋体" w:hAnsi="宋体" w:cs="宋体" w:eastAsia="宋体" w:hint="default"/>
                <w:sz w:val="18"/>
                <w:szCs w:val="18"/>
              </w:rPr>
              <w:t>2</w:t>
            </w:r>
            <w:r>
              <w:rPr>
                <w:rFonts w:ascii="宋体" w:hAnsi="宋体" w:cs="宋体" w:eastAsia="宋体" w:hint="default"/>
                <w:sz w:val="18"/>
                <w:szCs w:val="18"/>
              </w:rPr>
              <w:t>、已规划的超募资金使用项目合计金额</w:t>
            </w:r>
            <w:r>
              <w:rPr>
                <w:rFonts w:ascii="宋体" w:hAnsi="宋体" w:cs="宋体" w:eastAsia="宋体" w:hint="default"/>
                <w:spacing w:val="-48"/>
                <w:sz w:val="18"/>
                <w:szCs w:val="18"/>
              </w:rPr>
              <w:t> </w:t>
            </w:r>
            <w:r>
              <w:rPr>
                <w:rFonts w:ascii="宋体" w:hAnsi="宋体" w:cs="宋体" w:eastAsia="宋体" w:hint="default"/>
                <w:sz w:val="18"/>
                <w:szCs w:val="18"/>
              </w:rPr>
              <w:t>86,914.23</w:t>
            </w:r>
            <w:r>
              <w:rPr>
                <w:rFonts w:ascii="宋体" w:hAnsi="宋体" w:cs="宋体" w:eastAsia="宋体" w:hint="default"/>
                <w:spacing w:val="-46"/>
                <w:sz w:val="18"/>
                <w:szCs w:val="18"/>
              </w:rPr>
              <w:t> </w:t>
            </w:r>
            <w:r>
              <w:rPr>
                <w:rFonts w:ascii="宋体" w:hAnsi="宋体" w:cs="宋体" w:eastAsia="宋体" w:hint="default"/>
                <w:sz w:val="18"/>
                <w:szCs w:val="18"/>
              </w:rPr>
              <w:t>万元，截止报告期末，已</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经使用</w:t>
            </w:r>
            <w:r>
              <w:rPr>
                <w:rFonts w:ascii="宋体" w:hAnsi="宋体" w:cs="宋体" w:eastAsia="宋体" w:hint="default"/>
                <w:spacing w:val="-45"/>
                <w:sz w:val="18"/>
                <w:szCs w:val="18"/>
              </w:rPr>
              <w:t> </w:t>
            </w:r>
            <w:r>
              <w:rPr>
                <w:rFonts w:ascii="宋体" w:hAnsi="宋体" w:cs="宋体" w:eastAsia="宋体" w:hint="default"/>
                <w:spacing w:val="1"/>
                <w:sz w:val="18"/>
                <w:szCs w:val="18"/>
              </w:rPr>
              <w:t>6</w:t>
            </w:r>
            <w:r>
              <w:rPr>
                <w:rFonts w:ascii="宋体" w:hAnsi="宋体" w:cs="宋体" w:eastAsia="宋体" w:hint="default"/>
                <w:spacing w:val="-2"/>
                <w:sz w:val="18"/>
                <w:szCs w:val="18"/>
              </w:rPr>
              <w:t>9</w:t>
            </w:r>
            <w:r>
              <w:rPr>
                <w:rFonts w:ascii="宋体" w:hAnsi="宋体" w:cs="宋体" w:eastAsia="宋体" w:hint="default"/>
                <w:spacing w:val="1"/>
                <w:sz w:val="18"/>
                <w:szCs w:val="18"/>
              </w:rPr>
              <w:t>,</w:t>
            </w:r>
            <w:r>
              <w:rPr>
                <w:rFonts w:ascii="宋体" w:hAnsi="宋体" w:cs="宋体" w:eastAsia="宋体" w:hint="default"/>
                <w:spacing w:val="-2"/>
                <w:sz w:val="18"/>
                <w:szCs w:val="18"/>
              </w:rPr>
              <w:t>7</w:t>
            </w:r>
            <w:r>
              <w:rPr>
                <w:rFonts w:ascii="宋体" w:hAnsi="宋体" w:cs="宋体" w:eastAsia="宋体" w:hint="default"/>
                <w:spacing w:val="1"/>
                <w:sz w:val="18"/>
                <w:szCs w:val="18"/>
              </w:rPr>
              <w:t>2</w:t>
            </w:r>
            <w:r>
              <w:rPr>
                <w:rFonts w:ascii="宋体" w:hAnsi="宋体" w:cs="宋体" w:eastAsia="宋体" w:hint="default"/>
                <w:spacing w:val="-2"/>
                <w:sz w:val="18"/>
                <w:szCs w:val="18"/>
              </w:rPr>
              <w:t>9</w:t>
            </w:r>
            <w:r>
              <w:rPr>
                <w:rFonts w:ascii="宋体" w:hAnsi="宋体" w:cs="宋体" w:eastAsia="宋体" w:hint="default"/>
                <w:spacing w:val="1"/>
                <w:sz w:val="18"/>
                <w:szCs w:val="18"/>
              </w:rPr>
              <w:t>.</w:t>
            </w:r>
            <w:r>
              <w:rPr>
                <w:rFonts w:ascii="宋体" w:hAnsi="宋体" w:cs="宋体" w:eastAsia="宋体" w:hint="default"/>
                <w:spacing w:val="-2"/>
                <w:sz w:val="18"/>
                <w:szCs w:val="18"/>
              </w:rPr>
              <w:t>5</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万</w:t>
            </w:r>
            <w:r>
              <w:rPr>
                <w:rFonts w:ascii="宋体" w:hAnsi="宋体" w:cs="宋体" w:eastAsia="宋体" w:hint="default"/>
                <w:spacing w:val="-20"/>
                <w:sz w:val="18"/>
                <w:szCs w:val="18"/>
              </w:rPr>
              <w:t>元</w:t>
            </w:r>
            <w:r>
              <w:rPr>
                <w:rFonts w:ascii="宋体" w:hAnsi="宋体" w:cs="宋体" w:eastAsia="宋体" w:hint="default"/>
                <w:sz w:val="18"/>
                <w:szCs w:val="18"/>
              </w:rPr>
              <w:t>（含</w:t>
            </w:r>
            <w:r>
              <w:rPr>
                <w:rFonts w:ascii="宋体" w:hAnsi="宋体" w:cs="宋体" w:eastAsia="宋体" w:hint="default"/>
                <w:spacing w:val="-3"/>
                <w:sz w:val="18"/>
                <w:szCs w:val="18"/>
              </w:rPr>
              <w:t>北</w:t>
            </w:r>
            <w:r>
              <w:rPr>
                <w:rFonts w:ascii="宋体" w:hAnsi="宋体" w:cs="宋体" w:eastAsia="宋体" w:hint="default"/>
                <w:sz w:val="18"/>
                <w:szCs w:val="18"/>
              </w:rPr>
              <w:t>京总部研发及办公用房超募资金结余</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pacing w:val="1"/>
                <w:sz w:val="18"/>
                <w:szCs w:val="18"/>
              </w:rPr>
              <w:t>3</w:t>
            </w:r>
            <w:r>
              <w:rPr>
                <w:rFonts w:ascii="宋体" w:hAnsi="宋体" w:cs="宋体" w:eastAsia="宋体" w:hint="default"/>
                <w:spacing w:val="-2"/>
                <w:sz w:val="18"/>
                <w:szCs w:val="18"/>
              </w:rPr>
              <w:t>7</w:t>
            </w:r>
            <w:r>
              <w:rPr>
                <w:rFonts w:ascii="宋体" w:hAnsi="宋体" w:cs="宋体" w:eastAsia="宋体" w:hint="default"/>
                <w:spacing w:val="1"/>
                <w:sz w:val="18"/>
                <w:szCs w:val="18"/>
              </w:rPr>
              <w:t>6</w:t>
            </w:r>
            <w:r>
              <w:rPr>
                <w:rFonts w:ascii="宋体" w:hAnsi="宋体" w:cs="宋体" w:eastAsia="宋体" w:hint="default"/>
                <w:spacing w:val="-2"/>
                <w:sz w:val="18"/>
                <w:szCs w:val="18"/>
              </w:rPr>
              <w:t>.</w:t>
            </w:r>
            <w:r>
              <w:rPr>
                <w:rFonts w:ascii="宋体" w:hAnsi="宋体" w:cs="宋体" w:eastAsia="宋体" w:hint="default"/>
                <w:spacing w:val="1"/>
                <w:sz w:val="18"/>
                <w:szCs w:val="18"/>
              </w:rPr>
              <w:t>7</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其</w:t>
            </w:r>
            <w:r>
              <w:rPr>
                <w:rFonts w:ascii="宋体" w:hAnsi="宋体" w:cs="宋体" w:eastAsia="宋体" w:hint="default"/>
                <w:spacing w:val="-3"/>
                <w:sz w:val="18"/>
                <w:szCs w:val="18"/>
              </w:rPr>
              <w:t>余</w:t>
            </w:r>
            <w:r>
              <w:rPr>
                <w:rFonts w:ascii="宋体" w:hAnsi="宋体" w:cs="宋体" w:eastAsia="宋体" w:hint="default"/>
                <w:sz w:val="18"/>
                <w:szCs w:val="18"/>
              </w:rPr>
              <w:t>将根据项目进展情况进行支付</w:t>
            </w:r>
            <w:r>
              <w:rPr>
                <w:rFonts w:ascii="宋体" w:hAnsi="宋体" w:cs="宋体" w:eastAsia="宋体" w:hint="default"/>
                <w:spacing w:val="-20"/>
                <w:sz w:val="18"/>
                <w:szCs w:val="18"/>
              </w:rPr>
              <w:t>。</w:t>
            </w:r>
            <w:r>
              <w:rPr>
                <w:rFonts w:ascii="宋体" w:hAnsi="宋体" w:cs="宋体" w:eastAsia="宋体" w:hint="default"/>
                <w:sz w:val="18"/>
                <w:szCs w:val="18"/>
              </w:rPr>
              <w:t>截</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止报告期末，超募资金中尚未规划的金额为</w:t>
            </w:r>
            <w:r>
              <w:rPr>
                <w:rFonts w:ascii="宋体" w:hAnsi="宋体" w:cs="宋体" w:eastAsia="宋体" w:hint="default"/>
                <w:spacing w:val="-48"/>
                <w:sz w:val="18"/>
                <w:szCs w:val="18"/>
              </w:rPr>
              <w:t> </w:t>
            </w:r>
            <w:r>
              <w:rPr>
                <w:rFonts w:ascii="宋体" w:hAnsi="宋体" w:cs="宋体" w:eastAsia="宋体" w:hint="default"/>
                <w:sz w:val="18"/>
                <w:szCs w:val="18"/>
              </w:rPr>
              <w:t>33,169.28</w:t>
            </w:r>
            <w:r>
              <w:rPr>
                <w:rFonts w:ascii="宋体" w:hAnsi="宋体" w:cs="宋体" w:eastAsia="宋体" w:hint="default"/>
                <w:spacing w:val="-47"/>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852" w:footer="980" w:top="1340" w:bottom="1160" w:left="980" w:right="940"/>
        </w:sectPr>
      </w:pPr>
    </w:p>
    <w:p>
      <w:pPr>
        <w:spacing w:line="240" w:lineRule="auto" w:before="11"/>
        <w:rPr>
          <w:rFonts w:ascii="宋体" w:hAnsi="宋体" w:cs="宋体" w:eastAsia="宋体" w:hint="default"/>
          <w:sz w:val="2"/>
          <w:szCs w:val="2"/>
        </w:rPr>
      </w:pPr>
    </w:p>
    <w:p>
      <w:pPr>
        <w:spacing w:line="20" w:lineRule="exact"/>
        <w:ind w:left="32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5"/>
          <w:szCs w:val="15"/>
        </w:rPr>
      </w:pPr>
    </w:p>
    <w:p>
      <w:pPr>
        <w:pStyle w:val="Heading3"/>
        <w:spacing w:line="240" w:lineRule="auto" w:before="36"/>
        <w:ind w:left="360"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357"/>
        <w:jc w:val="right"/>
      </w:pPr>
      <w:r>
        <w:rPr/>
        <w:t>单位：万元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602"/>
        <w:gridCol w:w="1147"/>
        <w:gridCol w:w="1148"/>
        <w:gridCol w:w="1147"/>
        <w:gridCol w:w="1145"/>
        <w:gridCol w:w="1148"/>
        <w:gridCol w:w="1147"/>
        <w:gridCol w:w="1526"/>
        <w:gridCol w:w="1148"/>
        <w:gridCol w:w="1147"/>
        <w:gridCol w:w="1150"/>
      </w:tblGrid>
      <w:tr>
        <w:trPr>
          <w:trHeight w:val="1025" w:hRule="exact"/>
        </w:trPr>
        <w:tc>
          <w:tcPr>
            <w:tcW w:w="2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4" w:right="0"/>
              <w:jc w:val="left"/>
              <w:rPr>
                <w:rFonts w:ascii="宋体" w:hAnsi="宋体" w:cs="宋体" w:eastAsia="宋体" w:hint="default"/>
                <w:sz w:val="18"/>
                <w:szCs w:val="18"/>
              </w:rPr>
            </w:pPr>
            <w:r>
              <w:rPr>
                <w:rFonts w:ascii="宋体" w:hAnsi="宋体" w:cs="宋体" w:eastAsia="宋体" w:hint="default"/>
                <w:sz w:val="18"/>
                <w:szCs w:val="18"/>
              </w:rPr>
              <w:t>承诺投资项目和超募资金投向</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28" w:right="26"/>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含部分变 更</w:t>
            </w:r>
            <w:r>
              <w:rPr>
                <w:rFonts w:ascii="Times New Roman" w:hAnsi="Times New Roman" w:cs="Times New Roman" w:eastAsia="Times New Roman" w:hint="default"/>
                <w:sz w:val="18"/>
                <w:szCs w:val="18"/>
              </w:rPr>
              <w:t>)</w:t>
            </w: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06" w:right="29" w:hanging="180"/>
              <w:jc w:val="left"/>
              <w:rPr>
                <w:rFonts w:ascii="宋体" w:hAnsi="宋体" w:cs="宋体" w:eastAsia="宋体" w:hint="default"/>
                <w:sz w:val="18"/>
                <w:szCs w:val="18"/>
              </w:rPr>
            </w:pPr>
            <w:r>
              <w:rPr>
                <w:rFonts w:ascii="宋体" w:hAnsi="宋体" w:cs="宋体" w:eastAsia="宋体" w:hint="default"/>
                <w:sz w:val="18"/>
                <w:szCs w:val="18"/>
              </w:rPr>
              <w:t>募集资金承诺 投资总额</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71" w:right="29" w:hanging="34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调整后投资总 额</w:t>
            </w:r>
            <w:r>
              <w:rPr>
                <w:rFonts w:ascii="Times New Roman" w:hAnsi="Times New Roman" w:cs="Times New Roman" w:eastAsia="Times New Roman" w:hint="default"/>
                <w:sz w:val="18"/>
                <w:szCs w:val="18"/>
              </w:rPr>
              <w:t>(1)</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86" w:right="26"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05" w:right="27" w:hanging="77"/>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截至期末累计 投入金额</w:t>
            </w:r>
            <w:r>
              <w:rPr>
                <w:rFonts w:ascii="Times New Roman" w:hAnsi="Times New Roman" w:cs="Times New Roman" w:eastAsia="Times New Roman" w:hint="default"/>
                <w:sz w:val="18"/>
                <w:szCs w:val="18"/>
              </w:rPr>
              <w:t>(2)</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截至期末投资 进度</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3"/>
              <w:ind w:left="1" w:right="0"/>
              <w:jc w:val="center"/>
              <w:rPr>
                <w:rFonts w:ascii="Times New Roman" w:hAnsi="Times New Roman" w:cs="Times New Roman" w:eastAsia="Times New Roman" w:hint="default"/>
                <w:sz w:val="18"/>
                <w:szCs w:val="18"/>
              </w:rPr>
            </w:pPr>
            <w:r>
              <w:rPr>
                <w:rFonts w:ascii="Times New Roman"/>
                <w:sz w:val="18"/>
              </w:rPr>
              <w:t>(2)/(1)</w:t>
            </w:r>
          </w:p>
        </w:tc>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09" w:right="36" w:hanging="272"/>
              <w:jc w:val="left"/>
              <w:rPr>
                <w:rFonts w:ascii="宋体" w:hAnsi="宋体" w:cs="宋体" w:eastAsia="宋体" w:hint="default"/>
                <w:sz w:val="18"/>
                <w:szCs w:val="18"/>
              </w:rPr>
            </w:pPr>
            <w:r>
              <w:rPr>
                <w:rFonts w:ascii="宋体" w:hAnsi="宋体" w:cs="宋体" w:eastAsia="宋体" w:hint="default"/>
                <w:sz w:val="18"/>
                <w:szCs w:val="18"/>
              </w:rPr>
              <w:t>项目达到预定可使 用状态日期</w:t>
            </w: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00" w:right="26" w:hanging="272"/>
              <w:jc w:val="left"/>
              <w:rPr>
                <w:rFonts w:ascii="宋体" w:hAnsi="宋体" w:cs="宋体" w:eastAsia="宋体" w:hint="default"/>
                <w:sz w:val="18"/>
                <w:szCs w:val="18"/>
              </w:rPr>
            </w:pPr>
            <w:r>
              <w:rPr>
                <w:rFonts w:ascii="宋体" w:hAnsi="宋体" w:cs="宋体" w:eastAsia="宋体" w:hint="default"/>
                <w:sz w:val="18"/>
                <w:szCs w:val="18"/>
              </w:rPr>
              <w:t>本报告期实现 的效益</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88" w:right="26" w:hanging="360"/>
              <w:jc w:val="left"/>
              <w:rPr>
                <w:rFonts w:ascii="宋体" w:hAnsi="宋体" w:cs="宋体" w:eastAsia="宋体" w:hint="default"/>
                <w:sz w:val="18"/>
                <w:szCs w:val="18"/>
              </w:rPr>
            </w:pPr>
            <w:r>
              <w:rPr>
                <w:rFonts w:ascii="宋体" w:hAnsi="宋体" w:cs="宋体" w:eastAsia="宋体" w:hint="default"/>
                <w:sz w:val="18"/>
                <w:szCs w:val="18"/>
              </w:rPr>
              <w:t>是否达到预计 效益</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 w:right="26"/>
              <w:jc w:val="center"/>
              <w:rPr>
                <w:rFonts w:ascii="宋体" w:hAnsi="宋体" w:cs="宋体" w:eastAsia="宋体" w:hint="default"/>
                <w:sz w:val="18"/>
                <w:szCs w:val="18"/>
              </w:rPr>
            </w:pPr>
            <w:r>
              <w:rPr>
                <w:rFonts w:ascii="宋体" w:hAnsi="宋体" w:cs="宋体" w:eastAsia="宋体" w:hint="default"/>
                <w:sz w:val="18"/>
                <w:szCs w:val="18"/>
              </w:rPr>
              <w:t>项目可行性是 否发生重大变 化</w:t>
            </w:r>
          </w:p>
        </w:tc>
      </w:tr>
      <w:tr>
        <w:trPr>
          <w:trHeight w:val="404" w:hRule="exact"/>
        </w:trPr>
        <w:tc>
          <w:tcPr>
            <w:tcW w:w="1445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1"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、飞信平台大规模改造升级</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16,840.38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16,840.38</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14,365.27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85.3%</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16,611.08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、电信综合网管产品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Ultra-TIMP</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8,813.7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8,813.7</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3,772.6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2,050.57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1" w:right="85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、无线网络优化平台 </w:t>
            </w:r>
            <w:r>
              <w:rPr>
                <w:rFonts w:ascii="Times New Roman" w:hAnsi="Times New Roman" w:cs="Times New Roman" w:eastAsia="Times New Roman" w:hint="default"/>
                <w:sz w:val="18"/>
                <w:szCs w:val="18"/>
              </w:rPr>
              <w:t>Ultra-WOSS</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6,422.94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6,422.94</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3,102.9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48.31%</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1,435.99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监控管理平台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Ultra-</w:t>
            </w:r>
            <w:r>
              <w:rPr>
                <w:rFonts w:ascii="Times New Roman" w:hAnsi="Times New Roman" w:cs="Times New Roman" w:eastAsia="Times New Roman" w:hint="default"/>
                <w:sz w:val="18"/>
                <w:szCs w:val="18"/>
              </w:rPr>
              <w:t>ΣM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 列软件</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7,149.65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7,149.65</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3,177.09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44.44%</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1,796.92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、运维服务流程管理系统</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5,994.23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5,994.23</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2,543.71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42.44%</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1,619.04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21" w:right="3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、新一代安全运行管理中心 </w:t>
            </w:r>
            <w:r>
              <w:rPr>
                <w:rFonts w:ascii="Times New Roman" w:hAnsi="Times New Roman" w:cs="Times New Roman" w:eastAsia="Times New Roman" w:hint="default"/>
                <w:sz w:val="18"/>
                <w:szCs w:val="18"/>
              </w:rPr>
              <w:t>Ultra-SOMC3.0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5,031.9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5,031.9</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2,559.82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50.87%</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1,456.7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2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50,252.8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50,252.8</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29,521.39</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48"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24,970.3</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1445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2"/>
              <w:jc w:val="center"/>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pacing w:val="-5"/>
                <w:sz w:val="18"/>
                <w:szCs w:val="18"/>
              </w:rPr>
              <w:t>超募－</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、研发及办公用房的建设</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（北辰首作大厦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14 </w:t>
            </w:r>
            <w:r>
              <w:rPr>
                <w:rFonts w:ascii="宋体" w:hAnsi="宋体" w:cs="宋体" w:eastAsia="宋体" w:hint="default"/>
                <w:sz w:val="18"/>
                <w:szCs w:val="18"/>
              </w:rPr>
              <w:t>层）</w:t>
            </w:r>
          </w:p>
        </w:tc>
        <w:tc>
          <w:tcPr>
            <w:tcW w:w="114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25,453.85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25,453.85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24,077.12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94.59%</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21"/>
              <w:jc w:val="left"/>
              <w:rPr>
                <w:rFonts w:ascii="宋体" w:hAnsi="宋体" w:cs="宋体" w:eastAsia="宋体" w:hint="default"/>
                <w:sz w:val="18"/>
                <w:szCs w:val="18"/>
              </w:rPr>
            </w:pPr>
            <w:r>
              <w:rPr>
                <w:rFonts w:ascii="宋体" w:hAnsi="宋体" w:cs="宋体" w:eastAsia="宋体" w:hint="default"/>
                <w:spacing w:val="-5"/>
                <w:sz w:val="18"/>
                <w:szCs w:val="18"/>
              </w:rPr>
              <w:t>超募－</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、收购大连华信计算机技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术股份有限公司部分股权</w:t>
            </w:r>
          </w:p>
        </w:tc>
        <w:tc>
          <w:tcPr>
            <w:tcW w:w="114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7,230.38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7,230.38</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7,230.38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1,542.95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1" w:right="21"/>
              <w:jc w:val="left"/>
              <w:rPr>
                <w:rFonts w:ascii="宋体" w:hAnsi="宋体" w:cs="宋体" w:eastAsia="宋体" w:hint="default"/>
                <w:sz w:val="18"/>
                <w:szCs w:val="18"/>
              </w:rPr>
            </w:pPr>
            <w:r>
              <w:rPr>
                <w:rFonts w:ascii="宋体" w:hAnsi="宋体" w:cs="宋体" w:eastAsia="宋体" w:hint="default"/>
                <w:spacing w:val="-5"/>
                <w:sz w:val="18"/>
                <w:szCs w:val="18"/>
              </w:rPr>
              <w:t>超募－</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、对外投资设立重庆新媒</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农信科技有限公司</w:t>
            </w:r>
          </w:p>
        </w:tc>
        <w:tc>
          <w:tcPr>
            <w:tcW w:w="114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10,330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10,330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353.32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3,322.01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32.16%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5,087.7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超募－</w:t>
            </w:r>
            <w:r>
              <w:rPr>
                <w:rFonts w:ascii="Times New Roman" w:hAnsi="Times New Roman" w:cs="Times New Roman" w:eastAsia="Times New Roman" w:hint="default"/>
                <w:sz w:val="18"/>
                <w:szCs w:val="18"/>
              </w:rPr>
              <w:t>4</w:t>
            </w:r>
            <w:r>
              <w:rPr>
                <w:rFonts w:ascii="宋体" w:hAnsi="宋体" w:cs="宋体" w:eastAsia="宋体" w:hint="default"/>
                <w:sz w:val="18"/>
                <w:szCs w:val="18"/>
              </w:rPr>
              <w:t>、收购友联创新</w:t>
            </w:r>
          </w:p>
        </w:tc>
        <w:tc>
          <w:tcPr>
            <w:tcW w:w="114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893.83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headerReference w:type="default" r:id="rId15"/>
          <w:footerReference w:type="default" r:id="rId16"/>
          <w:pgSz w:w="16840" w:h="11910" w:orient="landscape"/>
          <w:pgMar w:header="852" w:footer="980" w:top="1280" w:bottom="1160" w:left="1080" w:right="1080"/>
          <w:pgNumType w:start="29"/>
        </w:sectPr>
      </w:pPr>
    </w:p>
    <w:tbl>
      <w:tblPr>
        <w:tblW w:w="0" w:type="auto"/>
        <w:jc w:val="left"/>
        <w:tblInd w:w="108" w:type="dxa"/>
        <w:tblLayout w:type="fixed"/>
        <w:tblCellMar>
          <w:top w:w="0" w:type="dxa"/>
          <w:left w:w="0" w:type="dxa"/>
          <w:bottom w:w="0" w:type="dxa"/>
          <w:right w:w="0" w:type="dxa"/>
        </w:tblCellMar>
        <w:tblLook w:val="01E0"/>
      </w:tblPr>
      <w:tblGrid>
        <w:gridCol w:w="2602"/>
        <w:gridCol w:w="1147"/>
        <w:gridCol w:w="1148"/>
        <w:gridCol w:w="1147"/>
        <w:gridCol w:w="1145"/>
        <w:gridCol w:w="1148"/>
        <w:gridCol w:w="1147"/>
        <w:gridCol w:w="1526"/>
        <w:gridCol w:w="1148"/>
        <w:gridCol w:w="1147"/>
        <w:gridCol w:w="1150"/>
      </w:tblGrid>
      <w:tr>
        <w:trPr>
          <w:trHeight w:val="415" w:hRule="exact"/>
        </w:trPr>
        <w:tc>
          <w:tcPr>
            <w:tcW w:w="260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超募－</w:t>
            </w:r>
            <w:r>
              <w:rPr>
                <w:rFonts w:ascii="Times New Roman" w:hAnsi="Times New Roman" w:cs="Times New Roman" w:eastAsia="Times New Roman" w:hint="default"/>
                <w:sz w:val="18"/>
                <w:szCs w:val="18"/>
              </w:rPr>
              <w:t>5</w:t>
            </w:r>
            <w:r>
              <w:rPr>
                <w:rFonts w:ascii="宋体" w:hAnsi="宋体" w:cs="宋体" w:eastAsia="宋体" w:hint="default"/>
                <w:sz w:val="18"/>
                <w:szCs w:val="18"/>
              </w:rPr>
              <w:t>、收购及增资奇点新源</w:t>
            </w:r>
          </w:p>
        </w:tc>
        <w:tc>
          <w:tcPr>
            <w:tcW w:w="1147" w:type="dxa"/>
            <w:tcBorders>
              <w:top w:val="single" w:sz="10" w:space="0" w:color="000000"/>
              <w:left w:val="single" w:sz="4" w:space="0" w:color="000000"/>
              <w:bottom w:val="single" w:sz="4" w:space="0" w:color="000000"/>
              <w:right w:val="single" w:sz="4" w:space="0" w:color="000000"/>
            </w:tcBorders>
          </w:tcPr>
          <w:p>
            <w:pPr/>
          </w:p>
        </w:tc>
        <w:tc>
          <w:tcPr>
            <w:tcW w:w="114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2,050</w:t>
            </w:r>
          </w:p>
        </w:tc>
        <w:tc>
          <w:tcPr>
            <w:tcW w:w="114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2,050</w:t>
            </w:r>
          </w:p>
        </w:tc>
        <w:tc>
          <w:tcPr>
            <w:tcW w:w="114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c>
          <w:tcPr>
            <w:tcW w:w="114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2,050</w:t>
            </w:r>
          </w:p>
        </w:tc>
        <w:tc>
          <w:tcPr>
            <w:tcW w:w="114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2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-258.38</w:t>
            </w:r>
          </w:p>
        </w:tc>
        <w:tc>
          <w:tcPr>
            <w:tcW w:w="114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5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9"/>
              <w:ind w:left="48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4"/>
              <w:ind w:left="21" w:right="21"/>
              <w:jc w:val="left"/>
              <w:rPr>
                <w:rFonts w:ascii="宋体" w:hAnsi="宋体" w:cs="宋体" w:eastAsia="宋体" w:hint="default"/>
                <w:sz w:val="18"/>
                <w:szCs w:val="18"/>
              </w:rPr>
            </w:pPr>
            <w:r>
              <w:rPr>
                <w:rFonts w:ascii="宋体" w:hAnsi="宋体" w:cs="宋体" w:eastAsia="宋体" w:hint="default"/>
                <w:spacing w:val="-5"/>
                <w:sz w:val="18"/>
                <w:szCs w:val="18"/>
              </w:rPr>
              <w:t>超募－</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、收购宁波普天通信技术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有限公司</w:t>
            </w:r>
          </w:p>
        </w:tc>
        <w:tc>
          <w:tcPr>
            <w:tcW w:w="114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18,750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78.13%</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4,371.01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1" w:right="0"/>
              <w:jc w:val="left"/>
              <w:rPr>
                <w:rFonts w:ascii="宋体" w:hAnsi="宋体" w:cs="宋体" w:eastAsia="宋体" w:hint="default"/>
                <w:sz w:val="18"/>
                <w:szCs w:val="18"/>
              </w:rPr>
            </w:pPr>
            <w:r>
              <w:rPr>
                <w:rFonts w:ascii="宋体" w:hAnsi="宋体" w:cs="宋体" w:eastAsia="宋体" w:hint="default"/>
                <w:sz w:val="18"/>
                <w:szCs w:val="18"/>
              </w:rPr>
              <w:t>超募－</w:t>
            </w:r>
            <w:r>
              <w:rPr>
                <w:rFonts w:ascii="Times New Roman" w:hAnsi="Times New Roman" w:cs="Times New Roman" w:eastAsia="Times New Roman" w:hint="default"/>
                <w:sz w:val="18"/>
                <w:szCs w:val="18"/>
              </w:rPr>
              <w:t>7</w:t>
            </w:r>
            <w:r>
              <w:rPr>
                <w:rFonts w:ascii="宋体" w:hAnsi="宋体" w:cs="宋体" w:eastAsia="宋体" w:hint="default"/>
                <w:sz w:val="18"/>
                <w:szCs w:val="18"/>
              </w:rPr>
              <w:t>、设立香港全资子公司</w:t>
            </w:r>
          </w:p>
        </w:tc>
        <w:tc>
          <w:tcPr>
            <w:tcW w:w="114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3,550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3,550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z w:val="18"/>
              </w:rPr>
              <w:t>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8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4"/>
              <w:ind w:left="21" w:right="21"/>
              <w:jc w:val="left"/>
              <w:rPr>
                <w:rFonts w:ascii="宋体" w:hAnsi="宋体" w:cs="宋体" w:eastAsia="宋体" w:hint="default"/>
                <w:sz w:val="18"/>
                <w:szCs w:val="18"/>
              </w:rPr>
            </w:pPr>
            <w:r>
              <w:rPr>
                <w:rFonts w:ascii="宋体" w:hAnsi="宋体" w:cs="宋体" w:eastAsia="宋体" w:hint="default"/>
                <w:spacing w:val="-5"/>
                <w:sz w:val="18"/>
                <w:szCs w:val="18"/>
              </w:rPr>
              <w:t>超募－</w:t>
            </w:r>
            <w:r>
              <w:rPr>
                <w:rFonts w:ascii="Times New Roman" w:hAnsi="Times New Roman" w:cs="Times New Roman" w:eastAsia="Times New Roman" w:hint="default"/>
                <w:spacing w:val="-5"/>
                <w:sz w:val="18"/>
                <w:szCs w:val="18"/>
              </w:rPr>
              <w:t>8</w:t>
            </w:r>
            <w:r>
              <w:rPr>
                <w:rFonts w:ascii="宋体" w:hAnsi="宋体" w:cs="宋体" w:eastAsia="宋体" w:hint="default"/>
                <w:spacing w:val="-5"/>
                <w:sz w:val="18"/>
                <w:szCs w:val="18"/>
              </w:rPr>
              <w:t>、对外投资设立北京神州</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泰岳良品电子商务有限公司</w:t>
            </w:r>
          </w:p>
        </w:tc>
        <w:tc>
          <w:tcPr>
            <w:tcW w:w="114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-763.92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2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1"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1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7"/>
              <w:ind w:right="22"/>
              <w:jc w:val="right"/>
              <w:rPr>
                <w:rFonts w:ascii="Times New Roman" w:hAnsi="Times New Roman" w:cs="Times New Roman" w:eastAsia="Times New Roman" w:hint="default"/>
                <w:sz w:val="18"/>
                <w:szCs w:val="18"/>
              </w:rPr>
            </w:pPr>
            <w:r>
              <w:rPr>
                <w:rFonts w:ascii="Times New Roman"/>
                <w:spacing w:val="-1"/>
                <w:sz w:val="18"/>
              </w:rPr>
              <w:t>86,914.23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pacing w:val="-1"/>
                <w:sz w:val="18"/>
              </w:rPr>
              <w:t>86,914.23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pacing w:val="-1"/>
                <w:w w:val="95"/>
                <w:sz w:val="18"/>
              </w:rPr>
              <w:t>13,119.32</w:t>
            </w:r>
          </w:p>
        </w:tc>
        <w:tc>
          <w:tcPr>
            <w:tcW w:w="114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87"/>
              <w:ind w:right="12"/>
              <w:jc w:val="right"/>
              <w:rPr>
                <w:rFonts w:ascii="Times New Roman" w:hAnsi="Times New Roman" w:cs="Times New Roman" w:eastAsia="Times New Roman" w:hint="default"/>
                <w:sz w:val="18"/>
                <w:szCs w:val="18"/>
              </w:rPr>
            </w:pPr>
            <w:r>
              <w:rPr>
                <w:rFonts w:ascii="Times New Roman"/>
                <w:spacing w:val="-1"/>
                <w:sz w:val="18"/>
              </w:rPr>
              <w:t>69,729.51</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508" w:right="0"/>
              <w:jc w:val="left"/>
              <w:rPr>
                <w:rFonts w:ascii="Times New Roman" w:hAnsi="Times New Roman" w:cs="Times New Roman" w:eastAsia="Times New Roman" w:hint="default"/>
                <w:sz w:val="18"/>
                <w:szCs w:val="18"/>
              </w:rPr>
            </w:pPr>
            <w:r>
              <w:rPr>
                <w:rFonts w:ascii="Times New Roman"/>
                <w:sz w:val="18"/>
              </w:rPr>
              <w:t>--</w:t>
            </w:r>
          </w:p>
        </w:tc>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pacing w:val="-1"/>
                <w:sz w:val="18"/>
              </w:rPr>
              <w:t>10,873.19</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511"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11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137,167.03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137,167.03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w w:val="95"/>
                <w:sz w:val="18"/>
              </w:rPr>
              <w:t>13,119.32</w:t>
            </w:r>
          </w:p>
        </w:tc>
        <w:tc>
          <w:tcPr>
            <w:tcW w:w="114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86"/>
              <w:ind w:right="12"/>
              <w:jc w:val="right"/>
              <w:rPr>
                <w:rFonts w:ascii="Times New Roman" w:hAnsi="Times New Roman" w:cs="Times New Roman" w:eastAsia="Times New Roman" w:hint="default"/>
                <w:sz w:val="18"/>
                <w:szCs w:val="18"/>
              </w:rPr>
            </w:pPr>
            <w:r>
              <w:rPr>
                <w:rFonts w:ascii="Times New Roman"/>
                <w:sz w:val="18"/>
              </w:rPr>
              <w:t>99,250.9</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508" w:right="0"/>
              <w:jc w:val="left"/>
              <w:rPr>
                <w:rFonts w:ascii="Times New Roman" w:hAnsi="Times New Roman" w:cs="Times New Roman" w:eastAsia="Times New Roman" w:hint="default"/>
                <w:sz w:val="18"/>
                <w:szCs w:val="18"/>
              </w:rPr>
            </w:pPr>
            <w:r>
              <w:rPr>
                <w:rFonts w:ascii="Times New Roman"/>
                <w:sz w:val="18"/>
              </w:rPr>
              <w:t>--</w:t>
            </w:r>
          </w:p>
        </w:tc>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35,843.49</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511" w:right="0"/>
              <w:jc w:val="lef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2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21" w:right="48"/>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 况和原因（分具体项目）</w:t>
            </w:r>
          </w:p>
        </w:tc>
        <w:tc>
          <w:tcPr>
            <w:tcW w:w="11853"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2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4"/>
              <w:ind w:left="21" w:right="48"/>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 说明</w:t>
            </w:r>
          </w:p>
        </w:tc>
        <w:tc>
          <w:tcPr>
            <w:tcW w:w="11853"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26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9"/>
              <w:ind w:left="21" w:right="48"/>
              <w:jc w:val="left"/>
              <w:rPr>
                <w:rFonts w:ascii="宋体" w:hAnsi="宋体" w:cs="宋体" w:eastAsia="宋体" w:hint="default"/>
                <w:sz w:val="18"/>
                <w:szCs w:val="18"/>
              </w:rPr>
            </w:pPr>
            <w:r>
              <w:rPr>
                <w:rFonts w:ascii="宋体" w:hAnsi="宋体" w:cs="宋体" w:eastAsia="宋体" w:hint="default"/>
                <w:sz w:val="18"/>
                <w:szCs w:val="18"/>
              </w:rPr>
              <w:t>超募资金的金额、用途及使用进 展情况</w:t>
            </w:r>
          </w:p>
        </w:tc>
        <w:tc>
          <w:tcPr>
            <w:tcW w:w="11853"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44"/>
              <w:ind w:left="1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2602" w:type="dxa"/>
            <w:vMerge/>
            <w:tcBorders>
              <w:left w:val="single" w:sz="4" w:space="0" w:color="000000"/>
              <w:bottom w:val="single" w:sz="4" w:space="0" w:color="000000"/>
              <w:right w:val="single" w:sz="4" w:space="0" w:color="000000"/>
            </w:tcBorders>
            <w:shd w:val="clear" w:color="auto" w:fill="D2D2D2"/>
          </w:tcPr>
          <w:p>
            <w:pPr/>
          </w:p>
        </w:tc>
        <w:tc>
          <w:tcPr>
            <w:tcW w:w="11853"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44"/>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21" w:right="48"/>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 情况</w:t>
            </w:r>
          </w:p>
        </w:tc>
        <w:tc>
          <w:tcPr>
            <w:tcW w:w="11853"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2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4"/>
              <w:ind w:left="21" w:right="48"/>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 情况</w:t>
            </w:r>
          </w:p>
        </w:tc>
        <w:tc>
          <w:tcPr>
            <w:tcW w:w="11853"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6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5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3" w:hRule="exact"/>
        </w:trPr>
        <w:tc>
          <w:tcPr>
            <w:tcW w:w="26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3"/>
              <w:ind w:left="21" w:right="48"/>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 换情况</w:t>
            </w:r>
          </w:p>
        </w:tc>
        <w:tc>
          <w:tcPr>
            <w:tcW w:w="11853" w:type="dxa"/>
            <w:gridSpan w:val="10"/>
            <w:vMerge w:val="restart"/>
            <w:tcBorders>
              <w:top w:val="single" w:sz="4" w:space="0" w:color="000000"/>
              <w:left w:val="single" w:sz="9" w:space="0" w:color="D2D2D2"/>
              <w:right w:val="single" w:sz="4" w:space="0" w:color="000000"/>
            </w:tcBorders>
          </w:tcPr>
          <w:p>
            <w:pPr>
              <w:pStyle w:val="TableParagraph"/>
              <w:spacing w:line="240" w:lineRule="auto" w:before="44"/>
              <w:ind w:left="17"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日募集资金到账前，公司以自筹资金预先投入募集资金投资项目实际投资额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957.25 </w:t>
            </w:r>
            <w:r>
              <w:rPr>
                <w:rFonts w:ascii="宋体" w:hAnsi="宋体" w:cs="宋体" w:eastAsia="宋体" w:hint="default"/>
                <w:sz w:val="18"/>
                <w:szCs w:val="18"/>
              </w:rPr>
              <w:t>万元，业经立信会计师事务所出具信会师报字</w:t>
            </w:r>
          </w:p>
          <w:p>
            <w:pPr>
              <w:pStyle w:val="TableParagraph"/>
              <w:spacing w:line="300" w:lineRule="auto" w:before="61"/>
              <w:ind w:left="17"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11945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号《关于北京神州泰岳软件股份有限公司以自筹资金预先投入募投项目的鉴证报告》鉴证确认，置换资金已于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月份从募集资</w:t>
            </w:r>
            <w:r>
              <w:rPr>
                <w:rFonts w:ascii="宋体" w:hAnsi="宋体" w:cs="宋体" w:eastAsia="宋体" w:hint="default"/>
                <w:w w:val="99"/>
                <w:sz w:val="18"/>
                <w:szCs w:val="18"/>
              </w:rPr>
              <w:t> </w:t>
            </w:r>
            <w:r>
              <w:rPr>
                <w:rFonts w:ascii="宋体" w:hAnsi="宋体" w:cs="宋体" w:eastAsia="宋体" w:hint="default"/>
                <w:sz w:val="18"/>
                <w:szCs w:val="18"/>
              </w:rPr>
              <w:t>金专户转出。</w:t>
            </w:r>
          </w:p>
        </w:tc>
      </w:tr>
      <w:tr>
        <w:trPr>
          <w:trHeight w:val="362" w:hRule="exact"/>
        </w:trPr>
        <w:tc>
          <w:tcPr>
            <w:tcW w:w="26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53" w:type="dxa"/>
            <w:gridSpan w:val="10"/>
            <w:vMerge/>
            <w:tcBorders>
              <w:left w:val="single" w:sz="9" w:space="0" w:color="D2D2D2"/>
              <w:bottom w:val="single" w:sz="4" w:space="0" w:color="000000"/>
              <w:right w:val="single" w:sz="4" w:space="0" w:color="000000"/>
            </w:tcBorders>
          </w:tcPr>
          <w:p>
            <w:pPr/>
          </w:p>
        </w:tc>
      </w:tr>
      <w:tr>
        <w:trPr>
          <w:trHeight w:val="715" w:hRule="exact"/>
        </w:trPr>
        <w:tc>
          <w:tcPr>
            <w:tcW w:w="2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21" w:right="48"/>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 金情况</w:t>
            </w:r>
          </w:p>
        </w:tc>
        <w:tc>
          <w:tcPr>
            <w:tcW w:w="11853"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w:t>
            </w:r>
          </w:p>
        </w:tc>
        <w:tc>
          <w:tcPr>
            <w:tcW w:w="11853"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44"/>
              <w:ind w:left="13"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spacing w:after="0" w:line="240" w:lineRule="auto"/>
        <w:jc w:val="left"/>
        <w:rPr>
          <w:rFonts w:ascii="宋体" w:hAnsi="宋体" w:cs="宋体" w:eastAsia="宋体" w:hint="default"/>
          <w:sz w:val="18"/>
          <w:szCs w:val="18"/>
        </w:rPr>
        <w:sectPr>
          <w:pgSz w:w="16840" w:h="11910" w:orient="landscape"/>
          <w:pgMar w:header="852" w:footer="980" w:top="1320" w:bottom="1160" w:left="1080" w:right="1080"/>
        </w:sectPr>
      </w:pPr>
    </w:p>
    <w:p>
      <w:pPr>
        <w:spacing w:line="240" w:lineRule="auto" w:before="11"/>
        <w:rPr>
          <w:rFonts w:ascii="宋体" w:hAnsi="宋体" w:cs="宋体" w:eastAsia="宋体" w:hint="default"/>
          <w:sz w:val="28"/>
          <w:szCs w:val="28"/>
        </w:rPr>
      </w:pPr>
    </w:p>
    <w:p>
      <w:pPr>
        <w:pStyle w:val="BodyText"/>
        <w:spacing w:line="240" w:lineRule="auto" w:before="44"/>
        <w:ind w:left="0" w:right="112"/>
        <w:jc w:val="right"/>
      </w:pPr>
      <w:r>
        <w:rPr/>
        <w:pict>
          <v:shape style="position:absolute;margin-left:59.400002pt;margin-top:-17.048279pt;width:723.5pt;height:235.1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02"/>
                    <w:gridCol w:w="11853"/>
                  </w:tblGrid>
                  <w:tr>
                    <w:trPr>
                      <w:trHeight w:val="3257" w:hRule="exact"/>
                    </w:trPr>
                    <w:tc>
                      <w:tcPr>
                        <w:tcW w:w="260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额及原因</w:t>
                        </w:r>
                      </w:p>
                    </w:tc>
                    <w:tc>
                      <w:tcPr>
                        <w:tcW w:w="11853" w:type="dxa"/>
                        <w:tcBorders>
                          <w:top w:val="single" w:sz="10" w:space="0" w:color="000000"/>
                          <w:left w:val="single" w:sz="4" w:space="0" w:color="000000"/>
                          <w:bottom w:val="single" w:sz="4" w:space="0" w:color="000000"/>
                          <w:right w:val="single" w:sz="4" w:space="0" w:color="000000"/>
                        </w:tcBorders>
                      </w:tcPr>
                      <w:p>
                        <w:pPr>
                          <w:pStyle w:val="TableParagraph"/>
                          <w:spacing w:line="304" w:lineRule="auto" w:before="49"/>
                          <w:ind w:left="23"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、由于公司募集资金于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月底到帐，考虑到已接近年末、不利于房屋的装修与入驻，</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月公司才正式迁入新的研发及办公环境。而设 备的大规模投入需要在场地投入完成后才能进行，若在场地和设备完全到位后才进行产品开发，会影响项目的开发进度，因此在研发用房装修入驻前 公司就已开始利用客户现场环境等方式开展研发工作。通过优化开发流程、知识共享等方式，提升了开发进度，</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年底募投项目所涉的软件系统的 </w:t>
                        </w:r>
                        <w:r>
                          <w:rPr>
                            <w:rFonts w:ascii="宋体" w:hAnsi="宋体" w:cs="宋体" w:eastAsia="宋体" w:hint="default"/>
                            <w:spacing w:val="-2"/>
                            <w:sz w:val="18"/>
                            <w:szCs w:val="18"/>
                          </w:rPr>
                          <w:t>开发工作已进入后期，此时大规模的设备投入已不符合实际情况，因此调整了设备配置结构，从而节约了研发环境建设的投资款项。同时，项目软件系</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统产品采用</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边开发</w:t>
                        </w:r>
                        <w:r>
                          <w:rPr>
                            <w:rFonts w:ascii="宋体" w:hAnsi="宋体" w:cs="宋体" w:eastAsia="宋体" w:hint="default"/>
                            <w:spacing w:val="-17"/>
                            <w:sz w:val="18"/>
                            <w:szCs w:val="18"/>
                          </w:rPr>
                          <w:t>、</w:t>
                        </w:r>
                        <w:r>
                          <w:rPr>
                            <w:rFonts w:ascii="宋体" w:hAnsi="宋体" w:cs="宋体" w:eastAsia="宋体" w:hint="default"/>
                            <w:sz w:val="18"/>
                            <w:szCs w:val="18"/>
                          </w:rPr>
                          <w:t>边上线</w:t>
                        </w:r>
                        <w:r>
                          <w:rPr>
                            <w:rFonts w:ascii="宋体" w:hAnsi="宋体" w:cs="宋体" w:eastAsia="宋体" w:hint="default"/>
                            <w:spacing w:val="-15"/>
                            <w:sz w:val="18"/>
                            <w:szCs w:val="18"/>
                          </w:rPr>
                          <w:t>、</w:t>
                        </w:r>
                        <w:r>
                          <w:rPr>
                            <w:rFonts w:ascii="宋体" w:hAnsi="宋体" w:cs="宋体" w:eastAsia="宋体" w:hint="default"/>
                            <w:sz w:val="18"/>
                            <w:szCs w:val="18"/>
                          </w:rPr>
                          <w:t>边销售</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的方式加速销售实现与回款</w:t>
                        </w:r>
                        <w:r>
                          <w:rPr>
                            <w:rFonts w:ascii="宋体" w:hAnsi="宋体" w:cs="宋体" w:eastAsia="宋体" w:hint="default"/>
                            <w:spacing w:val="-17"/>
                            <w:sz w:val="18"/>
                            <w:szCs w:val="18"/>
                          </w:rPr>
                          <w:t>，</w:t>
                        </w:r>
                        <w:r>
                          <w:rPr>
                            <w:rFonts w:ascii="宋体" w:hAnsi="宋体" w:cs="宋体" w:eastAsia="宋体" w:hint="default"/>
                            <w:sz w:val="18"/>
                            <w:szCs w:val="18"/>
                          </w:rPr>
                          <w:t>减少流动资金投入</w:t>
                        </w:r>
                        <w:r>
                          <w:rPr>
                            <w:rFonts w:ascii="宋体" w:hAnsi="宋体" w:cs="宋体" w:eastAsia="宋体" w:hint="default"/>
                            <w:spacing w:val="-17"/>
                            <w:sz w:val="18"/>
                            <w:szCs w:val="18"/>
                          </w:rPr>
                          <w:t>，</w:t>
                        </w:r>
                        <w:r>
                          <w:rPr>
                            <w:rFonts w:ascii="宋体" w:hAnsi="宋体" w:cs="宋体" w:eastAsia="宋体" w:hint="default"/>
                            <w:spacing w:val="2"/>
                            <w:sz w:val="18"/>
                            <w:szCs w:val="18"/>
                          </w:rPr>
                          <w:t>目</w:t>
                        </w:r>
                        <w:r>
                          <w:rPr>
                            <w:rFonts w:ascii="宋体" w:hAnsi="宋体" w:cs="宋体" w:eastAsia="宋体" w:hint="default"/>
                            <w:sz w:val="18"/>
                            <w:szCs w:val="18"/>
                          </w:rPr>
                          <w:t>前项目所产生的现金流</w:t>
                        </w:r>
                        <w:r>
                          <w:rPr>
                            <w:rFonts w:ascii="宋体" w:hAnsi="宋体" w:cs="宋体" w:eastAsia="宋体" w:hint="default"/>
                            <w:spacing w:val="1"/>
                            <w:sz w:val="18"/>
                            <w:szCs w:val="18"/>
                          </w:rPr>
                          <w:t>基</w:t>
                        </w:r>
                        <w:r>
                          <w:rPr>
                            <w:rFonts w:ascii="宋体" w:hAnsi="宋体" w:cs="宋体" w:eastAsia="宋体" w:hint="default"/>
                            <w:sz w:val="18"/>
                            <w:szCs w:val="18"/>
                          </w:rPr>
                          <w:t>本能够满足项目日常运行所需的流</w:t>
                        </w:r>
                        <w:r>
                          <w:rPr>
                            <w:rFonts w:ascii="宋体" w:hAnsi="宋体" w:cs="宋体" w:eastAsia="宋体" w:hint="default"/>
                            <w:sz w:val="18"/>
                            <w:szCs w:val="18"/>
                          </w:rPr>
                          <w:t> </w:t>
                        </w:r>
                        <w:r>
                          <w:rPr>
                            <w:rFonts w:ascii="宋体" w:hAnsi="宋体" w:cs="宋体" w:eastAsia="宋体" w:hint="default"/>
                            <w:spacing w:val="-1"/>
                            <w:sz w:val="18"/>
                            <w:szCs w:val="18"/>
                          </w:rPr>
                          <w:t>动资金。综上因素，募集资金项目的总投资额减少了</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20,731.41</w:t>
                        </w:r>
                        <w:r>
                          <w:rPr>
                            <w:rFonts w:ascii="Times New Roman" w:hAnsi="Times New Roman" w:cs="Times New Roman" w:eastAsia="Times New Roman" w:hint="default"/>
                            <w:spacing w:val="10"/>
                            <w:sz w:val="18"/>
                            <w:szCs w:val="18"/>
                          </w:rPr>
                          <w:t> </w:t>
                        </w:r>
                        <w:r>
                          <w:rPr>
                            <w:rFonts w:ascii="宋体" w:hAnsi="宋体" w:cs="宋体" w:eastAsia="宋体" w:hint="default"/>
                            <w:spacing w:val="-6"/>
                            <w:sz w:val="18"/>
                            <w:szCs w:val="18"/>
                          </w:rPr>
                          <w:t>万元（不包含取得利息收入的因素）。其中：（</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）飞信平台大规模改造升级减少</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2,475.11</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）电信综合网管产品</w:t>
                        </w:r>
                        <w:r>
                          <w:rPr>
                            <w:rFonts w:ascii="宋体" w:hAnsi="宋体" w:cs="宋体" w:eastAsia="宋体" w:hint="default"/>
                            <w:spacing w:val="-41"/>
                            <w:sz w:val="18"/>
                            <w:szCs w:val="18"/>
                          </w:rPr>
                          <w:t> </w:t>
                        </w:r>
                        <w:r>
                          <w:rPr>
                            <w:rFonts w:ascii="Times New Roman" w:hAnsi="Times New Roman" w:cs="Times New Roman" w:eastAsia="Times New Roman" w:hint="default"/>
                            <w:spacing w:val="-1"/>
                            <w:w w:val="99"/>
                            <w:sz w:val="18"/>
                            <w:szCs w:val="18"/>
                          </w:rPr>
                          <w:t>Ultra-TIMP</w:t>
                        </w:r>
                        <w:r>
                          <w:rPr>
                            <w:rFonts w:ascii="Times New Roman" w:hAnsi="Times New Roman" w:cs="Times New Roman" w:eastAsia="Times New Roman" w:hint="default"/>
                            <w:spacing w:val="6"/>
                            <w:w w:val="99"/>
                            <w:sz w:val="18"/>
                            <w:szCs w:val="18"/>
                          </w:rPr>
                          <w:t> </w:t>
                        </w: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5,041.10</w:t>
                        </w:r>
                        <w:r>
                          <w:rPr>
                            <w:rFonts w:ascii="Times New Roman" w:hAnsi="Times New Roman" w:cs="Times New Roman" w:eastAsia="Times New Roman" w:hint="default"/>
                            <w:spacing w:val="10"/>
                            <w:sz w:val="18"/>
                            <w:szCs w:val="18"/>
                          </w:rPr>
                          <w:t>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）无线网络优化平台</w:t>
                        </w:r>
                        <w:r>
                          <w:rPr>
                            <w:rFonts w:ascii="宋体" w:hAnsi="宋体" w:cs="宋体" w:eastAsia="宋体" w:hint="default"/>
                            <w:spacing w:val="-42"/>
                            <w:sz w:val="18"/>
                            <w:szCs w:val="18"/>
                          </w:rPr>
                          <w:t> </w:t>
                        </w:r>
                        <w:r>
                          <w:rPr>
                            <w:rFonts w:ascii="Times New Roman" w:hAnsi="Times New Roman" w:cs="Times New Roman" w:eastAsia="Times New Roman" w:hint="default"/>
                            <w:spacing w:val="-1"/>
                            <w:w w:val="99"/>
                            <w:sz w:val="18"/>
                            <w:szCs w:val="18"/>
                          </w:rPr>
                          <w:t>Ultra-WOSS</w:t>
                        </w:r>
                        <w:r>
                          <w:rPr>
                            <w:rFonts w:ascii="Times New Roman" w:hAnsi="Times New Roman" w:cs="Times New Roman" w:eastAsia="Times New Roman" w:hint="default"/>
                            <w:spacing w:val="4"/>
                            <w:w w:val="99"/>
                            <w:sz w:val="18"/>
                            <w:szCs w:val="18"/>
                          </w:rPr>
                          <w:t> </w:t>
                        </w:r>
                        <w:r>
                          <w:rPr>
                            <w:rFonts w:ascii="宋体" w:hAnsi="宋体" w:cs="宋体" w:eastAsia="宋体" w:hint="default"/>
                            <w:sz w:val="18"/>
                            <w:szCs w:val="18"/>
                          </w:rPr>
                          <w:t>减少</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3,320.04</w:t>
                        </w:r>
                        <w:r>
                          <w:rPr>
                            <w:rFonts w:ascii="Times New Roman" w:hAnsi="Times New Roman" w:cs="Times New Roman" w:eastAsia="Times New Roman" w:hint="default"/>
                            <w:spacing w:val="6"/>
                            <w:sz w:val="18"/>
                            <w:szCs w:val="18"/>
                          </w:rPr>
                          <w:t> </w:t>
                        </w:r>
                        <w:r>
                          <w:rPr>
                            <w:rFonts w:ascii="宋体" w:hAnsi="宋体" w:cs="宋体" w:eastAsia="宋体" w:hint="default"/>
                            <w:spacing w:val="-12"/>
                            <w:sz w:val="18"/>
                            <w:szCs w:val="18"/>
                          </w:rPr>
                          <w:t>万元；（</w:t>
                        </w:r>
                        <w:r>
                          <w:rPr>
                            <w:rFonts w:ascii="Times New Roman" w:hAnsi="Times New Roman" w:cs="Times New Roman" w:eastAsia="Times New Roman" w:hint="default"/>
                            <w:spacing w:val="-12"/>
                            <w:sz w:val="18"/>
                            <w:szCs w:val="18"/>
                          </w:rPr>
                          <w:t>4</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监控管理平台</w:t>
                        </w:r>
                        <w:r>
                          <w:rPr>
                            <w:rFonts w:ascii="宋体" w:hAnsi="宋体" w:cs="宋体" w:eastAsia="宋体" w:hint="default"/>
                            <w:spacing w:val="-42"/>
                            <w:sz w:val="18"/>
                            <w:szCs w:val="18"/>
                          </w:rPr>
                          <w:t> </w:t>
                        </w:r>
                        <w:r>
                          <w:rPr>
                            <w:rFonts w:ascii="Times New Roman" w:hAnsi="Times New Roman" w:cs="Times New Roman" w:eastAsia="Times New Roman" w:hint="default"/>
                            <w:spacing w:val="-1"/>
                            <w:w w:val="99"/>
                            <w:sz w:val="18"/>
                            <w:szCs w:val="18"/>
                          </w:rPr>
                          <w:t>Ultra-</w:t>
                        </w:r>
                        <w:r>
                          <w:rPr>
                            <w:rFonts w:ascii="Times New Roman" w:hAnsi="Times New Roman" w:cs="Times New Roman" w:eastAsia="Times New Roman" w:hint="default"/>
                            <w:spacing w:val="-1"/>
                            <w:w w:val="99"/>
                            <w:sz w:val="18"/>
                            <w:szCs w:val="18"/>
                          </w:rPr>
                          <w:t>ΣM</w:t>
                        </w:r>
                        <w:r>
                          <w:rPr>
                            <w:rFonts w:ascii="Times New Roman" w:hAnsi="Times New Roman" w:cs="Times New Roman" w:eastAsia="Times New Roman" w:hint="default"/>
                            <w:spacing w:val="-42"/>
                            <w:w w:val="99"/>
                            <w:sz w:val="18"/>
                            <w:szCs w:val="18"/>
                          </w:rPr>
                          <w:t> </w:t>
                        </w:r>
                        <w:r>
                          <w:rPr>
                            <w:rFonts w:ascii="宋体" w:hAnsi="宋体" w:cs="宋体" w:eastAsia="宋体" w:hint="default"/>
                            <w:sz w:val="18"/>
                            <w:szCs w:val="18"/>
                          </w:rPr>
                          <w:t>系列软件减少</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3,972.56</w:t>
                        </w:r>
                        <w:r>
                          <w:rPr>
                            <w:rFonts w:ascii="Times New Roman" w:hAnsi="Times New Roman" w:cs="Times New Roman" w:eastAsia="Times New Roman" w:hint="default"/>
                            <w:spacing w:val="9"/>
                            <w:sz w:val="18"/>
                            <w:szCs w:val="18"/>
                          </w:rPr>
                          <w:t>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）运维服务流程管理系统减少</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3,450.52</w:t>
                        </w:r>
                        <w:r>
                          <w:rPr>
                            <w:rFonts w:ascii="Times New Roman" w:hAnsi="Times New Roman" w:cs="Times New Roman" w:eastAsia="Times New Roman" w:hint="default"/>
                            <w:spacing w:val="9"/>
                            <w:sz w:val="18"/>
                            <w:szCs w:val="18"/>
                          </w:rPr>
                          <w:t>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）新一代安全运行管理中心</w:t>
                        </w:r>
                        <w:r>
                          <w:rPr>
                            <w:rFonts w:ascii="宋体" w:hAnsi="宋体" w:cs="宋体" w:eastAsia="宋体" w:hint="default"/>
                            <w:spacing w:val="-39"/>
                            <w:sz w:val="18"/>
                            <w:szCs w:val="18"/>
                          </w:rPr>
                          <w:t> </w:t>
                        </w:r>
                        <w:r>
                          <w:rPr>
                            <w:rFonts w:ascii="Times New Roman" w:hAnsi="Times New Roman" w:cs="Times New Roman" w:eastAsia="Times New Roman" w:hint="default"/>
                            <w:spacing w:val="-1"/>
                            <w:w w:val="99"/>
                            <w:sz w:val="18"/>
                            <w:szCs w:val="18"/>
                          </w:rPr>
                          <w:t>Ultra-SOMC3.0</w:t>
                        </w:r>
                        <w:r>
                          <w:rPr>
                            <w:rFonts w:ascii="Times New Roman" w:hAnsi="Times New Roman" w:cs="Times New Roman" w:eastAsia="Times New Roman" w:hint="default"/>
                            <w:spacing w:val="8"/>
                            <w:w w:val="99"/>
                            <w:sz w:val="18"/>
                            <w:szCs w:val="18"/>
                          </w:rPr>
                          <w:t> </w:t>
                        </w:r>
                        <w:r>
                          <w:rPr>
                            <w:rFonts w:ascii="宋体" w:hAnsi="宋体" w:cs="宋体" w:eastAsia="宋体" w:hint="default"/>
                            <w:spacing w:val="-2"/>
                            <w:sz w:val="18"/>
                            <w:szCs w:val="18"/>
                          </w:rPr>
                          <w:t>减少</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2,472.08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w:t>
                        </w:r>
                      </w:p>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9"/>
                            <w:sz w:val="18"/>
                            <w:szCs w:val="18"/>
                          </w:rPr>
                          <w:t>、</w:t>
                        </w:r>
                        <w:r>
                          <w:rPr>
                            <w:rFonts w:ascii="宋体" w:hAnsi="宋体" w:cs="宋体" w:eastAsia="宋体" w:hint="default"/>
                            <w:sz w:val="18"/>
                            <w:szCs w:val="18"/>
                          </w:rPr>
                          <w:t>公司计划使用超募资金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45</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万元购置与建设研发及</w:t>
                        </w:r>
                        <w:r>
                          <w:rPr>
                            <w:rFonts w:ascii="宋体" w:hAnsi="宋体" w:cs="宋体" w:eastAsia="宋体" w:hint="default"/>
                            <w:spacing w:val="-3"/>
                            <w:sz w:val="18"/>
                            <w:szCs w:val="18"/>
                          </w:rPr>
                          <w:t>办</w:t>
                        </w:r>
                        <w:r>
                          <w:rPr>
                            <w:rFonts w:ascii="宋体" w:hAnsi="宋体" w:cs="宋体" w:eastAsia="宋体" w:hint="default"/>
                            <w:sz w:val="18"/>
                            <w:szCs w:val="18"/>
                          </w:rPr>
                          <w:t>公用房</w:t>
                        </w:r>
                        <w:r>
                          <w:rPr>
                            <w:rFonts w:ascii="宋体" w:hAnsi="宋体" w:cs="宋体" w:eastAsia="宋体" w:hint="default"/>
                            <w:spacing w:val="-89"/>
                            <w:sz w:val="18"/>
                            <w:szCs w:val="18"/>
                          </w:rPr>
                          <w:t>，</w:t>
                        </w:r>
                        <w:r>
                          <w:rPr>
                            <w:rFonts w:ascii="宋体" w:hAnsi="宋体" w:cs="宋体" w:eastAsia="宋体" w:hint="default"/>
                            <w:sz w:val="18"/>
                            <w:szCs w:val="18"/>
                          </w:rPr>
                          <w:t>截至年末实际投入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77</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89"/>
                            <w:sz w:val="18"/>
                            <w:szCs w:val="18"/>
                          </w:rPr>
                          <w:t>，</w:t>
                        </w:r>
                        <w:r>
                          <w:rPr>
                            <w:rFonts w:ascii="宋体" w:hAnsi="宋体" w:cs="宋体" w:eastAsia="宋体" w:hint="default"/>
                            <w:sz w:val="18"/>
                            <w:szCs w:val="18"/>
                          </w:rPr>
                          <w:t>该项目均已支</w:t>
                        </w:r>
                        <w:r>
                          <w:rPr>
                            <w:rFonts w:ascii="宋体" w:hAnsi="宋体" w:cs="宋体" w:eastAsia="宋体" w:hint="default"/>
                            <w:spacing w:val="-3"/>
                            <w:sz w:val="18"/>
                            <w:szCs w:val="18"/>
                          </w:rPr>
                          <w:t>付</w:t>
                        </w:r>
                        <w:r>
                          <w:rPr>
                            <w:rFonts w:ascii="宋体" w:hAnsi="宋体" w:cs="宋体" w:eastAsia="宋体" w:hint="default"/>
                            <w:sz w:val="18"/>
                            <w:szCs w:val="18"/>
                          </w:rPr>
                          <w:t>完毕</w:t>
                        </w:r>
                        <w:r>
                          <w:rPr>
                            <w:rFonts w:ascii="宋体" w:hAnsi="宋体" w:cs="宋体" w:eastAsia="宋体" w:hint="default"/>
                            <w:spacing w:val="-89"/>
                            <w:sz w:val="18"/>
                            <w:szCs w:val="18"/>
                          </w:rPr>
                          <w:t>，</w:t>
                        </w:r>
                        <w:r>
                          <w:rPr>
                            <w:rFonts w:ascii="宋体" w:hAnsi="宋体" w:cs="宋体" w:eastAsia="宋体" w:hint="default"/>
                            <w:sz w:val="18"/>
                            <w:szCs w:val="18"/>
                          </w:rPr>
                          <w:t>超募资金结余</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715" w:hRule="exact"/>
                    </w:trPr>
                    <w:tc>
                      <w:tcPr>
                        <w:tcW w:w="2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11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2"/>
                            <w:sz w:val="18"/>
                            <w:szCs w:val="18"/>
                          </w:rPr>
                          <w:t>项目仍在实施的，尚未使用的募集资金存放在募集资金专户；项目实施完成的，剩余资金也仍存放在募集资金账户。公司将根据发展规划及实际生产经</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营需求，妥善安排使用计划，提交董事会审议通过后及时披露。</w:t>
                        </w:r>
                      </w:p>
                    </w:tc>
                  </w:tr>
                  <w:tr>
                    <w:trPr>
                      <w:trHeight w:val="713" w:hRule="exact"/>
                    </w:trPr>
                    <w:tc>
                      <w:tcPr>
                        <w:tcW w:w="2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48"/>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 题或其他情况</w:t>
                        </w:r>
                      </w:p>
                    </w:tc>
                    <w:tc>
                      <w:tcPr>
                        <w:tcW w:w="1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after="0" w:line="240" w:lineRule="auto"/>
        <w:jc w:val="right"/>
        <w:sectPr>
          <w:pgSz w:w="16840" w:h="11910" w:orient="landscape"/>
          <w:pgMar w:header="852" w:footer="980" w:top="1280" w:bottom="1160" w:left="1080" w:right="1020"/>
        </w:sectPr>
      </w:pPr>
    </w:p>
    <w:p>
      <w:pPr>
        <w:spacing w:line="240" w:lineRule="auto" w:before="4"/>
        <w:rPr>
          <w:rFonts w:ascii="宋体" w:hAnsi="宋体" w:cs="宋体" w:eastAsia="宋体" w:hint="default"/>
          <w:sz w:val="23"/>
          <w:szCs w:val="23"/>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37"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9"/>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w:t>
            </w:r>
          </w:p>
          <w:p>
            <w:pPr>
              <w:pStyle w:val="TableParagraph"/>
              <w:spacing w:line="240" w:lineRule="auto" w:before="23"/>
              <w:ind w:left="4"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28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28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）非募集资金投资的重大项目情况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2" w:hanging="361"/>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设立重庆新媒亿网 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设立重庆迈峰科技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投资北京润佳华商 创新投资管理中心</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both"/>
              <w:rPr>
                <w:rFonts w:ascii="宋体" w:hAnsi="宋体" w:cs="宋体" w:eastAsia="宋体" w:hint="default"/>
                <w:sz w:val="18"/>
                <w:szCs w:val="18"/>
              </w:rPr>
            </w:pPr>
            <w:r>
              <w:rPr>
                <w:rFonts w:ascii="宋体" w:hAnsi="宋体" w:cs="宋体" w:eastAsia="宋体" w:hint="default"/>
                <w:sz w:val="18"/>
                <w:szCs w:val="18"/>
              </w:rPr>
              <w:t>合资设立北京盈海 益讯科技发展有限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88,000,000</w:t>
            </w:r>
          </w:p>
        </w:tc>
        <w:tc>
          <w:tcPr>
            <w:tcW w:w="159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4"/>
              <w:ind w:right="14"/>
              <w:jc w:val="right"/>
              <w:rPr>
                <w:rFonts w:ascii="Times New Roman" w:hAnsi="Times New Roman" w:cs="Times New Roman" w:eastAsia="Times New Roman" w:hint="default"/>
                <w:sz w:val="18"/>
                <w:szCs w:val="18"/>
              </w:rPr>
            </w:pPr>
            <w:r>
              <w:rPr>
                <w:rFonts w:ascii="Times New Roman"/>
                <w:spacing w:val="-1"/>
                <w:sz w:val="18"/>
              </w:rPr>
              <w:t>88,000,000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r>
        <w:trPr>
          <w:trHeight w:val="2004" w:hRule="exact"/>
        </w:trPr>
        <w:tc>
          <w:tcPr>
            <w:tcW w:w="9568" w:type="dxa"/>
            <w:gridSpan w:val="6"/>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月，公司全资子公司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新媒农信分别使用自有资金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万元在重庆经济技术开发区茶园新区 </w:t>
            </w:r>
            <w:r>
              <w:rPr>
                <w:rFonts w:ascii="宋体" w:hAnsi="宋体" w:cs="宋体" w:eastAsia="宋体" w:hint="default"/>
                <w:spacing w:val="-1"/>
                <w:sz w:val="18"/>
                <w:szCs w:val="18"/>
              </w:rPr>
              <w:t>设立重庆新媒亿网科技有限公司、重庆新迈峰科技有限公司，与重庆新媒农信共同承担重庆新媒研发生产基地的申报与建</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设。</w:t>
            </w:r>
          </w:p>
          <w:p>
            <w:pPr>
              <w:pStyle w:val="TableParagraph"/>
              <w:spacing w:line="300" w:lineRule="auto" w:before="67"/>
              <w:ind w:left="24"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月，公司与曹翊先生等共同出资设立北京盈海益讯科技发展有限公司，注册资本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万元，其中，公司以 自有资金出资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万元，占注册资本的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。该公司重点从事基于移动互联网的商品搜索及推荐引擎以及手机客户端软件 的开发和运营等信息服务业务。</w:t>
            </w:r>
          </w:p>
        </w:tc>
      </w:tr>
    </w:tbl>
    <w:p>
      <w:pPr>
        <w:spacing w:after="0" w:line="300" w:lineRule="auto"/>
        <w:jc w:val="both"/>
        <w:rPr>
          <w:rFonts w:ascii="宋体" w:hAnsi="宋体" w:cs="宋体" w:eastAsia="宋体" w:hint="default"/>
          <w:sz w:val="18"/>
          <w:szCs w:val="18"/>
        </w:rPr>
        <w:sectPr>
          <w:headerReference w:type="default" r:id="rId17"/>
          <w:footerReference w:type="default" r:id="rId18"/>
          <w:pgSz w:w="11910" w:h="16840"/>
          <w:pgMar w:header="852" w:footer="980" w:top="1340" w:bottom="1160" w:left="980" w:right="980"/>
          <w:pgNumType w:start="32"/>
        </w:sectPr>
      </w:pPr>
    </w:p>
    <w:p>
      <w:pPr>
        <w:spacing w:line="240" w:lineRule="auto" w:before="7"/>
        <w:rPr>
          <w:rFonts w:ascii="宋体" w:hAnsi="宋体" w:cs="宋体" w:eastAsia="宋体" w:hint="default"/>
          <w:sz w:val="7"/>
          <w:szCs w:val="7"/>
        </w:rPr>
      </w:pPr>
    </w:p>
    <w:p>
      <w:pPr>
        <w:spacing w:line="674" w:lineRule="exact"/>
        <w:ind w:left="152"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478.45pt;height:33.75pt;mso-position-horizontal-relative:char;mso-position-vertical-relative:line" type="#_x0000_t202" filled="false" stroked="true" strokeweight=".48pt" strokecolor="#000000">
            <w10:anchorlock/>
            <v:textbox inset="0,0,0,0">
              <w:txbxContent>
                <w:p>
                  <w:pPr>
                    <w:pStyle w:val="BodyText"/>
                    <w:spacing w:line="240" w:lineRule="auto" w:before="8"/>
                    <w:ind w:left="2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月，公司对润佳华商投资中心出资</w:t>
                  </w:r>
                  <w:r>
                    <w:rPr>
                      <w:spacing w:val="-47"/>
                    </w:rPr>
                    <w:t> </w:t>
                  </w:r>
                  <w:r>
                    <w:rPr>
                      <w:rFonts w:ascii="Times New Roman" w:hAnsi="Times New Roman" w:cs="Times New Roman" w:eastAsia="Times New Roman" w:hint="default"/>
                    </w:rPr>
                    <w:t>6,500</w:t>
                  </w:r>
                  <w:r>
                    <w:rPr>
                      <w:rFonts w:ascii="Times New Roman" w:hAnsi="Times New Roman" w:cs="Times New Roman" w:eastAsia="Times New Roman" w:hint="default"/>
                      <w:spacing w:val="-1"/>
                    </w:rPr>
                    <w:t> </w:t>
                  </w:r>
                  <w:r>
                    <w:rPr/>
                    <w:t>万元，专项用于拟上市企业的股权投资。其中，用于长春大力纳米</w:t>
                  </w:r>
                </w:p>
                <w:p>
                  <w:pPr>
                    <w:pStyle w:val="BodyText"/>
                    <w:spacing w:line="240" w:lineRule="auto" w:before="63"/>
                    <w:ind w:left="23" w:right="-8"/>
                    <w:jc w:val="left"/>
                  </w:pPr>
                  <w:r>
                    <w:rPr/>
                    <w:t>技术开发有限公司项目的投资金额为</w:t>
                  </w:r>
                  <w:r>
                    <w:rPr>
                      <w:spacing w:val="-48"/>
                    </w:rPr>
                    <w:t> </w:t>
                  </w:r>
                  <w:r>
                    <w:rPr>
                      <w:rFonts w:ascii="Times New Roman" w:hAnsi="Times New Roman" w:cs="Times New Roman" w:eastAsia="Times New Roman" w:hint="default"/>
                    </w:rPr>
                    <w:t>1,236.84</w:t>
                  </w:r>
                  <w:r>
                    <w:rPr>
                      <w:rFonts w:ascii="Times New Roman" w:hAnsi="Times New Roman" w:cs="Times New Roman" w:eastAsia="Times New Roman" w:hint="default"/>
                      <w:spacing w:val="-2"/>
                    </w:rPr>
                    <w:t> </w:t>
                  </w:r>
                  <w:r>
                    <w:rPr/>
                    <w:t>万元，用于地球卫士环保新材料股份有限公司的投资金额为</w:t>
                  </w:r>
                  <w:r>
                    <w:rPr>
                      <w:spacing w:val="-48"/>
                    </w:rPr>
                    <w:t> </w:t>
                  </w:r>
                  <w:r>
                    <w:rPr>
                      <w:rFonts w:ascii="Times New Roman" w:hAnsi="Times New Roman" w:cs="Times New Roman" w:eastAsia="Times New Roman" w:hint="default"/>
                    </w:rPr>
                    <w:t>5,263.16</w:t>
                  </w:r>
                  <w:r>
                    <w:rPr>
                      <w:rFonts w:ascii="Times New Roman" w:hAnsi="Times New Roman" w:cs="Times New Roman" w:eastAsia="Times New Roman" w:hint="default"/>
                      <w:spacing w:val="-2"/>
                    </w:rPr>
                    <w:t> </w:t>
                  </w:r>
                  <w:r>
                    <w:rPr/>
                    <w:t>万元。</w:t>
                  </w:r>
                </w:p>
              </w:txbxContent>
            </v:textbox>
          </v:shape>
        </w:pict>
      </w:r>
      <w:r>
        <w:rPr>
          <w:rFonts w:ascii="宋体" w:hAnsi="宋体" w:cs="宋体" w:eastAsia="宋体" w:hint="default"/>
          <w:position w:val="-12"/>
          <w:sz w:val="20"/>
          <w:szCs w:val="20"/>
        </w:rPr>
      </w:r>
    </w:p>
    <w:p>
      <w:pPr>
        <w:spacing w:line="240" w:lineRule="auto" w:before="8"/>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）证券投资情况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公司未发生证券投资情况。</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6</w:t>
      </w:r>
      <w:r>
        <w:rPr/>
        <w:t>）持有其他上市公司股权情况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公司未持有其他上市公司股权的情况。</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7</w:t>
      </w:r>
      <w:r>
        <w:rPr/>
        <w:t>）持有非上市金融企业股权情况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公司未持有非上市金融企业股权的情况。</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8</w:t>
      </w:r>
      <w:r>
        <w:rPr/>
        <w:t>）买卖其他上市公司股份的情况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公司未发生买卖其他上市公司股权的情况。</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9</w:t>
      </w:r>
      <w:r>
        <w:rPr/>
        <w:t>）外币金融资产和外币金融负债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26"/>
        <w:gridCol w:w="1669"/>
        <w:gridCol w:w="1586"/>
        <w:gridCol w:w="1588"/>
        <w:gridCol w:w="1600"/>
        <w:gridCol w:w="1589"/>
      </w:tblGrid>
      <w:tr>
        <w:trPr>
          <w:trHeight w:val="163" w:hRule="exact"/>
        </w:trPr>
        <w:tc>
          <w:tcPr>
            <w:tcW w:w="15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606" w:right="68"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40" w:right="66" w:hanging="269"/>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6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586" w:type="dxa"/>
            <w:vMerge/>
            <w:tcBorders>
              <w:left w:val="single" w:sz="4" w:space="0" w:color="000000"/>
              <w:right w:val="single" w:sz="4" w:space="0" w:color="000000"/>
            </w:tcBorders>
            <w:shd w:val="clear" w:color="auto" w:fill="D2D2D2"/>
          </w:tcPr>
          <w:p>
            <w:pPr/>
          </w:p>
        </w:tc>
        <w:tc>
          <w:tcPr>
            <w:tcW w:w="1588" w:type="dxa"/>
            <w:vMerge/>
            <w:tcBorders>
              <w:left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6"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166" w:hRule="exact"/>
        </w:trPr>
        <w:tc>
          <w:tcPr>
            <w:tcW w:w="15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651"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6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 且其变动计入当期 损益的金融资产</w:t>
            </w:r>
          </w:p>
          <w:p>
            <w:pPr>
              <w:pStyle w:val="TableParagraph"/>
              <w:spacing w:line="316" w:lineRule="auto" w:before="26"/>
              <w:ind w:left="12" w:right="63"/>
              <w:jc w:val="both"/>
              <w:rPr>
                <w:rFonts w:ascii="宋体" w:hAnsi="宋体" w:cs="宋体" w:eastAsia="宋体" w:hint="default"/>
                <w:sz w:val="18"/>
                <w:szCs w:val="18"/>
              </w:rPr>
            </w:pPr>
            <w:r>
              <w:rPr>
                <w:rFonts w:ascii="宋体" w:hAnsi="宋体" w:cs="宋体" w:eastAsia="宋体" w:hint="default"/>
                <w:sz w:val="18"/>
                <w:szCs w:val="18"/>
              </w:rPr>
              <w:t>（不含衍生金融资 产）</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贷款和应收款</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可供出售金融资 产</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、主要控股参股公司分析</w:t>
      </w:r>
      <w:r>
        <w:rPr>
          <w:b w:val="0"/>
          <w:bCs w:val="0"/>
        </w:rPr>
      </w:r>
    </w:p>
    <w:p>
      <w:pPr>
        <w:spacing w:line="240" w:lineRule="auto" w:before="5"/>
        <w:rPr>
          <w:rFonts w:ascii="宋体" w:hAnsi="宋体" w:cs="宋体" w:eastAsia="宋体" w:hint="default"/>
          <w:b/>
          <w:bCs/>
          <w:sz w:val="32"/>
          <w:szCs w:val="32"/>
        </w:rPr>
      </w:pPr>
    </w:p>
    <w:p>
      <w:pPr>
        <w:pStyle w:val="Heading5"/>
        <w:spacing w:line="240" w:lineRule="auto"/>
        <w:ind w:right="0"/>
        <w:jc w:val="left"/>
        <w:rPr>
          <w:b w:val="0"/>
          <w:bCs w:val="0"/>
        </w:rPr>
      </w:pPr>
      <w:r>
        <w:rPr/>
        <w:t>报告期内，公司控股子公司均纳入合并范围，子公司经营情况如下：</w:t>
      </w:r>
      <w:r>
        <w:rPr>
          <w:b w:val="0"/>
          <w:bCs w:val="0"/>
        </w:rPr>
      </w:r>
    </w:p>
    <w:p>
      <w:pPr>
        <w:spacing w:after="0" w:line="240" w:lineRule="auto"/>
        <w:jc w:val="left"/>
        <w:sectPr>
          <w:pgSz w:w="11910" w:h="16840"/>
          <w:pgMar w:header="852" w:footer="980" w:top="1340" w:bottom="1160" w:left="980" w:right="980"/>
        </w:sectPr>
      </w:pPr>
    </w:p>
    <w:p>
      <w:pPr>
        <w:spacing w:line="240" w:lineRule="auto" w:before="6"/>
        <w:rPr>
          <w:rFonts w:ascii="宋体" w:hAnsi="宋体" w:cs="宋体" w:eastAsia="宋体" w:hint="default"/>
          <w:b/>
          <w:bCs/>
          <w:sz w:val="10"/>
          <w:szCs w:val="10"/>
        </w:rPr>
      </w:pPr>
    </w:p>
    <w:p>
      <w:pPr>
        <w:pStyle w:val="BodyText"/>
        <w:spacing w:line="477" w:lineRule="auto" w:before="44"/>
        <w:ind w:left="573" w:right="123"/>
        <w:jc w:val="left"/>
      </w:pPr>
      <w:r>
        <w:rPr/>
        <w:t>（</w:t>
      </w:r>
      <w:r>
        <w:rPr>
          <w:rFonts w:ascii="宋体" w:hAnsi="宋体" w:cs="宋体" w:eastAsia="宋体" w:hint="default"/>
        </w:rPr>
        <w:t>1</w:t>
      </w:r>
      <w:r>
        <w:rPr/>
        <w:t>）北京新媒传信科技有限公司</w:t>
      </w:r>
      <w:r>
        <w:rPr>
          <w:spacing w:val="1"/>
        </w:rPr>
        <w:t> </w:t>
      </w:r>
      <w:r>
        <w:rPr/>
        <w:t>（简称“新媒传信”）</w:t>
      </w:r>
      <w:r>
        <w:rPr/>
        <w:t> 成立日期：</w:t>
      </w:r>
      <w:r>
        <w:rPr>
          <w:rFonts w:ascii="宋体" w:hAnsi="宋体" w:cs="宋体" w:eastAsia="宋体" w:hint="default"/>
        </w:rPr>
        <w:t>2007</w:t>
      </w:r>
      <w:r>
        <w:rPr/>
        <w:t>年</w:t>
      </w:r>
      <w:r>
        <w:rPr>
          <w:rFonts w:ascii="宋体" w:hAnsi="宋体" w:cs="宋体" w:eastAsia="宋体" w:hint="default"/>
        </w:rPr>
        <w:t>3</w:t>
      </w:r>
      <w:r>
        <w:rPr/>
        <w:t>月</w:t>
      </w:r>
      <w:r>
        <w:rPr>
          <w:rFonts w:ascii="宋体" w:hAnsi="宋体" w:cs="宋体" w:eastAsia="宋体" w:hint="default"/>
        </w:rPr>
        <w:t>13</w:t>
      </w:r>
      <w:r>
        <w:rPr/>
        <w:t>日，注册资本</w:t>
      </w:r>
      <w:r>
        <w:rPr>
          <w:rFonts w:ascii="宋体" w:hAnsi="宋体" w:cs="宋体" w:eastAsia="宋体" w:hint="default"/>
        </w:rPr>
        <w:t>2000</w:t>
      </w:r>
      <w:r>
        <w:rPr/>
        <w:t>万元人民币，是公司全资子公司，专业从事移动互联网的开发及运营业务，</w:t>
      </w:r>
    </w:p>
    <w:p>
      <w:pPr>
        <w:pStyle w:val="BodyText"/>
        <w:spacing w:line="477" w:lineRule="auto" w:before="54"/>
        <w:ind w:right="94"/>
        <w:jc w:val="left"/>
      </w:pPr>
      <w:r>
        <w:rPr>
          <w:spacing w:val="-2"/>
        </w:rPr>
        <w:t>目前承担着中国移动飞信业务的开发及运营支撑工作。新媒传信</w:t>
      </w:r>
      <w:r>
        <w:rPr>
          <w:rFonts w:ascii="宋体" w:hAnsi="宋体" w:cs="宋体" w:eastAsia="宋体" w:hint="default"/>
          <w:spacing w:val="-2"/>
        </w:rPr>
        <w:t>2009</w:t>
      </w:r>
      <w:r>
        <w:rPr>
          <w:spacing w:val="-2"/>
        </w:rPr>
        <w:t>年度至</w:t>
      </w:r>
      <w:r>
        <w:rPr>
          <w:rFonts w:ascii="宋体" w:hAnsi="宋体" w:cs="宋体" w:eastAsia="宋体" w:hint="default"/>
          <w:spacing w:val="-2"/>
        </w:rPr>
        <w:t>2012</w:t>
      </w:r>
      <w:r>
        <w:rPr>
          <w:spacing w:val="-2"/>
        </w:rPr>
        <w:t>年度均被认定为国家规划布局内重点软件企</w:t>
      </w:r>
      <w:r>
        <w:rPr>
          <w:spacing w:val="-60"/>
        </w:rPr>
        <w:t> </w:t>
      </w:r>
      <w:r>
        <w:rPr>
          <w:spacing w:val="-60"/>
        </w:rPr>
      </w:r>
      <w:r>
        <w:rPr>
          <w:spacing w:val="-2"/>
        </w:rPr>
        <w:t>业。截止</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日，新媒传信总资产</w:t>
      </w:r>
      <w:r>
        <w:rPr>
          <w:rFonts w:ascii="宋体" w:hAnsi="宋体" w:cs="宋体" w:eastAsia="宋体" w:hint="default"/>
          <w:spacing w:val="-2"/>
        </w:rPr>
        <w:t>71,794.01</w:t>
      </w:r>
      <w:r>
        <w:rPr>
          <w:spacing w:val="-2"/>
        </w:rPr>
        <w:t>万元，净资产</w:t>
      </w:r>
      <w:r>
        <w:rPr>
          <w:rFonts w:ascii="宋体" w:hAnsi="宋体" w:cs="宋体" w:eastAsia="宋体" w:hint="default"/>
          <w:spacing w:val="-2"/>
        </w:rPr>
        <w:t>48,266.13</w:t>
      </w:r>
      <w:r>
        <w:rPr>
          <w:spacing w:val="-2"/>
        </w:rPr>
        <w:t>万元，</w:t>
      </w:r>
      <w:r>
        <w:rPr>
          <w:rFonts w:ascii="宋体" w:hAnsi="宋体" w:cs="宋体" w:eastAsia="宋体" w:hint="default"/>
          <w:spacing w:val="-2"/>
        </w:rPr>
        <w:t>2012</w:t>
      </w:r>
      <w:r>
        <w:rPr>
          <w:spacing w:val="-2"/>
        </w:rPr>
        <w:t>年度实现营业收入</w:t>
      </w:r>
      <w:r>
        <w:rPr>
          <w:rFonts w:ascii="宋体" w:hAnsi="宋体" w:cs="宋体" w:eastAsia="宋体" w:hint="default"/>
          <w:spacing w:val="-2"/>
        </w:rPr>
        <w:t>60,041.95</w:t>
      </w:r>
      <w:r>
        <w:rPr>
          <w:spacing w:val="-2"/>
        </w:rPr>
        <w:t>万元，</w:t>
      </w:r>
      <w:r>
        <w:rPr>
          <w:spacing w:val="-41"/>
        </w:rPr>
        <w:t> </w:t>
      </w:r>
      <w:r>
        <w:rPr>
          <w:spacing w:val="-41"/>
        </w:rPr>
      </w:r>
      <w:r>
        <w:rPr/>
        <w:t>净利润</w:t>
      </w:r>
      <w:r>
        <w:rPr>
          <w:rFonts w:ascii="宋体" w:hAnsi="宋体" w:cs="宋体" w:eastAsia="宋体" w:hint="default"/>
        </w:rPr>
        <w:t>17,351.86</w:t>
      </w:r>
      <w:r>
        <w:rPr/>
        <w:t>万元。</w:t>
      </w:r>
    </w:p>
    <w:p>
      <w:pPr>
        <w:pStyle w:val="BodyText"/>
        <w:spacing w:line="477" w:lineRule="auto" w:before="54"/>
        <w:ind w:left="573" w:right="94"/>
        <w:jc w:val="left"/>
      </w:pPr>
      <w:r>
        <w:rPr/>
        <w:t>（</w:t>
      </w:r>
      <w:r>
        <w:rPr>
          <w:rFonts w:ascii="宋体" w:hAnsi="宋体" w:cs="宋体" w:eastAsia="宋体" w:hint="default"/>
        </w:rPr>
        <w:t>2</w:t>
      </w:r>
      <w:r>
        <w:rPr/>
        <w:t>）重庆新媒农信科技有限公司（简称“重庆新媒农信”） </w:t>
      </w:r>
      <w:r>
        <w:rPr>
          <w:spacing w:val="-2"/>
        </w:rPr>
        <w:t>成立日期：</w:t>
      </w:r>
      <w:r>
        <w:rPr>
          <w:rFonts w:ascii="宋体" w:hAnsi="宋体" w:cs="宋体" w:eastAsia="宋体" w:hint="default"/>
          <w:spacing w:val="-2"/>
        </w:rPr>
        <w:t>2010</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9</w:t>
      </w:r>
      <w:r>
        <w:rPr>
          <w:spacing w:val="-2"/>
        </w:rPr>
        <w:t>日，注册资本：</w:t>
      </w:r>
      <w:r>
        <w:rPr>
          <w:rFonts w:ascii="宋体" w:hAnsi="宋体" w:cs="宋体" w:eastAsia="宋体" w:hint="default"/>
          <w:spacing w:val="-2"/>
        </w:rPr>
        <w:t>10330</w:t>
      </w:r>
      <w:r>
        <w:rPr>
          <w:spacing w:val="-2"/>
        </w:rPr>
        <w:t>万元，系公司全资子公司，主要从事中国移动农村信息网平台与产品的开</w:t>
      </w:r>
    </w:p>
    <w:p>
      <w:pPr>
        <w:pStyle w:val="BodyText"/>
        <w:spacing w:line="477" w:lineRule="auto" w:before="54"/>
        <w:ind w:right="94"/>
        <w:jc w:val="left"/>
      </w:pPr>
      <w:r>
        <w:rPr/>
        <w:t>发建设以及相关运营支撑服务工作。截止</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日，新媒农信总资产</w:t>
      </w:r>
      <w:r>
        <w:rPr>
          <w:rFonts w:ascii="宋体" w:hAnsi="宋体" w:cs="宋体" w:eastAsia="宋体" w:hint="default"/>
        </w:rPr>
        <w:t>20,802.21</w:t>
      </w:r>
      <w:r>
        <w:rPr/>
        <w:t>万元，净资产</w:t>
      </w:r>
      <w:r>
        <w:rPr>
          <w:rFonts w:ascii="宋体" w:hAnsi="宋体" w:cs="宋体" w:eastAsia="宋体" w:hint="default"/>
        </w:rPr>
        <w:t>19,742.43</w:t>
      </w:r>
      <w:r>
        <w:rPr/>
        <w:t>万元，</w:t>
      </w:r>
      <w:r>
        <w:rPr>
          <w:rFonts w:ascii="宋体" w:hAnsi="宋体" w:cs="宋体" w:eastAsia="宋体" w:hint="default"/>
        </w:rPr>
        <w:t>2012</w:t>
      </w:r>
      <w:r>
        <w:rPr>
          <w:rFonts w:ascii="宋体" w:hAnsi="宋体" w:cs="宋体" w:eastAsia="宋体" w:hint="default"/>
          <w:spacing w:val="-15"/>
        </w:rPr>
        <w:t> </w:t>
      </w:r>
      <w:r>
        <w:rPr>
          <w:rFonts w:ascii="宋体" w:hAnsi="宋体" w:cs="宋体" w:eastAsia="宋体" w:hint="default"/>
          <w:spacing w:val="-15"/>
        </w:rPr>
      </w:r>
      <w:r>
        <w:rPr/>
        <w:t>年度实现营业收入</w:t>
      </w:r>
      <w:r>
        <w:rPr>
          <w:rFonts w:ascii="宋体" w:hAnsi="宋体" w:cs="宋体" w:eastAsia="宋体" w:hint="default"/>
        </w:rPr>
        <w:t>9,406.70</w:t>
      </w:r>
      <w:r>
        <w:rPr/>
        <w:t>万元，净利润</w:t>
      </w:r>
      <w:r>
        <w:rPr>
          <w:rFonts w:ascii="宋体" w:hAnsi="宋体" w:cs="宋体" w:eastAsia="宋体" w:hint="default"/>
        </w:rPr>
        <w:t>5,081.60</w:t>
      </w:r>
      <w:r>
        <w:rPr/>
        <w:t>万元。</w:t>
      </w:r>
    </w:p>
    <w:p>
      <w:pPr>
        <w:pStyle w:val="BodyText"/>
        <w:spacing w:line="477" w:lineRule="auto" w:before="54"/>
        <w:ind w:left="573" w:right="94"/>
        <w:jc w:val="left"/>
      </w:pPr>
      <w:r>
        <w:rPr/>
        <w:t>（</w:t>
      </w:r>
      <w:r>
        <w:rPr>
          <w:rFonts w:ascii="宋体" w:hAnsi="宋体" w:cs="宋体" w:eastAsia="宋体" w:hint="default"/>
        </w:rPr>
        <w:t>3</w:t>
      </w:r>
      <w:r>
        <w:rPr/>
        <w:t>）宁波普天通信技术有限公司（简称“宁波普天”） </w:t>
      </w:r>
      <w:r>
        <w:rPr>
          <w:spacing w:val="-2"/>
        </w:rPr>
        <w:t>成立日期：</w:t>
      </w:r>
      <w:r>
        <w:rPr>
          <w:rFonts w:ascii="宋体" w:hAnsi="宋体" w:cs="宋体" w:eastAsia="宋体" w:hint="default"/>
          <w:spacing w:val="-2"/>
        </w:rPr>
        <w:t>2001</w:t>
      </w:r>
      <w:r>
        <w:rPr>
          <w:spacing w:val="-2"/>
        </w:rPr>
        <w:t>年</w:t>
      </w:r>
      <w:r>
        <w:rPr>
          <w:rFonts w:ascii="宋体" w:hAnsi="宋体" w:cs="宋体" w:eastAsia="宋体" w:hint="default"/>
          <w:spacing w:val="-2"/>
        </w:rPr>
        <w:t>3</w:t>
      </w:r>
      <w:r>
        <w:rPr>
          <w:spacing w:val="-2"/>
        </w:rPr>
        <w:t>月，注册资本：</w:t>
      </w:r>
      <w:r>
        <w:rPr>
          <w:rFonts w:ascii="宋体" w:hAnsi="宋体" w:cs="宋体" w:eastAsia="宋体" w:hint="default"/>
          <w:spacing w:val="-2"/>
        </w:rPr>
        <w:t>1100</w:t>
      </w:r>
      <w:r>
        <w:rPr>
          <w:spacing w:val="-2"/>
        </w:rPr>
        <w:t>万元，系公司</w:t>
      </w:r>
      <w:r>
        <w:rPr>
          <w:rFonts w:ascii="宋体" w:hAnsi="宋体" w:cs="宋体" w:eastAsia="宋体" w:hint="default"/>
          <w:spacing w:val="-2"/>
        </w:rPr>
        <w:t>2011</w:t>
      </w:r>
      <w:r>
        <w:rPr>
          <w:spacing w:val="-2"/>
        </w:rPr>
        <w:t>年内收购的全资子公司，主要从事通信网络质量检测设备与</w:t>
      </w:r>
    </w:p>
    <w:p>
      <w:pPr>
        <w:pStyle w:val="BodyText"/>
        <w:spacing w:line="477" w:lineRule="auto" w:before="54"/>
        <w:ind w:right="94"/>
        <w:jc w:val="left"/>
      </w:pPr>
      <w:r>
        <w:rPr>
          <w:spacing w:val="-2"/>
        </w:rPr>
        <w:t>系统的研发及行业应用解决方案。其开发的自动拨测系统是公司网络优化产品线的重要组成部分，应用于语音和数据业务端</w:t>
      </w:r>
      <w:r>
        <w:rPr>
          <w:spacing w:val="-64"/>
        </w:rPr>
        <w:t> </w:t>
      </w:r>
      <w:r>
        <w:rPr>
          <w:spacing w:val="-64"/>
        </w:rPr>
      </w:r>
      <w:r>
        <w:rPr>
          <w:spacing w:val="-4"/>
        </w:rPr>
        <w:t>到端的业务性能测试，成为发现网络问题、检测网络质量的主要手段之一，是电信运营商网络管理的重要技术支撑手段之一。</w:t>
      </w:r>
      <w:r>
        <w:rPr>
          <w:spacing w:val="-44"/>
        </w:rPr>
        <w:t> </w:t>
      </w:r>
      <w:r>
        <w:rPr>
          <w:spacing w:val="-44"/>
        </w:rPr>
      </w:r>
      <w:r>
        <w:rPr>
          <w:spacing w:val="-5"/>
        </w:rPr>
        <w:t>截止</w:t>
      </w:r>
      <w:r>
        <w:rPr>
          <w:rFonts w:ascii="宋体" w:hAnsi="宋体" w:cs="宋体" w:eastAsia="宋体" w:hint="default"/>
          <w:spacing w:val="-5"/>
        </w:rPr>
        <w:t>2012</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31</w:t>
      </w:r>
      <w:r>
        <w:rPr>
          <w:spacing w:val="-5"/>
        </w:rPr>
        <w:t>日，宁波普天总资产为</w:t>
      </w:r>
      <w:r>
        <w:rPr>
          <w:rFonts w:ascii="宋体" w:hAnsi="宋体" w:cs="宋体" w:eastAsia="宋体" w:hint="default"/>
          <w:spacing w:val="-5"/>
        </w:rPr>
        <w:t>14,945.02</w:t>
      </w:r>
      <w:r>
        <w:rPr>
          <w:spacing w:val="-5"/>
        </w:rPr>
        <w:t>万元，净资产为</w:t>
      </w:r>
      <w:r>
        <w:rPr>
          <w:rFonts w:ascii="宋体" w:hAnsi="宋体" w:cs="宋体" w:eastAsia="宋体" w:hint="default"/>
          <w:spacing w:val="-5"/>
        </w:rPr>
        <w:t>12,939.35</w:t>
      </w:r>
      <w:r>
        <w:rPr>
          <w:spacing w:val="-5"/>
        </w:rPr>
        <w:t>万元，</w:t>
      </w:r>
      <w:r>
        <w:rPr>
          <w:rFonts w:ascii="宋体" w:hAnsi="宋体" w:cs="宋体" w:eastAsia="宋体" w:hint="default"/>
          <w:spacing w:val="-5"/>
        </w:rPr>
        <w:t>2012</w:t>
      </w:r>
      <w:r>
        <w:rPr>
          <w:spacing w:val="-5"/>
        </w:rPr>
        <w:t>年度，宁波普天实现营业收入</w:t>
      </w:r>
      <w:r>
        <w:rPr>
          <w:rFonts w:ascii="宋体" w:hAnsi="宋体" w:cs="宋体" w:eastAsia="宋体" w:hint="default"/>
          <w:spacing w:val="-5"/>
        </w:rPr>
        <w:t>8458.24</w:t>
      </w:r>
      <w:r>
        <w:rPr>
          <w:rFonts w:ascii="宋体" w:hAnsi="宋体" w:cs="宋体" w:eastAsia="宋体" w:hint="default"/>
          <w:spacing w:val="-88"/>
        </w:rPr>
        <w:t> </w:t>
      </w:r>
      <w:r>
        <w:rPr>
          <w:rFonts w:ascii="宋体" w:hAnsi="宋体" w:cs="宋体" w:eastAsia="宋体" w:hint="default"/>
          <w:spacing w:val="-88"/>
        </w:rPr>
      </w:r>
      <w:r>
        <w:rPr/>
        <w:t>万元、实现归属于母公司股东的净利润</w:t>
      </w:r>
      <w:r>
        <w:rPr>
          <w:rFonts w:ascii="宋体" w:hAnsi="宋体" w:cs="宋体" w:eastAsia="宋体" w:hint="default"/>
        </w:rPr>
        <w:t>4399.93</w:t>
      </w:r>
      <w:r>
        <w:rPr/>
        <w:t>万元，扣除非经常性损益后的净利润为</w:t>
      </w:r>
      <w:r>
        <w:rPr>
          <w:rFonts w:ascii="宋体" w:hAnsi="宋体" w:cs="宋体" w:eastAsia="宋体" w:hint="default"/>
        </w:rPr>
        <w:t>4,371.01</w:t>
      </w:r>
      <w:r>
        <w:rPr/>
        <w:t>万元，完成了</w:t>
      </w:r>
      <w:r>
        <w:rPr>
          <w:rFonts w:ascii="宋体" w:hAnsi="宋体" w:cs="宋体" w:eastAsia="宋体" w:hint="default"/>
        </w:rPr>
        <w:t>2012</w:t>
      </w:r>
      <w:r>
        <w:rPr/>
        <w:t>年度的利 润承诺。</w:t>
      </w:r>
    </w:p>
    <w:p>
      <w:pPr>
        <w:pStyle w:val="BodyText"/>
        <w:spacing w:line="477" w:lineRule="auto" w:before="54"/>
        <w:ind w:left="573" w:right="94"/>
        <w:jc w:val="left"/>
      </w:pPr>
      <w:r>
        <w:rPr/>
        <w:t>（</w:t>
      </w:r>
      <w:r>
        <w:rPr>
          <w:rFonts w:ascii="宋体" w:hAnsi="宋体" w:cs="宋体" w:eastAsia="宋体" w:hint="default"/>
        </w:rPr>
        <w:t>4</w:t>
      </w:r>
      <w:r>
        <w:rPr/>
        <w:t>）北京友联创新系统集成有限公司（简称“友联创新”） </w:t>
      </w:r>
      <w:r>
        <w:rPr>
          <w:spacing w:val="-2"/>
        </w:rPr>
        <w:t>成立日期：</w:t>
      </w:r>
      <w:r>
        <w:rPr>
          <w:rFonts w:ascii="宋体" w:hAnsi="宋体" w:cs="宋体" w:eastAsia="宋体" w:hint="default"/>
          <w:spacing w:val="-2"/>
        </w:rPr>
        <w:t>2003</w:t>
      </w:r>
      <w:r>
        <w:rPr>
          <w:spacing w:val="-2"/>
        </w:rPr>
        <w:t>年</w:t>
      </w:r>
      <w:r>
        <w:rPr>
          <w:rFonts w:ascii="宋体" w:hAnsi="宋体" w:cs="宋体" w:eastAsia="宋体" w:hint="default"/>
          <w:spacing w:val="-2"/>
        </w:rPr>
        <w:t>5</w:t>
      </w:r>
      <w:r>
        <w:rPr>
          <w:spacing w:val="-2"/>
        </w:rPr>
        <w:t>月，注册资本：</w:t>
      </w:r>
      <w:r>
        <w:rPr>
          <w:rFonts w:ascii="宋体" w:hAnsi="宋体" w:cs="宋体" w:eastAsia="宋体" w:hint="default"/>
          <w:spacing w:val="-2"/>
        </w:rPr>
        <w:t>2000</w:t>
      </w:r>
      <w:r>
        <w:rPr>
          <w:spacing w:val="-2"/>
        </w:rPr>
        <w:t>万元，系公司全资子公司。友联创新主要提供电信级的运维管理咨询、解决方</w:t>
      </w:r>
    </w:p>
    <w:p>
      <w:pPr>
        <w:pStyle w:val="BodyText"/>
        <w:spacing w:line="477" w:lineRule="auto" w:before="54"/>
        <w:ind w:right="94"/>
        <w:jc w:val="left"/>
      </w:pPr>
      <w:r>
        <w:rPr>
          <w:spacing w:val="-2"/>
        </w:rPr>
        <w:t>案、软件产品和服务。截止</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日，友联创新总资产</w:t>
      </w:r>
      <w:r>
        <w:rPr>
          <w:rFonts w:ascii="宋体" w:hAnsi="宋体" w:cs="宋体" w:eastAsia="宋体" w:hint="default"/>
          <w:spacing w:val="-2"/>
        </w:rPr>
        <w:t>5,325.76</w:t>
      </w:r>
      <w:r>
        <w:rPr>
          <w:spacing w:val="-2"/>
        </w:rPr>
        <w:t>万元，净资产</w:t>
      </w:r>
      <w:r>
        <w:rPr>
          <w:rFonts w:ascii="宋体" w:hAnsi="宋体" w:cs="宋体" w:eastAsia="宋体" w:hint="default"/>
          <w:spacing w:val="-2"/>
        </w:rPr>
        <w:t>5,087.11</w:t>
      </w:r>
      <w:r>
        <w:rPr>
          <w:spacing w:val="-2"/>
        </w:rPr>
        <w:t>万元，</w:t>
      </w:r>
      <w:r>
        <w:rPr>
          <w:rFonts w:ascii="宋体" w:hAnsi="宋体" w:cs="宋体" w:eastAsia="宋体" w:hint="default"/>
          <w:spacing w:val="-2"/>
        </w:rPr>
        <w:t>2012</w:t>
      </w:r>
      <w:r>
        <w:rPr>
          <w:spacing w:val="-2"/>
        </w:rPr>
        <w:t>年度实现营业收入</w:t>
      </w:r>
      <w:r>
        <w:rPr>
          <w:spacing w:val="-43"/>
        </w:rPr>
        <w:t> </w:t>
      </w:r>
      <w:r>
        <w:rPr>
          <w:rFonts w:ascii="宋体" w:hAnsi="宋体" w:cs="宋体" w:eastAsia="宋体" w:hint="default"/>
        </w:rPr>
        <w:t>2,274.11</w:t>
      </w:r>
      <w:r>
        <w:rPr/>
        <w:t>万元，净利润</w:t>
      </w:r>
      <w:r>
        <w:rPr>
          <w:rFonts w:ascii="宋体" w:hAnsi="宋体" w:cs="宋体" w:eastAsia="宋体" w:hint="default"/>
        </w:rPr>
        <w:t>1,175.37</w:t>
      </w:r>
      <w:r>
        <w:rPr/>
        <w:t>万元。</w:t>
      </w:r>
    </w:p>
    <w:p>
      <w:pPr>
        <w:pStyle w:val="BodyText"/>
        <w:spacing w:line="477" w:lineRule="auto" w:before="54"/>
        <w:ind w:left="573" w:right="94"/>
        <w:jc w:val="left"/>
      </w:pPr>
      <w:r>
        <w:rPr/>
        <w:t>（</w:t>
      </w:r>
      <w:r>
        <w:rPr>
          <w:rFonts w:ascii="宋体" w:hAnsi="宋体" w:cs="宋体" w:eastAsia="宋体" w:hint="default"/>
        </w:rPr>
        <w:t>5</w:t>
      </w:r>
      <w:r>
        <w:rPr/>
        <w:t>）北京神州泰岳良品电子商务有限公司（简称“神州良品”） </w:t>
      </w:r>
      <w:r>
        <w:rPr>
          <w:spacing w:val="-2"/>
        </w:rPr>
        <w:t>成立日期：</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月，注册资本：</w:t>
      </w:r>
      <w:r>
        <w:rPr>
          <w:rFonts w:ascii="宋体" w:hAnsi="宋体" w:cs="宋体" w:eastAsia="宋体" w:hint="default"/>
          <w:spacing w:val="-2"/>
        </w:rPr>
        <w:t>10,000</w:t>
      </w:r>
      <w:r>
        <w:rPr>
          <w:spacing w:val="-2"/>
        </w:rPr>
        <w:t>万元，公司直接持有</w:t>
      </w:r>
      <w:r>
        <w:rPr>
          <w:rFonts w:ascii="宋体" w:hAnsi="宋体" w:cs="宋体" w:eastAsia="宋体" w:hint="default"/>
          <w:spacing w:val="-2"/>
        </w:rPr>
        <w:t>84%</w:t>
      </w:r>
      <w:r>
        <w:rPr>
          <w:spacing w:val="-2"/>
        </w:rPr>
        <w:t>的股份，主要从事面向餐饮行业的互联网综合服务</w:t>
      </w:r>
    </w:p>
    <w:p>
      <w:pPr>
        <w:pStyle w:val="BodyText"/>
        <w:spacing w:line="477" w:lineRule="auto" w:before="54"/>
        <w:ind w:right="188"/>
        <w:jc w:val="both"/>
      </w:pPr>
      <w:r>
        <w:rPr/>
        <w:t>业务，该业务于</w:t>
      </w:r>
      <w:r>
        <w:rPr>
          <w:rFonts w:ascii="宋体" w:hAnsi="宋体" w:cs="宋体" w:eastAsia="宋体" w:hint="default"/>
        </w:rPr>
        <w:t>2012</w:t>
      </w:r>
      <w:r>
        <w:rPr/>
        <w:t>年</w:t>
      </w:r>
      <w:r>
        <w:rPr>
          <w:rFonts w:ascii="宋体" w:hAnsi="宋体" w:cs="宋体" w:eastAsia="宋体" w:hint="default"/>
        </w:rPr>
        <w:t>4</w:t>
      </w:r>
      <w:r>
        <w:rPr/>
        <w:t>月正式运营，旨在通过整合公司在软件研发、</w:t>
      </w:r>
      <w:r>
        <w:rPr>
          <w:rFonts w:ascii="宋体" w:hAnsi="宋体" w:cs="宋体" w:eastAsia="宋体" w:hint="default"/>
        </w:rPr>
        <w:t>IT</w:t>
      </w:r>
      <w:r>
        <w:rPr/>
        <w:t>运维管理、互联网开发及运营、物联网技术研究及</w:t>
      </w:r>
      <w:r>
        <w:rPr>
          <w:spacing w:val="-85"/>
        </w:rPr>
        <w:t> </w:t>
      </w:r>
      <w:r>
        <w:rPr>
          <w:spacing w:val="-85"/>
        </w:rPr>
      </w:r>
      <w:r>
        <w:rPr>
          <w:spacing w:val="-2"/>
        </w:rPr>
        <w:t>应用等各方面的资源与能力，稳步构建一个面向餐饮行业的食材生产商、餐饮企业、消费者的互联网综合服务平台，提供包</w:t>
      </w:r>
      <w:r>
        <w:rPr>
          <w:spacing w:val="-64"/>
        </w:rPr>
        <w:t> </w:t>
      </w:r>
      <w:r>
        <w:rPr>
          <w:spacing w:val="-64"/>
        </w:rPr>
      </w:r>
      <w:r>
        <w:rPr/>
        <w:t>括食材采销电子商务、餐饮企业软件云服务、移动订餐点菜、增值信息服务等业务。目前该业务尚处于培育期，截止</w:t>
      </w:r>
      <w:r>
        <w:rPr>
          <w:rFonts w:ascii="宋体" w:hAnsi="宋体" w:cs="宋体" w:eastAsia="宋体" w:hint="default"/>
        </w:rPr>
        <w:t>2012</w:t>
      </w:r>
      <w:r>
        <w:rPr>
          <w:rFonts w:ascii="宋体" w:hAnsi="宋体" w:cs="宋体" w:eastAsia="宋体" w:hint="default"/>
          <w:spacing w:val="-3"/>
        </w:rPr>
        <w:t> </w:t>
      </w:r>
      <w:r>
        <w:rPr>
          <w:rFonts w:ascii="宋体" w:hAnsi="宋体" w:cs="宋体" w:eastAsia="宋体" w:hint="default"/>
          <w:spacing w:val="-3"/>
        </w:rPr>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日，神州良品信总资产</w:t>
      </w:r>
      <w:r>
        <w:rPr>
          <w:rFonts w:ascii="宋体" w:hAnsi="宋体" w:cs="宋体" w:eastAsia="宋体" w:hint="default"/>
          <w:spacing w:val="-3"/>
        </w:rPr>
        <w:t>9,129.23</w:t>
      </w:r>
      <w:r>
        <w:rPr>
          <w:spacing w:val="-3"/>
        </w:rPr>
        <w:t>万元，净资产</w:t>
      </w:r>
      <w:r>
        <w:rPr>
          <w:rFonts w:ascii="宋体" w:hAnsi="宋体" w:cs="宋体" w:eastAsia="宋体" w:hint="default"/>
          <w:spacing w:val="-3"/>
        </w:rPr>
        <w:t>9,131.91</w:t>
      </w:r>
      <w:r>
        <w:rPr>
          <w:spacing w:val="-3"/>
        </w:rPr>
        <w:t>万元，</w:t>
      </w:r>
      <w:r>
        <w:rPr>
          <w:rFonts w:ascii="宋体" w:hAnsi="宋体" w:cs="宋体" w:eastAsia="宋体" w:hint="default"/>
          <w:spacing w:val="-3"/>
        </w:rPr>
        <w:t>2012</w:t>
      </w:r>
      <w:r>
        <w:rPr>
          <w:spacing w:val="-3"/>
        </w:rPr>
        <w:t>年度实现营业收入</w:t>
      </w:r>
      <w:r>
        <w:rPr>
          <w:rFonts w:ascii="宋体" w:hAnsi="宋体" w:cs="宋体" w:eastAsia="宋体" w:hint="default"/>
          <w:spacing w:val="-3"/>
        </w:rPr>
        <w:t>8,839.60</w:t>
      </w:r>
      <w:r>
        <w:rPr>
          <w:spacing w:val="-3"/>
        </w:rPr>
        <w:t>万元，净利润</w:t>
      </w:r>
      <w:r>
        <w:rPr>
          <w:rFonts w:ascii="宋体" w:hAnsi="宋体" w:cs="宋体" w:eastAsia="宋体" w:hint="default"/>
          <w:spacing w:val="-3"/>
        </w:rPr>
        <w:t>-868.09</w:t>
      </w:r>
      <w:r>
        <w:rPr>
          <w:rFonts w:ascii="宋体" w:hAnsi="宋体" w:cs="宋体" w:eastAsia="宋体" w:hint="default"/>
          <w:spacing w:val="-55"/>
        </w:rPr>
        <w:t> </w:t>
      </w:r>
      <w:r>
        <w:rPr>
          <w:rFonts w:ascii="宋体" w:hAnsi="宋体" w:cs="宋体" w:eastAsia="宋体" w:hint="default"/>
          <w:spacing w:val="-55"/>
        </w:rPr>
      </w:r>
      <w:r>
        <w:rPr/>
        <w:t>万元。</w:t>
      </w:r>
    </w:p>
    <w:p>
      <w:pPr>
        <w:pStyle w:val="BodyText"/>
        <w:spacing w:line="477" w:lineRule="auto" w:before="54"/>
        <w:ind w:left="573" w:right="94" w:hanging="147"/>
        <w:jc w:val="left"/>
      </w:pPr>
      <w:r>
        <w:rPr/>
        <w:t>（</w:t>
      </w:r>
      <w:r>
        <w:rPr>
          <w:rFonts w:ascii="宋体" w:hAnsi="宋体" w:cs="宋体" w:eastAsia="宋体" w:hint="default"/>
        </w:rPr>
        <w:t>6</w:t>
      </w:r>
      <w:r>
        <w:rPr/>
        <w:t>）奇点新源国际技术开发（北京）有限公司（简称“奇点国际”） 成立日期：</w:t>
      </w:r>
      <w:r>
        <w:rPr>
          <w:rFonts w:ascii="宋体" w:hAnsi="宋体" w:cs="宋体" w:eastAsia="宋体" w:hint="default"/>
        </w:rPr>
        <w:t>2010</w:t>
      </w:r>
      <w:r>
        <w:rPr/>
        <w:t>年</w:t>
      </w:r>
      <w:r>
        <w:rPr>
          <w:rFonts w:ascii="宋体" w:hAnsi="宋体" w:cs="宋体" w:eastAsia="宋体" w:hint="default"/>
        </w:rPr>
        <w:t>2</w:t>
      </w:r>
      <w:r>
        <w:rPr/>
        <w:t>月，注册资本：</w:t>
      </w:r>
      <w:r>
        <w:rPr>
          <w:rFonts w:ascii="宋体" w:hAnsi="宋体" w:cs="宋体" w:eastAsia="宋体" w:hint="default"/>
        </w:rPr>
        <w:t>1000</w:t>
      </w:r>
      <w:r>
        <w:rPr/>
        <w:t>万元，公司持有注册资本的</w:t>
      </w:r>
      <w:r>
        <w:rPr>
          <w:rFonts w:ascii="宋体" w:hAnsi="宋体" w:cs="宋体" w:eastAsia="宋体" w:hint="default"/>
        </w:rPr>
        <w:t>80%</w:t>
      </w:r>
      <w:r>
        <w:rPr/>
        <w:t>，专业从事物联网领域的技术研发及行业应用</w:t>
      </w:r>
    </w:p>
    <w:p>
      <w:pPr>
        <w:pStyle w:val="BodyText"/>
        <w:spacing w:line="240" w:lineRule="auto" w:before="54"/>
        <w:ind w:right="94"/>
        <w:jc w:val="left"/>
        <w:rPr>
          <w:rFonts w:ascii="宋体" w:hAnsi="宋体" w:cs="宋体" w:eastAsia="宋体" w:hint="default"/>
        </w:rPr>
      </w:pPr>
      <w:r>
        <w:rPr/>
        <w:t>解决方案</w:t>
      </w:r>
      <w:r>
        <w:rPr>
          <w:spacing w:val="-89"/>
        </w:rPr>
        <w:t>。</w:t>
      </w:r>
      <w:r>
        <w:rPr/>
        <w:t>目前还处于技术开发与应用实践阶段</w:t>
      </w:r>
      <w:r>
        <w:rPr>
          <w:spacing w:val="-89"/>
        </w:rPr>
        <w:t>，</w:t>
      </w:r>
      <w:r>
        <w:rPr/>
        <w:t>奇点国际总资产</w:t>
      </w:r>
      <w:r>
        <w:rPr>
          <w:rFonts w:ascii="宋体" w:hAnsi="宋体" w:cs="宋体" w:eastAsia="宋体" w:hint="default"/>
          <w:spacing w:val="1"/>
        </w:rPr>
        <w:t>97</w:t>
      </w:r>
      <w:r>
        <w:rPr>
          <w:rFonts w:ascii="宋体" w:hAnsi="宋体" w:cs="宋体" w:eastAsia="宋体" w:hint="default"/>
          <w:spacing w:val="-2"/>
        </w:rPr>
        <w:t>7</w:t>
      </w:r>
      <w:r>
        <w:rPr>
          <w:rFonts w:ascii="宋体" w:hAnsi="宋体" w:cs="宋体" w:eastAsia="宋体" w:hint="default"/>
          <w:spacing w:val="1"/>
        </w:rPr>
        <w:t>.</w:t>
      </w:r>
      <w:r>
        <w:rPr>
          <w:rFonts w:ascii="宋体" w:hAnsi="宋体" w:cs="宋体" w:eastAsia="宋体" w:hint="default"/>
          <w:spacing w:val="-2"/>
        </w:rPr>
        <w:t>3</w:t>
      </w:r>
      <w:r>
        <w:rPr>
          <w:rFonts w:ascii="宋体" w:hAnsi="宋体" w:cs="宋体" w:eastAsia="宋体" w:hint="default"/>
          <w:spacing w:val="2"/>
        </w:rPr>
        <w:t>5</w:t>
      </w:r>
      <w:r>
        <w:rPr/>
        <w:t>万元</w:t>
      </w:r>
      <w:r>
        <w:rPr>
          <w:spacing w:val="-89"/>
        </w:rPr>
        <w:t>，</w:t>
      </w:r>
      <w:r>
        <w:rPr/>
        <w:t>净资产</w:t>
      </w:r>
      <w:r>
        <w:rPr>
          <w:rFonts w:ascii="宋体" w:hAnsi="宋体" w:cs="宋体" w:eastAsia="宋体" w:hint="default"/>
          <w:spacing w:val="-2"/>
        </w:rPr>
        <w:t>4</w:t>
      </w:r>
      <w:r>
        <w:rPr>
          <w:rFonts w:ascii="宋体" w:hAnsi="宋体" w:cs="宋体" w:eastAsia="宋体" w:hint="default"/>
          <w:spacing w:val="1"/>
        </w:rPr>
        <w:t>7</w:t>
      </w:r>
      <w:r>
        <w:rPr>
          <w:rFonts w:ascii="宋体" w:hAnsi="宋体" w:cs="宋体" w:eastAsia="宋体" w:hint="default"/>
          <w:spacing w:val="-2"/>
        </w:rPr>
        <w:t>3</w:t>
      </w:r>
      <w:r>
        <w:rPr>
          <w:rFonts w:ascii="宋体" w:hAnsi="宋体" w:cs="宋体" w:eastAsia="宋体" w:hint="default"/>
          <w:spacing w:val="1"/>
        </w:rPr>
        <w:t>.</w:t>
      </w:r>
      <w:r>
        <w:rPr>
          <w:rFonts w:ascii="宋体" w:hAnsi="宋体" w:cs="宋体" w:eastAsia="宋体" w:hint="default"/>
          <w:spacing w:val="-2"/>
        </w:rPr>
        <w:t>5</w:t>
      </w:r>
      <w:r>
        <w:rPr>
          <w:rFonts w:ascii="宋体" w:hAnsi="宋体" w:cs="宋体" w:eastAsia="宋体" w:hint="default"/>
          <w:spacing w:val="1"/>
        </w:rPr>
        <w:t>2</w:t>
      </w:r>
      <w:r>
        <w:rPr>
          <w:spacing w:val="-3"/>
        </w:rPr>
        <w:t>万</w:t>
      </w:r>
      <w:r>
        <w:rPr/>
        <w:t>元</w:t>
      </w:r>
      <w:r>
        <w:rPr>
          <w:spacing w:val="-89"/>
        </w:rPr>
        <w:t>，</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2"/>
        </w:rPr>
        <w:t>2</w:t>
      </w:r>
      <w:r>
        <w:rPr/>
        <w:t>年度净利润为</w:t>
      </w:r>
      <w:r>
        <w:rPr>
          <w:rFonts w:ascii="宋体" w:hAnsi="宋体" w:cs="宋体" w:eastAsia="宋体" w:hint="default"/>
          <w:spacing w:val="-2"/>
        </w:rPr>
        <w:t>-</w:t>
      </w:r>
      <w:r>
        <w:rPr>
          <w:rFonts w:ascii="宋体" w:hAnsi="宋体" w:cs="宋体" w:eastAsia="宋体" w:hint="default"/>
          <w:spacing w:val="1"/>
        </w:rPr>
        <w:t>3</w:t>
      </w:r>
      <w:r>
        <w:rPr>
          <w:rFonts w:ascii="宋体" w:hAnsi="宋体" w:cs="宋体" w:eastAsia="宋体" w:hint="default"/>
          <w:spacing w:val="-2"/>
        </w:rPr>
        <w:t>2</w:t>
      </w:r>
      <w:r>
        <w:rPr>
          <w:rFonts w:ascii="宋体" w:hAnsi="宋体" w:cs="宋体" w:eastAsia="宋体" w:hint="default"/>
          <w:spacing w:val="1"/>
        </w:rPr>
        <w:t>2</w:t>
      </w:r>
      <w:r>
        <w:rPr>
          <w:rFonts w:ascii="宋体" w:hAnsi="宋体" w:cs="宋体" w:eastAsia="宋体" w:hint="default"/>
          <w:spacing w:val="-2"/>
        </w:rPr>
        <w:t>.</w:t>
      </w:r>
      <w:r>
        <w:rPr>
          <w:rFonts w:ascii="宋体" w:hAnsi="宋体" w:cs="宋体" w:eastAsia="宋体" w:hint="default"/>
          <w:spacing w:val="1"/>
        </w:rPr>
        <w:t>9</w:t>
      </w:r>
      <w:r>
        <w:rPr>
          <w:rFonts w:ascii="宋体" w:hAnsi="宋体" w:cs="宋体" w:eastAsia="宋体" w:hint="default"/>
        </w:rPr>
        <w:t>8</w:t>
      </w:r>
    </w:p>
    <w:p>
      <w:pPr>
        <w:spacing w:after="0" w:line="240" w:lineRule="auto"/>
        <w:jc w:val="left"/>
        <w:rPr>
          <w:rFonts w:ascii="宋体" w:hAnsi="宋体" w:cs="宋体" w:eastAsia="宋体" w:hint="default"/>
        </w:rPr>
        <w:sectPr>
          <w:pgSz w:w="11910" w:h="16840"/>
          <w:pgMar w:header="852" w:footer="980" w:top="1340" w:bottom="1160" w:left="980" w:right="940"/>
        </w:sectPr>
      </w:pPr>
    </w:p>
    <w:p>
      <w:pPr>
        <w:spacing w:line="240" w:lineRule="auto" w:before="6"/>
        <w:rPr>
          <w:rFonts w:ascii="宋体" w:hAnsi="宋体" w:cs="宋体" w:eastAsia="宋体" w:hint="default"/>
          <w:sz w:val="10"/>
          <w:szCs w:val="10"/>
        </w:rPr>
      </w:pPr>
    </w:p>
    <w:p>
      <w:pPr>
        <w:pStyle w:val="BodyText"/>
        <w:spacing w:line="477" w:lineRule="auto" w:before="44"/>
        <w:ind w:right="190"/>
        <w:jc w:val="both"/>
      </w:pPr>
      <w:r>
        <w:rPr/>
        <w:t>万元。报告期内，其推出的“无线通信与精确定位系统”</w:t>
      </w:r>
      <w:r>
        <w:rPr>
          <w:spacing w:val="6"/>
        </w:rPr>
        <w:t> </w:t>
      </w:r>
      <w:r>
        <w:rPr/>
        <w:t>进入产品化阶段和实际生产环境的试验阶段，并开始申请煤安资</w:t>
      </w:r>
      <w:r>
        <w:rPr/>
        <w:t> </w:t>
      </w:r>
      <w:r>
        <w:rPr>
          <w:spacing w:val="-2"/>
        </w:rPr>
        <w:t>质等方面的认证，同时与神华集团下属企业达成战略合作，在神华集团系统（含神华集团各类子分公司）内合作开发和销售</w:t>
      </w:r>
      <w:r>
        <w:rPr>
          <w:spacing w:val="-65"/>
        </w:rPr>
        <w:t> </w:t>
      </w:r>
      <w:r>
        <w:rPr>
          <w:spacing w:val="-65"/>
        </w:rPr>
      </w:r>
      <w:r>
        <w:rPr/>
        <w:t>“精确定位与无线通信系统”。</w:t>
      </w:r>
    </w:p>
    <w:p>
      <w:pPr>
        <w:spacing w:line="240" w:lineRule="auto" w:before="1"/>
        <w:rPr>
          <w:rFonts w:ascii="宋体" w:hAnsi="宋体" w:cs="宋体" w:eastAsia="宋体" w:hint="default"/>
          <w:sz w:val="16"/>
          <w:szCs w:val="16"/>
        </w:rPr>
      </w:pPr>
    </w:p>
    <w:p>
      <w:pPr>
        <w:pStyle w:val="Heading5"/>
        <w:spacing w:line="240" w:lineRule="auto"/>
        <w:ind w:right="0"/>
        <w:jc w:val="both"/>
        <w:rPr>
          <w:b w:val="0"/>
          <w:bCs w:val="0"/>
        </w:rPr>
      </w:pPr>
      <w:r>
        <w:rPr/>
        <w:t>主要参股企业经营情况如下：</w:t>
      </w:r>
      <w:r>
        <w:rPr>
          <w:b w:val="0"/>
          <w:bCs w:val="0"/>
        </w:rPr>
      </w:r>
    </w:p>
    <w:p>
      <w:pPr>
        <w:spacing w:line="240" w:lineRule="auto" w:before="0"/>
        <w:rPr>
          <w:rFonts w:ascii="宋体" w:hAnsi="宋体" w:cs="宋体" w:eastAsia="宋体" w:hint="default"/>
          <w:b/>
          <w:bCs/>
          <w:sz w:val="18"/>
          <w:szCs w:val="18"/>
        </w:rPr>
      </w:pPr>
    </w:p>
    <w:p>
      <w:pPr>
        <w:pStyle w:val="BodyText"/>
        <w:spacing w:line="477" w:lineRule="auto" w:before="153"/>
        <w:ind w:left="573" w:right="178"/>
        <w:jc w:val="left"/>
      </w:pPr>
      <w:r>
        <w:rPr/>
        <w:t>（</w:t>
      </w:r>
      <w:r>
        <w:rPr>
          <w:rFonts w:ascii="宋体" w:hAnsi="宋体" w:cs="宋体" w:eastAsia="宋体" w:hint="default"/>
        </w:rPr>
        <w:t>1</w:t>
      </w:r>
      <w:r>
        <w:rPr/>
        <w:t>）大连华信计算机技术股份有限公司（简称“大连华信”） </w:t>
      </w:r>
      <w:r>
        <w:rPr>
          <w:spacing w:val="-1"/>
        </w:rPr>
        <w:t>大连华信成立于</w:t>
      </w:r>
      <w:r>
        <w:rPr>
          <w:rFonts w:ascii="宋体" w:hAnsi="宋体" w:cs="宋体" w:eastAsia="宋体" w:hint="default"/>
          <w:spacing w:val="-1"/>
        </w:rPr>
        <w:t>1996</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23</w:t>
      </w:r>
      <w:r>
        <w:rPr>
          <w:spacing w:val="-1"/>
        </w:rPr>
        <w:t>日，主要从事计算机软件外包、计算机应用软件开发、计算机软件产品生产、计算机系统</w:t>
      </w:r>
    </w:p>
    <w:p>
      <w:pPr>
        <w:pStyle w:val="BodyText"/>
        <w:spacing w:line="240" w:lineRule="auto" w:before="54"/>
        <w:ind w:right="0"/>
        <w:jc w:val="both"/>
      </w:pPr>
      <w:r>
        <w:rPr/>
        <w:t>集成、计算机软件维护服务。报告期内，公司取得投资收益为</w:t>
      </w:r>
      <w:r>
        <w:rPr>
          <w:rFonts w:ascii="宋体" w:hAnsi="宋体" w:cs="宋体" w:eastAsia="宋体" w:hint="default"/>
        </w:rPr>
        <w:t>1,542.95</w:t>
      </w:r>
      <w:r>
        <w:rPr/>
        <w:t>万元。</w:t>
      </w:r>
    </w:p>
    <w:p>
      <w:pPr>
        <w:spacing w:line="240" w:lineRule="auto" w:before="10"/>
        <w:rPr>
          <w:rFonts w:ascii="宋体" w:hAnsi="宋体" w:cs="宋体" w:eastAsia="宋体" w:hint="default"/>
          <w:sz w:val="17"/>
          <w:szCs w:val="17"/>
        </w:rPr>
      </w:pPr>
    </w:p>
    <w:p>
      <w:pPr>
        <w:pStyle w:val="BodyText"/>
        <w:spacing w:line="477" w:lineRule="auto"/>
        <w:ind w:left="575" w:right="94" w:hanging="3"/>
        <w:jc w:val="left"/>
      </w:pPr>
      <w:r>
        <w:rPr/>
        <w:t>（</w:t>
      </w:r>
      <w:r>
        <w:rPr>
          <w:rFonts w:ascii="宋体" w:hAnsi="宋体" w:cs="宋体" w:eastAsia="宋体" w:hint="default"/>
        </w:rPr>
        <w:t>2</w:t>
      </w:r>
      <w:r>
        <w:rPr/>
        <w:t>）广东中科白云投资管理有限公司（简称“中科白云”） 中科白云注册资本</w:t>
      </w:r>
      <w:r>
        <w:rPr>
          <w:rFonts w:ascii="宋体" w:hAnsi="宋体" w:cs="宋体" w:eastAsia="宋体" w:hint="default"/>
        </w:rPr>
        <w:t>181,480.5948</w:t>
      </w:r>
      <w:r>
        <w:rPr/>
        <w:t>万元，公司出资</w:t>
      </w:r>
      <w:r>
        <w:rPr>
          <w:rFonts w:ascii="宋体" w:hAnsi="宋体" w:cs="宋体" w:eastAsia="宋体" w:hint="default"/>
        </w:rPr>
        <w:t>20,000</w:t>
      </w:r>
      <w:r>
        <w:rPr/>
        <w:t>万元，占注册资本的</w:t>
      </w:r>
      <w:r>
        <w:rPr>
          <w:rFonts w:ascii="宋体" w:hAnsi="宋体" w:cs="宋体" w:eastAsia="宋体" w:hint="default"/>
        </w:rPr>
        <w:t>11.0205%</w:t>
      </w:r>
      <w:r>
        <w:rPr/>
        <w:t>。</w:t>
      </w:r>
      <w:r>
        <w:rPr>
          <w:rFonts w:ascii="宋体" w:hAnsi="宋体" w:cs="宋体" w:eastAsia="宋体" w:hint="default"/>
        </w:rPr>
        <w:t>2011</w:t>
      </w:r>
      <w:r>
        <w:rPr/>
        <w:t>年内中科白云已完成对广</w:t>
      </w:r>
    </w:p>
    <w:p>
      <w:pPr>
        <w:pStyle w:val="BodyText"/>
        <w:spacing w:line="477" w:lineRule="auto" w:before="54"/>
        <w:ind w:right="111"/>
        <w:jc w:val="both"/>
      </w:pPr>
      <w:r>
        <w:rPr/>
        <w:t>东省广播电视网络股份有限公司（“广东省电视网络公司”）的增资扩股，以人民币</w:t>
      </w:r>
      <w:r>
        <w:rPr>
          <w:rFonts w:ascii="宋体" w:hAnsi="宋体" w:cs="宋体" w:eastAsia="宋体" w:hint="default"/>
        </w:rPr>
        <w:t>1,800,000,000</w:t>
      </w:r>
      <w:r>
        <w:rPr/>
        <w:t>元认购广东省电视网络</w:t>
      </w:r>
      <w:r>
        <w:rPr>
          <w:spacing w:val="-87"/>
        </w:rPr>
        <w:t> </w:t>
      </w:r>
      <w:r>
        <w:rPr>
          <w:spacing w:val="-2"/>
        </w:rPr>
        <w:t>公司新发行的普通股股份</w:t>
      </w:r>
      <w:r>
        <w:rPr>
          <w:rFonts w:ascii="宋体" w:hAnsi="宋体" w:cs="宋体" w:eastAsia="宋体" w:hint="default"/>
          <w:spacing w:val="-2"/>
        </w:rPr>
        <w:t>392,857,066</w:t>
      </w:r>
      <w:r>
        <w:rPr>
          <w:spacing w:val="-2"/>
        </w:rPr>
        <w:t>股。广东省电视网络公司成立于</w:t>
      </w:r>
      <w:r>
        <w:rPr>
          <w:rFonts w:ascii="宋体" w:hAnsi="宋体" w:cs="宋体" w:eastAsia="宋体" w:hint="default"/>
          <w:spacing w:val="-2"/>
        </w:rPr>
        <w:t>2010</w:t>
      </w:r>
      <w:r>
        <w:rPr>
          <w:spacing w:val="-2"/>
        </w:rPr>
        <w:t>年</w:t>
      </w:r>
      <w:r>
        <w:rPr>
          <w:rFonts w:ascii="宋体" w:hAnsi="宋体" w:cs="宋体" w:eastAsia="宋体" w:hint="default"/>
          <w:spacing w:val="-2"/>
        </w:rPr>
        <w:t>6</w:t>
      </w:r>
      <w:r>
        <w:rPr>
          <w:spacing w:val="-2"/>
        </w:rPr>
        <w:t>月，是经广东省委、省政府批准设立的以广播</w:t>
      </w:r>
      <w:r>
        <w:rPr>
          <w:spacing w:val="-54"/>
        </w:rPr>
        <w:t> </w:t>
      </w:r>
      <w:r>
        <w:rPr>
          <w:spacing w:val="-54"/>
        </w:rPr>
      </w:r>
      <w:r>
        <w:rPr/>
        <w:t>电视节目传输为主业的大型现代化有线广电网络运营商，目前广东省电视网络公司正全面推进广东全省广电网络资源整合。</w:t>
      </w:r>
    </w:p>
    <w:p>
      <w:pPr>
        <w:pStyle w:val="BodyText"/>
        <w:spacing w:line="477" w:lineRule="auto" w:before="54"/>
        <w:ind w:left="573" w:right="94"/>
        <w:jc w:val="left"/>
      </w:pPr>
      <w:r>
        <w:rPr/>
        <w:t>（</w:t>
      </w:r>
      <w:r>
        <w:rPr>
          <w:rFonts w:ascii="宋体" w:hAnsi="宋体" w:cs="宋体" w:eastAsia="宋体" w:hint="default"/>
        </w:rPr>
        <w:t>3</w:t>
      </w:r>
      <w:r>
        <w:rPr/>
        <w:t>）北京润佳华商创新投资管理中心（有限合伙）（简称“润佳华商投资中心”） </w:t>
      </w:r>
      <w:r>
        <w:rPr>
          <w:rFonts w:ascii="宋体" w:hAnsi="宋体" w:cs="宋体" w:eastAsia="宋体" w:hint="default"/>
        </w:rPr>
        <w:t>2012</w:t>
      </w:r>
      <w:r>
        <w:rPr/>
        <w:t>年</w:t>
      </w:r>
      <w:r>
        <w:rPr>
          <w:rFonts w:ascii="宋体" w:hAnsi="宋体" w:cs="宋体" w:eastAsia="宋体" w:hint="default"/>
        </w:rPr>
        <w:t>7</w:t>
      </w:r>
      <w:r>
        <w:rPr/>
        <w:t>月，公司对润佳华商投资中心出资</w:t>
      </w:r>
      <w:r>
        <w:rPr>
          <w:rFonts w:ascii="宋体" w:hAnsi="宋体" w:cs="宋体" w:eastAsia="宋体" w:hint="default"/>
        </w:rPr>
        <w:t>6,500</w:t>
      </w:r>
      <w:r>
        <w:rPr/>
        <w:t>万元，专项用于拟上市企业的股权投资。其中，用于长春大力纳米技</w:t>
      </w:r>
    </w:p>
    <w:p>
      <w:pPr>
        <w:pStyle w:val="BodyText"/>
        <w:spacing w:line="477" w:lineRule="auto" w:before="54"/>
        <w:ind w:right="191"/>
        <w:jc w:val="both"/>
      </w:pPr>
      <w:r>
        <w:rPr>
          <w:spacing w:val="-2"/>
        </w:rPr>
        <w:t>术开发有限公司项目的投资金额为</w:t>
      </w:r>
      <w:r>
        <w:rPr>
          <w:rFonts w:ascii="宋体" w:hAnsi="宋体" w:cs="宋体" w:eastAsia="宋体" w:hint="default"/>
          <w:spacing w:val="-2"/>
        </w:rPr>
        <w:t>1,236.84</w:t>
      </w:r>
      <w:r>
        <w:rPr>
          <w:spacing w:val="-2"/>
        </w:rPr>
        <w:t>万元，用于地球卫士环保新材料股份有限公司的投资金额为</w:t>
      </w:r>
      <w:r>
        <w:rPr>
          <w:rFonts w:ascii="宋体" w:hAnsi="宋体" w:cs="宋体" w:eastAsia="宋体" w:hint="default"/>
          <w:spacing w:val="-2"/>
        </w:rPr>
        <w:t>5,263.16</w:t>
      </w:r>
      <w:r>
        <w:rPr>
          <w:spacing w:val="-2"/>
        </w:rPr>
        <w:t>万元。截止</w:t>
      </w:r>
      <w:r>
        <w:rPr>
          <w:spacing w:val="-54"/>
        </w:rPr>
        <w:t> </w:t>
      </w:r>
      <w:r>
        <w:rPr>
          <w:spacing w:val="-54"/>
        </w:rPr>
      </w:r>
      <w:r>
        <w:rPr/>
        <w:t>目前，已完成对上述项目的增资扩股。</w:t>
      </w:r>
    </w:p>
    <w:p>
      <w:pPr>
        <w:spacing w:line="240" w:lineRule="auto" w:before="6"/>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7</w:t>
      </w:r>
      <w:r>
        <w:rPr/>
        <w:t>、公司控制的特殊目的主体情况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公司不存在控制下的特殊目的主体。</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三、公司未来发展的展望</w:t>
      </w:r>
      <w:r>
        <w:rPr>
          <w:b w:val="0"/>
          <w:bCs w:val="0"/>
        </w:rPr>
      </w:r>
    </w:p>
    <w:p>
      <w:pPr>
        <w:spacing w:line="580" w:lineRule="atLeast" w:before="81"/>
        <w:ind w:left="573" w:right="94" w:hanging="149"/>
        <w:jc w:val="left"/>
        <w:rPr>
          <w:rFonts w:ascii="宋体" w:hAnsi="宋体" w:cs="宋体" w:eastAsia="宋体" w:hint="default"/>
          <w:sz w:val="18"/>
          <w:szCs w:val="18"/>
        </w:rPr>
      </w:pPr>
      <w:r>
        <w:rPr>
          <w:rFonts w:ascii="宋体" w:hAnsi="宋体" w:cs="宋体" w:eastAsia="宋体" w:hint="default"/>
          <w:b/>
          <w:bCs/>
          <w:sz w:val="18"/>
          <w:szCs w:val="18"/>
        </w:rPr>
        <w:t>（一）公司所处行业的发展趋势</w:t>
      </w:r>
      <w:r>
        <w:rPr>
          <w:rFonts w:ascii="宋体" w:hAnsi="宋体" w:cs="宋体" w:eastAsia="宋体" w:hint="default"/>
          <w:b/>
          <w:bCs/>
          <w:w w:val="99"/>
          <w:sz w:val="18"/>
          <w:szCs w:val="18"/>
        </w:rPr>
        <w:t> </w:t>
      </w:r>
      <w:r>
        <w:rPr>
          <w:rFonts w:ascii="宋体" w:hAnsi="宋体" w:cs="宋体" w:eastAsia="宋体" w:hint="default"/>
          <w:sz w:val="18"/>
          <w:szCs w:val="18"/>
        </w:rPr>
        <w:t>公司经过多年的业务实践与积累，目前已形成了以运维管理、互联网运营服务为核心，并兼具电子商务、物联网的业</w:t>
      </w:r>
    </w:p>
    <w:p>
      <w:pPr>
        <w:spacing w:line="240" w:lineRule="auto" w:before="11"/>
        <w:rPr>
          <w:rFonts w:ascii="宋体" w:hAnsi="宋体" w:cs="宋体" w:eastAsia="宋体" w:hint="default"/>
          <w:sz w:val="17"/>
          <w:szCs w:val="17"/>
        </w:rPr>
      </w:pPr>
    </w:p>
    <w:p>
      <w:pPr>
        <w:pStyle w:val="BodyText"/>
        <w:spacing w:line="240" w:lineRule="auto"/>
        <w:ind w:right="0"/>
        <w:jc w:val="both"/>
      </w:pPr>
      <w:r>
        <w:rPr/>
        <w:t>务架构。</w:t>
      </w:r>
    </w:p>
    <w:p>
      <w:pPr>
        <w:spacing w:line="240" w:lineRule="auto" w:before="8"/>
        <w:rPr>
          <w:rFonts w:ascii="宋体" w:hAnsi="宋体" w:cs="宋体" w:eastAsia="宋体" w:hint="default"/>
          <w:sz w:val="21"/>
          <w:szCs w:val="21"/>
        </w:rPr>
      </w:pPr>
    </w:p>
    <w:p>
      <w:pPr>
        <w:pStyle w:val="BodyText"/>
        <w:spacing w:line="463" w:lineRule="auto"/>
        <w:ind w:right="193" w:firstLine="420"/>
        <w:jc w:val="both"/>
      </w:pPr>
      <w:r>
        <w:rPr/>
        <w:t>公司运维管理业务，主要向国内电信、金融、能源等行业的大中型企业和政府部门提供</w:t>
      </w:r>
      <w:r>
        <w:rPr>
          <w:rFonts w:ascii="Times New Roman" w:hAnsi="Times New Roman" w:cs="Times New Roman" w:eastAsia="Times New Roman" w:hint="default"/>
        </w:rPr>
        <w:t>IT</w:t>
      </w:r>
      <w:r>
        <w:rPr/>
        <w:t>运维管理的整体解决方案， </w:t>
      </w:r>
      <w:r>
        <w:rPr>
          <w:spacing w:val="-2"/>
        </w:rPr>
        <w:t>涵盖了网络管理、服务流程管理、信息安全管理、面向电信网络的综合网络管理、网络优化管理等方面，在技术、产品等诸</w:t>
      </w:r>
      <w:r>
        <w:rPr>
          <w:spacing w:val="-68"/>
        </w:rPr>
        <w:t> </w:t>
      </w:r>
      <w:r>
        <w:rPr>
          <w:spacing w:val="-68"/>
        </w:rPr>
      </w:r>
      <w:r>
        <w:rPr/>
        <w:t>多方面具有较强的竞争优势，已成为国内领先的运维管理整体解决方案提供商。</w:t>
      </w:r>
    </w:p>
    <w:p>
      <w:pPr>
        <w:pStyle w:val="BodyText"/>
        <w:spacing w:line="477" w:lineRule="auto" w:before="115"/>
        <w:ind w:right="198" w:firstLine="420"/>
        <w:jc w:val="both"/>
      </w:pPr>
      <w:r>
        <w:rPr/>
        <w:t>公司互联网运营服务，是面向有互联网需求的大型组织机构提供相应的包括咨询设计、平台与内容开发、系统实施、 </w:t>
      </w:r>
      <w:r>
        <w:rPr>
          <w:spacing w:val="-1"/>
          <w:w w:val="100"/>
        </w:rPr>
        <w:t>日常运营等在内的全面服务，包括中国移动</w:t>
      </w:r>
      <w:r>
        <w:rPr>
          <w:rFonts w:ascii="Times New Roman" w:hAnsi="Times New Roman" w:cs="Times New Roman" w:eastAsia="Times New Roman" w:hint="default"/>
          <w:spacing w:val="-1"/>
          <w:w w:val="100"/>
        </w:rPr>
        <w:t>―</w:t>
      </w:r>
      <w:r>
        <w:rPr>
          <w:spacing w:val="-1"/>
          <w:w w:val="100"/>
        </w:rPr>
        <w:t>飞信</w:t>
      </w:r>
      <w:r>
        <w:rPr>
          <w:rFonts w:ascii="Times New Roman" w:hAnsi="Times New Roman" w:cs="Times New Roman" w:eastAsia="Times New Roman" w:hint="default"/>
          <w:spacing w:val="-1"/>
          <w:w w:val="100"/>
        </w:rPr>
        <w:t>‖</w:t>
      </w:r>
      <w:r>
        <w:rPr>
          <w:spacing w:val="-1"/>
          <w:w w:val="100"/>
        </w:rPr>
        <w:t>、</w:t>
      </w:r>
      <w:r>
        <w:rPr>
          <w:rFonts w:ascii="Times New Roman" w:hAnsi="Times New Roman" w:cs="Times New Roman" w:eastAsia="Times New Roman" w:hint="default"/>
          <w:spacing w:val="-1"/>
          <w:w w:val="100"/>
        </w:rPr>
        <w:t>―</w:t>
      </w:r>
      <w:r>
        <w:rPr>
          <w:spacing w:val="-1"/>
          <w:w w:val="100"/>
        </w:rPr>
        <w:t>农信通</w:t>
      </w:r>
      <w:r>
        <w:rPr>
          <w:rFonts w:ascii="Times New Roman" w:hAnsi="Times New Roman" w:cs="Times New Roman" w:eastAsia="Times New Roman" w:hint="default"/>
          <w:spacing w:val="-1"/>
          <w:w w:val="100"/>
        </w:rPr>
        <w:t>‖</w:t>
      </w:r>
      <w:r>
        <w:rPr>
          <w:spacing w:val="-1"/>
          <w:w w:val="100"/>
        </w:rPr>
        <w:t>的开发及运营支撑业务。</w:t>
      </w:r>
    </w:p>
    <w:p>
      <w:pPr>
        <w:spacing w:after="0" w:line="477" w:lineRule="auto"/>
        <w:jc w:val="both"/>
        <w:sectPr>
          <w:footerReference w:type="default" r:id="rId19"/>
          <w:pgSz w:w="11910" w:h="16840"/>
          <w:pgMar w:footer="980" w:header="852" w:top="1340" w:bottom="1160" w:left="980" w:right="940"/>
          <w:pgNumType w:start="35"/>
        </w:sectPr>
      </w:pPr>
    </w:p>
    <w:p>
      <w:pPr>
        <w:spacing w:line="240" w:lineRule="auto" w:before="6"/>
        <w:rPr>
          <w:rFonts w:ascii="宋体" w:hAnsi="宋体" w:cs="宋体" w:eastAsia="宋体" w:hint="default"/>
          <w:sz w:val="10"/>
          <w:szCs w:val="10"/>
        </w:rPr>
      </w:pPr>
    </w:p>
    <w:p>
      <w:pPr>
        <w:pStyle w:val="BodyText"/>
        <w:spacing w:line="240" w:lineRule="auto" w:before="44"/>
        <w:ind w:left="573" w:right="94"/>
        <w:jc w:val="left"/>
      </w:pPr>
      <w:r>
        <w:rPr/>
        <w:t>报告期内，公司所处行业仍处于稳步发展阶段，整体竞争格局未发生重大变化。</w:t>
      </w:r>
    </w:p>
    <w:p>
      <w:pPr>
        <w:spacing w:line="240" w:lineRule="auto" w:before="8"/>
        <w:rPr>
          <w:rFonts w:ascii="宋体" w:hAnsi="宋体" w:cs="宋体" w:eastAsia="宋体" w:hint="default"/>
          <w:sz w:val="21"/>
          <w:szCs w:val="21"/>
        </w:rPr>
      </w:pPr>
    </w:p>
    <w:p>
      <w:pPr>
        <w:pStyle w:val="BodyText"/>
        <w:spacing w:line="499" w:lineRule="auto"/>
        <w:ind w:left="573" w:right="94" w:firstLine="2"/>
        <w:jc w:val="left"/>
      </w:pPr>
      <w:r>
        <w:rPr>
          <w:rFonts w:ascii="Times New Roman" w:hAnsi="Times New Roman" w:cs="Times New Roman" w:eastAsia="Times New Roman" w:hint="default"/>
          <w:b/>
          <w:bCs/>
        </w:rPr>
        <w:t>1</w:t>
      </w:r>
      <w:r>
        <w:rPr>
          <w:rFonts w:ascii="宋体" w:hAnsi="宋体" w:cs="宋体" w:eastAsia="宋体" w:hint="default"/>
          <w:b/>
          <w:bCs/>
        </w:rPr>
        <w:t>、运维管理行业发展状况</w:t>
      </w:r>
      <w:r>
        <w:rPr>
          <w:rFonts w:ascii="宋体" w:hAnsi="宋体" w:cs="宋体" w:eastAsia="宋体" w:hint="default"/>
          <w:b/>
          <w:bCs/>
          <w:w w:val="99"/>
        </w:rPr>
        <w:t> </w:t>
      </w:r>
      <w:r>
        <w:rPr/>
        <w:t>运维管理是企业信息化建设的重要组成部分，可以细分为面向</w:t>
      </w:r>
      <w:r>
        <w:rPr>
          <w:rFonts w:ascii="Times New Roman" w:hAnsi="Times New Roman" w:cs="Times New Roman" w:eastAsia="Times New Roman" w:hint="default"/>
        </w:rPr>
        <w:t>IT</w:t>
      </w:r>
      <w:r>
        <w:rPr/>
        <w:t>的</w:t>
      </w:r>
      <w:r>
        <w:rPr>
          <w:rFonts w:ascii="Times New Roman" w:hAnsi="Times New Roman" w:cs="Times New Roman" w:eastAsia="Times New Roman" w:hint="default"/>
        </w:rPr>
        <w:t>BSM</w:t>
      </w:r>
      <w:r>
        <w:rPr/>
        <w:t>领域和面向电信的</w:t>
      </w:r>
      <w:r>
        <w:rPr>
          <w:rFonts w:ascii="Times New Roman" w:hAnsi="Times New Roman" w:cs="Times New Roman" w:eastAsia="Times New Roman" w:hint="default"/>
        </w:rPr>
        <w:t>OSS</w:t>
      </w:r>
      <w:r>
        <w:rPr/>
        <w:t>领域。未来几年，运维</w:t>
      </w:r>
    </w:p>
    <w:p>
      <w:pPr>
        <w:pStyle w:val="BodyText"/>
        <w:spacing w:line="240" w:lineRule="auto" w:before="3"/>
        <w:ind w:left="134" w:right="6932"/>
        <w:jc w:val="center"/>
      </w:pPr>
      <w:r>
        <w:rPr/>
        <w:t>管理行业将继续保持稳步发展态势。</w:t>
      </w:r>
    </w:p>
    <w:p>
      <w:pPr>
        <w:spacing w:line="240" w:lineRule="auto" w:before="6"/>
        <w:rPr>
          <w:rFonts w:ascii="宋体" w:hAnsi="宋体" w:cs="宋体" w:eastAsia="宋体" w:hint="default"/>
          <w:sz w:val="21"/>
          <w:szCs w:val="21"/>
        </w:rPr>
      </w:pPr>
    </w:p>
    <w:p>
      <w:pPr>
        <w:pStyle w:val="BodyText"/>
        <w:spacing w:line="451" w:lineRule="auto"/>
        <w:ind w:right="190" w:firstLine="42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BSM</w:t>
      </w:r>
      <w:r>
        <w:rPr>
          <w:spacing w:val="-2"/>
        </w:rPr>
        <w:t>是企业</w:t>
      </w:r>
      <w:r>
        <w:rPr>
          <w:rFonts w:ascii="Times New Roman" w:hAnsi="Times New Roman" w:cs="Times New Roman" w:eastAsia="Times New Roman" w:hint="default"/>
          <w:spacing w:val="-2"/>
        </w:rPr>
        <w:t>IT</w:t>
      </w:r>
      <w:r>
        <w:rPr>
          <w:spacing w:val="-2"/>
        </w:rPr>
        <w:t>系统建设和运维管理发展的必然趋势，市场规模将保持持续快速增长。随着云计算、云服务以及大</w:t>
      </w:r>
      <w:r>
        <w:rPr/>
        <w:t> 数据的发展需求，必然会对运维管理提出更高的需求。</w:t>
      </w:r>
    </w:p>
    <w:p>
      <w:pPr>
        <w:pStyle w:val="BodyText"/>
        <w:spacing w:line="451" w:lineRule="auto" w:before="124"/>
        <w:ind w:right="103" w:firstLine="420"/>
        <w:jc w:val="both"/>
      </w:pPr>
      <w:r>
        <w:rPr/>
        <w:t>随着互联网、云计算和</w:t>
      </w:r>
      <w:r>
        <w:rPr>
          <w:rFonts w:ascii="Times New Roman" w:hAnsi="Times New Roman" w:cs="Times New Roman" w:eastAsia="Times New Roman" w:hint="default"/>
        </w:rPr>
        <w:t>SOA</w:t>
      </w:r>
      <w:r>
        <w:rPr/>
        <w:t>技术的推广，整个</w:t>
      </w:r>
      <w:r>
        <w:rPr>
          <w:rFonts w:ascii="Times New Roman" w:hAnsi="Times New Roman" w:cs="Times New Roman" w:eastAsia="Times New Roman" w:hint="default"/>
        </w:rPr>
        <w:t>BSM</w:t>
      </w:r>
      <w:r>
        <w:rPr/>
        <w:t>领域面临着技术、业务和管理三个层面的挑战。其中，虚拟化和云 计算技术将推动整个</w:t>
      </w:r>
      <w:r>
        <w:rPr>
          <w:rFonts w:ascii="Times New Roman" w:hAnsi="Times New Roman" w:cs="Times New Roman" w:eastAsia="Times New Roman" w:hint="default"/>
        </w:rPr>
        <w:t>IT</w:t>
      </w:r>
      <w:r>
        <w:rPr/>
        <w:t>基础架构的监控的变革，对于</w:t>
      </w:r>
      <w:r>
        <w:rPr>
          <w:rFonts w:ascii="Times New Roman" w:hAnsi="Times New Roman" w:cs="Times New Roman" w:eastAsia="Times New Roman" w:hint="default"/>
        </w:rPr>
        <w:t>IT</w:t>
      </w:r>
      <w:r>
        <w:rPr/>
        <w:t>资源的动态申请、分配与回收将导致整个</w:t>
      </w:r>
      <w:r>
        <w:rPr>
          <w:rFonts w:ascii="Times New Roman" w:hAnsi="Times New Roman" w:cs="Times New Roman" w:eastAsia="Times New Roman" w:hint="default"/>
        </w:rPr>
        <w:t>IT</w:t>
      </w:r>
      <w:r>
        <w:rPr/>
        <w:t>资源管理的需求面临巨大 的变化；同时，将导致各主要行业</w:t>
      </w:r>
      <w:r>
        <w:rPr>
          <w:rFonts w:ascii="Times New Roman" w:hAnsi="Times New Roman" w:cs="Times New Roman" w:eastAsia="Times New Roman" w:hint="default"/>
        </w:rPr>
        <w:t>IT</w:t>
      </w:r>
      <w:r>
        <w:rPr/>
        <w:t>系统大集中成为必然趋势，从而进一步导致各行业在</w:t>
      </w:r>
      <w:r>
        <w:rPr>
          <w:rFonts w:ascii="Times New Roman" w:hAnsi="Times New Roman" w:cs="Times New Roman" w:eastAsia="Times New Roman" w:hint="default"/>
        </w:rPr>
        <w:t>IT</w:t>
      </w:r>
      <w:r>
        <w:rPr/>
        <w:t>领域中的组织与流程的变革，对 于通过</w:t>
      </w:r>
      <w:r>
        <w:rPr>
          <w:rFonts w:ascii="Times New Roman" w:hAnsi="Times New Roman" w:cs="Times New Roman" w:eastAsia="Times New Roman" w:hint="default"/>
        </w:rPr>
        <w:t>ITSM</w:t>
      </w:r>
      <w:r>
        <w:rPr/>
        <w:t>系统的建设与完善，推动管理流程与生产流程的结合的需求将越来越强烈。互联网行业的快速发展与普及将使</w:t>
      </w:r>
      <w:r>
        <w:rPr>
          <w:spacing w:val="-68"/>
        </w:rPr>
        <w:t> </w:t>
      </w:r>
      <w:r>
        <w:rPr>
          <w:spacing w:val="-68"/>
        </w:rPr>
      </w:r>
      <w:r>
        <w:rPr>
          <w:spacing w:val="-2"/>
        </w:rPr>
        <w:t>得各行业越来越关注用户感知，同时大量采用</w:t>
      </w:r>
      <w:r>
        <w:rPr>
          <w:rFonts w:ascii="Times New Roman" w:hAnsi="Times New Roman" w:cs="Times New Roman" w:eastAsia="Times New Roman" w:hint="default"/>
          <w:spacing w:val="-2"/>
        </w:rPr>
        <w:t>SOA</w:t>
      </w:r>
      <w:r>
        <w:rPr>
          <w:spacing w:val="-2"/>
        </w:rPr>
        <w:t>技术导致应用架构的变革，应用监控和交易监控的市场面临巨大机会；另</w:t>
      </w:r>
      <w:r>
        <w:rPr>
          <w:spacing w:val="-62"/>
        </w:rPr>
        <w:t> </w:t>
      </w:r>
      <w:r>
        <w:rPr>
          <w:spacing w:val="-62"/>
        </w:rPr>
      </w:r>
      <w:r>
        <w:rPr>
          <w:spacing w:val="-3"/>
        </w:rPr>
        <w:t>外，</w:t>
      </w:r>
      <w:r>
        <w:rPr>
          <w:rFonts w:ascii="Times New Roman" w:hAnsi="Times New Roman" w:cs="Times New Roman" w:eastAsia="Times New Roman" w:hint="default"/>
          <w:spacing w:val="-3"/>
        </w:rPr>
        <w:t>IT</w:t>
      </w:r>
      <w:r>
        <w:rPr>
          <w:spacing w:val="-3"/>
        </w:rPr>
        <w:t>系统的自身安全以及敏感数据和敏感操作的安全越来越受到各行业的重视，在</w:t>
      </w:r>
      <w:r>
        <w:rPr>
          <w:rFonts w:ascii="Times New Roman" w:hAnsi="Times New Roman" w:cs="Times New Roman" w:eastAsia="Times New Roman" w:hint="default"/>
          <w:spacing w:val="-3"/>
        </w:rPr>
        <w:t>IT</w:t>
      </w:r>
      <w:r>
        <w:rPr>
          <w:spacing w:val="-3"/>
        </w:rPr>
        <w:t>信息安全方面出现了众多的业务机会。</w:t>
      </w:r>
    </w:p>
    <w:p>
      <w:pPr>
        <w:pStyle w:val="BodyText"/>
        <w:spacing w:line="458" w:lineRule="auto" w:before="94"/>
        <w:ind w:right="191" w:firstLine="420"/>
        <w:jc w:val="both"/>
      </w:pPr>
      <w:r>
        <w:rPr/>
        <w:t>（</w:t>
      </w:r>
      <w:r>
        <w:rPr>
          <w:rFonts w:ascii="Times New Roman" w:hAnsi="Times New Roman" w:cs="Times New Roman" w:eastAsia="Times New Roman" w:hint="default"/>
        </w:rPr>
        <w:t>2</w:t>
      </w:r>
      <w:r>
        <w:rPr/>
        <w:t>）在</w:t>
      </w:r>
      <w:r>
        <w:rPr>
          <w:rFonts w:ascii="Times New Roman" w:hAnsi="Times New Roman" w:cs="Times New Roman" w:eastAsia="Times New Roman" w:hint="default"/>
        </w:rPr>
        <w:t>OSS</w:t>
      </w:r>
      <w:r>
        <w:rPr/>
        <w:t>领域，随着</w:t>
      </w:r>
      <w:r>
        <w:rPr>
          <w:rFonts w:ascii="Times New Roman" w:hAnsi="Times New Roman" w:cs="Times New Roman" w:eastAsia="Times New Roman" w:hint="default"/>
        </w:rPr>
        <w:t>3G</w:t>
      </w:r>
      <w:r>
        <w:rPr/>
        <w:t>网络建设的逐步完善以及</w:t>
      </w:r>
      <w:r>
        <w:rPr>
          <w:rFonts w:ascii="Times New Roman" w:hAnsi="Times New Roman" w:cs="Times New Roman" w:eastAsia="Times New Roman" w:hint="default"/>
        </w:rPr>
        <w:t>4G</w:t>
      </w:r>
      <w:r>
        <w:rPr/>
        <w:t>时代的来临，各种新业务的不断推出以及电信运营商对精细化 </w:t>
      </w:r>
      <w:r>
        <w:rPr>
          <w:spacing w:val="-2"/>
        </w:rPr>
        <w:t>管理的需求加强，如何保障网络质量，如何改善用户感知，如何更好的规划与优化网络，如何更好的调度现有的人力与网络</w:t>
      </w:r>
      <w:r>
        <w:rPr>
          <w:spacing w:val="-64"/>
        </w:rPr>
        <w:t> </w:t>
      </w:r>
      <w:r>
        <w:rPr>
          <w:spacing w:val="-64"/>
        </w:rPr>
      </w:r>
      <w:r>
        <w:rPr/>
        <w:t>资源，成为运营商降本增效的必要手段，都将促使电信运营商对</w:t>
      </w:r>
      <w:r>
        <w:rPr>
          <w:rFonts w:ascii="Times New Roman" w:hAnsi="Times New Roman" w:cs="Times New Roman" w:eastAsia="Times New Roman" w:hint="default"/>
        </w:rPr>
        <w:t>OSS</w:t>
      </w:r>
      <w:r>
        <w:rPr/>
        <w:t>市场提出新的需求，包括</w:t>
      </w:r>
      <w:r>
        <w:rPr>
          <w:rFonts w:ascii="Times New Roman" w:hAnsi="Times New Roman" w:cs="Times New Roman" w:eastAsia="Times New Roman" w:hint="default"/>
        </w:rPr>
        <w:t>3G</w:t>
      </w:r>
      <w:r>
        <w:rPr/>
        <w:t>网络管理系统、服务保障</w:t>
      </w:r>
      <w:r>
        <w:rPr>
          <w:spacing w:val="-13"/>
        </w:rPr>
        <w:t> </w:t>
      </w:r>
      <w:r>
        <w:rPr>
          <w:spacing w:val="-13"/>
        </w:rPr>
      </w:r>
      <w:r>
        <w:rPr/>
        <w:t>系统、网络优化系统与网络优化服务等，</w:t>
      </w:r>
      <w:r>
        <w:rPr>
          <w:rFonts w:ascii="Times New Roman" w:hAnsi="Times New Roman" w:cs="Times New Roman" w:eastAsia="Times New Roman" w:hint="default"/>
        </w:rPr>
        <w:t>OSS</w:t>
      </w:r>
      <w:r>
        <w:rPr/>
        <w:t>市场的需求将处于持续增长阶段。</w:t>
      </w:r>
    </w:p>
    <w:p>
      <w:pPr>
        <w:pStyle w:val="BodyText"/>
        <w:spacing w:line="477" w:lineRule="auto" w:before="88"/>
        <w:ind w:right="94" w:firstLine="420"/>
        <w:jc w:val="left"/>
      </w:pPr>
      <w:r>
        <w:rPr>
          <w:spacing w:val="-2"/>
        </w:rPr>
        <w:t>其中，跨专业、跨网络、大容量的综合监控成为运营商的必然选择；以客户为中心、一站式服务和前后端贯穿的策略，</w:t>
      </w:r>
      <w:r>
        <w:rPr/>
        <w:t> </w:t>
      </w:r>
      <w:r>
        <w:rPr>
          <w:spacing w:val="-2"/>
        </w:rPr>
        <w:t>要求运营商跨部门、跨地域、跨专业间的协作与指挥调度与协同工作，因此在运维流程方面的改造与优化成为运营商的必然</w:t>
      </w:r>
      <w:r>
        <w:rPr>
          <w:spacing w:val="-65"/>
        </w:rPr>
        <w:t> </w:t>
      </w:r>
      <w:r>
        <w:rPr>
          <w:spacing w:val="-65"/>
        </w:rPr>
      </w:r>
      <w:r>
        <w:rPr/>
        <w:t>选择；</w:t>
      </w:r>
    </w:p>
    <w:p>
      <w:pPr>
        <w:pStyle w:val="BodyText"/>
        <w:spacing w:line="477" w:lineRule="auto" w:before="104"/>
        <w:ind w:right="198" w:firstLine="420"/>
        <w:jc w:val="both"/>
      </w:pPr>
      <w:r>
        <w:rPr/>
        <w:t>运营商核心网络与业务方面的安全管理需求越来越受到各层领导的关注与重视；为了节约人力成本，降低重复劳动， 运营商越来越关注自动化技术，随着</w:t>
      </w:r>
      <w:r>
        <w:rPr>
          <w:rFonts w:ascii="Times New Roman" w:hAnsi="Times New Roman" w:cs="Times New Roman" w:eastAsia="Times New Roman" w:hint="default"/>
        </w:rPr>
        <w:t>SON</w:t>
      </w:r>
      <w:r>
        <w:rPr/>
        <w:t>（自优化网络）理念的提出，在网络自动化和业务自动化方面具备广阔的前景。</w:t>
      </w:r>
    </w:p>
    <w:p>
      <w:pPr>
        <w:pStyle w:val="BodyText"/>
        <w:spacing w:line="451" w:lineRule="auto" w:before="72"/>
        <w:ind w:right="129" w:firstLine="420"/>
        <w:jc w:val="both"/>
      </w:pPr>
      <w:r>
        <w:rPr/>
        <w:t>通过对网管数据、拨测数据、路测数据、</w:t>
      </w:r>
      <w:r>
        <w:rPr>
          <w:rFonts w:ascii="Times New Roman" w:hAnsi="Times New Roman" w:cs="Times New Roman" w:eastAsia="Times New Roman" w:hint="default"/>
        </w:rPr>
        <w:t>MR</w:t>
      </w:r>
      <w:r>
        <w:rPr/>
        <w:t>数据、信令数据的联合分析，改善用户感知、网络结构、支持经营策略、 多网协同、流量经营，运营商对数据消费的需求越来越迫切，因此，在综合分析市场蕴含巨大商机。</w:t>
      </w:r>
    </w:p>
    <w:p>
      <w:pPr>
        <w:pStyle w:val="BodyText"/>
        <w:spacing w:line="458" w:lineRule="auto" w:before="122"/>
        <w:ind w:right="191" w:firstLine="420"/>
        <w:jc w:val="both"/>
      </w:pPr>
      <w:r>
        <w:rPr>
          <w:spacing w:val="-1"/>
        </w:rPr>
        <w:t>对于无线网络优化方面，未来几年，伴随不断完善的</w:t>
      </w:r>
      <w:r>
        <w:rPr>
          <w:rFonts w:ascii="Times New Roman" w:hAnsi="Times New Roman" w:cs="Times New Roman" w:eastAsia="Times New Roman" w:hint="default"/>
          <w:spacing w:val="-1"/>
        </w:rPr>
        <w:t>3G</w:t>
      </w:r>
      <w:r>
        <w:rPr>
          <w:spacing w:val="-1"/>
        </w:rPr>
        <w:t>网络规模建设以及现有的</w:t>
      </w:r>
      <w:r>
        <w:rPr>
          <w:rFonts w:ascii="Times New Roman" w:hAnsi="Times New Roman" w:cs="Times New Roman" w:eastAsia="Times New Roman" w:hint="default"/>
          <w:spacing w:val="-1"/>
        </w:rPr>
        <w:t>2G</w:t>
      </w:r>
      <w:r>
        <w:rPr>
          <w:spacing w:val="-1"/>
        </w:rPr>
        <w:t>网络规模，数据业务在无线网络上</w:t>
      </w:r>
      <w:r>
        <w:rPr/>
        <w:t> </w:t>
      </w:r>
      <w:r>
        <w:rPr>
          <w:spacing w:val="-2"/>
        </w:rPr>
        <w:t>的快速增长，终端用户对无线网络的运营质量提出了更高的要求，运营商更加注重用户维系、营销和品牌建设，对网络质量</w:t>
      </w:r>
      <w:r>
        <w:rPr>
          <w:spacing w:val="-64"/>
        </w:rPr>
        <w:t> </w:t>
      </w:r>
      <w:r>
        <w:rPr>
          <w:spacing w:val="-64"/>
        </w:rPr>
      </w:r>
      <w:r>
        <w:rPr/>
        <w:t>的持续性保障和投入度进一步提升，对无线网络优化产品及服务需求将保持较快增长，据</w:t>
      </w:r>
      <w:r>
        <w:rPr>
          <w:rFonts w:ascii="Times New Roman" w:hAnsi="Times New Roman" w:cs="Times New Roman" w:eastAsia="Times New Roman" w:hint="default"/>
        </w:rPr>
        <w:t>CCID</w:t>
      </w:r>
      <w:r>
        <w:rPr/>
        <w:t>预测，到</w:t>
      </w:r>
      <w:r>
        <w:rPr>
          <w:rFonts w:ascii="Times New Roman" w:hAnsi="Times New Roman" w:cs="Times New Roman" w:eastAsia="Times New Roman" w:hint="default"/>
        </w:rPr>
        <w:t>2013</w:t>
      </w:r>
      <w:r>
        <w:rPr/>
        <w:t>年，国内通信</w:t>
      </w:r>
      <w:r>
        <w:rPr>
          <w:spacing w:val="-68"/>
        </w:rPr>
        <w:t> </w:t>
      </w:r>
      <w:r>
        <w:rPr>
          <w:spacing w:val="-68"/>
        </w:rPr>
      </w:r>
      <w:r>
        <w:rPr/>
        <w:t>网络优化市场规模预计超过</w:t>
      </w:r>
      <w:r>
        <w:rPr>
          <w:rFonts w:ascii="Times New Roman" w:hAnsi="Times New Roman" w:cs="Times New Roman" w:eastAsia="Times New Roman" w:hint="default"/>
        </w:rPr>
        <w:t>350</w:t>
      </w:r>
      <w:r>
        <w:rPr/>
        <w:t>亿元。</w:t>
      </w:r>
    </w:p>
    <w:p>
      <w:pPr>
        <w:pStyle w:val="Heading5"/>
        <w:spacing w:line="240" w:lineRule="auto" w:before="87"/>
        <w:ind w:left="575" w:right="94"/>
        <w:jc w:val="left"/>
        <w:rPr>
          <w:b w:val="0"/>
          <w:bCs w:val="0"/>
        </w:rPr>
      </w:pPr>
      <w:r>
        <w:rPr>
          <w:rFonts w:ascii="Times New Roman" w:hAnsi="Times New Roman" w:cs="Times New Roman" w:eastAsia="Times New Roman" w:hint="default"/>
        </w:rPr>
        <w:t>2</w:t>
      </w:r>
      <w:r>
        <w:rPr/>
        <w:t>、移动互联网发展趋势</w:t>
      </w:r>
      <w:r>
        <w:rPr>
          <w:b w:val="0"/>
          <w:bCs w:val="0"/>
        </w:rPr>
      </w:r>
    </w:p>
    <w:p>
      <w:pPr>
        <w:spacing w:after="0" w:line="240" w:lineRule="auto"/>
        <w:jc w:val="left"/>
        <w:sectPr>
          <w:pgSz w:w="11910" w:h="16840"/>
          <w:pgMar w:header="852" w:footer="980" w:top="1340" w:bottom="1160" w:left="980" w:right="940"/>
        </w:sectPr>
      </w:pPr>
    </w:p>
    <w:p>
      <w:pPr>
        <w:spacing w:line="240" w:lineRule="auto" w:before="6"/>
        <w:rPr>
          <w:rFonts w:ascii="宋体" w:hAnsi="宋体" w:cs="宋体" w:eastAsia="宋体" w:hint="default"/>
          <w:b/>
          <w:bCs/>
          <w:sz w:val="10"/>
          <w:szCs w:val="10"/>
        </w:rPr>
      </w:pPr>
    </w:p>
    <w:p>
      <w:pPr>
        <w:pStyle w:val="BodyText"/>
        <w:spacing w:line="458" w:lineRule="auto" w:before="44"/>
        <w:ind w:right="94" w:firstLine="420"/>
        <w:jc w:val="left"/>
      </w:pPr>
      <w:r>
        <w:rPr>
          <w:spacing w:val="-3"/>
        </w:rPr>
        <w:t>根据中国互联网络信息中心（</w:t>
      </w:r>
      <w:r>
        <w:rPr>
          <w:rFonts w:ascii="Times New Roman" w:hAnsi="Times New Roman" w:cs="Times New Roman" w:eastAsia="Times New Roman" w:hint="default"/>
          <w:spacing w:val="-3"/>
        </w:rPr>
        <w:t>CNNIC</w:t>
      </w:r>
      <w:r>
        <w:rPr>
          <w:spacing w:val="-3"/>
        </w:rPr>
        <w:t>）调查显示，截至</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月底，中国手机网民规模达到</w:t>
      </w:r>
      <w:r>
        <w:rPr>
          <w:rFonts w:ascii="Times New Roman" w:hAnsi="Times New Roman" w:cs="Times New Roman" w:eastAsia="Times New Roman" w:hint="default"/>
          <w:spacing w:val="-3"/>
        </w:rPr>
        <w:t>3.56</w:t>
      </w:r>
      <w:r>
        <w:rPr>
          <w:spacing w:val="-3"/>
        </w:rPr>
        <w:t>亿，同比增长</w:t>
      </w:r>
      <w:r>
        <w:rPr>
          <w:rFonts w:ascii="Times New Roman" w:hAnsi="Times New Roman" w:cs="Times New Roman" w:eastAsia="Times New Roman" w:hint="default"/>
          <w:spacing w:val="-3"/>
        </w:rPr>
        <w:t>17.5%</w:t>
      </w:r>
      <w:r>
        <w:rPr>
          <w:spacing w:val="-3"/>
        </w:rPr>
        <w:t>，</w:t>
      </w:r>
      <w:r>
        <w:rPr>
          <w:w w:val="99"/>
        </w:rPr>
        <w:t> </w:t>
      </w:r>
      <w:r>
        <w:rPr/>
        <w:t>其中，智能手机网民规模达到</w:t>
      </w:r>
      <w:r>
        <w:rPr>
          <w:rFonts w:ascii="Times New Roman" w:hAnsi="Times New Roman" w:cs="Times New Roman" w:eastAsia="Times New Roman" w:hint="default"/>
        </w:rPr>
        <w:t>1.9</w:t>
      </w:r>
      <w:r>
        <w:rPr/>
        <w:t>亿，渗透率达到</w:t>
      </w:r>
      <w:r>
        <w:rPr>
          <w:rFonts w:ascii="Times New Roman" w:hAnsi="Times New Roman" w:cs="Times New Roman" w:eastAsia="Times New Roman" w:hint="default"/>
        </w:rPr>
        <w:t>53.4%</w:t>
      </w:r>
      <w:r>
        <w:rPr/>
        <w:t>。 </w:t>
      </w:r>
      <w:r>
        <w:rPr>
          <w:rFonts w:ascii="Times New Roman" w:hAnsi="Times New Roman" w:cs="Times New Roman" w:eastAsia="Times New Roman" w:hint="default"/>
        </w:rPr>
        <w:t>2011</w:t>
      </w:r>
      <w:r>
        <w:rPr/>
        <w:t>年，总体手机应用发展状况良好。总体呈现出交流沟通类应</w:t>
      </w:r>
      <w:r>
        <w:rPr>
          <w:spacing w:val="-63"/>
        </w:rPr>
        <w:t> </w:t>
      </w:r>
      <w:r>
        <w:rPr>
          <w:spacing w:val="-63"/>
        </w:rPr>
      </w:r>
      <w:r>
        <w:rPr>
          <w:spacing w:val="-2"/>
        </w:rPr>
        <w:t>用与信息获取类应用领先发展，娱乐与商务类应用发展相对缓慢的特点。其中，手机即时通信和手机微博作为交流沟通类应</w:t>
      </w:r>
      <w:r>
        <w:rPr>
          <w:spacing w:val="-67"/>
        </w:rPr>
        <w:t> </w:t>
      </w:r>
      <w:r>
        <w:rPr>
          <w:spacing w:val="-67"/>
        </w:rPr>
      </w:r>
      <w:r>
        <w:rPr/>
        <w:t>用的代表，是现阶段推动移动互联网发展的主流应用。</w:t>
      </w:r>
    </w:p>
    <w:p>
      <w:pPr>
        <w:pStyle w:val="BodyText"/>
        <w:spacing w:line="470" w:lineRule="auto" w:before="119"/>
        <w:ind w:right="188" w:firstLine="420"/>
        <w:jc w:val="both"/>
      </w:pPr>
      <w:r>
        <w:rPr/>
        <w:t>移动互联网将成为未来十年的发展趋势，发展环境将更加成熟，众多传统互联网企业纷纷加入移动互联网战场，积极 </w:t>
      </w:r>
      <w:r>
        <w:rPr>
          <w:spacing w:val="-2"/>
        </w:rPr>
        <w:t>布局，大量创新应用将大量涌现，盈利模式更加多样化，未来几年用户规模是未来企业能够获得移动互联网市场先机的关键</w:t>
      </w:r>
      <w:r>
        <w:rPr>
          <w:spacing w:val="-66"/>
        </w:rPr>
        <w:t> </w:t>
      </w:r>
      <w:r>
        <w:rPr>
          <w:spacing w:val="-66"/>
        </w:rPr>
      </w:r>
      <w:r>
        <w:rPr>
          <w:spacing w:val="-2"/>
        </w:rPr>
        <w:t>性因素，因此用户接触移动互联网的渠道成为竞争的焦点所在，移动互联网的入口之争更加激烈，浏览器、智能终端、操作</w:t>
      </w:r>
      <w:r>
        <w:rPr>
          <w:spacing w:val="-65"/>
        </w:rPr>
        <w:t> </w:t>
      </w:r>
      <w:r>
        <w:rPr>
          <w:spacing w:val="-65"/>
        </w:rPr>
      </w:r>
      <w:r>
        <w:rPr/>
        <w:t>系统、移动</w:t>
      </w:r>
      <w:r>
        <w:rPr>
          <w:rFonts w:ascii="Times New Roman" w:hAnsi="Times New Roman" w:cs="Times New Roman" w:eastAsia="Times New Roman" w:hint="default"/>
          <w:w w:val="99"/>
        </w:rPr>
        <w:t>IM</w:t>
      </w:r>
      <w:r>
        <w:rPr/>
        <w:t>将成为主战场</w:t>
      </w:r>
      <w:r>
        <w:rPr>
          <w:spacing w:val="-3"/>
        </w:rPr>
        <w:t>。</w:t>
      </w:r>
      <w:r>
        <w:rPr/>
        <w:t>同时，各大互联网公司和移动运营商将进一步布局云计算，移动互联网中</w:t>
      </w:r>
      <w:r>
        <w:rPr>
          <w:spacing w:val="1"/>
        </w:rPr>
        <w:t>的</w:t>
      </w:r>
      <w:r>
        <w:rPr>
          <w:rFonts w:ascii="Times New Roman" w:hAnsi="Times New Roman" w:cs="Times New Roman" w:eastAsia="Times New Roman" w:hint="default"/>
          <w:spacing w:val="-1"/>
          <w:w w:val="44"/>
        </w:rPr>
        <w:t>―</w:t>
      </w:r>
      <w:r>
        <w:rPr/>
        <w:t>云应用</w:t>
      </w:r>
      <w:r>
        <w:rPr>
          <w:rFonts w:ascii="Times New Roman" w:hAnsi="Times New Roman" w:cs="Times New Roman" w:eastAsia="Times New Roman" w:hint="default"/>
          <w:spacing w:val="-1"/>
          <w:w w:val="158"/>
        </w:rPr>
        <w:t>‖</w:t>
      </w:r>
      <w:r>
        <w:rPr/>
        <w:t>、</w:t>
      </w:r>
      <w:r>
        <w:rPr>
          <w:rFonts w:ascii="Times New Roman" w:hAnsi="Times New Roman" w:cs="Times New Roman" w:eastAsia="Times New Roman" w:hint="default"/>
          <w:spacing w:val="-1"/>
          <w:w w:val="44"/>
        </w:rPr>
        <w:t>―</w:t>
      </w:r>
      <w:r>
        <w:rPr>
          <w:spacing w:val="2"/>
        </w:rPr>
        <w:t>云服 </w:t>
      </w:r>
      <w:r>
        <w:rPr>
          <w:spacing w:val="-1"/>
          <w:w w:val="104"/>
        </w:rPr>
        <w:t>务</w:t>
      </w:r>
      <w:r>
        <w:rPr>
          <w:rFonts w:ascii="Times New Roman" w:hAnsi="Times New Roman" w:cs="Times New Roman" w:eastAsia="Times New Roman" w:hint="default"/>
          <w:spacing w:val="-1"/>
          <w:w w:val="104"/>
        </w:rPr>
        <w:t>‖</w:t>
      </w:r>
      <w:r>
        <w:rPr>
          <w:spacing w:val="-1"/>
          <w:w w:val="104"/>
        </w:rPr>
        <w:t>、</w:t>
      </w:r>
      <w:r>
        <w:rPr>
          <w:rFonts w:ascii="Times New Roman" w:hAnsi="Times New Roman" w:cs="Times New Roman" w:eastAsia="Times New Roman" w:hint="default"/>
          <w:spacing w:val="-1"/>
          <w:w w:val="104"/>
        </w:rPr>
        <w:t>―</w:t>
      </w:r>
      <w:r>
        <w:rPr>
          <w:spacing w:val="-1"/>
          <w:w w:val="104"/>
        </w:rPr>
        <w:t>云终端</w:t>
      </w:r>
      <w:r>
        <w:rPr>
          <w:rFonts w:ascii="Times New Roman" w:hAnsi="Times New Roman" w:cs="Times New Roman" w:eastAsia="Times New Roman" w:hint="default"/>
          <w:spacing w:val="-1"/>
          <w:w w:val="104"/>
        </w:rPr>
        <w:t>‖</w:t>
      </w:r>
      <w:r>
        <w:rPr>
          <w:spacing w:val="-1"/>
          <w:w w:val="104"/>
        </w:rPr>
        <w:t>等将不断涌现。</w:t>
      </w:r>
    </w:p>
    <w:p>
      <w:pPr>
        <w:pStyle w:val="Heading5"/>
        <w:spacing w:line="451" w:lineRule="auto" w:before="78"/>
        <w:ind w:right="191" w:firstLine="422"/>
        <w:jc w:val="both"/>
        <w:rPr>
          <w:b w:val="0"/>
          <w:bCs w:val="0"/>
        </w:rPr>
      </w:pPr>
      <w:r>
        <w:rPr/>
        <w:t>结合移动互联网发展趋势，中国移动提出了</w:t>
      </w:r>
      <w:r>
        <w:rPr>
          <w:rFonts w:ascii="Times New Roman" w:hAnsi="Times New Roman" w:cs="Times New Roman" w:eastAsia="Times New Roman" w:hint="default"/>
        </w:rPr>
        <w:t>“</w:t>
      </w:r>
      <w:r>
        <w:rPr/>
        <w:t>构建智能管道、搭建开放平台、打造特色服务、展现友好界面</w:t>
      </w:r>
      <w:r>
        <w:rPr>
          <w:rFonts w:ascii="Times New Roman" w:hAnsi="Times New Roman" w:cs="Times New Roman" w:eastAsia="Times New Roman" w:hint="default"/>
        </w:rPr>
        <w:t>”</w:t>
      </w:r>
      <w:r>
        <w:rPr/>
        <w:t>的移动互</w:t>
      </w:r>
      <w:r>
        <w:rPr>
          <w:w w:val="99"/>
        </w:rPr>
        <w:t> </w:t>
      </w:r>
      <w:r>
        <w:rPr/>
        <w:t>联网发展策略，积极推动移动互联网发展，飞信将在其中扮演着非常重要的作用和地位。</w:t>
      </w:r>
      <w:r>
        <w:rPr>
          <w:b w:val="0"/>
          <w:bCs w:val="0"/>
        </w:rPr>
      </w:r>
    </w:p>
    <w:p>
      <w:pPr>
        <w:spacing w:line="499" w:lineRule="auto" w:before="122"/>
        <w:ind w:left="573" w:right="94"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、农村移动互联网发展趋势</w:t>
      </w:r>
      <w:r>
        <w:rPr>
          <w:rFonts w:ascii="宋体" w:hAnsi="宋体" w:cs="宋体" w:eastAsia="宋体" w:hint="default"/>
          <w:b/>
          <w:bCs/>
          <w:w w:val="99"/>
          <w:sz w:val="18"/>
          <w:szCs w:val="18"/>
        </w:rPr>
        <w:t> </w:t>
      </w:r>
      <w:r>
        <w:rPr>
          <w:rFonts w:ascii="宋体" w:hAnsi="宋体" w:cs="宋体" w:eastAsia="宋体" w:hint="default"/>
          <w:sz w:val="18"/>
          <w:szCs w:val="18"/>
        </w:rPr>
        <w:t>手机已经成为农村网民上网的有益补充，成为广大农民接触和使用互联网的重要平台。在手机日益普及的条件下，手</w:t>
      </w:r>
    </w:p>
    <w:p>
      <w:pPr>
        <w:pStyle w:val="BodyText"/>
        <w:spacing w:line="477" w:lineRule="auto" w:before="38"/>
        <w:ind w:right="94"/>
        <w:jc w:val="left"/>
      </w:pPr>
      <w:r>
        <w:rPr>
          <w:spacing w:val="-4"/>
        </w:rPr>
        <w:t>机数据业务和手机上网，成为新农村建设的重要手段。随着中国农村互联网的快速发展，农村网民对互联网的使用逐步加深，</w:t>
      </w:r>
      <w:r>
        <w:rPr>
          <w:spacing w:val="-44"/>
        </w:rPr>
        <w:t> </w:t>
      </w:r>
      <w:r>
        <w:rPr>
          <w:spacing w:val="-44"/>
        </w:rPr>
      </w:r>
      <w:r>
        <w:rPr>
          <w:spacing w:val="-2"/>
        </w:rPr>
        <w:t>互联网对农民的生产和生活都将带来深刻的影响。伴随着智能手机规模化后成本的降低，智能手机在农村市场的普遍应用是</w:t>
      </w:r>
      <w:r>
        <w:rPr>
          <w:spacing w:val="-64"/>
        </w:rPr>
        <w:t> </w:t>
      </w:r>
      <w:r>
        <w:rPr>
          <w:spacing w:val="-64"/>
        </w:rPr>
      </w:r>
      <w:r>
        <w:rPr/>
        <w:t>必然的趋势，这必将对三农信息服务的内容提出强大的需求。</w:t>
      </w:r>
    </w:p>
    <w:p>
      <w:pPr>
        <w:pStyle w:val="BodyText"/>
        <w:spacing w:line="470" w:lineRule="auto" w:before="104"/>
        <w:ind w:right="94" w:firstLine="420"/>
        <w:jc w:val="left"/>
      </w:pPr>
      <w:r>
        <w:rPr/>
        <w:t>电信运营商应结合农村居民和网民的结构特征，有针对性地为广大农民的生产和生活提供信息服务，以手机为载体， 为农民提供政策法规、农业科技、价格行情、市场供求等信息，使农民在使用过程中真实地体会到互联网信息带来的价值， 提高农民使用手机上网的需求和积极性，使互联网信息在中国</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亿多农民的生产和生活中发挥作用，这也是中国农村信息化 </w:t>
      </w:r>
      <w:r>
        <w:rPr>
          <w:spacing w:val="-2"/>
        </w:rPr>
        <w:t>的真正意义所在。农村信息服务市场将会成为中国互联网快速增长的新动力。中国移动农村信息网业务尚处于发展初期，未</w:t>
      </w:r>
      <w:r>
        <w:rPr>
          <w:spacing w:val="-63"/>
        </w:rPr>
        <w:t> </w:t>
      </w:r>
      <w:r>
        <w:rPr>
          <w:spacing w:val="-63"/>
        </w:rPr>
      </w:r>
      <w:r>
        <w:rPr/>
        <w:t>来有着很大的发展空间。</w:t>
      </w:r>
    </w:p>
    <w:p>
      <w:pPr>
        <w:pStyle w:val="Heading5"/>
        <w:spacing w:line="240" w:lineRule="auto" w:before="110"/>
        <w:ind w:left="470" w:right="94"/>
        <w:jc w:val="left"/>
        <w:rPr>
          <w:b w:val="0"/>
          <w:bCs w:val="0"/>
        </w:rPr>
      </w:pPr>
      <w:r>
        <w:rPr/>
        <w:t>（二）公司面临的市场格局</w:t>
      </w:r>
      <w:r>
        <w:rPr>
          <w:b w:val="0"/>
          <w:bCs w:val="0"/>
        </w:rPr>
      </w:r>
    </w:p>
    <w:p>
      <w:pPr>
        <w:spacing w:line="240" w:lineRule="auto" w:before="8"/>
        <w:rPr>
          <w:rFonts w:ascii="宋体" w:hAnsi="宋体" w:cs="宋体" w:eastAsia="宋体" w:hint="default"/>
          <w:b/>
          <w:bCs/>
          <w:sz w:val="21"/>
          <w:szCs w:val="21"/>
        </w:rPr>
      </w:pPr>
    </w:p>
    <w:p>
      <w:pPr>
        <w:pStyle w:val="BodyText"/>
        <w:spacing w:line="451" w:lineRule="auto"/>
        <w:ind w:right="138" w:firstLine="420"/>
        <w:jc w:val="both"/>
      </w:pPr>
      <w:r>
        <w:rPr>
          <w:rFonts w:ascii="Times New Roman" w:hAnsi="Times New Roman" w:cs="Times New Roman" w:eastAsia="Times New Roman" w:hint="default"/>
        </w:rPr>
        <w:t>1</w:t>
      </w:r>
      <w:r>
        <w:rPr/>
        <w:t>、近几年，随着国内信息化建设的不断深入，</w:t>
      </w:r>
      <w:r>
        <w:rPr>
          <w:rFonts w:ascii="Times New Roman" w:hAnsi="Times New Roman" w:cs="Times New Roman" w:eastAsia="Times New Roman" w:hint="default"/>
        </w:rPr>
        <w:t>BSM</w:t>
      </w:r>
      <w:r>
        <w:rPr/>
        <w:t>解决方案市场继续保持了高速的发展，市场主要参与者包括</w:t>
      </w:r>
      <w:r>
        <w:rPr>
          <w:rFonts w:ascii="Times New Roman" w:hAnsi="Times New Roman" w:cs="Times New Roman" w:eastAsia="Times New Roman" w:hint="default"/>
        </w:rPr>
        <w:t>IBM</w:t>
      </w:r>
      <w:r>
        <w:rPr/>
        <w:t>、 </w:t>
      </w:r>
      <w:r>
        <w:rPr>
          <w:rFonts w:ascii="Times New Roman" w:hAnsi="Times New Roman" w:cs="Times New Roman" w:eastAsia="Times New Roman" w:hint="default"/>
        </w:rPr>
        <w:t>HP</w:t>
      </w:r>
      <w:r>
        <w:rPr/>
        <w:t>等国际软件厂商、国内</w:t>
      </w:r>
      <w:r>
        <w:rPr>
          <w:rFonts w:ascii="Times New Roman" w:hAnsi="Times New Roman" w:cs="Times New Roman" w:eastAsia="Times New Roman" w:hint="default"/>
        </w:rPr>
        <w:t>BSM</w:t>
      </w:r>
      <w:r>
        <w:rPr/>
        <w:t>解决方案提供商、国内行业应用解决系统集成商、网管软件厂商等，在</w:t>
      </w:r>
      <w:r>
        <w:rPr>
          <w:rFonts w:ascii="Times New Roman" w:hAnsi="Times New Roman" w:cs="Times New Roman" w:eastAsia="Times New Roman" w:hint="default"/>
        </w:rPr>
        <w:t>BSM</w:t>
      </w:r>
      <w:r>
        <w:rPr/>
        <w:t>市场的发展过程</w:t>
      </w:r>
      <w:r>
        <w:rPr>
          <w:spacing w:val="-85"/>
        </w:rPr>
        <w:t> </w:t>
      </w:r>
      <w:r>
        <w:rPr/>
        <w:t>中，分别在不同的细分市场领域进行激烈的竞争。</w:t>
      </w:r>
    </w:p>
    <w:p>
      <w:pPr>
        <w:pStyle w:val="BodyText"/>
        <w:spacing w:line="451" w:lineRule="auto" w:before="124"/>
        <w:ind w:right="190" w:firstLine="420"/>
        <w:jc w:val="both"/>
      </w:pPr>
      <w:r>
        <w:rPr>
          <w:rFonts w:ascii="Times New Roman" w:hAnsi="Times New Roman" w:cs="Times New Roman" w:eastAsia="Times New Roman" w:hint="default"/>
        </w:rPr>
        <w:t>2</w:t>
      </w:r>
      <w:r>
        <w:rPr/>
        <w:t>、国内</w:t>
      </w:r>
      <w:r>
        <w:rPr>
          <w:rFonts w:ascii="Times New Roman" w:hAnsi="Times New Roman" w:cs="Times New Roman" w:eastAsia="Times New Roman" w:hint="default"/>
        </w:rPr>
        <w:t>OSS</w:t>
      </w:r>
      <w:r>
        <w:rPr/>
        <w:t>市场中，本土厂商占据着市场主导地位，国际厂商的市场份额较小，其主要原因是国际厂商的</w:t>
      </w:r>
      <w:r>
        <w:rPr>
          <w:rFonts w:ascii="Times New Roman" w:hAnsi="Times New Roman" w:cs="Times New Roman" w:eastAsia="Times New Roman" w:hint="default"/>
        </w:rPr>
        <w:t>OSS</w:t>
      </w:r>
      <w:r>
        <w:rPr/>
        <w:t>产品未 </w:t>
      </w:r>
      <w:r>
        <w:rPr>
          <w:spacing w:val="-1"/>
        </w:rPr>
        <w:t>能较好地适应我国电信行业的特点，而国内的</w:t>
      </w:r>
      <w:r>
        <w:rPr>
          <w:rFonts w:ascii="Times New Roman" w:hAnsi="Times New Roman" w:cs="Times New Roman" w:eastAsia="Times New Roman" w:hint="default"/>
          <w:spacing w:val="-1"/>
        </w:rPr>
        <w:t>OSS</w:t>
      </w:r>
      <w:r>
        <w:rPr>
          <w:spacing w:val="-1"/>
        </w:rPr>
        <w:t>厂商具有完整的自主研发能力和丰富的电信运维管理经验，且在人力成本</w:t>
      </w:r>
      <w:r>
        <w:rPr>
          <w:spacing w:val="-88"/>
        </w:rPr>
        <w:t> </w:t>
      </w:r>
      <w:r>
        <w:rPr>
          <w:spacing w:val="-88"/>
        </w:rPr>
      </w:r>
      <w:r>
        <w:rPr>
          <w:spacing w:val="-1"/>
        </w:rPr>
        <w:t>方面占据较大的优势。国内</w:t>
      </w:r>
      <w:r>
        <w:rPr>
          <w:rFonts w:ascii="Times New Roman" w:hAnsi="Times New Roman" w:cs="Times New Roman" w:eastAsia="Times New Roman" w:hint="default"/>
          <w:spacing w:val="-1"/>
        </w:rPr>
        <w:t>OSS</w:t>
      </w:r>
      <w:r>
        <w:rPr>
          <w:spacing w:val="-1"/>
        </w:rPr>
        <w:t>市场是一个充分竞争的市场，公司在产品和服务方面会面临来自不同竞争对手的竞争，在各</w:t>
      </w:r>
      <w:r>
        <w:rPr>
          <w:spacing w:val="-86"/>
        </w:rPr>
        <w:t> </w:t>
      </w:r>
      <w:r>
        <w:rPr>
          <w:spacing w:val="-86"/>
        </w:rPr>
      </w:r>
      <w:r>
        <w:rPr>
          <w:spacing w:val="-2"/>
        </w:rPr>
        <w:t>自细分市场中具有较强的竞争优势。面对</w:t>
      </w:r>
      <w:r>
        <w:rPr>
          <w:rFonts w:ascii="Times New Roman" w:hAnsi="Times New Roman" w:cs="Times New Roman" w:eastAsia="Times New Roman" w:hint="default"/>
          <w:spacing w:val="-2"/>
        </w:rPr>
        <w:t>3G</w:t>
      </w:r>
      <w:r>
        <w:rPr>
          <w:spacing w:val="-2"/>
        </w:rPr>
        <w:t>网络建设所带来的新兴</w:t>
      </w:r>
      <w:r>
        <w:rPr>
          <w:rFonts w:ascii="Times New Roman" w:hAnsi="Times New Roman" w:cs="Times New Roman" w:eastAsia="Times New Roman" w:hint="default"/>
          <w:spacing w:val="-2"/>
        </w:rPr>
        <w:t>OSS</w:t>
      </w:r>
      <w:r>
        <w:rPr>
          <w:spacing w:val="-2"/>
        </w:rPr>
        <w:t>市场，国内</w:t>
      </w:r>
      <w:r>
        <w:rPr>
          <w:rFonts w:ascii="Times New Roman" w:hAnsi="Times New Roman" w:cs="Times New Roman" w:eastAsia="Times New Roman" w:hint="default"/>
          <w:spacing w:val="-2"/>
        </w:rPr>
        <w:t>OSS</w:t>
      </w:r>
      <w:r>
        <w:rPr>
          <w:spacing w:val="-2"/>
        </w:rPr>
        <w:t>软件厂商和运维服务提供商之间的竞</w:t>
      </w:r>
    </w:p>
    <w:p>
      <w:pPr>
        <w:spacing w:after="0" w:line="451" w:lineRule="auto"/>
        <w:jc w:val="both"/>
        <w:sectPr>
          <w:pgSz w:w="11910" w:h="16840"/>
          <w:pgMar w:header="852" w:footer="980" w:top="1340" w:bottom="1160" w:left="980" w:right="940"/>
        </w:sectPr>
      </w:pPr>
    </w:p>
    <w:p>
      <w:pPr>
        <w:spacing w:line="240" w:lineRule="auto" w:before="6"/>
        <w:rPr>
          <w:rFonts w:ascii="宋体" w:hAnsi="宋体" w:cs="宋体" w:eastAsia="宋体" w:hint="default"/>
          <w:sz w:val="10"/>
          <w:szCs w:val="10"/>
        </w:rPr>
      </w:pPr>
    </w:p>
    <w:p>
      <w:pPr>
        <w:pStyle w:val="BodyText"/>
        <w:spacing w:line="240" w:lineRule="auto" w:before="44"/>
        <w:ind w:right="84"/>
        <w:jc w:val="left"/>
      </w:pPr>
      <w:r>
        <w:rPr/>
        <w:t>争将进一步加剧，如何准确掌握客户需求、交付满意的产品和服务是公司首要考虑的问题。</w:t>
      </w:r>
    </w:p>
    <w:p>
      <w:pPr>
        <w:spacing w:line="240" w:lineRule="auto" w:before="8"/>
        <w:rPr>
          <w:rFonts w:ascii="宋体" w:hAnsi="宋体" w:cs="宋体" w:eastAsia="宋体" w:hint="default"/>
          <w:sz w:val="21"/>
          <w:szCs w:val="21"/>
        </w:rPr>
      </w:pPr>
    </w:p>
    <w:p>
      <w:pPr>
        <w:pStyle w:val="BodyText"/>
        <w:spacing w:line="451" w:lineRule="auto"/>
        <w:ind w:right="119" w:firstLine="420"/>
        <w:jc w:val="both"/>
      </w:pPr>
      <w:r>
        <w:rPr>
          <w:rFonts w:ascii="Times New Roman" w:hAnsi="Times New Roman" w:cs="Times New Roman" w:eastAsia="Times New Roman" w:hint="default"/>
        </w:rPr>
        <w:t>3</w:t>
      </w:r>
      <w:r>
        <w:rPr/>
        <w:t>、即时通信市场细分明显，产品导向的特性造成每款主流即时通信软件均有特征较为明显的用户群。从市场维度看， 腾讯</w:t>
      </w:r>
      <w:r>
        <w:rPr>
          <w:rFonts w:ascii="Times New Roman" w:hAnsi="Times New Roman" w:cs="Times New Roman" w:eastAsia="Times New Roman" w:hint="default"/>
        </w:rPr>
        <w:t>QQ</w:t>
      </w:r>
      <w:r>
        <w:rPr/>
        <w:t>处于绝对领先地位，而飞信、百度</w:t>
      </w:r>
      <w:r>
        <w:rPr>
          <w:rFonts w:ascii="Times New Roman" w:hAnsi="Times New Roman" w:cs="Times New Roman" w:eastAsia="Times New Roman" w:hint="default"/>
        </w:rPr>
        <w:t>HI</w:t>
      </w:r>
      <w:r>
        <w:rPr/>
        <w:t>、阿里旺旺以及</w:t>
      </w:r>
      <w:r>
        <w:rPr>
          <w:rFonts w:ascii="Times New Roman" w:hAnsi="Times New Roman" w:cs="Times New Roman" w:eastAsia="Times New Roman" w:hint="default"/>
        </w:rPr>
        <w:t>MSN</w:t>
      </w:r>
      <w:r>
        <w:rPr/>
        <w:t>构成第二梯队，飞信作为跨平台即时通信软件已成为主流 的即时通讯平台，但是整体规模与</w:t>
      </w:r>
      <w:r>
        <w:rPr>
          <w:rFonts w:ascii="Times New Roman" w:hAnsi="Times New Roman" w:cs="Times New Roman" w:eastAsia="Times New Roman" w:hint="default"/>
        </w:rPr>
        <w:t>QQ</w:t>
      </w:r>
      <w:r>
        <w:rPr/>
        <w:t>相比有很大差距，并有被其他即时通讯产品赶超的威胁，此外，类似开心网、人人网</w:t>
      </w:r>
      <w:r>
        <w:rPr>
          <w:spacing w:val="-76"/>
        </w:rPr>
        <w:t> </w:t>
      </w:r>
      <w:r>
        <w:rPr>
          <w:spacing w:val="-76"/>
        </w:rPr>
      </w:r>
      <w:r>
        <w:rPr>
          <w:spacing w:val="-1"/>
        </w:rPr>
        <w:t>等</w:t>
      </w:r>
      <w:r>
        <w:rPr>
          <w:rFonts w:ascii="Times New Roman" w:hAnsi="Times New Roman" w:cs="Times New Roman" w:eastAsia="Times New Roman" w:hint="default"/>
          <w:spacing w:val="-1"/>
        </w:rPr>
        <w:t>SNS</w:t>
      </w:r>
      <w:r>
        <w:rPr>
          <w:spacing w:val="-1"/>
        </w:rPr>
        <w:t>网站的发展以及用户粘合度的增加，用户对于社交网站的信息传递使用频率也增多，这也会对即时通信工具的使用造</w:t>
      </w:r>
      <w:r>
        <w:rPr/>
        <w:t> 成一定影响。</w:t>
      </w:r>
    </w:p>
    <w:p>
      <w:pPr>
        <w:pStyle w:val="BodyText"/>
        <w:spacing w:line="470" w:lineRule="auto" w:before="124"/>
        <w:ind w:right="171" w:firstLine="420"/>
        <w:jc w:val="both"/>
      </w:pPr>
      <w:r>
        <w:rPr>
          <w:rFonts w:ascii="Times New Roman" w:hAnsi="Times New Roman" w:cs="Times New Roman" w:eastAsia="Times New Roman" w:hint="default"/>
          <w:spacing w:val="-1"/>
        </w:rPr>
        <w:t>4</w:t>
      </w:r>
      <w:r>
        <w:rPr>
          <w:spacing w:val="-1"/>
        </w:rPr>
        <w:t>、手机将成为农村居民获取信息的重要平台。中国移动在农村信息网的建设方面起步相对较早，在该领域处于领先的</w:t>
      </w:r>
      <w:r>
        <w:rPr/>
        <w:t> </w:t>
      </w:r>
      <w:r>
        <w:rPr>
          <w:spacing w:val="-2"/>
        </w:rPr>
        <w:t>位置，但是仍面临着来自于其他电信运营商的竞争，同时，农村信息化建设中存在着农村基层政府意识、农民使用习惯有待</w:t>
      </w:r>
      <w:r>
        <w:rPr>
          <w:spacing w:val="-64"/>
        </w:rPr>
        <w:t> </w:t>
      </w:r>
      <w:r>
        <w:rPr>
          <w:spacing w:val="-64"/>
        </w:rPr>
      </w:r>
      <w:r>
        <w:rPr>
          <w:spacing w:val="-2"/>
        </w:rPr>
        <w:t>进一步加强与培养；涉农信息资源庞杂与分散、整合难度大；用户需求呈现复杂化、个性化、多样化；经济水平不高、收入</w:t>
      </w:r>
      <w:r>
        <w:rPr>
          <w:spacing w:val="-73"/>
        </w:rPr>
        <w:t> </w:t>
      </w:r>
      <w:r>
        <w:rPr>
          <w:spacing w:val="-73"/>
        </w:rPr>
      </w:r>
      <w:r>
        <w:rPr>
          <w:spacing w:val="-2"/>
        </w:rPr>
        <w:t>低，支付能力差等诸多困难。公司将进一步加快农信通产品的开发力度，提供具有针对性的信息服务，提高农民使用手机获</w:t>
      </w:r>
      <w:r>
        <w:rPr>
          <w:spacing w:val="-64"/>
        </w:rPr>
        <w:t> </w:t>
      </w:r>
      <w:r>
        <w:rPr>
          <w:spacing w:val="-64"/>
        </w:rPr>
      </w:r>
      <w:r>
        <w:rPr/>
        <w:t>取信息的意愿，推进全网运营的相关工作，进行普及宣传与市场培育，提升品牌影响力，促进农信通业务的发展。</w:t>
      </w:r>
    </w:p>
    <w:p>
      <w:pPr>
        <w:spacing w:line="240" w:lineRule="auto" w:before="10"/>
        <w:rPr>
          <w:rFonts w:ascii="宋体" w:hAnsi="宋体" w:cs="宋体" w:eastAsia="宋体" w:hint="default"/>
          <w:sz w:val="13"/>
          <w:szCs w:val="13"/>
        </w:rPr>
      </w:pPr>
    </w:p>
    <w:p>
      <w:pPr>
        <w:pStyle w:val="Heading5"/>
        <w:spacing w:line="240" w:lineRule="auto"/>
        <w:ind w:left="470" w:right="84"/>
        <w:jc w:val="left"/>
        <w:rPr>
          <w:b w:val="0"/>
          <w:bCs w:val="0"/>
        </w:rPr>
      </w:pPr>
      <w:r>
        <w:rPr/>
        <w:t>（三）对公司未来发展战略和经营目标的实现产生不利影响的风险因素分析</w:t>
      </w:r>
      <w:r>
        <w:rPr>
          <w:b w:val="0"/>
          <w:bCs w:val="0"/>
        </w:rPr>
      </w:r>
    </w:p>
    <w:p>
      <w:pPr>
        <w:spacing w:line="240" w:lineRule="auto" w:before="12"/>
        <w:rPr>
          <w:rFonts w:ascii="宋体" w:hAnsi="宋体" w:cs="宋体" w:eastAsia="宋体" w:hint="default"/>
          <w:b/>
          <w:bCs/>
          <w:sz w:val="26"/>
          <w:szCs w:val="26"/>
        </w:rPr>
      </w:pPr>
    </w:p>
    <w:p>
      <w:pPr>
        <w:spacing w:line="496" w:lineRule="auto" w:before="0"/>
        <w:ind w:left="573" w:right="84"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、运维管理业务对电信行业依赖的风险及对策</w:t>
      </w:r>
      <w:r>
        <w:rPr>
          <w:rFonts w:ascii="宋体" w:hAnsi="宋体" w:cs="宋体" w:eastAsia="宋体" w:hint="default"/>
          <w:b/>
          <w:bCs/>
          <w:w w:val="99"/>
          <w:sz w:val="18"/>
          <w:szCs w:val="18"/>
        </w:rPr>
        <w:t> </w:t>
      </w:r>
      <w:r>
        <w:rPr>
          <w:rFonts w:ascii="宋体" w:hAnsi="宋体" w:cs="宋体" w:eastAsia="宋体" w:hint="default"/>
          <w:sz w:val="18"/>
          <w:szCs w:val="18"/>
        </w:rPr>
        <w:t>电信行业是公司运维管理业务的重点市场领域，公司对电信行业的依赖程度较高。如果未来电信行业发生不可预测的</w:t>
      </w:r>
    </w:p>
    <w:p>
      <w:pPr>
        <w:spacing w:line="528" w:lineRule="auto" w:before="40"/>
        <w:ind w:left="573" w:right="84" w:hanging="421"/>
        <w:jc w:val="left"/>
        <w:rPr>
          <w:rFonts w:ascii="宋体" w:hAnsi="宋体" w:cs="宋体" w:eastAsia="宋体" w:hint="default"/>
          <w:sz w:val="18"/>
          <w:szCs w:val="18"/>
        </w:rPr>
      </w:pPr>
      <w:r>
        <w:rPr>
          <w:rFonts w:ascii="宋体" w:hAnsi="宋体" w:cs="宋体" w:eastAsia="宋体" w:hint="default"/>
          <w:sz w:val="18"/>
          <w:szCs w:val="18"/>
        </w:rPr>
        <w:t>不利变化或者电信运营商对信息化建设的投资规模大幅下降，将对公司的盈利能力产生较大不利影响。 </w:t>
      </w:r>
      <w:r>
        <w:rPr>
          <w:rFonts w:ascii="宋体" w:hAnsi="宋体" w:cs="宋体" w:eastAsia="宋体" w:hint="default"/>
          <w:b/>
          <w:bCs/>
          <w:sz w:val="18"/>
          <w:szCs w:val="18"/>
        </w:rPr>
        <w:t>公司运维管理业务聚焦于电信行业是市场的必然选择，是公司业务战略的必然选择。</w:t>
      </w:r>
      <w:r>
        <w:rPr>
          <w:rFonts w:ascii="宋体" w:hAnsi="宋体" w:cs="宋体" w:eastAsia="宋体" w:hint="default"/>
          <w:b/>
          <w:bCs/>
          <w:w w:val="99"/>
          <w:sz w:val="18"/>
          <w:szCs w:val="18"/>
        </w:rPr>
        <w:t> </w:t>
      </w:r>
      <w:r>
        <w:rPr>
          <w:rFonts w:ascii="宋体" w:hAnsi="宋体" w:cs="宋体" w:eastAsia="宋体" w:hint="default"/>
          <w:sz w:val="18"/>
          <w:szCs w:val="18"/>
        </w:rPr>
        <w:t>电信行业与其他行业相比，其信息化程度较高，系统规模庞大且复杂，对</w:t>
      </w:r>
      <w:r>
        <w:rPr>
          <w:rFonts w:ascii="Times New Roman" w:hAnsi="Times New Roman" w:cs="Times New Roman" w:eastAsia="Times New Roman" w:hint="default"/>
          <w:sz w:val="18"/>
          <w:szCs w:val="18"/>
        </w:rPr>
        <w:t>IT</w:t>
      </w:r>
      <w:r>
        <w:rPr>
          <w:rFonts w:ascii="宋体" w:hAnsi="宋体" w:cs="宋体" w:eastAsia="宋体" w:hint="default"/>
          <w:sz w:val="18"/>
          <w:szCs w:val="18"/>
        </w:rPr>
        <w:t>运维管理的认同和接受程度也较高，</w:t>
      </w:r>
      <w:r>
        <w:rPr>
          <w:rFonts w:ascii="Times New Roman" w:hAnsi="Times New Roman" w:cs="Times New Roman" w:eastAsia="Times New Roman" w:hint="default"/>
          <w:sz w:val="18"/>
          <w:szCs w:val="18"/>
        </w:rPr>
        <w:t>IT</w:t>
      </w:r>
      <w:r>
        <w:rPr>
          <w:rFonts w:ascii="宋体" w:hAnsi="宋体" w:cs="宋体" w:eastAsia="宋体" w:hint="default"/>
          <w:sz w:val="18"/>
          <w:szCs w:val="18"/>
        </w:rPr>
        <w:t>投</w:t>
      </w:r>
    </w:p>
    <w:p>
      <w:pPr>
        <w:pStyle w:val="BodyText"/>
        <w:spacing w:line="229" w:lineRule="exact"/>
        <w:ind w:right="84"/>
        <w:jc w:val="left"/>
      </w:pPr>
      <w:r>
        <w:rPr/>
        <w:t>资规模大，是运维管理重点应用领域。电信行业的重组、</w:t>
      </w:r>
      <w:r>
        <w:rPr>
          <w:rFonts w:ascii="Times New Roman" w:hAnsi="Times New Roman" w:cs="Times New Roman" w:eastAsia="Times New Roman" w:hint="default"/>
        </w:rPr>
        <w:t>3G</w:t>
      </w:r>
      <w:r>
        <w:rPr/>
        <w:t>网络的建设，以及电信运营商之间的竞争等，必然促使运营商</w:t>
      </w:r>
    </w:p>
    <w:p>
      <w:pPr>
        <w:spacing w:line="240" w:lineRule="auto" w:before="9"/>
        <w:rPr>
          <w:rFonts w:ascii="宋体" w:hAnsi="宋体" w:cs="宋体" w:eastAsia="宋体" w:hint="default"/>
          <w:sz w:val="16"/>
          <w:szCs w:val="16"/>
        </w:rPr>
      </w:pPr>
    </w:p>
    <w:p>
      <w:pPr>
        <w:pStyle w:val="BodyText"/>
        <w:spacing w:line="463" w:lineRule="auto"/>
        <w:ind w:right="84"/>
        <w:jc w:val="left"/>
      </w:pPr>
      <w:r>
        <w:rPr/>
        <w:t>通过加大网络建设、不断开发新的业务、提高</w:t>
      </w:r>
      <w:r>
        <w:rPr>
          <w:rFonts w:ascii="Times New Roman" w:hAnsi="Times New Roman" w:cs="Times New Roman" w:eastAsia="Times New Roman" w:hint="default"/>
        </w:rPr>
        <w:t>IT</w:t>
      </w:r>
      <w:r>
        <w:rPr/>
        <w:t>系统运行效率等方式以满足用户多样化、个性化、快捷、高效的通信需求， </w:t>
      </w:r>
      <w:r>
        <w:rPr>
          <w:spacing w:val="-2"/>
        </w:rPr>
        <w:t>巩固和争取更多市场份额。因此，未来几年，电信运营商对运维管理的投资将继续保持增长态势，为公司运维管理业务的发</w:t>
      </w:r>
      <w:r>
        <w:rPr>
          <w:spacing w:val="-64"/>
        </w:rPr>
        <w:t> </w:t>
      </w:r>
      <w:r>
        <w:rPr>
          <w:spacing w:val="-64"/>
        </w:rPr>
      </w:r>
      <w:r>
        <w:rPr/>
        <w:t>展提供了有力的市场基础。</w:t>
      </w:r>
    </w:p>
    <w:p>
      <w:pPr>
        <w:spacing w:line="477" w:lineRule="auto" w:before="115"/>
        <w:ind w:left="152" w:right="171" w:firstLine="422"/>
        <w:jc w:val="both"/>
        <w:rPr>
          <w:rFonts w:ascii="宋体" w:hAnsi="宋体" w:cs="宋体" w:eastAsia="宋体" w:hint="default"/>
          <w:sz w:val="18"/>
          <w:szCs w:val="18"/>
        </w:rPr>
      </w:pPr>
      <w:r>
        <w:rPr>
          <w:rFonts w:ascii="宋体" w:hAnsi="宋体" w:cs="宋体" w:eastAsia="宋体" w:hint="default"/>
          <w:b/>
          <w:bCs/>
          <w:sz w:val="18"/>
          <w:szCs w:val="18"/>
        </w:rPr>
        <w:t>公司将紧密跟踪电信运营商的多样化的业务需求，进一步丰富运维管理业务线、提升产品性能与功能，深化和巩固在</w:t>
      </w:r>
      <w:r>
        <w:rPr>
          <w:rFonts w:ascii="宋体" w:hAnsi="宋体" w:cs="宋体" w:eastAsia="宋体" w:hint="default"/>
          <w:b/>
          <w:bCs/>
          <w:w w:val="99"/>
          <w:sz w:val="18"/>
          <w:szCs w:val="18"/>
        </w:rPr>
        <w:t> </w:t>
      </w:r>
      <w:r>
        <w:rPr>
          <w:rFonts w:ascii="宋体" w:hAnsi="宋体" w:cs="宋体" w:eastAsia="宋体" w:hint="default"/>
          <w:b/>
          <w:bCs/>
          <w:spacing w:val="-2"/>
          <w:sz w:val="18"/>
          <w:szCs w:val="18"/>
        </w:rPr>
        <w:t>电信行业市场地位。</w:t>
      </w:r>
      <w:r>
        <w:rPr>
          <w:rFonts w:ascii="宋体" w:hAnsi="宋体" w:cs="宋体" w:eastAsia="宋体" w:hint="default"/>
          <w:spacing w:val="-2"/>
          <w:sz w:val="18"/>
          <w:szCs w:val="18"/>
        </w:rPr>
        <w:t>同时，进一步加大向金融、能源、政府部门等领域的横向拓展的力度，提升在该等领域市场份额，稳定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经营，降低风险。</w:t>
      </w:r>
    </w:p>
    <w:p>
      <w:pPr>
        <w:pStyle w:val="BodyText"/>
        <w:spacing w:line="499" w:lineRule="auto" w:before="104"/>
        <w:ind w:left="573" w:right="84" w:firstLine="2"/>
        <w:jc w:val="left"/>
      </w:pPr>
      <w:r>
        <w:rPr>
          <w:rFonts w:ascii="Times New Roman" w:hAnsi="Times New Roman" w:cs="Times New Roman" w:eastAsia="Times New Roman" w:hint="default"/>
          <w:b/>
          <w:bCs/>
        </w:rPr>
        <w:t>2</w:t>
      </w:r>
      <w:r>
        <w:rPr>
          <w:rFonts w:ascii="宋体" w:hAnsi="宋体" w:cs="宋体" w:eastAsia="宋体" w:hint="default"/>
          <w:b/>
          <w:bCs/>
        </w:rPr>
        <w:t>、飞信业务持续发展的风险</w:t>
      </w:r>
      <w:r>
        <w:rPr>
          <w:rFonts w:ascii="宋体" w:hAnsi="宋体" w:cs="宋体" w:eastAsia="宋体" w:hint="default"/>
          <w:b/>
          <w:bCs/>
          <w:w w:val="99"/>
        </w:rPr>
        <w:t> </w:t>
      </w:r>
      <w:r>
        <w:rPr/>
        <w:t>目前，对于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日的飞信业务商务事宜已经确定，该期间的开发与支撑工作继续由新媒传信</w:t>
      </w:r>
    </w:p>
    <w:p>
      <w:pPr>
        <w:pStyle w:val="BodyText"/>
        <w:spacing w:line="451" w:lineRule="auto" w:before="3"/>
        <w:ind w:right="161"/>
        <w:jc w:val="left"/>
      </w:pPr>
      <w:r>
        <w:rPr/>
        <w:t>承担。同时，中国移动广东公司于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日发布招标公告，对飞信系统的开发与支撑工作进行招标，项目周期为自项</w:t>
      </w:r>
      <w:r>
        <w:rPr>
          <w:spacing w:val="-85"/>
        </w:rPr>
        <w:t> </w:t>
      </w:r>
      <w:r>
        <w:rPr>
          <w:spacing w:val="-85"/>
        </w:rPr>
      </w:r>
      <w:r>
        <w:rPr>
          <w:spacing w:val="-1"/>
        </w:rPr>
        <w:t>目中标后的一年。飞信业务虽然这几年在公司总体利润的比重逐年降低（至</w:t>
      </w:r>
      <w:r>
        <w:rPr>
          <w:rFonts w:ascii="Times New Roman" w:hAnsi="Times New Roman" w:cs="Times New Roman" w:eastAsia="Times New Roman" w:hint="default"/>
          <w:spacing w:val="-1"/>
        </w:rPr>
        <w:t>2012</w:t>
      </w:r>
      <w:r>
        <w:rPr>
          <w:spacing w:val="-1"/>
        </w:rPr>
        <w:t>年度降至总体净利润的</w:t>
      </w:r>
      <w:r>
        <w:rPr>
          <w:rFonts w:ascii="Times New Roman" w:hAnsi="Times New Roman" w:cs="Times New Roman" w:eastAsia="Times New Roman" w:hint="default"/>
          <w:spacing w:val="-1"/>
        </w:rPr>
        <w:t>40%</w:t>
      </w:r>
      <w:r>
        <w:rPr>
          <w:spacing w:val="-1"/>
        </w:rPr>
        <w:t>左右），但是仍</w:t>
      </w:r>
    </w:p>
    <w:p>
      <w:pPr>
        <w:spacing w:after="0" w:line="451" w:lineRule="auto"/>
        <w:jc w:val="left"/>
        <w:sectPr>
          <w:pgSz w:w="11910" w:h="16840"/>
          <w:pgMar w:header="852" w:footer="980" w:top="1340" w:bottom="1160" w:left="980" w:right="960"/>
        </w:sectPr>
      </w:pPr>
    </w:p>
    <w:p>
      <w:pPr>
        <w:spacing w:line="240" w:lineRule="auto" w:before="6"/>
        <w:rPr>
          <w:rFonts w:ascii="宋体" w:hAnsi="宋体" w:cs="宋体" w:eastAsia="宋体" w:hint="default"/>
          <w:sz w:val="10"/>
          <w:szCs w:val="10"/>
        </w:rPr>
      </w:pPr>
    </w:p>
    <w:p>
      <w:pPr>
        <w:pStyle w:val="BodyText"/>
        <w:spacing w:line="451" w:lineRule="auto" w:before="44"/>
        <w:ind w:right="94"/>
        <w:jc w:val="left"/>
      </w:pPr>
      <w:r>
        <w:rPr>
          <w:spacing w:val="-2"/>
        </w:rPr>
        <w:t>是互联网运营业务的重要组成部分，一旦不能中标或中标金额较小，将对公司盈利能力产生不利影响。（具体内容详见</w:t>
      </w:r>
      <w:r>
        <w:rPr>
          <w:rFonts w:ascii="Times New Roman" w:hAnsi="Times New Roman" w:cs="Times New Roman" w:eastAsia="Times New Roman" w:hint="default"/>
          <w:spacing w:val="-2"/>
        </w:rPr>
        <w:t>2013</w:t>
      </w:r>
      <w:r>
        <w:rPr>
          <w:rFonts w:ascii="Times New Roman" w:hAnsi="Times New Roman" w:cs="Times New Roman" w:eastAsia="Times New Roman" w:hint="default"/>
          <w:spacing w:val="-11"/>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日巨潮资讯网的公司公告）。</w:t>
      </w:r>
    </w:p>
    <w:p>
      <w:pPr>
        <w:pStyle w:val="BodyText"/>
        <w:spacing w:line="477" w:lineRule="auto" w:before="94"/>
        <w:ind w:right="94" w:firstLine="420"/>
        <w:jc w:val="left"/>
      </w:pPr>
      <w:r>
        <w:rPr/>
        <w:t>对于飞信招标，公司及新媒传信将积极准备、全力投入到相关工作中，充分发挥公司的强大的产品开发能力、运营能 力、丰富的互联网运营实践等竞争优势，进一步加大研发与支撑投入的力度，强化飞信平台的性能、功能，丰富应用内容， 提升用户体验，保持飞信持续、健康、稳定的发展。公司将根据招标进展情况及时履行信息披露义务。</w:t>
      </w:r>
    </w:p>
    <w:p>
      <w:pPr>
        <w:pStyle w:val="BodyText"/>
        <w:spacing w:line="451" w:lineRule="auto" w:before="104"/>
        <w:ind w:right="186" w:firstLine="420"/>
        <w:jc w:val="both"/>
      </w:pPr>
      <w:r>
        <w:rPr/>
        <w:t>飞信业务是中国移动在移动互联网战略中的重要业务，已经成为一个具有广大用户群体、连接手机客户端和</w:t>
      </w:r>
      <w:r>
        <w:rPr>
          <w:rFonts w:ascii="Times New Roman" w:hAnsi="Times New Roman" w:cs="Times New Roman" w:eastAsia="Times New Roman" w:hint="default"/>
        </w:rPr>
        <w:t>PC</w:t>
      </w:r>
      <w:r>
        <w:rPr/>
        <w:t>客户端 的国内重要移动互联网平台</w:t>
      </w:r>
      <w:r>
        <w:rPr>
          <w:spacing w:val="-13"/>
        </w:rPr>
        <w:t>。</w:t>
      </w:r>
      <w:r>
        <w:rPr/>
        <w:t>结合中国移动提出</w:t>
      </w:r>
      <w:r>
        <w:rPr>
          <w:spacing w:val="1"/>
        </w:rPr>
        <w:t>的</w:t>
      </w:r>
      <w:r>
        <w:rPr>
          <w:rFonts w:ascii="Times New Roman" w:hAnsi="Times New Roman" w:cs="Times New Roman" w:eastAsia="Times New Roman" w:hint="default"/>
          <w:spacing w:val="-1"/>
          <w:w w:val="44"/>
        </w:rPr>
        <w:t>―</w:t>
      </w:r>
      <w:r>
        <w:rPr/>
        <w:t>智能管道</w:t>
      </w:r>
      <w:r>
        <w:rPr>
          <w:spacing w:val="-13"/>
        </w:rPr>
        <w:t>、</w:t>
      </w:r>
      <w:r>
        <w:rPr/>
        <w:t>开放平台</w:t>
      </w:r>
      <w:r>
        <w:rPr>
          <w:spacing w:val="-13"/>
        </w:rPr>
        <w:t>、</w:t>
      </w:r>
      <w:r>
        <w:rPr/>
        <w:t>特色服务</w:t>
      </w:r>
      <w:r>
        <w:rPr>
          <w:spacing w:val="-13"/>
        </w:rPr>
        <w:t>、</w:t>
      </w:r>
      <w:r>
        <w:rPr/>
        <w:t>友好界面</w:t>
      </w:r>
      <w:r>
        <w:rPr>
          <w:rFonts w:ascii="Times New Roman" w:hAnsi="Times New Roman" w:cs="Times New Roman" w:eastAsia="Times New Roman" w:hint="default"/>
          <w:spacing w:val="-1"/>
          <w:w w:val="158"/>
        </w:rPr>
        <w:t>‖</w:t>
      </w:r>
      <w:r>
        <w:rPr/>
        <w:t>的移动互联网发展战略</w:t>
      </w:r>
      <w:r>
        <w:rPr>
          <w:spacing w:val="-13"/>
        </w:rPr>
        <w:t>，</w:t>
      </w:r>
      <w:r>
        <w:rPr/>
        <w:t>飞</w:t>
      </w:r>
      <w:r>
        <w:rPr/>
        <w:t> 信将在其中扮演着非常重要的作用和地位。</w:t>
      </w:r>
    </w:p>
    <w:p>
      <w:pPr>
        <w:pStyle w:val="BodyText"/>
        <w:spacing w:line="470" w:lineRule="auto" w:before="122"/>
        <w:ind w:right="94" w:firstLine="420"/>
        <w:jc w:val="left"/>
      </w:pPr>
      <w:r>
        <w:rPr/>
        <w:t>自</w:t>
      </w:r>
      <w:r>
        <w:rPr>
          <w:rFonts w:ascii="Times New Roman" w:hAnsi="Times New Roman" w:cs="Times New Roman" w:eastAsia="Times New Roman" w:hint="default"/>
        </w:rPr>
        <w:t>2007</w:t>
      </w:r>
      <w:r>
        <w:rPr/>
        <w:t>年以来公司已连续六年为中国移动飞信业务提供全面的开发与支撑服务，充分展示了先进的产品开发能力和强 </w:t>
      </w:r>
      <w:r>
        <w:rPr>
          <w:spacing w:val="-4"/>
        </w:rPr>
        <w:t>大的产品运营能力，为飞信的发展提供了稳定可靠的支撑服务，获得了中国移动和广大飞信业务用户的好评。对于飞信招标，</w:t>
      </w:r>
      <w:r>
        <w:rPr>
          <w:spacing w:val="-44"/>
        </w:rPr>
        <w:t> </w:t>
      </w:r>
      <w:r>
        <w:rPr>
          <w:spacing w:val="-44"/>
        </w:rPr>
      </w:r>
      <w:r>
        <w:rPr>
          <w:spacing w:val="-2"/>
        </w:rPr>
        <w:t>公司及新媒传信将积极准备、全力投入到相关工作中，充分发挥公司的强大的产品开发能力、运营能力、丰富的互联网运营</w:t>
      </w:r>
      <w:r>
        <w:rPr>
          <w:spacing w:val="-64"/>
        </w:rPr>
        <w:t> </w:t>
      </w:r>
      <w:r>
        <w:rPr>
          <w:spacing w:val="-64"/>
        </w:rPr>
      </w:r>
      <w:r>
        <w:rPr>
          <w:spacing w:val="-2"/>
        </w:rPr>
        <w:t>实践等竞争优势，进一步加大研发与支撑投入的力度，强化飞信平台的性能、功能，丰富应用内容，提升用户体验，保持飞</w:t>
      </w:r>
      <w:r>
        <w:rPr>
          <w:spacing w:val="-68"/>
        </w:rPr>
        <w:t> </w:t>
      </w:r>
      <w:r>
        <w:rPr>
          <w:spacing w:val="-68"/>
        </w:rPr>
      </w:r>
      <w:r>
        <w:rPr/>
        <w:t>信持续、健康、稳定的发展。</w:t>
      </w:r>
    </w:p>
    <w:p>
      <w:pPr>
        <w:pStyle w:val="BodyText"/>
        <w:spacing w:line="463" w:lineRule="auto" w:before="110"/>
        <w:ind w:right="193" w:firstLine="420"/>
        <w:jc w:val="both"/>
      </w:pPr>
      <w:r>
        <w:rPr>
          <w:spacing w:val="-1"/>
          <w:w w:val="98"/>
        </w:rPr>
        <w:t>同时，自</w:t>
      </w:r>
      <w:r>
        <w:rPr>
          <w:rFonts w:ascii="Times New Roman" w:hAnsi="Times New Roman" w:cs="Times New Roman" w:eastAsia="Times New Roman" w:hint="default"/>
          <w:spacing w:val="-1"/>
          <w:w w:val="98"/>
        </w:rPr>
        <w:t>2009</w:t>
      </w:r>
      <w:r>
        <w:rPr>
          <w:spacing w:val="-1"/>
          <w:w w:val="98"/>
        </w:rPr>
        <w:t>年上市以来，公司整体营收规模在不断增长的同时业务结构进一步优化，呈现出</w:t>
      </w:r>
      <w:r>
        <w:rPr>
          <w:rFonts w:ascii="Times New Roman" w:hAnsi="Times New Roman" w:cs="Times New Roman" w:eastAsia="Times New Roman" w:hint="default"/>
          <w:spacing w:val="-1"/>
          <w:w w:val="98"/>
        </w:rPr>
        <w:t>―</w:t>
      </w:r>
      <w:r>
        <w:rPr>
          <w:spacing w:val="-1"/>
          <w:w w:val="98"/>
        </w:rPr>
        <w:t>互联网运营服务业务稳</w:t>
      </w:r>
      <w:r>
        <w:rPr/>
        <w:t> 步发展、运维管理业务快速提升</w:t>
      </w:r>
      <w:r>
        <w:rPr>
          <w:rFonts w:ascii="Times New Roman" w:hAnsi="Times New Roman" w:cs="Times New Roman" w:eastAsia="Times New Roman" w:hint="default"/>
        </w:rPr>
        <w:t>‖</w:t>
      </w:r>
      <w:r>
        <w:rPr/>
        <w:t>的态势，截止目前公司已形成了以运维管理、互联网运营服务为核心，并兼具电子商务、</w:t>
      </w:r>
      <w:r>
        <w:rPr>
          <w:spacing w:val="-46"/>
        </w:rPr>
        <w:t> </w:t>
      </w:r>
      <w:r>
        <w:rPr>
          <w:spacing w:val="-46"/>
        </w:rPr>
      </w:r>
      <w:r>
        <w:rPr>
          <w:spacing w:val="-2"/>
        </w:rPr>
        <w:t>物联网的业务架构。未来，公司将紧密围绕市场需求、深耕细作，进一步巩固和提高国内运维管理领域的领先市场地位；在</w:t>
      </w:r>
      <w:r>
        <w:rPr>
          <w:spacing w:val="-67"/>
        </w:rPr>
        <w:t> </w:t>
      </w:r>
      <w:r>
        <w:rPr>
          <w:spacing w:val="-67"/>
        </w:rPr>
      </w:r>
      <w:r>
        <w:rPr>
          <w:spacing w:val="-2"/>
        </w:rPr>
        <w:t>做好飞信运营服务业务的同时，大力促进农信通业务、积极拓展面向国内外大型组织机构的互联网运营业务，努力开展包括</w:t>
      </w:r>
      <w:r>
        <w:rPr>
          <w:spacing w:val="-66"/>
        </w:rPr>
        <w:t> </w:t>
      </w:r>
      <w:r>
        <w:rPr>
          <w:spacing w:val="-66"/>
        </w:rPr>
      </w:r>
      <w:r>
        <w:rPr/>
        <w:t>电子商务在内的互联网自主业务以及物联网等创新业务，促进公司持续发展。</w:t>
      </w:r>
    </w:p>
    <w:p>
      <w:pPr>
        <w:pStyle w:val="BodyText"/>
        <w:spacing w:line="499" w:lineRule="auto" w:before="115"/>
        <w:ind w:left="573" w:right="85" w:firstLine="2"/>
        <w:jc w:val="left"/>
      </w:pPr>
      <w:r>
        <w:rPr>
          <w:rFonts w:ascii="Times New Roman" w:hAnsi="Times New Roman" w:cs="Times New Roman" w:eastAsia="Times New Roman" w:hint="default"/>
          <w:b/>
          <w:bCs/>
        </w:rPr>
        <w:t>3</w:t>
      </w:r>
      <w:r>
        <w:rPr>
          <w:rFonts w:ascii="宋体" w:hAnsi="宋体" w:cs="宋体" w:eastAsia="宋体" w:hint="default"/>
          <w:b/>
          <w:bCs/>
        </w:rPr>
        <w:t>、对高端人才的持续需求</w:t>
      </w:r>
      <w:r>
        <w:rPr>
          <w:rFonts w:ascii="宋体" w:hAnsi="宋体" w:cs="宋体" w:eastAsia="宋体" w:hint="default"/>
          <w:b/>
          <w:bCs/>
          <w:w w:val="99"/>
        </w:rPr>
        <w:t> </w:t>
      </w:r>
      <w:r>
        <w:rPr>
          <w:spacing w:val="-1"/>
        </w:rPr>
        <w:t>公司属于知识密集型、智力密集型行业，高端人才储备不足将制约着企业的进一步发展。随着公司业务规模不断扩大，</w:t>
      </w:r>
    </w:p>
    <w:p>
      <w:pPr>
        <w:pStyle w:val="BodyText"/>
        <w:spacing w:line="468" w:lineRule="auto" w:before="38"/>
        <w:ind w:right="94"/>
        <w:jc w:val="left"/>
      </w:pPr>
      <w:r>
        <w:rPr>
          <w:spacing w:val="-4"/>
        </w:rPr>
        <w:t>以及互联网、网络优化业务领域等业务线、产品线的不断丰富，对软件高级技术人员、营销人员和管理人员具有较大的需求。</w:t>
      </w:r>
      <w:r>
        <w:rPr>
          <w:spacing w:val="-46"/>
        </w:rPr>
        <w:t> </w:t>
      </w:r>
      <w:r>
        <w:rPr>
          <w:spacing w:val="-46"/>
        </w:rPr>
      </w:r>
      <w:r>
        <w:rPr>
          <w:spacing w:val="-2"/>
        </w:rPr>
        <w:t>如何保持现有技术队伍和管理层的稳定、提高业务人员专业水平和综合素质、培养和引进优秀人才，对公司的快速发展至关</w:t>
      </w:r>
      <w:r>
        <w:rPr>
          <w:spacing w:val="-63"/>
        </w:rPr>
        <w:t> </w:t>
      </w:r>
      <w:r>
        <w:rPr>
          <w:spacing w:val="-63"/>
        </w:rPr>
      </w:r>
      <w:r>
        <w:rPr>
          <w:spacing w:val="-2"/>
          <w:w w:val="100"/>
        </w:rPr>
        <w:t>重要。为此，公司将始终坚持</w:t>
      </w:r>
      <w:r>
        <w:rPr>
          <w:rFonts w:ascii="Times New Roman" w:hAnsi="Times New Roman" w:cs="Times New Roman" w:eastAsia="Times New Roman" w:hint="default"/>
          <w:spacing w:val="-2"/>
          <w:w w:val="100"/>
        </w:rPr>
        <w:t>―</w:t>
      </w:r>
      <w:r>
        <w:rPr>
          <w:spacing w:val="-2"/>
          <w:w w:val="100"/>
        </w:rPr>
        <w:t>高绩效、高贡献、高回报</w:t>
      </w:r>
      <w:r>
        <w:rPr>
          <w:rFonts w:ascii="Times New Roman" w:hAnsi="Times New Roman" w:cs="Times New Roman" w:eastAsia="Times New Roman" w:hint="default"/>
          <w:spacing w:val="-2"/>
          <w:w w:val="100"/>
        </w:rPr>
        <w:t>‖</w:t>
      </w:r>
      <w:r>
        <w:rPr>
          <w:spacing w:val="-2"/>
          <w:w w:val="100"/>
        </w:rPr>
        <w:t>的人才发展观，通过提升薪资竞争力提高人才的吸引力，通过为员</w:t>
      </w:r>
      <w:r>
        <w:rPr/>
        <w:t> 工创造良好的职业发展环境、营造适宜的企业文化氛围等系统性的措施来吸引、留住和激励人才。</w:t>
      </w:r>
    </w:p>
    <w:p>
      <w:pPr>
        <w:pStyle w:val="BodyText"/>
        <w:spacing w:line="499" w:lineRule="auto" w:before="112"/>
        <w:ind w:left="573" w:right="94" w:firstLine="2"/>
        <w:jc w:val="left"/>
      </w:pPr>
      <w:r>
        <w:rPr>
          <w:rFonts w:ascii="Times New Roman" w:hAnsi="Times New Roman" w:cs="Times New Roman" w:eastAsia="Times New Roman" w:hint="default"/>
          <w:b/>
          <w:bCs/>
        </w:rPr>
        <w:t>4</w:t>
      </w:r>
      <w:r>
        <w:rPr>
          <w:rFonts w:ascii="宋体" w:hAnsi="宋体" w:cs="宋体" w:eastAsia="宋体" w:hint="default"/>
          <w:b/>
          <w:bCs/>
        </w:rPr>
        <w:t>、集团化管理</w:t>
      </w:r>
      <w:r>
        <w:rPr>
          <w:rFonts w:ascii="宋体" w:hAnsi="宋体" w:cs="宋体" w:eastAsia="宋体" w:hint="default"/>
          <w:b/>
          <w:bCs/>
          <w:w w:val="99"/>
        </w:rPr>
        <w:t> </w:t>
      </w:r>
      <w:r>
        <w:rPr/>
        <w:t>截止目前，公司控股企业、参股企业已达</w:t>
      </w:r>
      <w:r>
        <w:rPr>
          <w:rFonts w:ascii="Times New Roman" w:hAnsi="Times New Roman" w:cs="Times New Roman" w:eastAsia="Times New Roman" w:hint="default"/>
        </w:rPr>
        <w:t>26</w:t>
      </w:r>
      <w:r>
        <w:rPr/>
        <w:t>家，管理规模逐步加大、随着公司业务规模持续快速增长，公司在战略规</w:t>
      </w:r>
    </w:p>
    <w:p>
      <w:pPr>
        <w:pStyle w:val="BodyText"/>
        <w:spacing w:line="477" w:lineRule="auto" w:before="3"/>
        <w:ind w:right="94"/>
        <w:jc w:val="left"/>
      </w:pPr>
      <w:r>
        <w:rPr>
          <w:spacing w:val="-2"/>
        </w:rPr>
        <w:t>划、组织机构设置、企业文化建设、资源配置、运营管理，特别是资金管理、人才管理、内部控制等方面都将对公司管理水</w:t>
      </w:r>
      <w:r>
        <w:rPr>
          <w:spacing w:val="-73"/>
        </w:rPr>
        <w:t> </w:t>
      </w:r>
      <w:r>
        <w:rPr>
          <w:spacing w:val="-73"/>
        </w:rPr>
      </w:r>
      <w:r>
        <w:rPr>
          <w:spacing w:val="-4"/>
        </w:rPr>
        <w:t>平提出更大的挑战。为此，公司继续坚持基于扁平化的组织体系和以绩效为核心的管理机制，缩短决策链条、提升决策效率，</w:t>
      </w:r>
      <w:r>
        <w:rPr>
          <w:spacing w:val="-46"/>
        </w:rPr>
        <w:t> </w:t>
      </w:r>
      <w:r>
        <w:rPr>
          <w:spacing w:val="-46"/>
        </w:rPr>
      </w:r>
      <w:r>
        <w:rPr>
          <w:spacing w:val="-2"/>
        </w:rPr>
        <w:t>以交付价值为指导思想深入组织结构的优化与调整，不断加强内部管控，建立规范化的流程管理和项目管理体系，控制成本</w:t>
      </w:r>
    </w:p>
    <w:p>
      <w:pPr>
        <w:spacing w:after="0" w:line="477" w:lineRule="auto"/>
        <w:jc w:val="left"/>
        <w:sectPr>
          <w:pgSz w:w="11910" w:h="16840"/>
          <w:pgMar w:header="852" w:footer="980" w:top="1340" w:bottom="1160" w:left="980" w:right="940"/>
        </w:sectPr>
      </w:pPr>
    </w:p>
    <w:p>
      <w:pPr>
        <w:spacing w:line="240" w:lineRule="auto" w:before="6"/>
        <w:rPr>
          <w:rFonts w:ascii="宋体" w:hAnsi="宋体" w:cs="宋体" w:eastAsia="宋体" w:hint="default"/>
          <w:sz w:val="10"/>
          <w:szCs w:val="10"/>
        </w:rPr>
      </w:pPr>
    </w:p>
    <w:p>
      <w:pPr>
        <w:pStyle w:val="BodyText"/>
        <w:spacing w:line="240" w:lineRule="auto" w:before="44"/>
        <w:ind w:right="94"/>
        <w:jc w:val="left"/>
      </w:pPr>
      <w:r>
        <w:rPr/>
        <w:t>支出、提升整体管理效能。</w:t>
      </w:r>
    </w:p>
    <w:p>
      <w:pPr>
        <w:spacing w:line="240" w:lineRule="auto" w:before="8"/>
        <w:rPr>
          <w:rFonts w:ascii="宋体" w:hAnsi="宋体" w:cs="宋体" w:eastAsia="宋体" w:hint="default"/>
          <w:sz w:val="21"/>
          <w:szCs w:val="21"/>
        </w:rPr>
      </w:pPr>
    </w:p>
    <w:p>
      <w:pPr>
        <w:pStyle w:val="BodyText"/>
        <w:spacing w:line="499" w:lineRule="auto"/>
        <w:ind w:left="573" w:right="94" w:firstLine="2"/>
        <w:jc w:val="left"/>
      </w:pPr>
      <w:r>
        <w:rPr>
          <w:rFonts w:ascii="Times New Roman" w:hAnsi="Times New Roman" w:cs="Times New Roman" w:eastAsia="Times New Roman" w:hint="default"/>
          <w:b/>
          <w:bCs/>
        </w:rPr>
        <w:t>5</w:t>
      </w:r>
      <w:r>
        <w:rPr>
          <w:rFonts w:ascii="宋体" w:hAnsi="宋体" w:cs="宋体" w:eastAsia="宋体" w:hint="default"/>
          <w:b/>
          <w:bCs/>
        </w:rPr>
        <w:t>、国际市场开拓</w:t>
      </w:r>
      <w:r>
        <w:rPr>
          <w:rFonts w:ascii="宋体" w:hAnsi="宋体" w:cs="宋体" w:eastAsia="宋体" w:hint="default"/>
          <w:b/>
          <w:bCs/>
          <w:w w:val="99"/>
        </w:rPr>
        <w:t> </w:t>
      </w:r>
      <w:r>
        <w:rPr/>
        <w:t>公司在夯实国内市场增长的同时，一直积极寻找在国际市场新的增长空间。如何把握机遇，加快推进国际合作、积极</w:t>
      </w:r>
    </w:p>
    <w:p>
      <w:pPr>
        <w:pStyle w:val="BodyText"/>
        <w:spacing w:line="240" w:lineRule="auto" w:before="38"/>
        <w:ind w:right="0"/>
        <w:jc w:val="left"/>
      </w:pPr>
      <w:r>
        <w:rPr/>
        <w:t>开展海外营销体系建设、努力推进海外产品认证工作，进一步拓展国际市场，扩大海外销售规模，将是公司迎接的新挑战。</w:t>
      </w:r>
    </w:p>
    <w:p>
      <w:pPr>
        <w:spacing w:line="240" w:lineRule="auto" w:before="12"/>
        <w:rPr>
          <w:rFonts w:ascii="宋体" w:hAnsi="宋体" w:cs="宋体" w:eastAsia="宋体" w:hint="default"/>
          <w:sz w:val="26"/>
          <w:szCs w:val="26"/>
        </w:rPr>
      </w:pPr>
    </w:p>
    <w:p>
      <w:pPr>
        <w:pStyle w:val="Heading5"/>
        <w:spacing w:line="240" w:lineRule="auto"/>
        <w:ind w:left="470" w:right="94"/>
        <w:jc w:val="left"/>
        <w:rPr>
          <w:b w:val="0"/>
          <w:bCs w:val="0"/>
        </w:rPr>
      </w:pPr>
      <w:r>
        <w:rPr/>
        <w:t>（四）公司未来发展战略规划及</w:t>
      </w:r>
      <w:r>
        <w:rPr>
          <w:rFonts w:ascii="Times New Roman" w:hAnsi="Times New Roman" w:cs="Times New Roman" w:eastAsia="Times New Roman" w:hint="default"/>
        </w:rPr>
        <w:t>2013</w:t>
      </w:r>
      <w:r>
        <w:rPr/>
        <w:t>年经营计划</w:t>
      </w:r>
      <w:r>
        <w:rPr>
          <w:b w:val="0"/>
          <w:bCs w:val="0"/>
        </w:rPr>
      </w:r>
    </w:p>
    <w:p>
      <w:pPr>
        <w:spacing w:line="240" w:lineRule="auto" w:before="12"/>
        <w:rPr>
          <w:rFonts w:ascii="宋体" w:hAnsi="宋体" w:cs="宋体" w:eastAsia="宋体" w:hint="default"/>
          <w:b/>
          <w:bCs/>
          <w:sz w:val="25"/>
          <w:szCs w:val="25"/>
        </w:rPr>
      </w:pPr>
    </w:p>
    <w:p>
      <w:pPr>
        <w:pStyle w:val="BodyText"/>
        <w:spacing w:line="566" w:lineRule="auto"/>
        <w:ind w:left="573" w:right="94" w:firstLine="96"/>
        <w:jc w:val="left"/>
      </w:pPr>
      <w:r>
        <w:rPr>
          <w:rFonts w:ascii="Times New Roman" w:hAnsi="Times New Roman" w:cs="Times New Roman" w:eastAsia="Times New Roman" w:hint="default"/>
          <w:b/>
          <w:bCs/>
        </w:rPr>
        <w:t>1</w:t>
      </w:r>
      <w:r>
        <w:rPr>
          <w:rFonts w:ascii="宋体" w:hAnsi="宋体" w:cs="宋体" w:eastAsia="宋体" w:hint="default"/>
          <w:b/>
          <w:bCs/>
        </w:rPr>
        <w:t>、战略规划</w:t>
      </w:r>
      <w:r>
        <w:rPr>
          <w:rFonts w:ascii="宋体" w:hAnsi="宋体" w:cs="宋体" w:eastAsia="宋体" w:hint="default"/>
          <w:b/>
          <w:bCs/>
          <w:w w:val="99"/>
        </w:rPr>
        <w:t> </w:t>
      </w:r>
      <w:r>
        <w:rPr/>
        <w:t>公司经过多年的业务实践与积累，目前已形成了以运维管理、互联网运营服务为核心，并兼具电子商务、物联网的业</w:t>
      </w:r>
    </w:p>
    <w:p>
      <w:pPr>
        <w:pStyle w:val="BodyText"/>
        <w:spacing w:line="224" w:lineRule="exact"/>
        <w:ind w:right="0"/>
        <w:jc w:val="left"/>
      </w:pPr>
      <w:r>
        <w:rPr/>
        <w:t>务架构。未来，公司将紧密围绕市场需求、深耕细作，进一步巩固和提高国内运维管理领域的领先市场地位；在做好飞信运</w:t>
      </w:r>
    </w:p>
    <w:p>
      <w:pPr>
        <w:spacing w:line="240" w:lineRule="auto" w:before="10"/>
        <w:rPr>
          <w:rFonts w:ascii="宋体" w:hAnsi="宋体" w:cs="宋体" w:eastAsia="宋体" w:hint="default"/>
          <w:sz w:val="17"/>
          <w:szCs w:val="17"/>
        </w:rPr>
      </w:pPr>
    </w:p>
    <w:p>
      <w:pPr>
        <w:pStyle w:val="BodyText"/>
        <w:spacing w:line="477" w:lineRule="auto"/>
        <w:ind w:right="94"/>
        <w:jc w:val="left"/>
      </w:pPr>
      <w:r>
        <w:rPr>
          <w:spacing w:val="-2"/>
        </w:rPr>
        <w:t>营服务业务的同时，大力促进农信通业务、积极拓展面向国内外大型组织机构的互联网运营业务，努力开展包括电子商务在</w:t>
      </w:r>
      <w:r>
        <w:rPr>
          <w:spacing w:val="-63"/>
        </w:rPr>
        <w:t> </w:t>
      </w:r>
      <w:r>
        <w:rPr>
          <w:spacing w:val="-63"/>
        </w:rPr>
      </w:r>
      <w:r>
        <w:rPr/>
        <w:t>内的互联网自主业务以及物联网等创新业务，构建公司持续发展的长效战略格局。</w:t>
      </w:r>
    </w:p>
    <w:p>
      <w:pPr>
        <w:spacing w:line="240" w:lineRule="auto" w:before="4"/>
        <w:rPr>
          <w:rFonts w:ascii="宋体" w:hAnsi="宋体" w:cs="宋体" w:eastAsia="宋体" w:hint="default"/>
          <w:sz w:val="13"/>
          <w:szCs w:val="13"/>
        </w:rPr>
      </w:pPr>
    </w:p>
    <w:p>
      <w:pPr>
        <w:pStyle w:val="Heading5"/>
        <w:spacing w:line="240" w:lineRule="auto"/>
        <w:ind w:left="669" w:right="94"/>
        <w:jc w:val="left"/>
        <w:rPr>
          <w:b w:val="0"/>
          <w:bCs w:val="0"/>
        </w:rPr>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2013</w:t>
      </w:r>
      <w:r>
        <w:rPr/>
        <w:t>年经营计划</w:t>
      </w:r>
      <w:r>
        <w:rPr>
          <w:b w:val="0"/>
          <w:bCs w:val="0"/>
        </w:rPr>
      </w:r>
    </w:p>
    <w:p>
      <w:pPr>
        <w:spacing w:line="240" w:lineRule="auto" w:before="12"/>
        <w:rPr>
          <w:rFonts w:ascii="宋体" w:hAnsi="宋体" w:cs="宋体" w:eastAsia="宋体" w:hint="default"/>
          <w:b/>
          <w:bCs/>
          <w:sz w:val="25"/>
          <w:szCs w:val="25"/>
        </w:rPr>
      </w:pPr>
    </w:p>
    <w:p>
      <w:pPr>
        <w:pStyle w:val="BodyText"/>
        <w:spacing w:line="470" w:lineRule="auto"/>
        <w:ind w:right="94" w:firstLine="420"/>
        <w:jc w:val="left"/>
      </w:pPr>
      <w:r>
        <w:rPr/>
        <w:t>（</w:t>
      </w:r>
      <w:r>
        <w:rPr>
          <w:rFonts w:ascii="Times New Roman" w:hAnsi="Times New Roman" w:cs="Times New Roman" w:eastAsia="Times New Roman" w:hint="default"/>
        </w:rPr>
        <w:t>1</w:t>
      </w:r>
      <w:r>
        <w:rPr/>
        <w:t>）密切跟踪以电信行业为代表的国内信息化建设以及互联网的发展趋势，尤其是云计算、大数据等对运维管理带来 </w:t>
      </w:r>
      <w:r>
        <w:rPr>
          <w:spacing w:val="-4"/>
        </w:rPr>
        <w:t>的需求，进行深度开发和创新，进一步丰富运维管理业务线、提升产品性能与功能、持续加强技术储备，完善项目管理体系、</w:t>
      </w:r>
      <w:r>
        <w:rPr>
          <w:spacing w:val="-42"/>
        </w:rPr>
        <w:t> </w:t>
      </w:r>
      <w:r>
        <w:rPr>
          <w:spacing w:val="-42"/>
        </w:rPr>
      </w:r>
      <w:r>
        <w:rPr>
          <w:spacing w:val="-2"/>
        </w:rPr>
        <w:t>研发管理体系，推动产品研发、项目实施、技术服务的一体化，提高交付效率与整体业务价值。同时，积极拓展运维管理的</w:t>
      </w:r>
      <w:r>
        <w:rPr>
          <w:spacing w:val="-67"/>
        </w:rPr>
        <w:t> </w:t>
      </w:r>
      <w:r>
        <w:rPr>
          <w:spacing w:val="-67"/>
        </w:rPr>
      </w:r>
      <w:r>
        <w:rPr>
          <w:spacing w:val="-2"/>
        </w:rPr>
        <w:t>行业应用领域，继续提高在非电信行业的市场份额；通过专业化的系统集成业务团队专门开展系统集成与购销业务，进一步</w:t>
      </w:r>
      <w:r>
        <w:rPr>
          <w:spacing w:val="-63"/>
        </w:rPr>
        <w:t> </w:t>
      </w:r>
      <w:r>
        <w:rPr>
          <w:spacing w:val="-63"/>
        </w:rPr>
      </w:r>
      <w:r>
        <w:rPr/>
        <w:t>拓展、丰富公司运维管理业务的内容，促进公司业务规模的增长。</w:t>
      </w:r>
    </w:p>
    <w:p>
      <w:pPr>
        <w:spacing w:line="240" w:lineRule="auto" w:before="10"/>
        <w:rPr>
          <w:rFonts w:ascii="宋体" w:hAnsi="宋体" w:cs="宋体" w:eastAsia="宋体" w:hint="default"/>
          <w:sz w:val="13"/>
          <w:szCs w:val="13"/>
        </w:rPr>
      </w:pPr>
    </w:p>
    <w:p>
      <w:pPr>
        <w:pStyle w:val="BodyText"/>
        <w:spacing w:line="468" w:lineRule="auto"/>
        <w:ind w:right="190" w:firstLine="420"/>
        <w:jc w:val="both"/>
      </w:pPr>
      <w:r>
        <w:rPr>
          <w:spacing w:val="-2"/>
        </w:rPr>
        <w:t>（</w:t>
      </w:r>
      <w:r>
        <w:rPr>
          <w:rFonts w:ascii="Times New Roman" w:hAnsi="Times New Roman" w:cs="Times New Roman" w:eastAsia="Times New Roman" w:hint="default"/>
          <w:spacing w:val="-2"/>
        </w:rPr>
        <w:t>2</w:t>
      </w:r>
      <w:r>
        <w:rPr>
          <w:spacing w:val="-2"/>
        </w:rPr>
        <w:t>）在互联网运营服务业务方面，积极参与中国移动飞信业务下一步开发工作的招标，公司积极准备、全力投入到国</w:t>
      </w:r>
      <w:r>
        <w:rPr/>
        <w:t> </w:t>
      </w:r>
      <w:r>
        <w:rPr>
          <w:spacing w:val="-2"/>
        </w:rPr>
        <w:t>移动飞信业务下一步开发工作的招标，继续加大研发与支撑力度做好飞信运营服务业务促进飞信发展；进一步加强农信通平</w:t>
      </w:r>
      <w:r>
        <w:rPr>
          <w:spacing w:val="-64"/>
        </w:rPr>
        <w:t> </w:t>
      </w:r>
      <w:r>
        <w:rPr>
          <w:spacing w:val="-64"/>
        </w:rPr>
      </w:r>
      <w:r>
        <w:rPr/>
        <w:t>台及业务的开发与支撑工作</w:t>
      </w:r>
      <w:r>
        <w:rPr>
          <w:spacing w:val="-22"/>
        </w:rPr>
        <w:t>，</w:t>
      </w:r>
      <w:r>
        <w:rPr/>
        <w:t>加强务工易产品的运营推广</w:t>
      </w:r>
      <w:r>
        <w:rPr>
          <w:spacing w:val="-22"/>
        </w:rPr>
        <w:t>，</w:t>
      </w:r>
      <w:r>
        <w:rPr/>
        <w:t>力争面向大学生就业</w:t>
      </w:r>
      <w:r>
        <w:rPr>
          <w:spacing w:val="1"/>
        </w:rPr>
        <w:t>的</w:t>
      </w:r>
      <w:r>
        <w:rPr>
          <w:rFonts w:ascii="Times New Roman" w:hAnsi="Times New Roman" w:cs="Times New Roman" w:eastAsia="Times New Roman" w:hint="default"/>
          <w:spacing w:val="-1"/>
          <w:w w:val="44"/>
        </w:rPr>
        <w:t>―</w:t>
      </w:r>
      <w:r>
        <w:rPr/>
        <w:t>动感求职</w:t>
      </w:r>
      <w:r>
        <w:rPr>
          <w:rFonts w:ascii="Times New Roman" w:hAnsi="Times New Roman" w:cs="Times New Roman" w:eastAsia="Times New Roman" w:hint="default"/>
          <w:spacing w:val="-1"/>
          <w:w w:val="158"/>
        </w:rPr>
        <w:t>‖</w:t>
      </w:r>
      <w:r>
        <w:rPr/>
        <w:t>平台与产品进入商用阶段</w:t>
      </w:r>
      <w:r>
        <w:rPr>
          <w:spacing w:val="-20"/>
        </w:rPr>
        <w:t>；同</w:t>
      </w:r>
      <w:r>
        <w:rPr>
          <w:spacing w:val="-20"/>
        </w:rPr>
        <w:t> </w:t>
      </w:r>
      <w:r>
        <w:rPr>
          <w:spacing w:val="-2"/>
        </w:rPr>
        <w:t>时，充分发挥公司产品开发能力、运营能力、丰富的互联网运营实践经验积极拓展面向国内外大型组织机构的互联网运营业</w:t>
      </w:r>
      <w:r>
        <w:rPr>
          <w:spacing w:val="-66"/>
        </w:rPr>
        <w:t> </w:t>
      </w:r>
      <w:r>
        <w:rPr>
          <w:spacing w:val="-66"/>
        </w:rPr>
      </w:r>
      <w:r>
        <w:rPr>
          <w:spacing w:val="-2"/>
        </w:rPr>
        <w:t>务。在国内市场，针对有互联网运营需求的大型组织机构，继续认真研究与论证其面向业务的互联网平台的构建与运营；在</w:t>
      </w:r>
      <w:r>
        <w:rPr>
          <w:spacing w:val="-66"/>
        </w:rPr>
        <w:t> </w:t>
      </w:r>
      <w:r>
        <w:rPr>
          <w:spacing w:val="-66"/>
        </w:rPr>
      </w:r>
      <w:r>
        <w:rPr>
          <w:spacing w:val="-2"/>
        </w:rPr>
        <w:t>海外市场，进一步加强与当地大型电信运营商密切接触，商谈综合通信服务平台的建设与运营，提供包括即时通讯在内的综</w:t>
      </w:r>
      <w:r>
        <w:rPr>
          <w:spacing w:val="-63"/>
        </w:rPr>
        <w:t> </w:t>
      </w:r>
      <w:r>
        <w:rPr>
          <w:spacing w:val="-63"/>
        </w:rPr>
      </w:r>
      <w:r>
        <w:rPr/>
        <w:t>合通信服务业务。</w:t>
      </w:r>
    </w:p>
    <w:p>
      <w:pPr>
        <w:spacing w:line="240" w:lineRule="auto" w:before="11"/>
        <w:rPr>
          <w:rFonts w:ascii="宋体" w:hAnsi="宋体" w:cs="宋体" w:eastAsia="宋体" w:hint="default"/>
          <w:sz w:val="13"/>
          <w:szCs w:val="13"/>
        </w:rPr>
      </w:pPr>
    </w:p>
    <w:p>
      <w:pPr>
        <w:pStyle w:val="BodyText"/>
        <w:spacing w:line="470" w:lineRule="auto"/>
        <w:ind w:right="192" w:firstLine="420"/>
        <w:jc w:val="both"/>
      </w:pPr>
      <w:r>
        <w:rPr>
          <w:spacing w:val="-2"/>
        </w:rPr>
        <w:t>（</w:t>
      </w:r>
      <w:r>
        <w:rPr>
          <w:rFonts w:ascii="Times New Roman" w:hAnsi="Times New Roman" w:cs="Times New Roman" w:eastAsia="Times New Roman" w:hint="default"/>
          <w:spacing w:val="-2"/>
        </w:rPr>
        <w:t>3</w:t>
      </w:r>
      <w:r>
        <w:rPr>
          <w:spacing w:val="-2"/>
        </w:rPr>
        <w:t>）推进电子商务平台的开发建设，进一步完善面向餐饮行业的食材生产商、餐饮企业、消费者的互联网综合服务平</w:t>
      </w:r>
      <w:r>
        <w:rPr/>
        <w:t> </w:t>
      </w:r>
      <w:r>
        <w:rPr>
          <w:spacing w:val="-2"/>
        </w:rPr>
        <w:t>台，推出餐饮企业软件云服务、移动订餐点菜、增值信息服务等功能。同时，立足于北京市场，着重进行物流体系、资金管</w:t>
      </w:r>
      <w:r>
        <w:rPr>
          <w:spacing w:val="-71"/>
        </w:rPr>
        <w:t> </w:t>
      </w:r>
      <w:r>
        <w:rPr>
          <w:spacing w:val="-71"/>
        </w:rPr>
      </w:r>
      <w:r>
        <w:rPr>
          <w:spacing w:val="-2"/>
        </w:rPr>
        <w:t>理、信息化体系、信用管理体系、市场营销方面等方面的建设，提升营运质量与效率，稳步提高市场占有率与营收规模，通</w:t>
      </w:r>
      <w:r>
        <w:rPr>
          <w:spacing w:val="-68"/>
        </w:rPr>
        <w:t> </w:t>
      </w:r>
      <w:r>
        <w:rPr>
          <w:spacing w:val="-68"/>
        </w:rPr>
      </w:r>
      <w:r>
        <w:rPr>
          <w:spacing w:val="-2"/>
        </w:rPr>
        <w:t>过北京地区的营运实践构建一个适应国内食材电子商务领域的全面的、可复制的管理体系，为下一步的规模扩张打下良好的</w:t>
      </w:r>
      <w:r>
        <w:rPr>
          <w:spacing w:val="-64"/>
        </w:rPr>
        <w:t> </w:t>
      </w:r>
      <w:r>
        <w:rPr>
          <w:spacing w:val="-64"/>
        </w:rPr>
      </w:r>
      <w:r>
        <w:rPr/>
        <w:t>基础。</w:t>
      </w:r>
    </w:p>
    <w:p>
      <w:pPr>
        <w:spacing w:after="0" w:line="470" w:lineRule="auto"/>
        <w:jc w:val="both"/>
        <w:sectPr>
          <w:footerReference w:type="default" r:id="rId20"/>
          <w:pgSz w:w="11910" w:h="16840"/>
          <w:pgMar w:footer="980" w:header="852" w:top="1340" w:bottom="1160" w:left="980" w:right="940"/>
          <w:pgNumType w:start="40"/>
        </w:sectPr>
      </w:pPr>
    </w:p>
    <w:p>
      <w:pPr>
        <w:spacing w:line="240" w:lineRule="auto" w:before="8"/>
        <w:rPr>
          <w:rFonts w:ascii="宋体" w:hAnsi="宋体" w:cs="宋体" w:eastAsia="宋体" w:hint="default"/>
          <w:sz w:val="10"/>
          <w:szCs w:val="10"/>
        </w:rPr>
      </w:pPr>
    </w:p>
    <w:p>
      <w:pPr>
        <w:pStyle w:val="BodyText"/>
        <w:spacing w:line="475" w:lineRule="auto" w:before="44"/>
        <w:ind w:right="94" w:firstLine="420"/>
        <w:jc w:val="left"/>
      </w:pPr>
      <w:r>
        <w:rPr>
          <w:spacing w:val="-3"/>
        </w:rPr>
        <w:t>（</w:t>
      </w:r>
      <w:r>
        <w:rPr>
          <w:rFonts w:ascii="宋体" w:hAnsi="宋体" w:cs="宋体" w:eastAsia="宋体" w:hint="default"/>
          <w:spacing w:val="-3"/>
        </w:rPr>
        <w:t>4</w:t>
      </w:r>
      <w:r>
        <w:rPr>
          <w:spacing w:val="-3"/>
        </w:rPr>
        <w:t>）在物联网领域，进一步推进公司物联网技术的完善，着力做好行业资质认证工作以及“精确定位与无线通信系统”</w:t>
      </w:r>
      <w:r>
        <w:rPr/>
        <w:t> </w:t>
      </w:r>
      <w:r>
        <w:rPr>
          <w:spacing w:val="-2"/>
        </w:rPr>
        <w:t>的应用实践，发挥神华集团以及产业链上其他合作伙伴的优势，为矿山、隧道等复杂封闭空间提供集无线通信功能、精确位</w:t>
      </w:r>
      <w:r>
        <w:rPr>
          <w:spacing w:val="-64"/>
        </w:rPr>
        <w:t> </w:t>
      </w:r>
      <w:r>
        <w:rPr>
          <w:spacing w:val="-64"/>
        </w:rPr>
      </w:r>
      <w:r>
        <w:rPr>
          <w:spacing w:val="-2"/>
        </w:rPr>
        <w:t>置服务等方面的全面解决方案。同时密切跟踪移动通信转售政策的进展与落地，认真研究、积极参与，充分发挥公司兼具的</w:t>
      </w:r>
      <w:r>
        <w:rPr>
          <w:spacing w:val="-65"/>
        </w:rPr>
        <w:t> </w:t>
      </w:r>
      <w:r>
        <w:rPr>
          <w:spacing w:val="-65"/>
        </w:rPr>
      </w:r>
      <w:r>
        <w:rPr/>
        <w:t>面向电信业务的运维管理、互联网运营服务的综合优势以及在无线定位等方面的技术优势，扩展公司的业务覆盖范围。</w:t>
      </w:r>
    </w:p>
    <w:p>
      <w:pPr>
        <w:spacing w:line="240" w:lineRule="auto" w:before="8"/>
        <w:rPr>
          <w:rFonts w:ascii="宋体" w:hAnsi="宋体" w:cs="宋体" w:eastAsia="宋体" w:hint="default"/>
          <w:sz w:val="13"/>
          <w:szCs w:val="13"/>
        </w:rPr>
      </w:pPr>
    </w:p>
    <w:p>
      <w:pPr>
        <w:pStyle w:val="BodyText"/>
        <w:spacing w:line="448" w:lineRule="auto"/>
        <w:ind w:right="94" w:firstLine="420"/>
        <w:jc w:val="left"/>
      </w:pPr>
      <w:r>
        <w:rPr/>
        <w:t>（</w:t>
      </w:r>
      <w:r>
        <w:rPr>
          <w:rFonts w:ascii="Times New Roman" w:hAnsi="Times New Roman" w:cs="Times New Roman" w:eastAsia="Times New Roman" w:hint="default"/>
        </w:rPr>
        <w:t>5</w:t>
      </w:r>
      <w:r>
        <w:rPr/>
        <w:t>）合理规划与运用募集资金，有序推进募投项目的实施。同时，立足主业、持续稳步推进投资并购业务，开展在产 </w:t>
      </w:r>
      <w:r>
        <w:rPr>
          <w:spacing w:val="-4"/>
        </w:rPr>
        <w:t>业链方面有延伸、有利于拓展市场领域和增强公司技术实力与综合竞争力的投资并购活动，为公司可持续发展构建坚实基础。</w:t>
      </w:r>
    </w:p>
    <w:p>
      <w:pPr>
        <w:spacing w:line="240" w:lineRule="auto" w:before="2"/>
        <w:rPr>
          <w:rFonts w:ascii="宋体" w:hAnsi="宋体" w:cs="宋体" w:eastAsia="宋体" w:hint="default"/>
          <w:sz w:val="15"/>
          <w:szCs w:val="15"/>
        </w:rPr>
      </w:pPr>
    </w:p>
    <w:p>
      <w:pPr>
        <w:pStyle w:val="BodyText"/>
        <w:spacing w:line="468" w:lineRule="auto"/>
        <w:ind w:right="94" w:firstLine="420"/>
        <w:jc w:val="left"/>
      </w:pPr>
      <w:r>
        <w:rPr/>
        <w:t>（</w:t>
      </w:r>
      <w:r>
        <w:rPr>
          <w:rFonts w:ascii="Times New Roman" w:hAnsi="Times New Roman" w:cs="Times New Roman" w:eastAsia="Times New Roman" w:hint="default"/>
        </w:rPr>
        <w:t>6</w:t>
      </w:r>
      <w:r>
        <w:rPr/>
        <w:t>）坚持基于扁平化的组织体系和以绩效为核心的管理机制，缩短决策链条、提升决策效率，以交付价值为指导思想 </w:t>
      </w:r>
      <w:r>
        <w:rPr>
          <w:spacing w:val="-4"/>
        </w:rPr>
        <w:t>深入组织结构的优化与调整。进一步加强内部管理，提高管理效率，控制成本支出。同时，围绕经营、研发等重点业务环节，</w:t>
      </w:r>
      <w:r>
        <w:rPr>
          <w:spacing w:val="-44"/>
        </w:rPr>
        <w:t> </w:t>
      </w:r>
      <w:r>
        <w:rPr>
          <w:spacing w:val="-44"/>
        </w:rPr>
      </w:r>
      <w:r>
        <w:rPr>
          <w:spacing w:val="-2"/>
        </w:rPr>
        <w:t>构建以内部环境为重要基础，以风险评估为重要环节，以控制活动为重要手段，以信息与沟通为重要条件，以内部监督为重</w:t>
      </w:r>
      <w:r>
        <w:rPr>
          <w:spacing w:val="-65"/>
        </w:rPr>
        <w:t> </w:t>
      </w:r>
      <w:r>
        <w:rPr>
          <w:spacing w:val="-65"/>
        </w:rPr>
      </w:r>
      <w:r>
        <w:rPr/>
        <w:t>要保证，相互联系、相互促进的内部控制和全面风险管理体系。</w:t>
      </w:r>
    </w:p>
    <w:p>
      <w:pPr>
        <w:spacing w:line="240" w:lineRule="auto" w:before="1"/>
        <w:rPr>
          <w:rFonts w:ascii="宋体" w:hAnsi="宋体" w:cs="宋体" w:eastAsia="宋体" w:hint="default"/>
          <w:sz w:val="14"/>
          <w:szCs w:val="14"/>
        </w:rPr>
      </w:pPr>
    </w:p>
    <w:p>
      <w:pPr>
        <w:pStyle w:val="BodyText"/>
        <w:spacing w:line="463" w:lineRule="auto"/>
        <w:ind w:right="94" w:firstLine="420"/>
        <w:jc w:val="left"/>
      </w:pPr>
      <w:r>
        <w:rPr>
          <w:spacing w:val="-3"/>
        </w:rPr>
        <w:t>（</w:t>
      </w:r>
      <w:r>
        <w:rPr>
          <w:rFonts w:ascii="Times New Roman" w:hAnsi="Times New Roman" w:cs="Times New Roman" w:eastAsia="Times New Roman" w:hint="default"/>
          <w:spacing w:val="-3"/>
        </w:rPr>
        <w:t>7</w:t>
      </w:r>
      <w:r>
        <w:rPr>
          <w:spacing w:val="-3"/>
        </w:rPr>
        <w:t>）持续加强企业文化建设，提高员工归属感、认同度；继续完善人才引进及人才培养机制，健全员工的招聘、培训、</w:t>
      </w:r>
      <w:r>
        <w:rPr/>
        <w:t> </w:t>
      </w:r>
      <w:r>
        <w:rPr>
          <w:spacing w:val="-2"/>
        </w:rPr>
        <w:t>择岗、留才的人力资源体系，提高现有员工的整体素质和技能水平，做好人才的梯队建设、储备建设；进一步优化完善绩效</w:t>
      </w:r>
      <w:r>
        <w:rPr>
          <w:spacing w:val="-67"/>
        </w:rPr>
        <w:t> </w:t>
      </w:r>
      <w:r>
        <w:rPr>
          <w:spacing w:val="-67"/>
        </w:rPr>
      </w:r>
      <w:r>
        <w:rPr/>
        <w:t>考核管理体系和激励机制，为优秀员工提供良好的发展空间，增强公司的整体凝聚力。</w:t>
      </w:r>
    </w:p>
    <w:p>
      <w:pPr>
        <w:spacing w:line="240" w:lineRule="auto" w:before="4"/>
        <w:rPr>
          <w:rFonts w:ascii="宋体" w:hAnsi="宋体" w:cs="宋体" w:eastAsia="宋体" w:hint="default"/>
          <w:sz w:val="14"/>
          <w:szCs w:val="14"/>
        </w:rPr>
      </w:pPr>
    </w:p>
    <w:p>
      <w:pPr>
        <w:pStyle w:val="BodyText"/>
        <w:spacing w:line="463" w:lineRule="auto"/>
        <w:ind w:right="191" w:firstLine="420"/>
        <w:jc w:val="both"/>
      </w:pPr>
      <w:r>
        <w:rPr>
          <w:spacing w:val="-2"/>
        </w:rPr>
        <w:t>（</w:t>
      </w:r>
      <w:r>
        <w:rPr>
          <w:rFonts w:ascii="Times New Roman" w:hAnsi="Times New Roman" w:cs="Times New Roman" w:eastAsia="Times New Roman" w:hint="default"/>
          <w:spacing w:val="-2"/>
        </w:rPr>
        <w:t>8</w:t>
      </w:r>
      <w:r>
        <w:rPr>
          <w:spacing w:val="-2"/>
        </w:rPr>
        <w:t>）投资者关系工作是公司长抓不懈的重要工作。</w:t>
      </w:r>
      <w:r>
        <w:rPr>
          <w:rFonts w:ascii="Times New Roman" w:hAnsi="Times New Roman" w:cs="Times New Roman" w:eastAsia="Times New Roman" w:hint="default"/>
          <w:spacing w:val="-2"/>
        </w:rPr>
        <w:t>2013</w:t>
      </w:r>
      <w:r>
        <w:rPr>
          <w:spacing w:val="-2"/>
        </w:rPr>
        <w:t>年，公司将继续完善治理结构，健全投资者沟通平台，规范投</w:t>
      </w:r>
      <w:r>
        <w:rPr/>
        <w:t> </w:t>
      </w:r>
      <w:r>
        <w:rPr>
          <w:spacing w:val="-2"/>
        </w:rPr>
        <w:t>资者关系工作，加强与投资者和潜在投资者之间的沟通，加深投资者对公司的了解和认同，促进公司与投资者之间长期、稳</w:t>
      </w:r>
      <w:r>
        <w:rPr>
          <w:spacing w:val="-64"/>
        </w:rPr>
        <w:t> </w:t>
      </w:r>
      <w:r>
        <w:rPr>
          <w:spacing w:val="-64"/>
        </w:rPr>
      </w:r>
      <w:r>
        <w:rPr/>
        <w:t>定的良好关系，提升公司的诚信度、核心竞争能力和持续发展能力，实现公司价值最大化和股东利益最大化。</w:t>
      </w:r>
    </w:p>
    <w:p>
      <w:pPr>
        <w:spacing w:line="240" w:lineRule="auto" w:before="4"/>
        <w:rPr>
          <w:rFonts w:ascii="宋体" w:hAnsi="宋体" w:cs="宋体" w:eastAsia="宋体" w:hint="default"/>
          <w:sz w:val="18"/>
          <w:szCs w:val="18"/>
        </w:rPr>
      </w:pPr>
    </w:p>
    <w:p>
      <w:pPr>
        <w:pStyle w:val="Heading2"/>
        <w:spacing w:line="240" w:lineRule="auto"/>
        <w:ind w:right="94"/>
        <w:jc w:val="left"/>
        <w:rPr>
          <w:b w:val="0"/>
          <w:bCs w:val="0"/>
        </w:rPr>
      </w:pPr>
      <w:r>
        <w:rPr/>
        <w:t>四、董事会对会计师事务所本报告期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2"/>
        <w:rPr>
          <w:rFonts w:ascii="宋体" w:hAnsi="宋体" w:cs="宋体" w:eastAsia="宋体" w:hint="default"/>
          <w:b/>
          <w:bCs/>
          <w:sz w:val="30"/>
          <w:szCs w:val="30"/>
        </w:rPr>
      </w:pPr>
    </w:p>
    <w:p>
      <w:pPr>
        <w:pStyle w:val="BodyText"/>
        <w:spacing w:line="451" w:lineRule="auto"/>
        <w:ind w:right="94" w:firstLine="360"/>
        <w:jc w:val="left"/>
      </w:pPr>
      <w:r>
        <w:rPr/>
        <w:t>立信会计师事务所（特殊普通合伙）于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日对本报告期出具了标准无保留的审计报告（信会师报字</w:t>
      </w:r>
      <w:r>
        <w:rPr>
          <w:rFonts w:ascii="Times New Roman" w:hAnsi="Times New Roman" w:cs="Times New Roman" w:eastAsia="Times New Roman" w:hint="default"/>
        </w:rPr>
        <w:t>[2013]</w:t>
      </w:r>
      <w:r>
        <w:rPr/>
        <w:t>第 </w:t>
      </w:r>
      <w:r>
        <w:rPr>
          <w:rFonts w:ascii="Times New Roman" w:hAnsi="Times New Roman" w:cs="Times New Roman" w:eastAsia="Times New Roman" w:hint="default"/>
          <w:spacing w:val="-2"/>
        </w:rPr>
        <w:t>112587</w:t>
      </w:r>
      <w:r>
        <w:rPr>
          <w:spacing w:val="-2"/>
        </w:rPr>
        <w:t>号），认为：贵公司财务报表在所有重大方面按照企业会计准则的规定编制，公允反映了贵公司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w:t>
      </w:r>
      <w:r>
        <w:rPr>
          <w:spacing w:val="-56"/>
        </w:rPr>
        <w:t> </w:t>
      </w:r>
      <w:r>
        <w:rPr>
          <w:spacing w:val="-56"/>
        </w:rPr>
      </w:r>
      <w:r>
        <w:rPr/>
        <w:t>务状况以及</w:t>
      </w:r>
      <w:r>
        <w:rPr>
          <w:rFonts w:ascii="Times New Roman" w:hAnsi="Times New Roman" w:cs="Times New Roman" w:eastAsia="Times New Roman" w:hint="default"/>
        </w:rPr>
        <w:t>2012</w:t>
      </w:r>
      <w:r>
        <w:rPr/>
        <w:t>年度的经营成果和现金流量。</w:t>
      </w:r>
    </w:p>
    <w:p>
      <w:pPr>
        <w:spacing w:line="240" w:lineRule="auto" w:before="9"/>
        <w:rPr>
          <w:rFonts w:ascii="宋体" w:hAnsi="宋体" w:cs="宋体" w:eastAsia="宋体" w:hint="default"/>
          <w:sz w:val="16"/>
          <w:szCs w:val="16"/>
        </w:rPr>
      </w:pPr>
    </w:p>
    <w:p>
      <w:pPr>
        <w:pStyle w:val="Heading2"/>
        <w:spacing w:line="240" w:lineRule="auto"/>
        <w:ind w:right="94"/>
        <w:jc w:val="left"/>
        <w:rPr>
          <w:b w:val="0"/>
          <w:bCs w:val="0"/>
        </w:rPr>
      </w:pPr>
      <w:r>
        <w:rPr/>
        <w:t>五、董事会关于报告期会计政策、会计估计变更或重要前期差错更正的说明</w:t>
      </w:r>
      <w:r>
        <w:rPr>
          <w:b w:val="0"/>
          <w:bCs w:val="0"/>
        </w:rPr>
      </w:r>
    </w:p>
    <w:p>
      <w:pPr>
        <w:spacing w:line="240" w:lineRule="auto" w:before="11"/>
        <w:rPr>
          <w:rFonts w:ascii="宋体" w:hAnsi="宋体" w:cs="宋体" w:eastAsia="宋体" w:hint="default"/>
          <w:b/>
          <w:bCs/>
          <w:sz w:val="30"/>
          <w:szCs w:val="30"/>
        </w:rPr>
      </w:pPr>
    </w:p>
    <w:p>
      <w:pPr>
        <w:pStyle w:val="Heading4"/>
        <w:spacing w:line="240" w:lineRule="auto"/>
        <w:ind w:right="94"/>
        <w:jc w:val="left"/>
      </w:pPr>
      <w:r>
        <w:rPr/>
        <w:t>报告期内，公司没有重大会计政策变化、会计估计变更情况，未发生重大会计差错。</w:t>
      </w:r>
    </w:p>
    <w:p>
      <w:pPr>
        <w:spacing w:line="240" w:lineRule="auto" w:before="11"/>
        <w:rPr>
          <w:rFonts w:ascii="宋体" w:hAnsi="宋体" w:cs="宋体" w:eastAsia="宋体" w:hint="default"/>
          <w:sz w:val="29"/>
          <w:szCs w:val="29"/>
        </w:rPr>
      </w:pPr>
    </w:p>
    <w:p>
      <w:pPr>
        <w:pStyle w:val="Heading2"/>
        <w:spacing w:line="240" w:lineRule="auto"/>
        <w:ind w:right="94"/>
        <w:jc w:val="left"/>
        <w:rPr>
          <w:b w:val="0"/>
          <w:bCs w:val="0"/>
        </w:rPr>
      </w:pPr>
      <w:r>
        <w:rPr/>
        <w:t>六、公司利润分配及分红派息情况</w:t>
      </w:r>
      <w:r>
        <w:rPr>
          <w:b w:val="0"/>
          <w:bCs w:val="0"/>
        </w:rPr>
      </w:r>
    </w:p>
    <w:p>
      <w:pPr>
        <w:spacing w:line="240" w:lineRule="auto" w:before="10"/>
        <w:rPr>
          <w:rFonts w:ascii="宋体" w:hAnsi="宋体" w:cs="宋体" w:eastAsia="宋体" w:hint="default"/>
          <w:b/>
          <w:bCs/>
          <w:sz w:val="30"/>
          <w:szCs w:val="30"/>
        </w:rPr>
      </w:pPr>
    </w:p>
    <w:p>
      <w:pPr>
        <w:pStyle w:val="Heading3"/>
        <w:spacing w:line="240" w:lineRule="auto"/>
        <w:ind w:right="94"/>
        <w:jc w:val="left"/>
        <w:rPr>
          <w:b w:val="0"/>
          <w:bCs w:val="0"/>
        </w:rPr>
      </w:pPr>
      <w:r>
        <w:rPr/>
        <w:t>（一）公司利润分配政策调整情况</w:t>
      </w:r>
      <w:r>
        <w:rPr>
          <w:b w:val="0"/>
          <w:bCs w:val="0"/>
        </w:rPr>
      </w:r>
    </w:p>
    <w:p>
      <w:pPr>
        <w:spacing w:line="240" w:lineRule="auto" w:before="7"/>
        <w:rPr>
          <w:rFonts w:ascii="宋体" w:hAnsi="宋体" w:cs="宋体" w:eastAsia="宋体" w:hint="default"/>
          <w:b/>
          <w:bCs/>
          <w:sz w:val="16"/>
          <w:szCs w:val="16"/>
        </w:rPr>
      </w:pPr>
    </w:p>
    <w:p>
      <w:pPr>
        <w:pStyle w:val="BodyText"/>
        <w:spacing w:line="240" w:lineRule="auto"/>
        <w:ind w:left="609" w:right="94"/>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日，公司</w:t>
      </w:r>
      <w:r>
        <w:rPr>
          <w:rFonts w:ascii="Times New Roman" w:hAnsi="Times New Roman" w:cs="Times New Roman" w:eastAsia="Times New Roman" w:hint="default"/>
        </w:rPr>
        <w:t>2012</w:t>
      </w:r>
      <w:r>
        <w:rPr/>
        <w:t>年第一次临时股东大会对利润分配政策进行了调整，调整后的利润分配政策的主要内容为：</w:t>
      </w:r>
    </w:p>
    <w:p>
      <w:pPr>
        <w:spacing w:line="240" w:lineRule="auto" w:before="9"/>
        <w:rPr>
          <w:rFonts w:ascii="宋体" w:hAnsi="宋体" w:cs="宋体" w:eastAsia="宋体" w:hint="default"/>
          <w:sz w:val="16"/>
          <w:szCs w:val="16"/>
        </w:rPr>
      </w:pPr>
    </w:p>
    <w:p>
      <w:pPr>
        <w:pStyle w:val="BodyText"/>
        <w:spacing w:line="240" w:lineRule="auto"/>
        <w:ind w:left="609" w:right="0"/>
        <w:jc w:val="left"/>
      </w:pPr>
      <w:r>
        <w:rPr>
          <w:rFonts w:ascii="Times New Roman" w:hAnsi="Times New Roman" w:cs="Times New Roman" w:eastAsia="Times New Roman" w:hint="default"/>
        </w:rPr>
        <w:t>1</w:t>
      </w:r>
      <w:r>
        <w:rPr/>
        <w:t>、利润分配的形式：公司采用现金、股票或者现金与股票相结合的方式分配股利。在有条件的情况下，公司可以进行</w:t>
      </w:r>
    </w:p>
    <w:p>
      <w:pPr>
        <w:spacing w:after="0" w:line="240" w:lineRule="auto"/>
        <w:jc w:val="left"/>
        <w:sectPr>
          <w:pgSz w:w="11910" w:h="16840"/>
          <w:pgMar w:header="852" w:footer="980" w:top="1340" w:bottom="1160" w:left="980" w:right="940"/>
        </w:sectPr>
      </w:pPr>
    </w:p>
    <w:p>
      <w:pPr>
        <w:spacing w:line="240" w:lineRule="auto" w:before="6"/>
        <w:rPr>
          <w:rFonts w:ascii="宋体" w:hAnsi="宋体" w:cs="宋体" w:eastAsia="宋体" w:hint="default"/>
          <w:sz w:val="10"/>
          <w:szCs w:val="10"/>
        </w:rPr>
      </w:pPr>
    </w:p>
    <w:p>
      <w:pPr>
        <w:pStyle w:val="BodyText"/>
        <w:spacing w:line="240" w:lineRule="auto" w:before="44"/>
        <w:ind w:right="0"/>
        <w:jc w:val="both"/>
      </w:pPr>
      <w:r>
        <w:rPr/>
        <w:t>中期利润分配。</w:t>
      </w:r>
    </w:p>
    <w:p>
      <w:pPr>
        <w:spacing w:line="240" w:lineRule="auto" w:before="10"/>
        <w:rPr>
          <w:rFonts w:ascii="宋体" w:hAnsi="宋体" w:cs="宋体" w:eastAsia="宋体" w:hint="default"/>
          <w:sz w:val="17"/>
          <w:szCs w:val="17"/>
        </w:rPr>
      </w:pPr>
    </w:p>
    <w:p>
      <w:pPr>
        <w:pStyle w:val="BodyText"/>
        <w:spacing w:line="451" w:lineRule="auto"/>
        <w:ind w:left="573" w:right="0" w:firstLine="36"/>
        <w:jc w:val="left"/>
      </w:pPr>
      <w:r>
        <w:rPr>
          <w:rFonts w:ascii="Times New Roman" w:hAnsi="Times New Roman" w:cs="Times New Roman" w:eastAsia="Times New Roman" w:hint="default"/>
        </w:rPr>
        <w:t>2</w:t>
      </w:r>
      <w:r>
        <w:rPr/>
        <w:t>、公司现金分红的具体条件和比例： 公司该年度实现的可分配利润（即公司弥补亏损、提取公积金后所余的税后利润）为正值，且现金流充裕，实施现金</w:t>
      </w:r>
    </w:p>
    <w:p>
      <w:pPr>
        <w:pStyle w:val="BodyText"/>
        <w:spacing w:line="477" w:lineRule="auto" w:before="74"/>
        <w:ind w:right="151"/>
        <w:jc w:val="both"/>
      </w:pPr>
      <w:r>
        <w:rPr>
          <w:spacing w:val="-2"/>
        </w:rPr>
        <w:t>分红不会影响公司后续持续经营；审计机构对公司的该年度财务报告出具标准无保留意见的审计报告；公司未来十二个月内</w:t>
      </w:r>
      <w:r>
        <w:rPr>
          <w:spacing w:val="-64"/>
        </w:rPr>
        <w:t> </w:t>
      </w:r>
      <w:r>
        <w:rPr>
          <w:spacing w:val="-64"/>
        </w:rPr>
      </w:r>
      <w:r>
        <w:rPr>
          <w:spacing w:val="-2"/>
        </w:rPr>
        <w:t>无重大对外投资计划或重大现金支出（募集资金项目除外）。重大对外投资计划或重大现金支出是指：公司未来十二个月内</w:t>
      </w:r>
      <w:r>
        <w:rPr>
          <w:spacing w:val="-64"/>
        </w:rPr>
        <w:t> </w:t>
      </w:r>
      <w:r>
        <w:rPr>
          <w:spacing w:val="-64"/>
        </w:rPr>
      </w:r>
      <w:r>
        <w:rPr/>
        <w:t>拟对外投资、收购资产或者购置设备的累计支出达到或者超过公司最近一期经审计净资产的</w:t>
      </w:r>
      <w:r>
        <w:rPr>
          <w:rFonts w:ascii="Times New Roman" w:hAnsi="Times New Roman" w:cs="Times New Roman" w:eastAsia="Times New Roman" w:hint="default"/>
        </w:rPr>
        <w:t>30%</w:t>
      </w:r>
      <w:r>
        <w:rPr/>
        <w:t>。</w:t>
      </w:r>
    </w:p>
    <w:p>
      <w:pPr>
        <w:pStyle w:val="BodyText"/>
        <w:spacing w:line="451" w:lineRule="auto" w:before="21"/>
        <w:ind w:left="573" w:right="0"/>
        <w:jc w:val="left"/>
      </w:pPr>
      <w:r>
        <w:rPr/>
        <w:t>现金分红的比例：每年以现金方式分配的利润不少于当年合并报表可供分配利润的</w:t>
      </w:r>
      <w:r>
        <w:rPr>
          <w:rFonts w:ascii="Times New Roman" w:hAnsi="Times New Roman" w:cs="Times New Roman" w:eastAsia="Times New Roman" w:hint="default"/>
        </w:rPr>
        <w:t>10%</w:t>
      </w:r>
      <w:r>
        <w:rPr/>
        <w:t>。 </w:t>
      </w:r>
      <w:r>
        <w:rPr>
          <w:rFonts w:ascii="Times New Roman" w:hAnsi="Times New Roman" w:cs="Times New Roman" w:eastAsia="Times New Roman" w:hint="default"/>
        </w:rPr>
        <w:t>3</w:t>
      </w:r>
      <w:r>
        <w:rPr/>
        <w:t>、公司发放股票股利的具体条件： 公司在经营情况良好，并且董事会认为公司股票价格与公司股本规模不匹配、发放股票股利有利于公司全体股东整体</w:t>
      </w:r>
    </w:p>
    <w:p>
      <w:pPr>
        <w:pStyle w:val="BodyText"/>
        <w:spacing w:line="240" w:lineRule="auto" w:before="74"/>
        <w:ind w:right="0"/>
        <w:jc w:val="both"/>
      </w:pPr>
      <w:r>
        <w:rPr/>
        <w:t>利益时，可以在满足上述现金分红的条件下，提出股票股利分配预案。</w:t>
      </w:r>
    </w:p>
    <w:p>
      <w:pPr>
        <w:spacing w:line="240" w:lineRule="auto" w:before="0"/>
        <w:rPr>
          <w:rFonts w:ascii="宋体" w:hAnsi="宋体" w:cs="宋体" w:eastAsia="宋体" w:hint="default"/>
          <w:sz w:val="16"/>
          <w:szCs w:val="16"/>
        </w:rPr>
      </w:pPr>
    </w:p>
    <w:p>
      <w:pPr>
        <w:pStyle w:val="Heading3"/>
        <w:spacing w:line="240" w:lineRule="auto"/>
        <w:ind w:right="0"/>
        <w:jc w:val="both"/>
        <w:rPr>
          <w:b w:val="0"/>
          <w:bCs w:val="0"/>
        </w:rPr>
      </w:pPr>
      <w:r>
        <w:rPr/>
        <w:t>（二）报告期内利润分配政策执行情况</w:t>
      </w:r>
      <w:r>
        <w:rPr>
          <w:b w:val="0"/>
          <w:bCs w:val="0"/>
        </w:rPr>
      </w:r>
    </w:p>
    <w:p>
      <w:pPr>
        <w:spacing w:line="240" w:lineRule="auto" w:before="7"/>
        <w:rPr>
          <w:rFonts w:ascii="宋体" w:hAnsi="宋体" w:cs="宋体" w:eastAsia="宋体" w:hint="default"/>
          <w:b/>
          <w:bCs/>
          <w:sz w:val="16"/>
          <w:szCs w:val="16"/>
        </w:rPr>
      </w:pPr>
    </w:p>
    <w:p>
      <w:pPr>
        <w:pStyle w:val="BodyText"/>
        <w:spacing w:line="477" w:lineRule="auto"/>
        <w:ind w:right="0" w:firstLine="420"/>
        <w:jc w:val="left"/>
      </w:pPr>
      <w:r>
        <w:rPr>
          <w:rFonts w:ascii="宋体" w:hAnsi="宋体" w:cs="宋体" w:eastAsia="宋体" w:hint="default"/>
          <w:spacing w:val="-1"/>
        </w:rPr>
        <w:t>2012</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18</w:t>
      </w:r>
      <w:r>
        <w:rPr>
          <w:spacing w:val="-1"/>
        </w:rPr>
        <w:t>日，公司</w:t>
      </w:r>
      <w:r>
        <w:rPr>
          <w:rFonts w:ascii="宋体" w:hAnsi="宋体" w:cs="宋体" w:eastAsia="宋体" w:hint="default"/>
          <w:spacing w:val="-1"/>
        </w:rPr>
        <w:t>2011</w:t>
      </w:r>
      <w:r>
        <w:rPr>
          <w:spacing w:val="-1"/>
        </w:rPr>
        <w:t>年度股东大会审议通过了</w:t>
      </w:r>
      <w:r>
        <w:rPr>
          <w:rFonts w:ascii="宋体" w:hAnsi="宋体" w:cs="宋体" w:eastAsia="宋体" w:hint="default"/>
          <w:spacing w:val="-1"/>
        </w:rPr>
        <w:t>2011</w:t>
      </w:r>
      <w:r>
        <w:rPr>
          <w:spacing w:val="-1"/>
        </w:rPr>
        <w:t>年度利润分配方案，以</w:t>
      </w:r>
      <w:r>
        <w:rPr>
          <w:rFonts w:ascii="宋体" w:hAnsi="宋体" w:cs="宋体" w:eastAsia="宋体" w:hint="default"/>
          <w:spacing w:val="-1"/>
        </w:rPr>
        <w:t>2011</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日公司总股本</w:t>
      </w:r>
      <w:r>
        <w:rPr>
          <w:rFonts w:ascii="宋体" w:hAnsi="宋体" w:cs="宋体" w:eastAsia="宋体" w:hint="default"/>
          <w:spacing w:val="-1"/>
        </w:rPr>
        <w:t>37,920</w:t>
      </w:r>
      <w:r>
        <w:rPr>
          <w:spacing w:val="-1"/>
        </w:rPr>
        <w:t>万股</w:t>
      </w:r>
      <w:r>
        <w:rPr/>
        <w:t> 为基数，按每</w:t>
      </w:r>
      <w:r>
        <w:rPr>
          <w:rFonts w:ascii="宋体" w:hAnsi="宋体" w:cs="宋体" w:eastAsia="宋体" w:hint="default"/>
        </w:rPr>
        <w:t>10</w:t>
      </w:r>
      <w:r>
        <w:rPr/>
        <w:t>股派发现金红利</w:t>
      </w:r>
      <w:r>
        <w:rPr>
          <w:rFonts w:ascii="宋体" w:hAnsi="宋体" w:cs="宋体" w:eastAsia="宋体" w:hint="default"/>
        </w:rPr>
        <w:t>3</w:t>
      </w:r>
      <w:r>
        <w:rPr/>
        <w:t>元（含税），共分配现金股利</w:t>
      </w:r>
      <w:r>
        <w:rPr>
          <w:rFonts w:ascii="宋体" w:hAnsi="宋体" w:cs="宋体" w:eastAsia="宋体" w:hint="default"/>
        </w:rPr>
        <w:t>11,376</w:t>
      </w:r>
      <w:r>
        <w:rPr/>
        <w:t>万元，剩余未分配利润结转以后年度。</w:t>
      </w:r>
    </w:p>
    <w:p>
      <w:pPr>
        <w:spacing w:line="496" w:lineRule="auto" w:before="54"/>
        <w:ind w:left="152" w:right="0" w:firstLine="42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z w:val="18"/>
          <w:szCs w:val="18"/>
        </w:rPr>
        <w:t>2011</w:t>
      </w:r>
      <w:r>
        <w:rPr>
          <w:rFonts w:ascii="宋体" w:hAnsi="宋体" w:cs="宋体" w:eastAsia="宋体" w:hint="default"/>
          <w:sz w:val="18"/>
          <w:szCs w:val="18"/>
        </w:rPr>
        <w:t>年度股东大会决议，公司于</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5</w:t>
      </w:r>
      <w:r>
        <w:rPr>
          <w:rFonts w:ascii="宋体" w:hAnsi="宋体" w:cs="宋体" w:eastAsia="宋体" w:hint="default"/>
          <w:sz w:val="18"/>
          <w:szCs w:val="18"/>
        </w:rPr>
        <w:t>日在巨潮资讯网上刊登了《</w:t>
      </w:r>
      <w:r>
        <w:rPr>
          <w:rFonts w:ascii="宋体" w:hAnsi="宋体" w:cs="宋体" w:eastAsia="宋体" w:hint="default"/>
          <w:sz w:val="18"/>
          <w:szCs w:val="18"/>
        </w:rPr>
        <w:t>2011</w:t>
      </w:r>
      <w:r>
        <w:rPr>
          <w:rFonts w:ascii="宋体" w:hAnsi="宋体" w:cs="宋体" w:eastAsia="宋体" w:hint="default"/>
          <w:sz w:val="18"/>
          <w:szCs w:val="18"/>
        </w:rPr>
        <w:t>年度权益分配实施的公告》，本次权 益分派股权登记日为</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日，除权除息日为</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 </w:t>
      </w:r>
      <w:r>
        <w:rPr>
          <w:rFonts w:ascii="宋体" w:hAnsi="宋体" w:cs="宋体" w:eastAsia="宋体" w:hint="default"/>
          <w:b/>
          <w:bCs/>
          <w:sz w:val="18"/>
          <w:szCs w:val="18"/>
        </w:rPr>
        <w:t>公司报告期利润分配预案及资本公积金转增股本预案与公司章程和分红管理办法等的相关规定一致</w:t>
      </w:r>
      <w:r>
        <w:rPr>
          <w:rFonts w:ascii="宋体" w:hAnsi="宋体" w:cs="宋体" w:eastAsia="宋体" w:hint="default"/>
          <w:sz w:val="18"/>
          <w:szCs w:val="18"/>
        </w:rPr>
      </w:r>
    </w:p>
    <w:p>
      <w:pPr>
        <w:spacing w:line="489" w:lineRule="auto" w:before="78"/>
        <w:ind w:left="152" w:right="634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本年度利润分配及资本公积金转增股本预案</w:t>
      </w:r>
      <w:r>
        <w:rPr>
          <w:rFonts w:ascii="宋体" w:hAnsi="宋体" w:cs="宋体" w:eastAsia="宋体" w:hint="default"/>
          <w:sz w:val="18"/>
          <w:szCs w:val="18"/>
        </w:rPr>
      </w:r>
    </w:p>
    <w:tbl>
      <w:tblPr>
        <w:tblW w:w="0" w:type="auto"/>
        <w:jc w:val="left"/>
        <w:tblInd w:w="148" w:type="dxa"/>
        <w:tblLayout w:type="fixed"/>
        <w:tblCellMar>
          <w:top w:w="0" w:type="dxa"/>
          <w:left w:w="0" w:type="dxa"/>
          <w:bottom w:w="0" w:type="dxa"/>
          <w:right w:w="0" w:type="dxa"/>
        </w:tblCellMar>
        <w:tblLook w:val="01E0"/>
      </w:tblPr>
      <w:tblGrid>
        <w:gridCol w:w="3728"/>
        <w:gridCol w:w="5871"/>
      </w:tblGrid>
      <w:tr>
        <w:trPr>
          <w:trHeight w:val="466"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r>
      <w:tr>
        <w:trPr>
          <w:trHeight w:val="468"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4</w:t>
            </w:r>
          </w:p>
        </w:tc>
      </w:tr>
      <w:tr>
        <w:trPr>
          <w:trHeight w:val="449"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3"/>
              <w:jc w:val="right"/>
              <w:rPr>
                <w:rFonts w:ascii="Times New Roman" w:hAnsi="Times New Roman" w:cs="Times New Roman" w:eastAsia="Times New Roman" w:hint="default"/>
                <w:sz w:val="18"/>
                <w:szCs w:val="18"/>
              </w:rPr>
            </w:pPr>
            <w:r>
              <w:rPr>
                <w:rFonts w:ascii="Times New Roman"/>
                <w:sz w:val="18"/>
              </w:rPr>
              <w:t>6</w:t>
            </w:r>
          </w:p>
        </w:tc>
      </w:tr>
      <w:tr>
        <w:trPr>
          <w:trHeight w:val="451"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383,383,700.00</w:t>
            </w:r>
          </w:p>
        </w:tc>
      </w:tr>
      <w:tr>
        <w:trPr>
          <w:trHeight w:val="499"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Times New Roman" w:hAnsi="Times New Roman" w:cs="Times New Roman" w:eastAsia="Times New Roman" w:hint="default"/>
                <w:sz w:val="18"/>
                <w:szCs w:val="18"/>
              </w:rPr>
            </w:pPr>
            <w:r>
              <w:rPr>
                <w:rFonts w:ascii="Times New Roman"/>
                <w:spacing w:val="-1"/>
                <w:sz w:val="18"/>
              </w:rPr>
              <w:t>153,353,480.00</w:t>
            </w:r>
          </w:p>
        </w:tc>
      </w:tr>
      <w:tr>
        <w:trPr>
          <w:trHeight w:val="469"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71" w:type="dxa"/>
            <w:tcBorders>
              <w:top w:val="single" w:sz="4" w:space="0" w:color="000000"/>
              <w:left w:val="single" w:sz="10" w:space="0" w:color="D2D2D2"/>
              <w:bottom w:val="single" w:sz="13" w:space="0" w:color="D2D2D2"/>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8"/>
                <w:szCs w:val="18"/>
              </w:rPr>
            </w:pPr>
            <w:r>
              <w:rPr>
                <w:rFonts w:ascii="Times New Roman"/>
                <w:spacing w:val="-1"/>
                <w:sz w:val="18"/>
              </w:rPr>
              <w:t>507,021,394.88</w:t>
            </w:r>
          </w:p>
        </w:tc>
      </w:tr>
      <w:tr>
        <w:trPr>
          <w:trHeight w:val="434" w:hRule="exact"/>
        </w:trPr>
        <w:tc>
          <w:tcPr>
            <w:tcW w:w="96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3085"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bl>
    <w:p>
      <w:pPr>
        <w:spacing w:after="0" w:line="240" w:lineRule="auto"/>
        <w:jc w:val="left"/>
        <w:rPr>
          <w:rFonts w:ascii="宋体" w:hAnsi="宋体" w:cs="宋体" w:eastAsia="宋体" w:hint="default"/>
          <w:sz w:val="18"/>
          <w:szCs w:val="18"/>
        </w:rPr>
        <w:sectPr>
          <w:pgSz w:w="11910" w:h="16840"/>
          <w:pgMar w:header="852" w:footer="980" w:top="1340" w:bottom="1160" w:left="980" w:right="980"/>
        </w:sectPr>
      </w:pPr>
    </w:p>
    <w:p>
      <w:pPr>
        <w:spacing w:line="240" w:lineRule="auto" w:before="7"/>
        <w:rPr>
          <w:rFonts w:ascii="宋体" w:hAnsi="宋体" w:cs="宋体" w:eastAsia="宋体" w:hint="default"/>
          <w:b/>
          <w:bCs/>
          <w:sz w:val="7"/>
          <w:szCs w:val="7"/>
        </w:rPr>
      </w:pPr>
    </w:p>
    <w:p>
      <w:pPr>
        <w:spacing w:line="2347" w:lineRule="exact"/>
        <w:ind w:left="152" w:right="0" w:firstLine="0"/>
        <w:rPr>
          <w:rFonts w:ascii="宋体" w:hAnsi="宋体" w:cs="宋体" w:eastAsia="宋体" w:hint="default"/>
          <w:sz w:val="20"/>
          <w:szCs w:val="20"/>
        </w:rPr>
      </w:pPr>
      <w:r>
        <w:rPr>
          <w:rFonts w:ascii="宋体" w:hAnsi="宋体" w:cs="宋体" w:eastAsia="宋体" w:hint="default"/>
          <w:position w:val="-46"/>
          <w:sz w:val="20"/>
          <w:szCs w:val="20"/>
        </w:rPr>
        <w:pict>
          <v:shape style="width:480pt;height:117.4pt;mso-position-horizontal-relative:char;mso-position-vertical-relative:line" type="#_x0000_t202" filled="false" stroked="true" strokeweight=".48pt" strokecolor="#000000">
            <w10:anchorlock/>
            <v:textbox inset="0,0,0,0">
              <w:txbxContent>
                <w:p>
                  <w:pPr>
                    <w:spacing w:line="240" w:lineRule="auto" w:before="13"/>
                    <w:rPr>
                      <w:rFonts w:ascii="宋体" w:hAnsi="宋体" w:cs="宋体" w:eastAsia="宋体" w:hint="default"/>
                      <w:b/>
                      <w:bCs/>
                      <w:sz w:val="16"/>
                      <w:szCs w:val="16"/>
                    </w:rPr>
                  </w:pPr>
                </w:p>
                <w:p>
                  <w:pPr>
                    <w:pStyle w:val="BodyText"/>
                    <w:spacing w:line="240" w:lineRule="auto"/>
                    <w:ind w:left="384" w:right="0"/>
                    <w:jc w:val="left"/>
                  </w:pPr>
                  <w:r>
                    <w:rPr/>
                    <w:t>经立信会计师事务所审计，公司</w:t>
                  </w:r>
                  <w:r>
                    <w:rPr>
                      <w:spacing w:val="-46"/>
                    </w:rPr>
                    <w:t> </w:t>
                  </w:r>
                  <w:r>
                    <w:rPr>
                      <w:rFonts w:ascii="宋体" w:hAnsi="宋体" w:cs="宋体" w:eastAsia="宋体" w:hint="default"/>
                    </w:rPr>
                    <w:t>2012</w:t>
                  </w:r>
                  <w:r>
                    <w:rPr>
                      <w:rFonts w:ascii="宋体" w:hAnsi="宋体" w:cs="宋体" w:eastAsia="宋体" w:hint="default"/>
                      <w:spacing w:val="-45"/>
                    </w:rPr>
                    <w:t> </w:t>
                  </w:r>
                  <w:r>
                    <w:rPr/>
                    <w:t>年度实现归属于上市公司股东的净利润</w:t>
                  </w:r>
                  <w:r>
                    <w:rPr>
                      <w:spacing w:val="-47"/>
                    </w:rPr>
                    <w:t> </w:t>
                  </w:r>
                  <w:r>
                    <w:rPr>
                      <w:rFonts w:ascii="宋体" w:hAnsi="宋体" w:cs="宋体" w:eastAsia="宋体" w:hint="default"/>
                    </w:rPr>
                    <w:t>429,028,904.35</w:t>
                  </w:r>
                  <w:r>
                    <w:rPr>
                      <w:rFonts w:ascii="宋体" w:hAnsi="宋体" w:cs="宋体" w:eastAsia="宋体" w:hint="default"/>
                      <w:spacing w:val="-45"/>
                    </w:rPr>
                    <w:t> </w:t>
                  </w:r>
                  <w:r>
                    <w:rPr/>
                    <w:t>元，其中，母公司实现</w:t>
                  </w:r>
                </w:p>
                <w:p>
                  <w:pPr>
                    <w:pStyle w:val="BodyText"/>
                    <w:spacing w:line="240" w:lineRule="auto" w:before="76"/>
                    <w:ind w:left="23" w:right="0"/>
                    <w:jc w:val="left"/>
                  </w:pPr>
                  <w:r>
                    <w:rPr/>
                    <w:t>净利润</w:t>
                  </w:r>
                  <w:r>
                    <w:rPr>
                      <w:spacing w:val="-47"/>
                    </w:rPr>
                    <w:t> </w:t>
                  </w:r>
                  <w:r>
                    <w:rPr>
                      <w:rFonts w:ascii="宋体" w:hAnsi="宋体" w:cs="宋体" w:eastAsia="宋体" w:hint="default"/>
                    </w:rPr>
                    <w:t>230,925,992.36</w:t>
                  </w:r>
                  <w:r>
                    <w:rPr>
                      <w:rFonts w:ascii="宋体" w:hAnsi="宋体" w:cs="宋体" w:eastAsia="宋体" w:hint="default"/>
                      <w:spacing w:val="-46"/>
                    </w:rPr>
                    <w:t> </w:t>
                  </w:r>
                  <w:r>
                    <w:rPr/>
                    <w:t>元。根据《公司法》和《公司章程》的有关规定，按</w:t>
                  </w:r>
                  <w:r>
                    <w:rPr>
                      <w:spacing w:val="-47"/>
                    </w:rPr>
                    <w:t> </w:t>
                  </w:r>
                  <w:r>
                    <w:rPr>
                      <w:rFonts w:ascii="宋体" w:hAnsi="宋体" w:cs="宋体" w:eastAsia="宋体" w:hint="default"/>
                    </w:rPr>
                    <w:t>2012</w:t>
                  </w:r>
                  <w:r>
                    <w:rPr>
                      <w:rFonts w:ascii="宋体" w:hAnsi="宋体" w:cs="宋体" w:eastAsia="宋体" w:hint="default"/>
                      <w:spacing w:val="-46"/>
                    </w:rPr>
                    <w:t> </w:t>
                  </w:r>
                  <w:r>
                    <w:rPr/>
                    <w:t>年度母公司实现净利润的</w:t>
                  </w:r>
                  <w:r>
                    <w:rPr>
                      <w:spacing w:val="-47"/>
                    </w:rPr>
                    <w:t> </w:t>
                  </w:r>
                  <w:r>
                    <w:rPr>
                      <w:rFonts w:ascii="宋体" w:hAnsi="宋体" w:cs="宋体" w:eastAsia="宋体" w:hint="default"/>
                    </w:rPr>
                    <w:t>10%</w:t>
                  </w:r>
                  <w:r>
                    <w:rPr/>
                    <w:t>提取法定</w:t>
                  </w:r>
                </w:p>
                <w:p>
                  <w:pPr>
                    <w:pStyle w:val="BodyText"/>
                    <w:spacing w:line="240" w:lineRule="auto" w:before="76"/>
                    <w:ind w:left="23" w:right="0"/>
                    <w:jc w:val="left"/>
                  </w:pPr>
                  <w:r>
                    <w:rPr/>
                    <w:t>盈余公积金</w:t>
                  </w:r>
                  <w:r>
                    <w:rPr>
                      <w:spacing w:val="-46"/>
                    </w:rPr>
                    <w:t> </w:t>
                  </w:r>
                  <w:r>
                    <w:rPr>
                      <w:rFonts w:ascii="宋体" w:hAnsi="宋体" w:cs="宋体" w:eastAsia="宋体" w:hint="default"/>
                    </w:rPr>
                    <w:t>23,092,599.24</w:t>
                  </w:r>
                  <w:r>
                    <w:rPr>
                      <w:rFonts w:ascii="宋体" w:hAnsi="宋体" w:cs="宋体" w:eastAsia="宋体" w:hint="default"/>
                      <w:spacing w:val="-45"/>
                    </w:rPr>
                    <w:t> </w:t>
                  </w:r>
                  <w:r>
                    <w:rPr/>
                    <w:t>元，母公司可供股东分配的利润为</w:t>
                  </w:r>
                  <w:r>
                    <w:rPr>
                      <w:spacing w:val="-46"/>
                    </w:rPr>
                    <w:t> </w:t>
                  </w:r>
                  <w:r>
                    <w:rPr>
                      <w:rFonts w:ascii="宋体" w:hAnsi="宋体" w:cs="宋体" w:eastAsia="宋体" w:hint="default"/>
                    </w:rPr>
                    <w:t>507,021,394.88</w:t>
                  </w:r>
                  <w:r>
                    <w:rPr>
                      <w:rFonts w:ascii="宋体" w:hAnsi="宋体" w:cs="宋体" w:eastAsia="宋体" w:hint="default"/>
                      <w:spacing w:val="-44"/>
                    </w:rPr>
                    <w:t> </w:t>
                  </w:r>
                  <w:r>
                    <w:rPr/>
                    <w:t>元。公司拟以</w:t>
                  </w:r>
                  <w:r>
                    <w:rPr>
                      <w:spacing w:val="-47"/>
                    </w:rPr>
                    <w:t> </w:t>
                  </w:r>
                  <w:r>
                    <w:rPr>
                      <w:rFonts w:ascii="宋体" w:hAnsi="宋体" w:cs="宋体" w:eastAsia="宋体" w:hint="default"/>
                    </w:rPr>
                    <w:t>2012</w:t>
                  </w:r>
                  <w:r>
                    <w:rPr>
                      <w:rFonts w:ascii="宋体" w:hAnsi="宋体" w:cs="宋体" w:eastAsia="宋体" w:hint="default"/>
                      <w:spacing w:val="-47"/>
                    </w:rPr>
                    <w:t> </w:t>
                  </w:r>
                  <w:r>
                    <w:rPr/>
                    <w:t>年</w:t>
                  </w:r>
                  <w:r>
                    <w:rPr>
                      <w:spacing w:val="-47"/>
                    </w:rPr>
                    <w:t> </w:t>
                  </w:r>
                  <w:r>
                    <w:rPr>
                      <w:rFonts w:ascii="宋体" w:hAnsi="宋体" w:cs="宋体" w:eastAsia="宋体" w:hint="default"/>
                    </w:rPr>
                    <w:t>12</w:t>
                  </w:r>
                  <w:r>
                    <w:rPr>
                      <w:rFonts w:ascii="宋体" w:hAnsi="宋体" w:cs="宋体" w:eastAsia="宋体" w:hint="default"/>
                      <w:spacing w:val="-46"/>
                    </w:rPr>
                    <w:t> </w:t>
                  </w:r>
                  <w:r>
                    <w:rPr/>
                    <w:t>月</w:t>
                  </w:r>
                  <w:r>
                    <w:rPr>
                      <w:spacing w:val="-49"/>
                    </w:rPr>
                    <w:t> </w:t>
                  </w:r>
                  <w:r>
                    <w:rPr>
                      <w:rFonts w:ascii="宋体" w:hAnsi="宋体" w:cs="宋体" w:eastAsia="宋体" w:hint="default"/>
                    </w:rPr>
                    <w:t>31</w:t>
                  </w:r>
                  <w:r>
                    <w:rPr>
                      <w:rFonts w:ascii="宋体" w:hAnsi="宋体" w:cs="宋体" w:eastAsia="宋体" w:hint="default"/>
                      <w:spacing w:val="-46"/>
                    </w:rPr>
                    <w:t> </w:t>
                  </w:r>
                  <w:r>
                    <w:rPr/>
                    <w:t>日公司总股</w:t>
                  </w:r>
                </w:p>
                <w:p>
                  <w:pPr>
                    <w:pStyle w:val="BodyText"/>
                    <w:spacing w:line="240" w:lineRule="auto" w:before="76"/>
                    <w:ind w:left="23" w:right="0"/>
                    <w:jc w:val="left"/>
                  </w:pPr>
                  <w:r>
                    <w:rPr/>
                    <w:t>本</w:t>
                  </w:r>
                  <w:r>
                    <w:rPr>
                      <w:spacing w:val="-44"/>
                    </w:rPr>
                    <w:t> </w:t>
                  </w:r>
                  <w:r>
                    <w:rPr>
                      <w:rFonts w:ascii="宋体" w:hAnsi="宋体" w:cs="宋体" w:eastAsia="宋体" w:hint="default"/>
                      <w:spacing w:val="1"/>
                    </w:rPr>
                    <w:t>3</w:t>
                  </w:r>
                  <w:r>
                    <w:rPr>
                      <w:rFonts w:ascii="宋体" w:hAnsi="宋体" w:cs="宋体" w:eastAsia="宋体" w:hint="default"/>
                      <w:spacing w:val="-2"/>
                    </w:rPr>
                    <w:t>8</w:t>
                  </w:r>
                  <w:r>
                    <w:rPr>
                      <w:rFonts w:ascii="宋体" w:hAnsi="宋体" w:cs="宋体" w:eastAsia="宋体" w:hint="default"/>
                      <w:spacing w:val="1"/>
                    </w:rPr>
                    <w:t>,</w:t>
                  </w:r>
                  <w:r>
                    <w:rPr>
                      <w:rFonts w:ascii="宋体" w:hAnsi="宋体" w:cs="宋体" w:eastAsia="宋体" w:hint="default"/>
                      <w:spacing w:val="-2"/>
                    </w:rPr>
                    <w:t>3</w:t>
                  </w:r>
                  <w:r>
                    <w:rPr>
                      <w:rFonts w:ascii="宋体" w:hAnsi="宋体" w:cs="宋体" w:eastAsia="宋体" w:hint="default"/>
                      <w:spacing w:val="1"/>
                    </w:rPr>
                    <w:t>3</w:t>
                  </w:r>
                  <w:r>
                    <w:rPr>
                      <w:rFonts w:ascii="宋体" w:hAnsi="宋体" w:cs="宋体" w:eastAsia="宋体" w:hint="default"/>
                      <w:spacing w:val="-2"/>
                    </w:rPr>
                    <w:t>8</w:t>
                  </w:r>
                  <w:r>
                    <w:rPr>
                      <w:rFonts w:ascii="宋体" w:hAnsi="宋体" w:cs="宋体" w:eastAsia="宋体" w:hint="default"/>
                      <w:spacing w:val="1"/>
                    </w:rPr>
                    <w:t>.</w:t>
                  </w:r>
                  <w:r>
                    <w:rPr>
                      <w:rFonts w:ascii="宋体" w:hAnsi="宋体" w:cs="宋体" w:eastAsia="宋体" w:hint="default"/>
                      <w:spacing w:val="-2"/>
                    </w:rPr>
                    <w:t>3</w:t>
                  </w:r>
                  <w:r>
                    <w:rPr>
                      <w:rFonts w:ascii="宋体" w:hAnsi="宋体" w:cs="宋体" w:eastAsia="宋体" w:hint="default"/>
                    </w:rPr>
                    <w:t>7</w:t>
                  </w:r>
                  <w:r>
                    <w:rPr>
                      <w:rFonts w:ascii="宋体" w:hAnsi="宋体" w:cs="宋体" w:eastAsia="宋体" w:hint="default"/>
                      <w:spacing w:val="-43"/>
                    </w:rPr>
                    <w:t> </w:t>
                  </w:r>
                  <w:r>
                    <w:rPr/>
                    <w:t>万股为基数，</w:t>
                  </w:r>
                  <w:r>
                    <w:rPr>
                      <w:spacing w:val="-3"/>
                    </w:rPr>
                    <w:t>按</w:t>
                  </w:r>
                  <w:r>
                    <w:rPr/>
                    <w:t>每</w:t>
                  </w:r>
                  <w:r>
                    <w:rPr>
                      <w:spacing w:val="-45"/>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43"/>
                    </w:rPr>
                    <w:t> </w:t>
                  </w:r>
                  <w:r>
                    <w:rPr/>
                    <w:t>股派发现金</w:t>
                  </w:r>
                  <w:r>
                    <w:rPr>
                      <w:spacing w:val="-3"/>
                    </w:rPr>
                    <w:t>红</w:t>
                  </w:r>
                  <w:r>
                    <w:rPr/>
                    <w:t>利</w:t>
                  </w:r>
                  <w:r>
                    <w:rPr>
                      <w:spacing w:val="-45"/>
                    </w:rPr>
                    <w:t> </w:t>
                  </w:r>
                  <w:r>
                    <w:rPr>
                      <w:rFonts w:ascii="宋体" w:hAnsi="宋体" w:cs="宋体" w:eastAsia="宋体" w:hint="default"/>
                    </w:rPr>
                    <w:t>4</w:t>
                  </w:r>
                  <w:r>
                    <w:rPr>
                      <w:rFonts w:ascii="宋体" w:hAnsi="宋体" w:cs="宋体" w:eastAsia="宋体" w:hint="default"/>
                      <w:spacing w:val="-44"/>
                    </w:rPr>
                    <w:t> </w:t>
                  </w:r>
                  <w:r>
                    <w:rPr/>
                    <w:t>元（</w:t>
                  </w:r>
                  <w:r>
                    <w:rPr>
                      <w:spacing w:val="-3"/>
                    </w:rPr>
                    <w:t>含</w:t>
                  </w:r>
                  <w:r>
                    <w:rPr/>
                    <w:t>税</w:t>
                  </w:r>
                  <w:r>
                    <w:rPr>
                      <w:spacing w:val="-92"/>
                    </w:rPr>
                    <w:t>）</w:t>
                  </w:r>
                  <w:r>
                    <w:rPr/>
                    <w:t>，共分配现金股利</w:t>
                  </w:r>
                  <w:r>
                    <w:rPr>
                      <w:spacing w:val="-44"/>
                    </w:rPr>
                    <w:t> </w:t>
                  </w:r>
                  <w:r>
                    <w:rPr>
                      <w:rFonts w:ascii="宋体" w:hAnsi="宋体" w:cs="宋体" w:eastAsia="宋体" w:hint="default"/>
                      <w:spacing w:val="1"/>
                    </w:rPr>
                    <w:t>15</w:t>
                  </w:r>
                  <w:r>
                    <w:rPr>
                      <w:rFonts w:ascii="宋体" w:hAnsi="宋体" w:cs="宋体" w:eastAsia="宋体" w:hint="default"/>
                      <w:spacing w:val="-2"/>
                    </w:rPr>
                    <w:t>,</w:t>
                  </w:r>
                  <w:r>
                    <w:rPr>
                      <w:rFonts w:ascii="宋体" w:hAnsi="宋体" w:cs="宋体" w:eastAsia="宋体" w:hint="default"/>
                      <w:spacing w:val="1"/>
                    </w:rPr>
                    <w:t>3</w:t>
                  </w:r>
                  <w:r>
                    <w:rPr>
                      <w:rFonts w:ascii="宋体" w:hAnsi="宋体" w:cs="宋体" w:eastAsia="宋体" w:hint="default"/>
                      <w:spacing w:val="-2"/>
                    </w:rPr>
                    <w:t>3</w:t>
                  </w:r>
                  <w:r>
                    <w:rPr>
                      <w:rFonts w:ascii="宋体" w:hAnsi="宋体" w:cs="宋体" w:eastAsia="宋体" w:hint="default"/>
                      <w:spacing w:val="1"/>
                    </w:rPr>
                    <w:t>5</w:t>
                  </w:r>
                  <w:r>
                    <w:rPr>
                      <w:rFonts w:ascii="宋体" w:hAnsi="宋体" w:cs="宋体" w:eastAsia="宋体" w:hint="default"/>
                      <w:spacing w:val="-2"/>
                    </w:rPr>
                    <w:t>.</w:t>
                  </w:r>
                  <w:r>
                    <w:rPr>
                      <w:rFonts w:ascii="宋体" w:hAnsi="宋体" w:cs="宋体" w:eastAsia="宋体" w:hint="default"/>
                      <w:spacing w:val="1"/>
                    </w:rPr>
                    <w:t>3</w:t>
                  </w:r>
                  <w:r>
                    <w:rPr>
                      <w:rFonts w:ascii="宋体" w:hAnsi="宋体" w:cs="宋体" w:eastAsia="宋体" w:hint="default"/>
                    </w:rPr>
                    <w:t>5</w:t>
                  </w:r>
                  <w:r>
                    <w:rPr>
                      <w:rFonts w:ascii="宋体" w:hAnsi="宋体" w:cs="宋体" w:eastAsia="宋体" w:hint="default"/>
                      <w:spacing w:val="-43"/>
                    </w:rPr>
                    <w:t> </w:t>
                  </w:r>
                  <w:r>
                    <w:rPr/>
                    <w:t>万元，剩余未分配利润结转</w:t>
                  </w:r>
                </w:p>
                <w:p>
                  <w:pPr>
                    <w:pStyle w:val="BodyText"/>
                    <w:spacing w:line="240" w:lineRule="auto" w:before="76"/>
                    <w:ind w:left="23" w:right="0"/>
                    <w:jc w:val="left"/>
                  </w:pPr>
                  <w:r>
                    <w:rPr/>
                    <w:t>以后年度。同时以资本公积金向全体股东每</w:t>
                  </w:r>
                  <w:r>
                    <w:rPr>
                      <w:spacing w:val="-46"/>
                    </w:rPr>
                    <w:t> </w:t>
                  </w:r>
                  <w:r>
                    <w:rPr>
                      <w:rFonts w:ascii="宋体" w:hAnsi="宋体" w:cs="宋体" w:eastAsia="宋体" w:hint="default"/>
                    </w:rPr>
                    <w:t>10</w:t>
                  </w:r>
                  <w:r>
                    <w:rPr>
                      <w:rFonts w:ascii="宋体" w:hAnsi="宋体" w:cs="宋体" w:eastAsia="宋体" w:hint="default"/>
                      <w:spacing w:val="-46"/>
                    </w:rPr>
                    <w:t> </w:t>
                  </w:r>
                  <w:r>
                    <w:rPr/>
                    <w:t>股转增</w:t>
                  </w:r>
                  <w:r>
                    <w:rPr>
                      <w:spacing w:val="-47"/>
                    </w:rPr>
                    <w:t> </w:t>
                  </w:r>
                  <w:r>
                    <w:rPr>
                      <w:rFonts w:ascii="宋体" w:hAnsi="宋体" w:cs="宋体" w:eastAsia="宋体" w:hint="default"/>
                    </w:rPr>
                    <w:t>6</w:t>
                  </w:r>
                  <w:r>
                    <w:rPr>
                      <w:rFonts w:ascii="宋体" w:hAnsi="宋体" w:cs="宋体" w:eastAsia="宋体" w:hint="default"/>
                      <w:spacing w:val="-46"/>
                    </w:rPr>
                    <w:t> </w:t>
                  </w:r>
                  <w:r>
                    <w:rPr/>
                    <w:t>股，共计转增</w:t>
                  </w:r>
                  <w:r>
                    <w:rPr>
                      <w:spacing w:val="-47"/>
                    </w:rPr>
                    <w:t> </w:t>
                  </w:r>
                  <w:r>
                    <w:rPr>
                      <w:rFonts w:ascii="宋体" w:hAnsi="宋体" w:cs="宋体" w:eastAsia="宋体" w:hint="default"/>
                    </w:rPr>
                    <w:t>23,003.02</w:t>
                  </w:r>
                  <w:r>
                    <w:rPr>
                      <w:rFonts w:ascii="宋体" w:hAnsi="宋体" w:cs="宋体" w:eastAsia="宋体" w:hint="default"/>
                      <w:spacing w:val="-45"/>
                    </w:rPr>
                    <w:t> </w:t>
                  </w:r>
                  <w:r>
                    <w:rPr/>
                    <w:t>万股。</w:t>
                  </w:r>
                </w:p>
                <w:p>
                  <w:pPr>
                    <w:pStyle w:val="BodyText"/>
                    <w:spacing w:line="240" w:lineRule="auto" w:before="115"/>
                    <w:ind w:left="384" w:right="0"/>
                    <w:jc w:val="left"/>
                  </w:pPr>
                  <w:r>
                    <w:rPr/>
                    <w:t>上述预案尚需提交公司</w:t>
                  </w:r>
                  <w:r>
                    <w:rPr>
                      <w:spacing w:val="-47"/>
                    </w:rPr>
                    <w:t> </w:t>
                  </w:r>
                  <w:r>
                    <w:rPr>
                      <w:rFonts w:ascii="宋体" w:hAnsi="宋体" w:cs="宋体" w:eastAsia="宋体" w:hint="default"/>
                    </w:rPr>
                    <w:t>2012</w:t>
                  </w:r>
                  <w:r>
                    <w:rPr>
                      <w:rFonts w:ascii="宋体" w:hAnsi="宋体" w:cs="宋体" w:eastAsia="宋体" w:hint="default"/>
                      <w:spacing w:val="-46"/>
                    </w:rPr>
                    <w:t> </w:t>
                  </w:r>
                  <w:r>
                    <w:rPr/>
                    <w:t>年度股东大会审议。</w:t>
                  </w:r>
                </w:p>
              </w:txbxContent>
            </v:textbox>
          </v:shape>
        </w:pict>
      </w:r>
      <w:r>
        <w:rPr>
          <w:rFonts w:ascii="宋体" w:hAnsi="宋体" w:cs="宋体" w:eastAsia="宋体" w:hint="default"/>
          <w:position w:val="-46"/>
          <w:sz w:val="20"/>
          <w:szCs w:val="20"/>
        </w:rPr>
      </w:r>
    </w:p>
    <w:p>
      <w:pPr>
        <w:spacing w:line="240" w:lineRule="auto" w:before="11"/>
        <w:rPr>
          <w:rFonts w:ascii="宋体" w:hAnsi="宋体" w:cs="宋体" w:eastAsia="宋体" w:hint="default"/>
          <w:b/>
          <w:bCs/>
          <w:sz w:val="12"/>
          <w:szCs w:val="12"/>
        </w:rPr>
      </w:pPr>
    </w:p>
    <w:p>
      <w:pPr>
        <w:spacing w:line="566" w:lineRule="auto" w:before="44"/>
        <w:ind w:left="573" w:right="268" w:hanging="421"/>
        <w:jc w:val="left"/>
        <w:rPr>
          <w:rFonts w:ascii="宋体" w:hAnsi="宋体" w:cs="宋体" w:eastAsia="宋体" w:hint="default"/>
          <w:sz w:val="18"/>
          <w:szCs w:val="18"/>
        </w:rPr>
      </w:pPr>
      <w:r>
        <w:rPr>
          <w:rFonts w:ascii="宋体" w:hAnsi="宋体" w:cs="宋体" w:eastAsia="宋体" w:hint="default"/>
          <w:b/>
          <w:bCs/>
          <w:sz w:val="18"/>
          <w:szCs w:val="18"/>
        </w:rPr>
        <w:t>公司近</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年（含报告期）的利润分配方案及资本公积金转增股本方案情况</w:t>
      </w:r>
      <w:r>
        <w:rPr>
          <w:rFonts w:ascii="宋体" w:hAnsi="宋体" w:cs="宋体" w:eastAsia="宋体" w:hint="default"/>
          <w:b/>
          <w:bCs/>
          <w:w w:val="99"/>
          <w:sz w:val="18"/>
          <w:szCs w:val="18"/>
        </w:rPr>
        <w:t> </w:t>
      </w:r>
      <w:r>
        <w:rPr>
          <w:rFonts w:ascii="宋体" w:hAnsi="宋体" w:cs="宋体" w:eastAsia="宋体" w:hint="default"/>
          <w:sz w:val="18"/>
          <w:szCs w:val="18"/>
        </w:rPr>
        <w:t>公司高度重视对股东的投资回报，严格执行公司章程的规定、持续贯彻稳定的股利分配政策，近三年的利润分配及资</w:t>
      </w:r>
    </w:p>
    <w:p>
      <w:pPr>
        <w:pStyle w:val="BodyText"/>
        <w:spacing w:line="223" w:lineRule="exact"/>
        <w:ind w:right="268"/>
        <w:jc w:val="left"/>
      </w:pPr>
      <w:r>
        <w:rPr/>
        <w:t>本公积金转增股本的情况如下：</w:t>
      </w:r>
    </w:p>
    <w:p>
      <w:pPr>
        <w:spacing w:line="240" w:lineRule="auto" w:before="9"/>
        <w:rPr>
          <w:rFonts w:ascii="宋体" w:hAnsi="宋体" w:cs="宋体" w:eastAsia="宋体" w:hint="default"/>
          <w:sz w:val="21"/>
          <w:szCs w:val="21"/>
        </w:rPr>
      </w:pPr>
    </w:p>
    <w:p>
      <w:pPr>
        <w:pStyle w:val="BodyText"/>
        <w:spacing w:line="477" w:lineRule="auto"/>
        <w:ind w:right="268" w:firstLine="420"/>
        <w:jc w:val="left"/>
      </w:pPr>
      <w:r>
        <w:rPr/>
        <w:t>（</w:t>
      </w:r>
      <w:r>
        <w:rPr>
          <w:rFonts w:ascii="宋体" w:hAnsi="宋体" w:cs="宋体" w:eastAsia="宋体" w:hint="default"/>
        </w:rPr>
        <w:t>1</w:t>
      </w:r>
      <w:r>
        <w:rPr/>
        <w:t>）</w:t>
      </w:r>
      <w:r>
        <w:rPr>
          <w:rFonts w:ascii="宋体" w:hAnsi="宋体" w:cs="宋体" w:eastAsia="宋体" w:hint="default"/>
        </w:rPr>
        <w:t>2010</w:t>
      </w:r>
      <w:r>
        <w:rPr/>
        <w:t>年度利润分配及资本公积金转增股本方案为：向全体股东按每</w:t>
      </w:r>
      <w:r>
        <w:rPr>
          <w:rFonts w:ascii="宋体" w:hAnsi="宋体" w:cs="宋体" w:eastAsia="宋体" w:hint="default"/>
        </w:rPr>
        <w:t>10</w:t>
      </w:r>
      <w:r>
        <w:rPr/>
        <w:t>股派发现金红利</w:t>
      </w:r>
      <w:r>
        <w:rPr>
          <w:rFonts w:ascii="宋体" w:hAnsi="宋体" w:cs="宋体" w:eastAsia="宋体" w:hint="default"/>
        </w:rPr>
        <w:t>3</w:t>
      </w:r>
      <w:r>
        <w:rPr/>
        <w:t>元（含税），共计派发现 金红利</w:t>
      </w:r>
      <w:r>
        <w:rPr>
          <w:rFonts w:ascii="宋体" w:hAnsi="宋体" w:cs="宋体" w:eastAsia="宋体" w:hint="default"/>
        </w:rPr>
        <w:t>9,480</w:t>
      </w:r>
      <w:r>
        <w:rPr/>
        <w:t>万元（含税）；同时以资本公积金向全体股东每</w:t>
      </w:r>
      <w:r>
        <w:rPr>
          <w:rFonts w:ascii="宋体" w:hAnsi="宋体" w:cs="宋体" w:eastAsia="宋体" w:hint="default"/>
        </w:rPr>
        <w:t>10</w:t>
      </w:r>
      <w:r>
        <w:rPr/>
        <w:t>股转增</w:t>
      </w:r>
      <w:r>
        <w:rPr>
          <w:rFonts w:ascii="宋体" w:hAnsi="宋体" w:cs="宋体" w:eastAsia="宋体" w:hint="default"/>
        </w:rPr>
        <w:t>2</w:t>
      </w:r>
      <w:r>
        <w:rPr/>
        <w:t>股，共计转增</w:t>
      </w:r>
      <w:r>
        <w:rPr>
          <w:rFonts w:ascii="宋体" w:hAnsi="宋体" w:cs="宋体" w:eastAsia="宋体" w:hint="default"/>
        </w:rPr>
        <w:t>6,320</w:t>
      </w:r>
      <w:r>
        <w:rPr/>
        <w:t>万股。</w:t>
      </w:r>
    </w:p>
    <w:p>
      <w:pPr>
        <w:pStyle w:val="BodyText"/>
        <w:spacing w:line="477" w:lineRule="auto" w:before="54"/>
        <w:ind w:right="268" w:firstLine="420"/>
        <w:jc w:val="left"/>
      </w:pPr>
      <w:r>
        <w:rPr/>
        <w:t>（</w:t>
      </w:r>
      <w:r>
        <w:rPr>
          <w:rFonts w:ascii="宋体" w:hAnsi="宋体" w:cs="宋体" w:eastAsia="宋体" w:hint="default"/>
        </w:rPr>
        <w:t>2</w:t>
      </w:r>
      <w:r>
        <w:rPr/>
        <w:t>）</w:t>
      </w:r>
      <w:r>
        <w:rPr>
          <w:rFonts w:ascii="宋体" w:hAnsi="宋体" w:cs="宋体" w:eastAsia="宋体" w:hint="default"/>
        </w:rPr>
        <w:t>2011</w:t>
      </w:r>
      <w:r>
        <w:rPr/>
        <w:t>年度利润分配方案为：向全体股东按每</w:t>
      </w:r>
      <w:r>
        <w:rPr>
          <w:rFonts w:ascii="宋体" w:hAnsi="宋体" w:cs="宋体" w:eastAsia="宋体" w:hint="default"/>
        </w:rPr>
        <w:t>10</w:t>
      </w:r>
      <w:r>
        <w:rPr/>
        <w:t>股派发现金红利</w:t>
      </w:r>
      <w:r>
        <w:rPr>
          <w:rFonts w:ascii="宋体" w:hAnsi="宋体" w:cs="宋体" w:eastAsia="宋体" w:hint="default"/>
        </w:rPr>
        <w:t>3</w:t>
      </w:r>
      <w:r>
        <w:rPr/>
        <w:t>元（含税），共计派发现金红利</w:t>
      </w:r>
      <w:r>
        <w:rPr>
          <w:rFonts w:ascii="宋体" w:hAnsi="宋体" w:cs="宋体" w:eastAsia="宋体" w:hint="default"/>
        </w:rPr>
        <w:t>11,376</w:t>
      </w:r>
      <w:r>
        <w:rPr/>
        <w:t>万元（含 税）。</w:t>
      </w:r>
    </w:p>
    <w:p>
      <w:pPr>
        <w:pStyle w:val="BodyText"/>
        <w:spacing w:line="477" w:lineRule="auto" w:before="54"/>
        <w:ind w:right="268" w:firstLine="420"/>
        <w:jc w:val="left"/>
      </w:pPr>
      <w:r>
        <w:rPr>
          <w:spacing w:val="-4"/>
        </w:rPr>
        <w:t>（</w:t>
      </w:r>
      <w:r>
        <w:rPr>
          <w:rFonts w:ascii="宋体" w:hAnsi="宋体" w:cs="宋体" w:eastAsia="宋体" w:hint="default"/>
          <w:spacing w:val="-4"/>
        </w:rPr>
        <w:t>3</w:t>
      </w:r>
      <w:r>
        <w:rPr>
          <w:spacing w:val="-4"/>
        </w:rPr>
        <w:t>）</w:t>
      </w:r>
      <w:r>
        <w:rPr>
          <w:rFonts w:ascii="宋体" w:hAnsi="宋体" w:cs="宋体" w:eastAsia="宋体" w:hint="default"/>
          <w:spacing w:val="-4"/>
        </w:rPr>
        <w:t>2012</w:t>
      </w:r>
      <w:r>
        <w:rPr>
          <w:spacing w:val="-4"/>
        </w:rPr>
        <w:t>年度利润分配方案为：向全体股东按每</w:t>
      </w:r>
      <w:r>
        <w:rPr>
          <w:rFonts w:ascii="宋体" w:hAnsi="宋体" w:cs="宋体" w:eastAsia="宋体" w:hint="default"/>
          <w:spacing w:val="-4"/>
        </w:rPr>
        <w:t>10</w:t>
      </w:r>
      <w:r>
        <w:rPr>
          <w:spacing w:val="-4"/>
        </w:rPr>
        <w:t>股派发现金红利</w:t>
      </w:r>
      <w:r>
        <w:rPr>
          <w:rFonts w:ascii="宋体" w:hAnsi="宋体" w:cs="宋体" w:eastAsia="宋体" w:hint="default"/>
          <w:spacing w:val="-4"/>
        </w:rPr>
        <w:t>4</w:t>
      </w:r>
      <w:r>
        <w:rPr>
          <w:spacing w:val="-4"/>
        </w:rPr>
        <w:t>元（含税），共计派发现金红利</w:t>
      </w:r>
      <w:r>
        <w:rPr>
          <w:rFonts w:ascii="宋体" w:hAnsi="宋体" w:cs="宋体" w:eastAsia="宋体" w:hint="default"/>
          <w:spacing w:val="-4"/>
        </w:rPr>
        <w:t>15,335.35</w:t>
      </w:r>
      <w:r>
        <w:rPr>
          <w:spacing w:val="-4"/>
        </w:rPr>
        <w:t>万元（含</w:t>
      </w:r>
      <w:r>
        <w:rPr/>
        <w:t> 税）；同时以资本公积金向全体股东每</w:t>
      </w:r>
      <w:r>
        <w:rPr>
          <w:rFonts w:ascii="宋体" w:hAnsi="宋体" w:cs="宋体" w:eastAsia="宋体" w:hint="default"/>
        </w:rPr>
        <w:t>10</w:t>
      </w:r>
      <w:r>
        <w:rPr/>
        <w:t>股转增</w:t>
      </w:r>
      <w:r>
        <w:rPr>
          <w:rFonts w:ascii="宋体" w:hAnsi="宋体" w:cs="宋体" w:eastAsia="宋体" w:hint="default"/>
        </w:rPr>
        <w:t>6</w:t>
      </w:r>
      <w:r>
        <w:rPr/>
        <w:t>股，共计转增</w:t>
      </w:r>
      <w:r>
        <w:rPr>
          <w:rFonts w:ascii="宋体" w:hAnsi="宋体" w:cs="宋体" w:eastAsia="宋体" w:hint="default"/>
        </w:rPr>
        <w:t>23,003.02</w:t>
      </w:r>
      <w:r>
        <w:rPr/>
        <w:t>万股。</w:t>
      </w:r>
    </w:p>
    <w:p>
      <w:pPr>
        <w:pStyle w:val="Heading5"/>
        <w:spacing w:line="240" w:lineRule="auto" w:before="95"/>
        <w:ind w:right="268"/>
        <w:jc w:val="left"/>
        <w:rPr>
          <w:b w:val="0"/>
          <w:bCs w:val="0"/>
        </w:rPr>
      </w:pPr>
      <w:r>
        <w:rPr/>
        <w:t>公司近三年现金分红情况表</w:t>
      </w:r>
      <w:r>
        <w:rPr>
          <w:b w:val="0"/>
          <w:bCs w:val="0"/>
        </w:rPr>
      </w:r>
    </w:p>
    <w:p>
      <w:pPr>
        <w:spacing w:line="240" w:lineRule="auto" w:before="9"/>
        <w:rPr>
          <w:rFonts w:ascii="宋体" w:hAnsi="宋体" w:cs="宋体" w:eastAsia="宋体" w:hint="default"/>
          <w:b/>
          <w:bCs/>
          <w:sz w:val="14"/>
          <w:szCs w:val="14"/>
        </w:rPr>
      </w:pPr>
    </w:p>
    <w:p>
      <w:pPr>
        <w:pStyle w:val="BodyText"/>
        <w:spacing w:line="240" w:lineRule="auto"/>
        <w:ind w:left="0" w:right="27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26"/>
        <w:gridCol w:w="2459"/>
        <w:gridCol w:w="2448"/>
        <w:gridCol w:w="2449"/>
      </w:tblGrid>
      <w:tr>
        <w:trPr>
          <w:trHeight w:val="166" w:hRule="exact"/>
        </w:trPr>
        <w:tc>
          <w:tcPr>
            <w:tcW w:w="2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5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4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410" w:right="46" w:hanging="361"/>
              <w:jc w:val="left"/>
              <w:rPr>
                <w:rFonts w:ascii="宋体" w:hAnsi="宋体" w:cs="宋体" w:eastAsia="宋体" w:hint="default"/>
                <w:sz w:val="18"/>
                <w:szCs w:val="18"/>
              </w:rPr>
            </w:pPr>
            <w:r>
              <w:rPr>
                <w:rFonts w:ascii="宋体" w:hAnsi="宋体" w:cs="宋体" w:eastAsia="宋体" w:hint="default"/>
                <w:sz w:val="18"/>
                <w:szCs w:val="18"/>
              </w:rPr>
              <w:t>分红年度合并报表中归属于上 市公司股东的净利润</w:t>
            </w:r>
          </w:p>
        </w:tc>
        <w:tc>
          <w:tcPr>
            <w:tcW w:w="2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153" w:right="46" w:hanging="104"/>
              <w:jc w:val="left"/>
              <w:rPr>
                <w:rFonts w:ascii="宋体" w:hAnsi="宋体" w:cs="宋体" w:eastAsia="宋体" w:hint="default"/>
                <w:sz w:val="18"/>
                <w:szCs w:val="18"/>
              </w:rPr>
            </w:pPr>
            <w:r>
              <w:rPr>
                <w:rFonts w:ascii="宋体" w:hAnsi="宋体" w:cs="宋体" w:eastAsia="宋体" w:hint="default"/>
                <w:sz w:val="18"/>
                <w:szCs w:val="18"/>
              </w:rPr>
              <w:t>占合并报表中归属于上市公司 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448" w:type="dxa"/>
            <w:vMerge/>
            <w:tcBorders>
              <w:left w:val="single" w:sz="4" w:space="0" w:color="000000"/>
              <w:right w:val="single" w:sz="4" w:space="0" w:color="000000"/>
            </w:tcBorders>
            <w:shd w:val="clear" w:color="auto" w:fill="D2D2D2"/>
          </w:tcPr>
          <w:p>
            <w:pPr/>
          </w:p>
        </w:tc>
        <w:tc>
          <w:tcPr>
            <w:tcW w:w="2449" w:type="dxa"/>
            <w:vMerge/>
            <w:tcBorders>
              <w:left w:val="single" w:sz="4" w:space="0" w:color="000000"/>
              <w:right w:val="single" w:sz="4" w:space="0" w:color="000000"/>
            </w:tcBorders>
            <w:shd w:val="clear" w:color="auto" w:fill="D2D2D2"/>
          </w:tcPr>
          <w:p>
            <w:pPr/>
          </w:p>
        </w:tc>
      </w:tr>
      <w:tr>
        <w:trPr>
          <w:trHeight w:val="163" w:hRule="exact"/>
        </w:trPr>
        <w:tc>
          <w:tcPr>
            <w:tcW w:w="2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245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48" w:type="dxa"/>
            <w:vMerge/>
            <w:tcBorders>
              <w:left w:val="single" w:sz="4" w:space="0" w:color="000000"/>
              <w:bottom w:val="single" w:sz="4" w:space="0" w:color="000000"/>
              <w:right w:val="single" w:sz="4" w:space="0" w:color="000000"/>
            </w:tcBorders>
            <w:shd w:val="clear" w:color="auto" w:fill="D2D2D2"/>
          </w:tcPr>
          <w:p>
            <w:pPr/>
          </w:p>
        </w:tc>
        <w:tc>
          <w:tcPr>
            <w:tcW w:w="244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5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153,353,480.00</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429,028,904.35</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35.74%</w:t>
            </w:r>
          </w:p>
        </w:tc>
      </w:tr>
      <w:tr>
        <w:trPr>
          <w:trHeight w:val="403" w:hRule="exact"/>
        </w:trPr>
        <w:tc>
          <w:tcPr>
            <w:tcW w:w="2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5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113,760,000.00</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353,192,823.35</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32.21%</w:t>
            </w:r>
          </w:p>
        </w:tc>
      </w:tr>
      <w:tr>
        <w:trPr>
          <w:trHeight w:val="403" w:hRule="exact"/>
        </w:trPr>
        <w:tc>
          <w:tcPr>
            <w:tcW w:w="2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5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94,800,000.00</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327,915,598.64</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28.91%</w:t>
            </w:r>
          </w:p>
        </w:tc>
      </w:tr>
    </w:tbl>
    <w:p>
      <w:pPr>
        <w:spacing w:line="240" w:lineRule="auto" w:before="1"/>
        <w:rPr>
          <w:rFonts w:ascii="宋体" w:hAnsi="宋体" w:cs="宋体" w:eastAsia="宋体" w:hint="default"/>
          <w:sz w:val="18"/>
          <w:szCs w:val="18"/>
        </w:rPr>
      </w:pPr>
    </w:p>
    <w:p>
      <w:pPr>
        <w:pStyle w:val="Heading2"/>
        <w:spacing w:line="240" w:lineRule="auto" w:before="26"/>
        <w:ind w:right="268"/>
        <w:jc w:val="left"/>
        <w:rPr>
          <w:b w:val="0"/>
          <w:bCs w:val="0"/>
        </w:rPr>
      </w:pPr>
      <w:r>
        <w:rPr/>
        <w:t>七、内幕信息知情人管理制度的建立和执行情况</w:t>
      </w:r>
      <w:r>
        <w:rPr>
          <w:b w:val="0"/>
          <w:bCs w:val="0"/>
        </w:rPr>
      </w:r>
    </w:p>
    <w:p>
      <w:pPr>
        <w:spacing w:line="240" w:lineRule="auto" w:before="10"/>
        <w:rPr>
          <w:rFonts w:ascii="宋体" w:hAnsi="宋体" w:cs="宋体" w:eastAsia="宋体" w:hint="default"/>
          <w:b/>
          <w:bCs/>
          <w:sz w:val="30"/>
          <w:szCs w:val="30"/>
        </w:rPr>
      </w:pPr>
    </w:p>
    <w:p>
      <w:pPr>
        <w:pStyle w:val="Heading3"/>
        <w:spacing w:line="240" w:lineRule="auto"/>
        <w:ind w:right="268"/>
        <w:jc w:val="left"/>
        <w:rPr>
          <w:b w:val="0"/>
          <w:bCs w:val="0"/>
        </w:rPr>
      </w:pPr>
      <w:r>
        <w:rPr/>
        <w:t>（一）内幕信息知情人登记管理制度的建立情况</w:t>
      </w:r>
      <w:r>
        <w:rPr>
          <w:b w:val="0"/>
          <w:bCs w:val="0"/>
        </w:rPr>
      </w:r>
    </w:p>
    <w:p>
      <w:pPr>
        <w:spacing w:line="240" w:lineRule="auto" w:before="6"/>
        <w:rPr>
          <w:rFonts w:ascii="宋体" w:hAnsi="宋体" w:cs="宋体" w:eastAsia="宋体" w:hint="default"/>
          <w:b/>
          <w:bCs/>
          <w:sz w:val="28"/>
          <w:szCs w:val="28"/>
        </w:rPr>
      </w:pPr>
    </w:p>
    <w:p>
      <w:pPr>
        <w:pStyle w:val="BodyText"/>
        <w:spacing w:line="477" w:lineRule="auto"/>
        <w:ind w:right="269" w:firstLine="420"/>
        <w:jc w:val="both"/>
      </w:pPr>
      <w:r>
        <w:rPr/>
        <w:t>公司自上市以来，为加强公司内幕信息管理，做好内幕信息保密工作，维护信息披露的公平原则，保护广大投资者的 </w:t>
      </w:r>
      <w:r>
        <w:rPr>
          <w:spacing w:val="-2"/>
        </w:rPr>
        <w:t>合法权益，根据《中华人民共和国公司法》、《中华人民共和国证券法》、《上市公司信息披露管理办法》、《深圳证券交</w:t>
      </w:r>
      <w:r>
        <w:rPr>
          <w:spacing w:val="-67"/>
        </w:rPr>
        <w:t> </w:t>
      </w:r>
      <w:r>
        <w:rPr>
          <w:spacing w:val="-67"/>
        </w:rPr>
      </w:r>
      <w:r>
        <w:rPr>
          <w:spacing w:val="-2"/>
        </w:rPr>
        <w:t>易所创业板股票上市规则》、《深圳证券交易所创业板上市公司规范运作指引》等有关法律法规，及《公司章程》等有关规</w:t>
      </w:r>
      <w:r>
        <w:rPr>
          <w:spacing w:val="-71"/>
        </w:rPr>
        <w:t> </w:t>
      </w:r>
      <w:r>
        <w:rPr>
          <w:spacing w:val="-71"/>
        </w:rPr>
      </w:r>
      <w:r>
        <w:rPr>
          <w:spacing w:val="-2"/>
        </w:rPr>
        <w:t>定，已制定《信息披露管理制度》、《内幕信息知情人登记制度》、《重大信息内部报告制度》、《外部信息使用人管理制</w:t>
      </w:r>
      <w:r>
        <w:rPr>
          <w:spacing w:val="-65"/>
        </w:rPr>
        <w:t> </w:t>
      </w:r>
      <w:r>
        <w:rPr>
          <w:spacing w:val="-65"/>
        </w:rPr>
      </w:r>
      <w:r>
        <w:rPr/>
        <w:t>度》、《投资者关系工作管理制度》、《关于重大内部信息报告的执行细则》等多项制度。</w:t>
      </w:r>
    </w:p>
    <w:p>
      <w:pPr>
        <w:spacing w:after="0" w:line="477" w:lineRule="auto"/>
        <w:jc w:val="both"/>
        <w:sectPr>
          <w:pgSz w:w="11910" w:h="16840"/>
          <w:pgMar w:header="852" w:footer="980" w:top="1340" w:bottom="1160" w:left="980" w:right="860"/>
        </w:sectPr>
      </w:pPr>
    </w:p>
    <w:p>
      <w:pPr>
        <w:spacing w:line="240" w:lineRule="auto" w:before="4"/>
        <w:rPr>
          <w:rFonts w:ascii="宋体" w:hAnsi="宋体" w:cs="宋体" w:eastAsia="宋体" w:hint="default"/>
          <w:sz w:val="9"/>
          <w:szCs w:val="9"/>
        </w:rPr>
      </w:pPr>
    </w:p>
    <w:p>
      <w:pPr>
        <w:pStyle w:val="Heading3"/>
        <w:spacing w:line="240" w:lineRule="auto" w:before="36"/>
        <w:ind w:right="0"/>
        <w:jc w:val="left"/>
        <w:rPr>
          <w:b w:val="0"/>
          <w:bCs w:val="0"/>
        </w:rPr>
      </w:pPr>
      <w:r>
        <w:rPr/>
        <w:t>（二）内幕信息知情人登记管理制度的建立情况及执行情况</w:t>
      </w:r>
      <w:r>
        <w:rPr>
          <w:b w:val="0"/>
          <w:bCs w:val="0"/>
        </w:rPr>
      </w:r>
    </w:p>
    <w:p>
      <w:pPr>
        <w:spacing w:line="240" w:lineRule="auto" w:before="6"/>
        <w:rPr>
          <w:rFonts w:ascii="宋体" w:hAnsi="宋体" w:cs="宋体" w:eastAsia="宋体" w:hint="default"/>
          <w:b/>
          <w:bCs/>
          <w:sz w:val="28"/>
          <w:szCs w:val="28"/>
        </w:rPr>
      </w:pPr>
    </w:p>
    <w:p>
      <w:pPr>
        <w:pStyle w:val="BodyText"/>
        <w:spacing w:line="477" w:lineRule="auto"/>
        <w:ind w:right="309" w:firstLine="420"/>
        <w:jc w:val="both"/>
      </w:pPr>
      <w:r>
        <w:rPr/>
        <w:t>报告期内，公司严格执行内幕知情人登记制度，规范信息传递流程，公司及各子公司的内幕信息流转、信息知情人登 </w:t>
      </w:r>
      <w:r>
        <w:rPr>
          <w:spacing w:val="-2"/>
        </w:rPr>
        <w:t>记管理、重大事项的报告、传递、审核、披露程序均严格遵守《内幕信息知情人登记制度》、《重大信息内部报告制度》等</w:t>
      </w:r>
      <w:r>
        <w:rPr>
          <w:spacing w:val="-70"/>
        </w:rPr>
        <w:t> </w:t>
      </w:r>
      <w:r>
        <w:rPr>
          <w:spacing w:val="-70"/>
        </w:rPr>
      </w:r>
      <w:r>
        <w:rPr>
          <w:spacing w:val="-2"/>
        </w:rPr>
        <w:t>的有关规定；尽量缩短内幕信息流转审批程序，将信息知情人控制在最小范围，公司证券部负责知情人登记信息的核实、报</w:t>
      </w:r>
      <w:r>
        <w:rPr>
          <w:spacing w:val="-64"/>
        </w:rPr>
        <w:t> </w:t>
      </w:r>
      <w:r>
        <w:rPr>
          <w:spacing w:val="-64"/>
        </w:rPr>
      </w:r>
      <w:r>
        <w:rPr>
          <w:spacing w:val="-2"/>
        </w:rPr>
        <w:t>备和建档，确保“内幕信息知情人登记表”所填报内容真实、准确、完整。在定期报告披露期间，对于未公开信息，公司严</w:t>
      </w:r>
      <w:r>
        <w:rPr>
          <w:spacing w:val="-66"/>
        </w:rPr>
        <w:t> </w:t>
      </w:r>
      <w:r>
        <w:rPr>
          <w:spacing w:val="-66"/>
        </w:rPr>
      </w:r>
      <w:r>
        <w:rPr>
          <w:spacing w:val="-2"/>
        </w:rPr>
        <w:t>格控制内幕信息知情人范围并如实、完整记录内幕信息知情人名单，并向相关监管机构报备内幕信息知情人登记情况。在敏</w:t>
      </w:r>
      <w:r>
        <w:rPr>
          <w:spacing w:val="-63"/>
        </w:rPr>
        <w:t> </w:t>
      </w:r>
      <w:r>
        <w:rPr>
          <w:spacing w:val="-63"/>
        </w:rPr>
      </w:r>
      <w:r>
        <w:rPr>
          <w:spacing w:val="-2"/>
        </w:rPr>
        <w:t>感期间，公司尽量避免接待投资者的调研活动；在日常接待投资者调研时，公司要求投资者签署投资者（机构）承诺书，并</w:t>
      </w:r>
      <w:r>
        <w:rPr>
          <w:spacing w:val="-70"/>
        </w:rPr>
        <w:t> </w:t>
      </w:r>
      <w:r>
        <w:rPr>
          <w:spacing w:val="-70"/>
        </w:rPr>
      </w:r>
      <w:r>
        <w:rPr/>
        <w:t>根据交易所的相关规定及时披露投资者关系管理活动记录表。</w:t>
      </w:r>
    </w:p>
    <w:p>
      <w:pPr>
        <w:spacing w:line="240" w:lineRule="auto" w:before="5"/>
        <w:rPr>
          <w:rFonts w:ascii="宋体" w:hAnsi="宋体" w:cs="宋体" w:eastAsia="宋体" w:hint="default"/>
          <w:sz w:val="14"/>
          <w:szCs w:val="14"/>
        </w:rPr>
      </w:pPr>
    </w:p>
    <w:p>
      <w:pPr>
        <w:pStyle w:val="Heading3"/>
        <w:spacing w:line="240" w:lineRule="auto"/>
        <w:ind w:right="0"/>
        <w:jc w:val="left"/>
        <w:rPr>
          <w:b w:val="0"/>
          <w:bCs w:val="0"/>
        </w:rPr>
      </w:pPr>
      <w:r>
        <w:rPr/>
        <w:t>（三）报告期内自查内幕信息知情人涉嫌内幕交易以及监管部门的查处和整改情况</w:t>
      </w:r>
      <w:r>
        <w:rPr>
          <w:b w:val="0"/>
          <w:bCs w:val="0"/>
        </w:rPr>
      </w:r>
    </w:p>
    <w:p>
      <w:pPr>
        <w:spacing w:line="240" w:lineRule="auto" w:before="6"/>
        <w:rPr>
          <w:rFonts w:ascii="宋体" w:hAnsi="宋体" w:cs="宋体" w:eastAsia="宋体" w:hint="default"/>
          <w:b/>
          <w:bCs/>
          <w:sz w:val="28"/>
          <w:szCs w:val="28"/>
        </w:rPr>
      </w:pPr>
    </w:p>
    <w:p>
      <w:pPr>
        <w:pStyle w:val="BodyText"/>
        <w:spacing w:line="477" w:lineRule="auto"/>
        <w:ind w:right="315" w:firstLine="420"/>
        <w:jc w:val="both"/>
      </w:pPr>
      <w:r>
        <w:rPr/>
        <w:t>报告期内，公司董事、监事及高级管理人员和其他相关知情人严格遵守了内幕信息知情人登记制度，未发生内幕交易 行为以及被监管部门查处和整改的情形。</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r>
        <w:rPr/>
        <w:t>八、报告期内接待调研、沟通、采访等活动登记表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spacing w:line="240" w:lineRule="auto" w:before="44"/>
        <w:ind w:left="0" w:right="107"/>
        <w:jc w:val="right"/>
      </w:pPr>
      <w:r>
        <w:rPr/>
        <w:pict>
          <v:shape style="position:absolute;margin-left:56.400002pt;margin-top:-336.174286pt;width:489.85pt;height:356.1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27"/>
                    <w:gridCol w:w="1532"/>
                    <w:gridCol w:w="1529"/>
                    <w:gridCol w:w="1227"/>
                    <w:gridCol w:w="1274"/>
                    <w:gridCol w:w="2693"/>
                  </w:tblGrid>
                  <w:tr>
                    <w:trPr>
                      <w:trHeight w:val="622"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400"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7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70"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40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高华证券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飞信发展重点介绍。</w:t>
                        </w:r>
                      </w:p>
                    </w:tc>
                  </w:tr>
                  <w:tr>
                    <w:trPr>
                      <w:trHeight w:val="8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33"/>
                          <w:ind w:left="326" w:right="55" w:hanging="27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海富通基金信 诚基金</w:t>
                        </w:r>
                        <w:r>
                          <w:rPr>
                            <w:rFonts w:ascii="Times New Roman" w:hAnsi="Times New Roman" w:cs="Times New Roman" w:eastAsia="Times New Roman" w:hint="default"/>
                            <w:sz w:val="18"/>
                            <w:szCs w:val="18"/>
                          </w:rPr>
                          <w:t>"</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3"/>
                          <w:ind w:left="23" w:right="22"/>
                          <w:jc w:val="left"/>
                          <w:rPr>
                            <w:rFonts w:ascii="宋体" w:hAnsi="宋体" w:cs="宋体" w:eastAsia="宋体" w:hint="default"/>
                            <w:sz w:val="18"/>
                            <w:szCs w:val="18"/>
                          </w:rPr>
                        </w:pPr>
                        <w:r>
                          <w:rPr>
                            <w:rFonts w:ascii="宋体" w:hAnsi="宋体" w:cs="宋体" w:eastAsia="宋体" w:hint="default"/>
                            <w:spacing w:val="-5"/>
                            <w:sz w:val="18"/>
                            <w:szCs w:val="18"/>
                          </w:rPr>
                          <w:t>公司发展状况探讨。股权激励目前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状况，公司未来增长规模。</w:t>
                        </w:r>
                      </w:p>
                    </w:tc>
                  </w:tr>
                  <w:tr>
                    <w:trPr>
                      <w:trHeight w:val="8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33"/>
                          <w:ind w:left="415" w:right="55" w:hanging="3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天相投顾兴业 证券</w:t>
                        </w:r>
                        <w:r>
                          <w:rPr>
                            <w:rFonts w:ascii="Times New Roman" w:hAnsi="Times New Roman" w:cs="Times New Roman" w:eastAsia="Times New Roman" w:hint="default"/>
                            <w:sz w:val="18"/>
                            <w:szCs w:val="18"/>
                          </w:rPr>
                          <w:t>"</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33"/>
                          <w:ind w:left="23" w:right="101"/>
                          <w:jc w:val="left"/>
                          <w:rPr>
                            <w:rFonts w:ascii="宋体" w:hAnsi="宋体" w:cs="宋体" w:eastAsia="宋体" w:hint="default"/>
                            <w:sz w:val="18"/>
                            <w:szCs w:val="18"/>
                          </w:rPr>
                        </w:pPr>
                        <w:r>
                          <w:rPr>
                            <w:rFonts w:ascii="宋体" w:hAnsi="宋体" w:cs="宋体" w:eastAsia="宋体" w:hint="default"/>
                            <w:sz w:val="18"/>
                            <w:szCs w:val="18"/>
                          </w:rPr>
                          <w:t>股权激励情况介绍；</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运维未来 发展概况。年底解禁计划。</w:t>
                        </w:r>
                      </w:p>
                    </w:tc>
                  </w:tr>
                  <w:tr>
                    <w:trPr>
                      <w:trHeight w:val="1027"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3" w:right="0"/>
                          <w:jc w:val="left"/>
                          <w:rPr>
                            <w:rFonts w:ascii="宋体" w:hAnsi="宋体" w:cs="宋体" w:eastAsia="宋体" w:hint="default"/>
                            <w:sz w:val="18"/>
                            <w:szCs w:val="18"/>
                          </w:rPr>
                        </w:pPr>
                        <w:r>
                          <w:rPr>
                            <w:rFonts w:ascii="宋体" w:hAnsi="宋体" w:cs="宋体" w:eastAsia="宋体" w:hint="default"/>
                            <w:sz w:val="18"/>
                            <w:szCs w:val="18"/>
                          </w:rPr>
                          <w:t>长城证券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2"/>
                          <w:jc w:val="left"/>
                          <w:rPr>
                            <w:rFonts w:ascii="宋体" w:hAnsi="宋体" w:cs="宋体" w:eastAsia="宋体" w:hint="default"/>
                            <w:sz w:val="18"/>
                            <w:szCs w:val="18"/>
                          </w:rPr>
                        </w:pPr>
                        <w:r>
                          <w:rPr>
                            <w:rFonts w:ascii="宋体" w:hAnsi="宋体" w:cs="宋体" w:eastAsia="宋体" w:hint="default"/>
                            <w:spacing w:val="-5"/>
                            <w:sz w:val="18"/>
                            <w:szCs w:val="18"/>
                          </w:rPr>
                          <w:t>飞信新合同模式介绍；飞聊、神州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良品介绍；</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运维管理发展状况 与竞争；</w:t>
                        </w:r>
                      </w:p>
                    </w:tc>
                  </w:tr>
                  <w:tr>
                    <w:trPr>
                      <w:trHeight w:val="115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97" w:lineRule="auto"/>
                          <w:ind w:left="415" w:right="55" w:hanging="3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中信建投国海 证券</w:t>
                        </w:r>
                        <w:r>
                          <w:rPr>
                            <w:rFonts w:ascii="Times New Roman" w:hAnsi="Times New Roman" w:cs="Times New Roman" w:eastAsia="Times New Roman" w:hint="default"/>
                            <w:sz w:val="18"/>
                            <w:szCs w:val="18"/>
                          </w:rPr>
                          <w:t>"</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13"/>
                          <w:ind w:left="23" w:right="22"/>
                          <w:jc w:val="left"/>
                          <w:rPr>
                            <w:rFonts w:ascii="宋体" w:hAnsi="宋体" w:cs="宋体" w:eastAsia="宋体" w:hint="default"/>
                            <w:sz w:val="18"/>
                            <w:szCs w:val="18"/>
                          </w:rPr>
                        </w:pPr>
                        <w:r>
                          <w:rPr>
                            <w:rFonts w:ascii="宋体" w:hAnsi="宋体" w:cs="宋体" w:eastAsia="宋体" w:hint="default"/>
                            <w:spacing w:val="-5"/>
                            <w:sz w:val="18"/>
                            <w:szCs w:val="18"/>
                          </w:rPr>
                          <w:t>飞信飞聊介绍；神州良品介绍；未</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增长的依托；</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运维网管 及网优介绍。</w:t>
                        </w:r>
                      </w:p>
                    </w:tc>
                  </w:tr>
                  <w:tr>
                    <w:trPr>
                      <w:trHeight w:val="142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国信证券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300" w:lineRule="auto"/>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运维管理客户构成介绍；相关</w:t>
                        </w:r>
                        <w:r>
                          <w:rPr>
                            <w:rFonts w:ascii="宋体" w:hAnsi="宋体" w:cs="宋体" w:eastAsia="宋体" w:hint="default"/>
                            <w:w w:val="99"/>
                            <w:sz w:val="18"/>
                            <w:szCs w:val="18"/>
                          </w:rPr>
                          <w:t> </w:t>
                        </w:r>
                        <w:r>
                          <w:rPr>
                            <w:rFonts w:ascii="宋体" w:hAnsi="宋体" w:cs="宋体" w:eastAsia="宋体" w:hint="default"/>
                            <w:spacing w:val="-5"/>
                            <w:sz w:val="18"/>
                            <w:szCs w:val="18"/>
                          </w:rPr>
                          <w:t>资公司业务介绍</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宁波普天、华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泰德丰、奇点；飞信未来发展状况</w:t>
                        </w:r>
                      </w:p>
                    </w:tc>
                  </w:tr>
                  <w:tr>
                    <w:trPr>
                      <w:trHeight w:val="71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日信证券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5"/>
                            <w:sz w:val="18"/>
                            <w:szCs w:val="18"/>
                          </w:rPr>
                          <w:t>良品的运营模式；飞信的未来发展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1"/>
                            <w:sz w:val="18"/>
                            <w:szCs w:val="18"/>
                          </w:rPr>
                          <w:t>状况；农信通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年的整体情况</w:t>
                        </w:r>
                      </w:p>
                    </w:tc>
                  </w:tr>
                </w:tbl>
                <w:p>
                  <w:pPr/>
                </w:p>
              </w:txbxContent>
            </v:textbox>
            <w10:wrap type="none"/>
          </v:shape>
        </w:pict>
      </w:r>
      <w:r>
        <w:rPr/>
        <w:t>。</w:t>
      </w:r>
    </w:p>
    <w:p>
      <w:pPr>
        <w:spacing w:after="0" w:line="240" w:lineRule="auto"/>
        <w:jc w:val="right"/>
        <w:sectPr>
          <w:pgSz w:w="11910" w:h="16840"/>
          <w:pgMar w:header="852" w:footer="980" w:top="1340" w:bottom="1160" w:left="980" w:right="8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1"/>
        <w:spacing w:line="240" w:lineRule="auto"/>
        <w:ind w:right="2420"/>
        <w:jc w:val="center"/>
        <w:rPr>
          <w:b w:val="0"/>
          <w:bCs w:val="0"/>
        </w:rPr>
      </w:pPr>
      <w:bookmarkStart w:name="_TOC_250005"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3"/>
        <w:rPr>
          <w:rFonts w:ascii="宋体" w:hAnsi="宋体" w:cs="宋体" w:eastAsia="宋体" w:hint="default"/>
          <w:b/>
          <w:bCs/>
          <w:sz w:val="24"/>
          <w:szCs w:val="24"/>
        </w:rPr>
      </w:pPr>
    </w:p>
    <w:p>
      <w:pPr>
        <w:pStyle w:val="Heading2"/>
        <w:spacing w:line="240" w:lineRule="auto"/>
        <w:ind w:right="0"/>
        <w:jc w:val="left"/>
        <w:rPr>
          <w:b w:val="0"/>
          <w:bCs w:val="0"/>
        </w:rPr>
      </w:pPr>
      <w:r>
        <w:rPr/>
        <w:t>二、上市公司发生控股股东及其关联方非经营性占用资金情况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412" w:lineRule="auto"/>
        <w:ind w:left="513" w:right="419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3"/>
        </w:rPr>
        <w:t> </w:t>
      </w:r>
      <w:r>
        <w:rPr>
          <w:rFonts w:ascii="宋体" w:hAnsi="宋体" w:cs="宋体" w:eastAsia="宋体" w:hint="default"/>
          <w:b/>
          <w:bCs/>
        </w:rPr>
        <w:t>不适用</w:t>
      </w:r>
      <w:r>
        <w:rPr>
          <w:rFonts w:ascii="宋体" w:hAnsi="宋体" w:cs="宋体" w:eastAsia="宋体" w:hint="default"/>
          <w:b/>
          <w:bCs/>
          <w:w w:val="99"/>
        </w:rPr>
        <w:t> </w:t>
      </w:r>
      <w:r>
        <w:rPr/>
        <w:t>报告期内公司未发生控股股东及其关联方非经营性资金占用情况。</w:t>
      </w:r>
    </w:p>
    <w:p>
      <w:pPr>
        <w:pStyle w:val="BodyText"/>
        <w:spacing w:line="451" w:lineRule="auto" w:before="103"/>
        <w:ind w:right="0" w:firstLine="360"/>
        <w:jc w:val="left"/>
      </w:pPr>
      <w:r>
        <w:rPr>
          <w:spacing w:val="-2"/>
        </w:rPr>
        <w:t>会计师事务所出具了专项审计说明，认为：公司</w:t>
      </w:r>
      <w:r>
        <w:rPr>
          <w:rFonts w:ascii="Times New Roman" w:hAnsi="Times New Roman" w:cs="Times New Roman" w:eastAsia="Times New Roman" w:hint="default"/>
          <w:spacing w:val="-2"/>
        </w:rPr>
        <w:t>2012</w:t>
      </w:r>
      <w:r>
        <w:rPr>
          <w:spacing w:val="-2"/>
        </w:rPr>
        <w:t>年度非经营性资金占用及其他关联方资金往来情况汇总表的财务信</w:t>
      </w:r>
      <w:r>
        <w:rPr/>
        <w:t> 息在所有重大方面按照监管机构的相关规定编制以满足监管要求。</w:t>
      </w:r>
    </w:p>
    <w:p>
      <w:pPr>
        <w:spacing w:line="240" w:lineRule="auto" w:before="0"/>
        <w:rPr>
          <w:rFonts w:ascii="宋体" w:hAnsi="宋体" w:cs="宋体" w:eastAsia="宋体" w:hint="default"/>
          <w:sz w:val="19"/>
          <w:szCs w:val="19"/>
        </w:rPr>
      </w:pPr>
    </w:p>
    <w:p>
      <w:pPr>
        <w:pStyle w:val="Heading2"/>
        <w:spacing w:line="240" w:lineRule="auto"/>
        <w:ind w:right="0"/>
        <w:jc w:val="left"/>
        <w:rPr>
          <w:b w:val="0"/>
          <w:bCs w:val="0"/>
        </w:rPr>
      </w:pPr>
      <w:r>
        <w:rPr/>
        <w:t>三、破产重整相关事项</w:t>
      </w:r>
      <w:r>
        <w:rPr>
          <w:b w:val="0"/>
          <w:bCs w:val="0"/>
        </w:rPr>
      </w:r>
    </w:p>
    <w:p>
      <w:pPr>
        <w:spacing w:line="240" w:lineRule="auto" w:before="6"/>
        <w:rPr>
          <w:rFonts w:ascii="宋体" w:hAnsi="宋体" w:cs="宋体" w:eastAsia="宋体" w:hint="default"/>
          <w:b/>
          <w:bCs/>
          <w:sz w:val="26"/>
          <w:szCs w:val="26"/>
        </w:rPr>
      </w:pPr>
    </w:p>
    <w:p>
      <w:pPr>
        <w:pStyle w:val="Heading5"/>
        <w:spacing w:line="240" w:lineRule="auto"/>
        <w:ind w:right="0"/>
        <w:jc w:val="left"/>
        <w:rPr>
          <w:b w:val="0"/>
          <w:bCs w:val="0"/>
        </w:rPr>
      </w:pPr>
      <w:r>
        <w:rPr/>
        <w:t>不适用</w:t>
      </w:r>
      <w:r>
        <w:rPr>
          <w:b w:val="0"/>
          <w:bCs w:val="0"/>
        </w:rPr>
      </w:r>
    </w:p>
    <w:p>
      <w:pPr>
        <w:spacing w:line="240" w:lineRule="auto" w:before="3"/>
        <w:rPr>
          <w:rFonts w:ascii="宋体" w:hAnsi="宋体" w:cs="宋体" w:eastAsia="宋体" w:hint="default"/>
          <w:b/>
          <w:bCs/>
          <w:sz w:val="25"/>
          <w:szCs w:val="25"/>
        </w:rPr>
      </w:pPr>
    </w:p>
    <w:p>
      <w:pPr>
        <w:pStyle w:val="Heading2"/>
        <w:spacing w:line="240" w:lineRule="auto"/>
        <w:ind w:right="0"/>
        <w:jc w:val="left"/>
        <w:rPr>
          <w:b w:val="0"/>
          <w:bCs w:val="0"/>
        </w:rPr>
      </w:pPr>
      <w:r>
        <w:rPr/>
        <w:t>四、资产交易事项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pict>
          <v:shape style="position:absolute;margin-left:240.167007pt;margin-top:80.683662pt;width:87.75pt;height:20pt;mso-position-horizontal-relative:page;mso-position-vertical-relative:paragraph;z-index:-946648" type="#_x0000_t202" filled="false" stroked="false">
            <v:textbox inset="0,0,0,0">
              <w:txbxContent>
                <w:p>
                  <w:pPr>
                    <w:spacing w:line="240" w:lineRule="auto" w:before="7"/>
                    <w:rPr>
                      <w:rFonts w:ascii="宋体" w:hAnsi="宋体" w:cs="宋体" w:eastAsia="宋体" w:hint="default"/>
                      <w:b/>
                      <w:bCs/>
                      <w:sz w:val="12"/>
                      <w:szCs w:val="12"/>
                    </w:rPr>
                  </w:pPr>
                </w:p>
                <w:p>
                  <w:pPr>
                    <w:pStyle w:val="BodyText"/>
                    <w:spacing w:line="240" w:lineRule="auto"/>
                    <w:ind w:left="0" w:right="0"/>
                    <w:jc w:val="left"/>
                  </w:pPr>
                  <w:r>
                    <w:rPr/>
                    <w:t>（万元）</w:t>
                  </w:r>
                </w:p>
              </w:txbxContent>
            </v:textbox>
            <w10:wrap type="none"/>
          </v:shape>
        </w:pict>
      </w: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28"/>
        <w:gridCol w:w="1234"/>
        <w:gridCol w:w="528"/>
        <w:gridCol w:w="574"/>
        <w:gridCol w:w="1164"/>
        <w:gridCol w:w="65"/>
        <w:gridCol w:w="1059"/>
        <w:gridCol w:w="353"/>
        <w:gridCol w:w="955"/>
        <w:gridCol w:w="509"/>
        <w:gridCol w:w="509"/>
        <w:gridCol w:w="751"/>
        <w:gridCol w:w="768"/>
        <w:gridCol w:w="372"/>
      </w:tblGrid>
      <w:tr>
        <w:trPr>
          <w:trHeight w:val="2585"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50" w:right="4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431" w:right="71" w:hanging="360"/>
              <w:jc w:val="left"/>
              <w:rPr>
                <w:rFonts w:ascii="宋体" w:hAnsi="宋体" w:cs="宋体" w:eastAsia="宋体" w:hint="default"/>
                <w:sz w:val="18"/>
                <w:szCs w:val="18"/>
              </w:rPr>
            </w:pPr>
            <w:r>
              <w:rPr>
                <w:rFonts w:ascii="宋体" w:hAnsi="宋体" w:cs="宋体" w:eastAsia="宋体" w:hint="default"/>
                <w:sz w:val="18"/>
                <w:szCs w:val="18"/>
              </w:rPr>
              <w:t>被收购或置入 资产</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170" w:right="77" w:hanging="92"/>
              <w:jc w:val="left"/>
              <w:rPr>
                <w:rFonts w:ascii="宋体" w:hAnsi="宋体" w:cs="宋体" w:eastAsia="宋体" w:hint="default"/>
                <w:sz w:val="18"/>
                <w:szCs w:val="18"/>
              </w:rPr>
            </w:pPr>
            <w:r>
              <w:rPr>
                <w:rFonts w:ascii="宋体" w:hAnsi="宋体" w:cs="宋体" w:eastAsia="宋体" w:hint="default"/>
                <w:sz w:val="18"/>
                <w:szCs w:val="18"/>
              </w:rPr>
              <w:t>购买 日</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6" w:lineRule="auto" w:before="19"/>
              <w:ind w:left="101" w:right="101"/>
              <w:jc w:val="left"/>
              <w:rPr>
                <w:rFonts w:ascii="宋体" w:hAnsi="宋体" w:cs="宋体" w:eastAsia="宋体" w:hint="default"/>
                <w:sz w:val="18"/>
                <w:szCs w:val="18"/>
              </w:rPr>
            </w:pPr>
            <w:r>
              <w:rPr>
                <w:rFonts w:ascii="宋体" w:hAnsi="宋体" w:cs="宋体" w:eastAsia="宋体" w:hint="default"/>
                <w:sz w:val="18"/>
                <w:szCs w:val="18"/>
              </w:rPr>
              <w:t>（万 元）</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35" w:firstLine="14"/>
              <w:jc w:val="both"/>
              <w:rPr>
                <w:rFonts w:ascii="宋体" w:hAnsi="宋体" w:cs="宋体" w:eastAsia="宋体" w:hint="default"/>
                <w:sz w:val="18"/>
                <w:szCs w:val="18"/>
              </w:rPr>
            </w:pPr>
            <w:r>
              <w:rPr>
                <w:rFonts w:ascii="宋体" w:hAnsi="宋体" w:cs="宋体" w:eastAsia="宋体" w:hint="default"/>
                <w:sz w:val="18"/>
                <w:szCs w:val="18"/>
              </w:rPr>
              <w:t>自购买日起至 报告期末为上 市公司贡献的 净利润</w:t>
            </w:r>
          </w:p>
          <w:p>
            <w:pPr>
              <w:pStyle w:val="TableParagraph"/>
              <w:spacing w:line="316" w:lineRule="auto" w:before="19"/>
              <w:ind w:left="38" w:right="35"/>
              <w:jc w:val="center"/>
              <w:rPr>
                <w:rFonts w:ascii="宋体" w:hAnsi="宋体" w:cs="宋体" w:eastAsia="宋体" w:hint="default"/>
                <w:sz w:val="18"/>
                <w:szCs w:val="18"/>
              </w:rPr>
            </w:pPr>
            <w:r>
              <w:rPr>
                <w:rFonts w:ascii="宋体" w:hAnsi="宋体" w:cs="宋体" w:eastAsia="宋体" w:hint="default"/>
                <w:sz w:val="18"/>
                <w:szCs w:val="18"/>
              </w:rPr>
              <w:t>（适用于非同 一控制下的企 业合并）</w:t>
            </w:r>
          </w:p>
        </w:tc>
        <w:tc>
          <w:tcPr>
            <w:tcW w:w="65" w:type="dxa"/>
            <w:tcBorders>
              <w:top w:val="single" w:sz="4" w:space="0" w:color="000000"/>
              <w:left w:val="single" w:sz="4" w:space="0" w:color="000000"/>
              <w:bottom w:val="single" w:sz="4" w:space="0" w:color="000000"/>
              <w:right w:val="nil" w:sz="6" w:space="0" w:color="auto"/>
            </w:tcBorders>
            <w:shd w:val="clear" w:color="auto" w:fill="D2D2D2"/>
          </w:tcPr>
          <w:p>
            <w:pPr/>
          </w:p>
        </w:tc>
        <w:tc>
          <w:tcPr>
            <w:tcW w:w="10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48" w:right="105"/>
              <w:jc w:val="both"/>
              <w:rPr>
                <w:rFonts w:ascii="宋体" w:hAnsi="宋体" w:cs="宋体" w:eastAsia="宋体" w:hint="default"/>
                <w:sz w:val="18"/>
                <w:szCs w:val="18"/>
              </w:rPr>
            </w:pPr>
            <w:r>
              <w:rPr>
                <w:rFonts w:ascii="宋体" w:hAnsi="宋体" w:cs="宋体" w:eastAsia="宋体" w:hint="default"/>
                <w:sz w:val="18"/>
                <w:szCs w:val="18"/>
              </w:rPr>
              <w:t>自本期初至 报告期末为 上市公司贡 献的净利润</w:t>
            </w:r>
          </w:p>
          <w:p>
            <w:pPr>
              <w:pStyle w:val="TableParagraph"/>
              <w:spacing w:line="316" w:lineRule="auto" w:before="19"/>
              <w:ind w:left="2" w:right="60"/>
              <w:jc w:val="center"/>
              <w:rPr>
                <w:rFonts w:ascii="宋体" w:hAnsi="宋体" w:cs="宋体" w:eastAsia="宋体" w:hint="default"/>
                <w:sz w:val="18"/>
                <w:szCs w:val="18"/>
              </w:rPr>
            </w:pPr>
            <w:r>
              <w:rPr>
                <w:rFonts w:ascii="宋体" w:hAnsi="宋体" w:cs="宋体" w:eastAsia="宋体" w:hint="default"/>
                <w:spacing w:val="-16"/>
                <w:sz w:val="18"/>
                <w:szCs w:val="18"/>
              </w:rPr>
              <w:t>（万元）（适</w:t>
            </w:r>
            <w:r>
              <w:rPr>
                <w:rFonts w:ascii="宋体" w:hAnsi="宋体" w:cs="宋体" w:eastAsia="宋体" w:hint="default"/>
                <w:sz w:val="18"/>
                <w:szCs w:val="18"/>
              </w:rPr>
              <w:t> 用于同一控 制下的企业 合并）</w:t>
            </w:r>
          </w:p>
        </w:tc>
        <w:tc>
          <w:tcPr>
            <w:tcW w:w="3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81" w:right="79"/>
              <w:jc w:val="both"/>
              <w:rPr>
                <w:rFonts w:ascii="宋体" w:hAnsi="宋体" w:cs="宋体" w:eastAsia="宋体" w:hint="default"/>
                <w:sz w:val="18"/>
                <w:szCs w:val="18"/>
              </w:rPr>
            </w:pPr>
            <w:r>
              <w:rPr>
                <w:rFonts w:ascii="宋体" w:hAnsi="宋体" w:cs="宋体" w:eastAsia="宋体" w:hint="default"/>
                <w:sz w:val="18"/>
                <w:szCs w:val="18"/>
              </w:rPr>
              <w:t>是 否 为 关 联 交 易</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112" w:right="110"/>
              <w:jc w:val="left"/>
              <w:rPr>
                <w:rFonts w:ascii="宋体" w:hAnsi="宋体" w:cs="宋体" w:eastAsia="宋体" w:hint="default"/>
                <w:sz w:val="18"/>
                <w:szCs w:val="18"/>
              </w:rPr>
            </w:pPr>
            <w:r>
              <w:rPr>
                <w:rFonts w:ascii="宋体" w:hAnsi="宋体" w:cs="宋体" w:eastAsia="宋体" w:hint="default"/>
                <w:sz w:val="18"/>
                <w:szCs w:val="18"/>
              </w:rPr>
              <w:t>资产收购 定价原则</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both"/>
              <w:rPr>
                <w:rFonts w:ascii="宋体" w:hAnsi="宋体" w:cs="宋体" w:eastAsia="宋体" w:hint="default"/>
                <w:sz w:val="18"/>
                <w:szCs w:val="18"/>
              </w:rPr>
            </w:pPr>
            <w:r>
              <w:rPr>
                <w:rFonts w:ascii="宋体" w:hAnsi="宋体" w:cs="宋体" w:eastAsia="宋体" w:hint="default"/>
                <w:sz w:val="18"/>
                <w:szCs w:val="18"/>
              </w:rPr>
              <w:t>所涉 及的 资产 产权 是否 已全 部过 户</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8"/>
              <w:jc w:val="both"/>
              <w:rPr>
                <w:rFonts w:ascii="宋体" w:hAnsi="宋体" w:cs="宋体" w:eastAsia="宋体" w:hint="default"/>
                <w:sz w:val="18"/>
                <w:szCs w:val="18"/>
              </w:rPr>
            </w:pPr>
            <w:r>
              <w:rPr>
                <w:rFonts w:ascii="宋体" w:hAnsi="宋体" w:cs="宋体" w:eastAsia="宋体" w:hint="default"/>
                <w:sz w:val="18"/>
                <w:szCs w:val="18"/>
              </w:rPr>
              <w:t>所涉 及的 债权 债务 是否 已全 部转 移</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8"/>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例</w:t>
            </w:r>
            <w:r>
              <w:rPr>
                <w:rFonts w:ascii="Times New Roman" w:hAnsi="Times New Roman" w:cs="Times New Roman" w:eastAsia="Times New Roman" w:hint="default"/>
                <w:sz w:val="18"/>
                <w:szCs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12" w:hanging="12"/>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3"/>
                <w:sz w:val="18"/>
                <w:szCs w:val="18"/>
              </w:rPr>
              <w:t>系（适用</w:t>
            </w:r>
            <w:r>
              <w:rPr>
                <w:rFonts w:ascii="宋体" w:hAnsi="宋体" w:cs="宋体" w:eastAsia="宋体" w:hint="default"/>
                <w:sz w:val="18"/>
                <w:szCs w:val="18"/>
              </w:rPr>
              <w:t> 关联交 易情形）</w:t>
            </w:r>
          </w:p>
        </w:tc>
        <w:tc>
          <w:tcPr>
            <w:tcW w:w="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both"/>
              <w:rPr>
                <w:rFonts w:ascii="宋体" w:hAnsi="宋体" w:cs="宋体" w:eastAsia="宋体" w:hint="default"/>
                <w:sz w:val="18"/>
                <w:szCs w:val="18"/>
              </w:rPr>
            </w:pPr>
            <w:r>
              <w:rPr>
                <w:rFonts w:ascii="宋体" w:hAnsi="宋体" w:cs="宋体" w:eastAsia="宋体" w:hint="default"/>
                <w:sz w:val="18"/>
                <w:szCs w:val="18"/>
              </w:rPr>
              <w:t>临 时 公 告 披 露 日 期</w:t>
            </w:r>
          </w:p>
        </w:tc>
      </w:tr>
      <w:tr>
        <w:trPr>
          <w:trHeight w:val="3212"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360" w:lineRule="auto"/>
              <w:ind w:left="24" w:right="173"/>
              <w:jc w:val="left"/>
              <w:rPr>
                <w:rFonts w:ascii="Times New Roman" w:hAnsi="Times New Roman" w:cs="Times New Roman" w:eastAsia="Times New Roman" w:hint="default"/>
                <w:sz w:val="18"/>
                <w:szCs w:val="18"/>
              </w:rPr>
            </w:pPr>
            <w:r>
              <w:rPr>
                <w:rFonts w:ascii="Times New Roman"/>
                <w:spacing w:val="-4"/>
                <w:sz w:val="18"/>
              </w:rPr>
              <w:t>MARY</w:t>
            </w:r>
            <w:r>
              <w:rPr>
                <w:rFonts w:ascii="Times New Roman"/>
                <w:spacing w:val="-43"/>
                <w:sz w:val="18"/>
              </w:rPr>
              <w:t> </w:t>
            </w:r>
            <w:r>
              <w:rPr>
                <w:rFonts w:ascii="Times New Roman"/>
                <w:spacing w:val="-43"/>
                <w:sz w:val="18"/>
              </w:rPr>
            </w:r>
            <w:r>
              <w:rPr>
                <w:rFonts w:ascii="Times New Roman"/>
                <w:sz w:val="18"/>
              </w:rPr>
              <w:t>GOH</w:t>
            </w:r>
            <w:r>
              <w:rPr>
                <w:rFonts w:ascii="Times New Roman"/>
                <w:w w:val="99"/>
                <w:sz w:val="18"/>
              </w:rPr>
              <w:t> </w:t>
            </w:r>
            <w:r>
              <w:rPr>
                <w:rFonts w:ascii="Times New Roman"/>
                <w:sz w:val="18"/>
              </w:rPr>
              <w:t>POH</w:t>
            </w:r>
            <w:r>
              <w:rPr>
                <w:rFonts w:ascii="Times New Roman"/>
                <w:w w:val="99"/>
                <w:sz w:val="18"/>
              </w:rPr>
              <w:t> </w:t>
            </w:r>
            <w:r>
              <w:rPr>
                <w:rFonts w:ascii="Times New Roman"/>
                <w:sz w:val="18"/>
              </w:rPr>
              <w:t>SUANG</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336" w:lineRule="auto"/>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Bridge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Minds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Consulting</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Pte</w:t>
            </w:r>
            <w:r>
              <w:rPr>
                <w:rFonts w:ascii="Times New Roman" w:hAnsi="Times New Roman" w:cs="Times New Roman" w:eastAsia="Times New Roman" w:hint="default"/>
                <w:sz w:val="18"/>
                <w:szCs w:val="18"/>
              </w:rPr>
              <w:t> Ltd</w:t>
            </w:r>
            <w:r>
              <w:rPr>
                <w:rFonts w:ascii="宋体" w:hAnsi="宋体" w:cs="宋体" w:eastAsia="宋体" w:hint="default"/>
                <w:sz w:val="18"/>
                <w:szCs w:val="18"/>
              </w:rPr>
              <w:t>（新加坡智</w:t>
            </w:r>
          </w:p>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桥资讯公司）</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529.3</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24" w:type="dxa"/>
            <w:gridSpan w:val="2"/>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9"/>
              <w:jc w:val="both"/>
              <w:rPr>
                <w:rFonts w:ascii="宋体" w:hAnsi="宋体" w:cs="宋体" w:eastAsia="宋体" w:hint="default"/>
                <w:sz w:val="18"/>
                <w:szCs w:val="18"/>
              </w:rPr>
            </w:pPr>
            <w:r>
              <w:rPr>
                <w:rFonts w:ascii="宋体" w:hAnsi="宋体" w:cs="宋体" w:eastAsia="宋体" w:hint="default"/>
                <w:sz w:val="18"/>
                <w:szCs w:val="18"/>
              </w:rPr>
              <w:t>充分考虑 标的在互 联网信息 化服务方 面的市场 基础以及 海外运营 经验等因 素经协商 确定</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40" w:bottom="1160" w:left="980" w:right="980"/>
        </w:sectPr>
      </w:pPr>
    </w:p>
    <w:p>
      <w:pPr>
        <w:pStyle w:val="Heading3"/>
        <w:spacing w:line="240" w:lineRule="auto" w:before="81"/>
        <w:ind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5"/>
        <w:rPr>
          <w:rFonts w:ascii="宋体" w:hAnsi="宋体" w:cs="宋体" w:eastAsia="宋体" w:hint="default"/>
          <w:b/>
          <w:bCs/>
          <w:sz w:val="26"/>
          <w:szCs w:val="26"/>
        </w:rPr>
      </w:pPr>
    </w:p>
    <w:p>
      <w:pPr>
        <w:pStyle w:val="Heading5"/>
        <w:spacing w:line="240" w:lineRule="auto"/>
        <w:ind w:right="0"/>
        <w:jc w:val="left"/>
        <w:rPr>
          <w:b w:val="0"/>
          <w:bCs w:val="0"/>
        </w:rPr>
      </w:pPr>
      <w:r>
        <w:rPr/>
        <w:t>不适用</w:t>
      </w:r>
      <w:r>
        <w:rPr>
          <w:b w:val="0"/>
          <w:bCs w:val="0"/>
        </w:rPr>
      </w:r>
    </w:p>
    <w:p>
      <w:pPr>
        <w:spacing w:line="240" w:lineRule="auto" w:before="0"/>
        <w:rPr>
          <w:rFonts w:ascii="宋体" w:hAnsi="宋体" w:cs="宋体" w:eastAsia="宋体" w:hint="default"/>
          <w:b/>
          <w:bCs/>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2"/>
        <w:rPr>
          <w:rFonts w:ascii="宋体" w:hAnsi="宋体" w:cs="宋体" w:eastAsia="宋体" w:hint="default"/>
          <w:b/>
          <w:bCs/>
          <w:sz w:val="26"/>
          <w:szCs w:val="26"/>
        </w:rPr>
      </w:pPr>
    </w:p>
    <w:p>
      <w:pPr>
        <w:pStyle w:val="Heading5"/>
        <w:spacing w:line="240" w:lineRule="auto"/>
        <w:ind w:right="0"/>
        <w:jc w:val="left"/>
        <w:rPr>
          <w:b w:val="0"/>
          <w:bCs w:val="0"/>
        </w:rPr>
      </w:pPr>
      <w:r>
        <w:rPr/>
        <w:t>不适用</w:t>
      </w:r>
      <w:r>
        <w:rPr>
          <w:b w:val="0"/>
          <w:bCs w:val="0"/>
        </w:rPr>
      </w:r>
    </w:p>
    <w:p>
      <w:pPr>
        <w:spacing w:line="240" w:lineRule="auto" w:before="0"/>
        <w:rPr>
          <w:rFonts w:ascii="宋体" w:hAnsi="宋体" w:cs="宋体" w:eastAsia="宋体" w:hint="default"/>
          <w:b/>
          <w:bCs/>
          <w:sz w:val="18"/>
          <w:szCs w:val="18"/>
        </w:rPr>
      </w:pPr>
    </w:p>
    <w:p>
      <w:pPr>
        <w:pStyle w:val="Heading3"/>
        <w:spacing w:line="259" w:lineRule="auto" w:before="120"/>
        <w:ind w:right="0"/>
        <w:jc w:val="left"/>
        <w:rPr>
          <w:b w:val="0"/>
          <w:bCs w:val="0"/>
        </w:rPr>
      </w:pP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61"/>
        </w:rPr>
        <w:t> </w:t>
      </w:r>
      <w:r>
        <w:rPr>
          <w:spacing w:val="-61"/>
        </w:rPr>
      </w:r>
      <w:r>
        <w:rPr/>
        <w:t>影响</w:t>
      </w:r>
      <w:r>
        <w:rPr>
          <w:b w:val="0"/>
          <w:bCs w:val="0"/>
        </w:rPr>
      </w:r>
    </w:p>
    <w:p>
      <w:pPr>
        <w:spacing w:line="240" w:lineRule="auto" w:before="1"/>
        <w:rPr>
          <w:rFonts w:ascii="宋体" w:hAnsi="宋体" w:cs="宋体" w:eastAsia="宋体" w:hint="default"/>
          <w:b/>
          <w:bCs/>
          <w:sz w:val="26"/>
          <w:szCs w:val="26"/>
        </w:rPr>
      </w:pPr>
    </w:p>
    <w:p>
      <w:pPr>
        <w:pStyle w:val="Heading5"/>
        <w:spacing w:line="240" w:lineRule="auto"/>
        <w:ind w:right="0"/>
        <w:jc w:val="left"/>
        <w:rPr>
          <w:b w:val="0"/>
          <w:bCs w:val="0"/>
        </w:rPr>
      </w:pPr>
      <w:r>
        <w:rPr/>
        <w:t>不适用</w:t>
      </w:r>
      <w:r>
        <w:rPr>
          <w:b w:val="0"/>
          <w:bCs w:val="0"/>
        </w:rPr>
      </w:r>
    </w:p>
    <w:p>
      <w:pPr>
        <w:spacing w:line="240" w:lineRule="auto" w:before="4"/>
        <w:rPr>
          <w:rFonts w:ascii="宋体" w:hAnsi="宋体" w:cs="宋体" w:eastAsia="宋体" w:hint="default"/>
          <w:b/>
          <w:bCs/>
          <w:sz w:val="25"/>
          <w:szCs w:val="25"/>
        </w:rPr>
      </w:pPr>
    </w:p>
    <w:p>
      <w:pPr>
        <w:pStyle w:val="Heading2"/>
        <w:spacing w:line="240" w:lineRule="auto"/>
        <w:ind w:right="0"/>
        <w:jc w:val="left"/>
        <w:rPr>
          <w:b w:val="0"/>
          <w:bCs w:val="0"/>
        </w:rPr>
      </w:pPr>
      <w:r>
        <w:rPr/>
        <w:t>五、公司股权激励的实施情况及其影响</w:t>
      </w:r>
      <w:r>
        <w:rPr>
          <w:b w:val="0"/>
          <w:bCs w:val="0"/>
        </w:rPr>
      </w:r>
    </w:p>
    <w:p>
      <w:pPr>
        <w:spacing w:line="240" w:lineRule="auto" w:before="7"/>
        <w:rPr>
          <w:rFonts w:ascii="宋体" w:hAnsi="宋体" w:cs="宋体" w:eastAsia="宋体" w:hint="default"/>
          <w:b/>
          <w:bCs/>
          <w:sz w:val="32"/>
          <w:szCs w:val="32"/>
        </w:rPr>
      </w:pPr>
    </w:p>
    <w:p>
      <w:pPr>
        <w:pStyle w:val="BodyText"/>
        <w:spacing w:line="451" w:lineRule="auto"/>
        <w:ind w:right="148" w:firstLine="379"/>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24</w:t>
      </w:r>
      <w:r>
        <w:rPr>
          <w:spacing w:val="-1"/>
        </w:rPr>
        <w:t>日，公司第四届董事会第二十三次会议审议通过了《北京神州泰岳软件股份有限公司股票期权与限制性股</w:t>
      </w:r>
      <w:r>
        <w:rPr/>
        <w:t> 票激励计划（草案）》等议案，并报中国证监会审核。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日，根据中国证监会的反馈意见，公司第四届董事会第</w:t>
      </w:r>
      <w:r>
        <w:rPr>
          <w:spacing w:val="-85"/>
        </w:rPr>
        <w:t> </w:t>
      </w:r>
      <w:r>
        <w:rPr>
          <w:spacing w:val="-85"/>
        </w:rPr>
      </w:r>
      <w:r>
        <w:rPr>
          <w:spacing w:val="-2"/>
        </w:rPr>
        <w:t>二十八次会议审议通过了《北京神州泰岳软件股份有限公司股票期权与限制性股票激励计划（正式稿）》，并经</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6"/>
        </w:rPr>
        <w:t> </w:t>
      </w:r>
      <w:r>
        <w:rPr/>
        <w:t>日公司</w:t>
      </w:r>
      <w:r>
        <w:rPr>
          <w:rFonts w:ascii="Times New Roman" w:hAnsi="Times New Roman" w:cs="Times New Roman" w:eastAsia="Times New Roman" w:hint="default"/>
        </w:rPr>
        <w:t>2012</w:t>
      </w:r>
      <w:r>
        <w:rPr/>
        <w:t>年第一次临时股东大会审议通过；</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日，公司第四届董事会第二十九次会议审议通过了《关于公司股</w:t>
      </w:r>
      <w:r>
        <w:rPr>
          <w:spacing w:val="-87"/>
        </w:rPr>
        <w:t> </w:t>
      </w:r>
      <w:r>
        <w:rPr>
          <w:spacing w:val="-87"/>
        </w:rPr>
      </w:r>
      <w:r>
        <w:rPr/>
        <w:t>权激励计划所涉股票期权与限制性股票授予的议案》，股权激励计划规定的授予条件已经满足，公司董事会同意授予</w:t>
      </w:r>
      <w:r>
        <w:rPr>
          <w:rFonts w:ascii="Times New Roman" w:hAnsi="Times New Roman" w:cs="Times New Roman" w:eastAsia="Times New Roman" w:hint="default"/>
        </w:rPr>
        <w:t>370</w:t>
      </w:r>
      <w:r>
        <w:rPr/>
        <w:t>名</w:t>
      </w:r>
      <w:r>
        <w:rPr>
          <w:spacing w:val="-83"/>
        </w:rPr>
        <w:t> </w:t>
      </w:r>
      <w:r>
        <w:rPr/>
        <w:t>激励对象</w:t>
      </w:r>
      <w:r>
        <w:rPr>
          <w:rFonts w:ascii="Times New Roman" w:hAnsi="Times New Roman" w:cs="Times New Roman" w:eastAsia="Times New Roman" w:hint="default"/>
        </w:rPr>
        <w:t>850</w:t>
      </w:r>
      <w:r>
        <w:rPr/>
        <w:t>万份股票期权，</w:t>
      </w:r>
      <w:r>
        <w:rPr>
          <w:rFonts w:ascii="Times New Roman" w:hAnsi="Times New Roman" w:cs="Times New Roman" w:eastAsia="Times New Roman" w:hint="default"/>
        </w:rPr>
        <w:t>450</w:t>
      </w:r>
      <w:r>
        <w:rPr/>
        <w:t>万份限制性股票，授予日为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日，期权行权价格为</w:t>
      </w:r>
      <w:r>
        <w:rPr>
          <w:rFonts w:ascii="Times New Roman" w:hAnsi="Times New Roman" w:cs="Times New Roman" w:eastAsia="Times New Roman" w:hint="default"/>
        </w:rPr>
        <w:t>18.3</w:t>
      </w:r>
      <w:r>
        <w:rPr/>
        <w:t>元</w:t>
      </w:r>
      <w:r>
        <w:rPr>
          <w:rFonts w:ascii="Times New Roman" w:hAnsi="Times New Roman" w:cs="Times New Roman" w:eastAsia="Times New Roman" w:hint="default"/>
        </w:rPr>
        <w:t>/</w:t>
      </w:r>
      <w:r>
        <w:rPr/>
        <w:t>股、限制性股票价格为 </w:t>
      </w:r>
      <w:r>
        <w:rPr>
          <w:rFonts w:ascii="Times New Roman" w:hAnsi="Times New Roman" w:cs="Times New Roman" w:eastAsia="Times New Roman" w:hint="default"/>
        </w:rPr>
        <w:t>8.97</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日，公司完成股权激励所涉授予期权与限制性股票的登记工作，其中</w:t>
      </w:r>
      <w:r>
        <w:rPr>
          <w:rFonts w:ascii="Times New Roman" w:hAnsi="Times New Roman" w:cs="Times New Roman" w:eastAsia="Times New Roman" w:hint="default"/>
        </w:rPr>
        <w:t>185</w:t>
      </w:r>
      <w:r>
        <w:rPr/>
        <w:t>名激励对象认购了限制性 股票合计</w:t>
      </w:r>
      <w:r>
        <w:rPr>
          <w:rFonts w:ascii="Times New Roman" w:hAnsi="Times New Roman" w:cs="Times New Roman" w:eastAsia="Times New Roman" w:hint="default"/>
        </w:rPr>
        <w:t>418.37</w:t>
      </w:r>
      <w:r>
        <w:rPr/>
        <w:t>万股。（详见</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日巨潮资讯网</w:t>
      </w:r>
      <w:r>
        <w:rPr>
          <w:spacing w:val="-32"/>
        </w:rPr>
        <w:t> </w:t>
      </w:r>
      <w:hyperlink r:id="rId21">
        <w:r>
          <w:rPr>
            <w:rFonts w:ascii="Times New Roman" w:hAnsi="Times New Roman" w:cs="Times New Roman" w:eastAsia="Times New Roman" w:hint="default"/>
          </w:rPr>
          <w:t>http://www.cninfo.com.cn</w:t>
        </w:r>
        <w:r>
          <w:rPr/>
          <w:t>的公司公告）</w:t>
        </w:r>
      </w:hyperlink>
    </w:p>
    <w:p>
      <w:pPr>
        <w:pStyle w:val="BodyText"/>
        <w:spacing w:line="451" w:lineRule="auto" w:before="43"/>
        <w:ind w:right="148" w:firstLine="379"/>
        <w:jc w:val="both"/>
      </w:pPr>
      <w:r>
        <w:rPr>
          <w:spacing w:val="-1"/>
        </w:rPr>
        <w:t>报告期内，激励对象中的王伟桥、马鑫、程亚军、孙朝晖、郝娜、陈明智、徐果、杜唯等</w:t>
      </w:r>
      <w:r>
        <w:rPr>
          <w:rFonts w:ascii="Times New Roman" w:hAnsi="Times New Roman" w:cs="Times New Roman" w:eastAsia="Times New Roman" w:hint="default"/>
          <w:spacing w:val="-1"/>
        </w:rPr>
        <w:t>8</w:t>
      </w:r>
      <w:r>
        <w:rPr>
          <w:spacing w:val="-1"/>
        </w:rPr>
        <w:t>人因个人原因离职，已不具</w:t>
      </w:r>
      <w:r>
        <w:rPr/>
        <w:t> 备激励对象资格，取消其获授的股票期权共</w:t>
      </w:r>
      <w:r>
        <w:rPr>
          <w:rFonts w:ascii="Times New Roman" w:hAnsi="Times New Roman" w:cs="Times New Roman" w:eastAsia="Times New Roman" w:hint="default"/>
        </w:rPr>
        <w:t>210,000 </w:t>
      </w:r>
      <w:r>
        <w:rPr/>
        <w:t>份、限制性股票共</w:t>
      </w:r>
      <w:r>
        <w:rPr>
          <w:rFonts w:ascii="Times New Roman" w:hAnsi="Times New Roman" w:cs="Times New Roman" w:eastAsia="Times New Roman" w:hint="default"/>
        </w:rPr>
        <w:t>15,000</w:t>
      </w:r>
      <w:r>
        <w:rPr>
          <w:rFonts w:ascii="Times New Roman" w:hAnsi="Times New Roman" w:cs="Times New Roman" w:eastAsia="Times New Roman" w:hint="default"/>
          <w:spacing w:val="6"/>
        </w:rPr>
        <w:t> </w:t>
      </w:r>
      <w:r>
        <w:rPr/>
        <w:t>份。截止报告期末，股权激励计划对象数量为 </w:t>
      </w:r>
      <w:r>
        <w:rPr>
          <w:rFonts w:ascii="Times New Roman" w:hAnsi="Times New Roman" w:cs="Times New Roman" w:eastAsia="Times New Roman" w:hint="default"/>
          <w:spacing w:val="-6"/>
        </w:rPr>
        <w:t>362</w:t>
      </w:r>
      <w:r>
        <w:rPr>
          <w:spacing w:val="-6"/>
        </w:rPr>
        <w:t>名，涉及</w:t>
      </w:r>
      <w:r>
        <w:rPr>
          <w:rFonts w:ascii="Times New Roman" w:hAnsi="Times New Roman" w:cs="Times New Roman" w:eastAsia="Times New Roman" w:hint="default"/>
          <w:spacing w:val="-6"/>
        </w:rPr>
        <w:t>829</w:t>
      </w:r>
      <w:r>
        <w:rPr>
          <w:spacing w:val="-6"/>
        </w:rPr>
        <w:t>万份股票期权、</w:t>
      </w:r>
      <w:r>
        <w:rPr>
          <w:rFonts w:ascii="Times New Roman" w:hAnsi="Times New Roman" w:cs="Times New Roman" w:eastAsia="Times New Roman" w:hint="default"/>
          <w:spacing w:val="-6"/>
        </w:rPr>
        <w:t>4,168,700</w:t>
      </w:r>
      <w:r>
        <w:rPr>
          <w:spacing w:val="-6"/>
        </w:rPr>
        <w:t>份限制性股票。根据《企业会计准则》的有关规定，报告期内，公司合计确认了</w:t>
      </w:r>
      <w:r>
        <w:rPr>
          <w:rFonts w:ascii="Times New Roman" w:hAnsi="Times New Roman" w:cs="Times New Roman" w:eastAsia="Times New Roman" w:hint="default"/>
          <w:spacing w:val="-6"/>
        </w:rPr>
        <w:t>544.38</w:t>
      </w:r>
      <w:r>
        <w:rPr>
          <w:rFonts w:ascii="Times New Roman" w:hAnsi="Times New Roman" w:cs="Times New Roman" w:eastAsia="Times New Roman" w:hint="default"/>
        </w:rPr>
        <w:t> </w:t>
      </w:r>
      <w:r>
        <w:rPr/>
        <w:t>万元的股权激励成本。</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pStyle w:val="Heading5"/>
        <w:spacing w:line="240" w:lineRule="auto"/>
        <w:ind w:right="0"/>
        <w:jc w:val="left"/>
        <w:rPr>
          <w:b w:val="0"/>
          <w:bCs w:val="0"/>
        </w:rPr>
      </w:pPr>
      <w:r>
        <w:rPr/>
        <w:t>股权激励事项临时报告披露网站查询</w:t>
      </w:r>
      <w:r>
        <w:rPr>
          <w:b w:val="0"/>
          <w:bCs w:val="0"/>
        </w:rPr>
      </w:r>
    </w:p>
    <w:p>
      <w:pPr>
        <w:spacing w:line="240" w:lineRule="auto" w:before="1"/>
        <w:rPr>
          <w:rFonts w:ascii="宋体" w:hAnsi="宋体" w:cs="宋体" w:eastAsia="宋体" w:hint="default"/>
          <w:b/>
          <w:bCs/>
          <w:sz w:val="14"/>
          <w:szCs w:val="1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第四届董事会第二十三次会议决议公告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5"/>
                <w:sz w:val="18"/>
                <w:szCs w:val="18"/>
              </w:rPr>
              <w:t> </w:t>
            </w:r>
            <w:hyperlink r:id="rId12">
              <w:r>
                <w:rPr>
                  <w:rFonts w:ascii="Times New Roman" w:hAnsi="Times New Roman" w:cs="Times New Roman" w:eastAsia="Times New Roman" w:hint="default"/>
                  <w:sz w:val="18"/>
                  <w:szCs w:val="18"/>
                </w:rPr>
                <w:t>www.cninfo.com.cn</w:t>
              </w:r>
            </w:hyperlink>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第四届监事会第十二次会议决议公告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5"/>
                <w:sz w:val="18"/>
                <w:szCs w:val="18"/>
              </w:rPr>
              <w:t> </w:t>
            </w:r>
            <w:hyperlink r:id="rId12">
              <w:r>
                <w:rPr>
                  <w:rFonts w:ascii="Times New Roman" w:hAnsi="Times New Roman" w:cs="Times New Roman" w:eastAsia="Times New Roman" w:hint="default"/>
                  <w:sz w:val="18"/>
                  <w:szCs w:val="18"/>
                </w:rPr>
                <w:t>www.cninfo.com.cn</w:t>
              </w:r>
            </w:hyperlink>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神州泰岳第四届董事会第二十八次会议 决议公告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5"/>
                <w:sz w:val="18"/>
                <w:szCs w:val="18"/>
              </w:rPr>
              <w:t> </w:t>
            </w:r>
            <w:hyperlink r:id="rId12">
              <w:r>
                <w:rPr>
                  <w:rFonts w:ascii="Times New Roman" w:hAnsi="Times New Roman" w:cs="Times New Roman" w:eastAsia="Times New Roman" w:hint="default"/>
                  <w:sz w:val="18"/>
                  <w:szCs w:val="18"/>
                </w:rPr>
                <w:t>www.cninfo.com.cn</w:t>
              </w:r>
            </w:hyperlink>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神州泰岳第四届监事会第十四次会议决 议公告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5"/>
                <w:sz w:val="18"/>
                <w:szCs w:val="18"/>
              </w:rPr>
              <w:t> </w:t>
            </w:r>
            <w:hyperlink r:id="rId12">
              <w:r>
                <w:rPr>
                  <w:rFonts w:ascii="Times New Roman" w:hAnsi="Times New Roman" w:cs="Times New Roman" w:eastAsia="Times New Roman" w:hint="default"/>
                  <w:sz w:val="18"/>
                  <w:szCs w:val="18"/>
                </w:rPr>
                <w:t>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852" w:footer="980" w:top="1340" w:bottom="1160" w:left="980" w:right="980"/>
        </w:sectPr>
      </w:pPr>
    </w:p>
    <w:p>
      <w:pPr>
        <w:spacing w:line="240" w:lineRule="auto" w:before="2"/>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神州泰岳</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年第一次临时股东大会决 议公告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5"/>
                <w:sz w:val="18"/>
                <w:szCs w:val="18"/>
              </w:rPr>
              <w:t> </w:t>
            </w:r>
            <w:hyperlink r:id="rId12">
              <w:r>
                <w:rPr>
                  <w:rFonts w:ascii="Times New Roman" w:hAnsi="Times New Roman" w:cs="Times New Roman" w:eastAsia="Times New Roman" w:hint="default"/>
                  <w:sz w:val="18"/>
                  <w:szCs w:val="18"/>
                </w:rPr>
                <w:t>www.cninfo.com.cn</w:t>
              </w:r>
            </w:hyperlink>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神州泰岳第四届董事会第二十九次会议 决议公告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5"/>
                <w:sz w:val="18"/>
                <w:szCs w:val="18"/>
              </w:rPr>
              <w:t> </w:t>
            </w:r>
            <w:hyperlink r:id="rId12">
              <w:r>
                <w:rPr>
                  <w:rFonts w:ascii="Times New Roman" w:hAnsi="Times New Roman" w:cs="Times New Roman" w:eastAsia="Times New Roman" w:hint="default"/>
                  <w:sz w:val="18"/>
                  <w:szCs w:val="18"/>
                </w:rPr>
                <w:t>www.cninfo.com.cn</w:t>
              </w:r>
            </w:hyperlink>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神州泰岳第四届监事会第十五次会议决 议公告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5"/>
                <w:sz w:val="18"/>
                <w:szCs w:val="18"/>
              </w:rPr>
              <w:t> </w:t>
            </w:r>
            <w:hyperlink r:id="rId12">
              <w:r>
                <w:rPr>
                  <w:rFonts w:ascii="Times New Roman" w:hAnsi="Times New Roman" w:cs="Times New Roman" w:eastAsia="Times New Roman" w:hint="default"/>
                  <w:sz w:val="18"/>
                  <w:szCs w:val="18"/>
                </w:rPr>
                <w:t>www.cninfo.com.cn</w:t>
              </w:r>
            </w:hyperlink>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神州泰岳关于股权激励计划授予相关事 项的公告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5"/>
                <w:sz w:val="18"/>
                <w:szCs w:val="18"/>
              </w:rPr>
              <w:t> </w:t>
            </w:r>
            <w:hyperlink r:id="rId12">
              <w:r>
                <w:rPr>
                  <w:rFonts w:ascii="Times New Roman" w:hAnsi="Times New Roman" w:cs="Times New Roman" w:eastAsia="Times New Roman" w:hint="default"/>
                  <w:sz w:val="18"/>
                  <w:szCs w:val="18"/>
                </w:rPr>
                <w:t>www.cninfo.com.cn</w:t>
              </w:r>
            </w:hyperlink>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关于股权激励计划授予的期权与限制性 股票登记完成公告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5"/>
                <w:sz w:val="18"/>
                <w:szCs w:val="18"/>
              </w:rPr>
              <w:t> </w:t>
            </w:r>
            <w:hyperlink r:id="rId12">
              <w:r>
                <w:rPr>
                  <w:rFonts w:ascii="Times New Roman" w:hAnsi="Times New Roman" w:cs="Times New Roman" w:eastAsia="Times New Roman" w:hint="default"/>
                  <w:sz w:val="18"/>
                  <w:szCs w:val="18"/>
                </w:rPr>
                <w:t>www.cninfo.com.cn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2"/>
        <w:gridCol w:w="799"/>
        <w:gridCol w:w="794"/>
        <w:gridCol w:w="799"/>
        <w:gridCol w:w="815"/>
        <w:gridCol w:w="799"/>
        <w:gridCol w:w="797"/>
        <w:gridCol w:w="799"/>
        <w:gridCol w:w="797"/>
        <w:gridCol w:w="800"/>
        <w:gridCol w:w="797"/>
        <w:gridCol w:w="785"/>
      </w:tblGrid>
      <w:tr>
        <w:trPr>
          <w:trHeight w:val="1649"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302" w:right="29"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13" w:right="29"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23" w:right="23"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51"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15"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3" w:right="33"/>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6"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35" w:right="32"/>
              <w:jc w:val="left"/>
              <w:rPr>
                <w:rFonts w:ascii="宋体" w:hAnsi="宋体" w:cs="宋体" w:eastAsia="宋体" w:hint="default"/>
                <w:sz w:val="18"/>
                <w:szCs w:val="18"/>
              </w:rPr>
            </w:pPr>
            <w:r>
              <w:rPr>
                <w:rFonts w:ascii="宋体" w:hAnsi="宋体" w:cs="宋体" w:eastAsia="宋体" w:hint="default"/>
                <w:sz w:val="18"/>
                <w:szCs w:val="18"/>
              </w:rPr>
              <w:t>对公司利 润的影响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6"/>
              <w:jc w:val="center"/>
              <w:rPr>
                <w:rFonts w:ascii="宋体" w:hAnsi="宋体" w:cs="宋体" w:eastAsia="宋体" w:hint="default"/>
                <w:sz w:val="18"/>
                <w:szCs w:val="18"/>
              </w:rPr>
            </w:pPr>
            <w:r>
              <w:rPr>
                <w:rFonts w:ascii="宋体" w:hAnsi="宋体" w:cs="宋体" w:eastAsia="宋体" w:hint="default"/>
                <w:sz w:val="18"/>
                <w:szCs w:val="18"/>
              </w:rPr>
              <w:t>交易价格 与市场参 考价格差 异较大的 原因</w:t>
            </w:r>
          </w:p>
        </w:tc>
      </w:tr>
      <w:tr>
        <w:trPr>
          <w:trHeight w:val="1340"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6"/>
              <w:jc w:val="both"/>
              <w:rPr>
                <w:rFonts w:ascii="宋体" w:hAnsi="宋体" w:cs="宋体" w:eastAsia="宋体" w:hint="default"/>
                <w:sz w:val="18"/>
                <w:szCs w:val="18"/>
              </w:rPr>
            </w:pPr>
            <w:r>
              <w:rPr>
                <w:rFonts w:ascii="宋体" w:hAnsi="宋体" w:cs="宋体" w:eastAsia="宋体" w:hint="default"/>
                <w:sz w:val="18"/>
                <w:szCs w:val="18"/>
              </w:rPr>
              <w:t>大连华信 计算机技 术股份有 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3"/>
              <w:jc w:val="both"/>
              <w:rPr>
                <w:rFonts w:ascii="宋体" w:hAnsi="宋体" w:cs="宋体" w:eastAsia="宋体" w:hint="default"/>
                <w:sz w:val="18"/>
                <w:szCs w:val="18"/>
              </w:rPr>
            </w:pPr>
            <w:r>
              <w:rPr>
                <w:rFonts w:ascii="宋体" w:hAnsi="宋体" w:cs="宋体" w:eastAsia="宋体" w:hint="default"/>
                <w:sz w:val="18"/>
                <w:szCs w:val="18"/>
              </w:rPr>
              <w:t>公司董事 担任董事 的联营企 业</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23" w:right="44"/>
              <w:jc w:val="left"/>
              <w:rPr>
                <w:rFonts w:ascii="宋体" w:hAnsi="宋体" w:cs="宋体" w:eastAsia="宋体" w:hint="default"/>
                <w:sz w:val="18"/>
                <w:szCs w:val="18"/>
              </w:rPr>
            </w:pPr>
            <w:r>
              <w:rPr>
                <w:rFonts w:ascii="宋体" w:hAnsi="宋体" w:cs="宋体" w:eastAsia="宋体" w:hint="default"/>
                <w:sz w:val="18"/>
                <w:szCs w:val="18"/>
              </w:rPr>
              <w:t>软件服务 外包</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41" w:right="41"/>
              <w:jc w:val="left"/>
              <w:rPr>
                <w:rFonts w:ascii="宋体" w:hAnsi="宋体" w:cs="宋体" w:eastAsia="宋体" w:hint="default"/>
                <w:sz w:val="18"/>
                <w:szCs w:val="18"/>
              </w:rPr>
            </w:pPr>
            <w:r>
              <w:rPr>
                <w:rFonts w:ascii="宋体" w:hAnsi="宋体" w:cs="宋体" w:eastAsia="宋体" w:hint="default"/>
                <w:sz w:val="18"/>
                <w:szCs w:val="18"/>
              </w:rPr>
              <w:t>市场化原 则</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776.92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项目验收</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18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776.92</w:t>
            </w:r>
          </w:p>
        </w:tc>
        <w:tc>
          <w:tcPr>
            <w:tcW w:w="79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1.56%</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18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89"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318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0"/>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89"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0" w:right="49"/>
              <w:jc w:val="left"/>
              <w:rPr>
                <w:rFonts w:ascii="宋体" w:hAnsi="宋体" w:cs="宋体" w:eastAsia="宋体" w:hint="default"/>
                <w:sz w:val="18"/>
                <w:szCs w:val="18"/>
              </w:rPr>
            </w:pPr>
            <w:r>
              <w:rPr>
                <w:rFonts w:ascii="宋体" w:hAnsi="宋体" w:cs="宋体" w:eastAsia="宋体" w:hint="default"/>
                <w:sz w:val="18"/>
                <w:szCs w:val="18"/>
              </w:rPr>
              <w:t>公司向关联公司采购服务是出于项目需要和关联方技术实力，基于公平的市场原 则进行确定，属于正常商业往来。</w:t>
            </w:r>
          </w:p>
        </w:tc>
      </w:tr>
      <w:tr>
        <w:trPr>
          <w:trHeight w:val="403" w:hRule="exact"/>
        </w:trPr>
        <w:tc>
          <w:tcPr>
            <w:tcW w:w="318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89"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宋体" w:hAnsi="宋体" w:cs="宋体" w:eastAsia="宋体" w:hint="default"/>
                <w:sz w:val="18"/>
                <w:szCs w:val="18"/>
              </w:rPr>
              <w:t>未构成对公司独立性的影响</w:t>
            </w:r>
          </w:p>
        </w:tc>
      </w:tr>
      <w:tr>
        <w:trPr>
          <w:trHeight w:val="713" w:hRule="exact"/>
        </w:trPr>
        <w:tc>
          <w:tcPr>
            <w:tcW w:w="318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0"/>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89"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不构成依赖</w:t>
            </w:r>
          </w:p>
        </w:tc>
      </w:tr>
      <w:tr>
        <w:trPr>
          <w:trHeight w:val="1027" w:hRule="exact"/>
        </w:trPr>
        <w:tc>
          <w:tcPr>
            <w:tcW w:w="318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0"/>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w:t>
            </w:r>
          </w:p>
        </w:tc>
        <w:tc>
          <w:tcPr>
            <w:tcW w:w="6389"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18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关联交易的说明</w:t>
            </w:r>
          </w:p>
        </w:tc>
        <w:tc>
          <w:tcPr>
            <w:tcW w:w="6389"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5"/>
        <w:rPr>
          <w:rFonts w:ascii="宋体" w:hAnsi="宋体" w:cs="宋体" w:eastAsia="宋体" w:hint="default"/>
          <w:b/>
          <w:bCs/>
          <w:sz w:val="6"/>
          <w:szCs w:val="6"/>
        </w:rPr>
      </w:pPr>
    </w:p>
    <w:p>
      <w:pPr>
        <w:pStyle w:val="BodyText"/>
        <w:spacing w:line="240" w:lineRule="auto" w:before="44"/>
        <w:ind w:right="0"/>
        <w:jc w:val="left"/>
      </w:pPr>
      <w:r>
        <w:rPr/>
        <w:t>报告期内公司向关联方销售（采购）产品和提供（接受）劳务的情况</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198"/>
        <w:gridCol w:w="1858"/>
        <w:gridCol w:w="1856"/>
        <w:gridCol w:w="1827"/>
        <w:gridCol w:w="1831"/>
      </w:tblGrid>
      <w:tr>
        <w:trPr>
          <w:trHeight w:val="401" w:hRule="exact"/>
        </w:trPr>
        <w:tc>
          <w:tcPr>
            <w:tcW w:w="2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7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2" w:right="0"/>
              <w:jc w:val="left"/>
              <w:rPr>
                <w:rFonts w:ascii="宋体" w:hAnsi="宋体" w:cs="宋体" w:eastAsia="宋体" w:hint="default"/>
                <w:sz w:val="18"/>
                <w:szCs w:val="18"/>
              </w:rPr>
            </w:pPr>
            <w:r>
              <w:rPr>
                <w:rFonts w:ascii="宋体" w:hAnsi="宋体" w:cs="宋体" w:eastAsia="宋体" w:hint="default"/>
                <w:sz w:val="18"/>
                <w:szCs w:val="18"/>
              </w:rPr>
              <w:t>向关联方销售产品和提供劳务</w:t>
            </w:r>
          </w:p>
        </w:tc>
        <w:tc>
          <w:tcPr>
            <w:tcW w:w="36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向关联方采购产品和接受劳务</w:t>
            </w:r>
          </w:p>
        </w:tc>
      </w:tr>
      <w:tr>
        <w:trPr>
          <w:trHeight w:val="403" w:hRule="exact"/>
        </w:trPr>
        <w:tc>
          <w:tcPr>
            <w:tcW w:w="2198" w:type="dxa"/>
            <w:vMerge/>
            <w:tcBorders>
              <w:left w:val="single" w:sz="4" w:space="0" w:color="000000"/>
              <w:bottom w:val="single" w:sz="4" w:space="0" w:color="000000"/>
              <w:right w:val="single" w:sz="4" w:space="0" w:color="000000"/>
            </w:tcBorders>
            <w:shd w:val="clear" w:color="auto" w:fill="D2D2D2"/>
          </w:tcPr>
          <w:p>
            <w:pP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占同类交易金额的比例</w:t>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0" w:right="0"/>
              <w:jc w:val="left"/>
              <w:rPr>
                <w:rFonts w:ascii="宋体" w:hAnsi="宋体" w:cs="宋体" w:eastAsia="宋体" w:hint="default"/>
                <w:sz w:val="18"/>
                <w:szCs w:val="18"/>
              </w:rPr>
            </w:pPr>
            <w:r>
              <w:rPr>
                <w:rFonts w:ascii="宋体" w:hAnsi="宋体" w:cs="宋体" w:eastAsia="宋体" w:hint="default"/>
                <w:sz w:val="18"/>
                <w:szCs w:val="18"/>
              </w:rPr>
              <w:t>占同类交易金额的比</w:t>
            </w:r>
          </w:p>
        </w:tc>
      </w:tr>
    </w:tbl>
    <w:p>
      <w:pPr>
        <w:spacing w:after="0" w:line="240" w:lineRule="auto"/>
        <w:jc w:val="left"/>
        <w:rPr>
          <w:rFonts w:ascii="宋体" w:hAnsi="宋体" w:cs="宋体" w:eastAsia="宋体" w:hint="default"/>
          <w:sz w:val="18"/>
          <w:szCs w:val="18"/>
        </w:rPr>
        <w:sectPr>
          <w:pgSz w:w="11910" w:h="16840"/>
          <w:pgMar w:header="852" w:footer="980" w:top="1340" w:bottom="1160" w:left="980" w:right="980"/>
        </w:sectPr>
      </w:pPr>
    </w:p>
    <w:p>
      <w:pPr>
        <w:spacing w:line="240" w:lineRule="auto" w:before="2"/>
        <w:rPr>
          <w:rFonts w:ascii="宋体" w:hAnsi="宋体" w:cs="宋体" w:eastAsia="宋体" w:hint="default"/>
          <w:sz w:val="7"/>
          <w:szCs w:val="7"/>
        </w:rPr>
      </w:pPr>
    </w:p>
    <w:tbl>
      <w:tblPr>
        <w:tblW w:w="0" w:type="auto"/>
        <w:jc w:val="left"/>
        <w:tblInd w:w="387" w:type="dxa"/>
        <w:tblLayout w:type="fixed"/>
        <w:tblCellMar>
          <w:top w:w="0" w:type="dxa"/>
          <w:left w:w="0" w:type="dxa"/>
          <w:bottom w:w="0" w:type="dxa"/>
          <w:right w:w="0" w:type="dxa"/>
        </w:tblCellMar>
        <w:tblLook w:val="01E0"/>
      </w:tblPr>
      <w:tblGrid>
        <w:gridCol w:w="2199"/>
        <w:gridCol w:w="1858"/>
        <w:gridCol w:w="1856"/>
        <w:gridCol w:w="1827"/>
        <w:gridCol w:w="1829"/>
      </w:tblGrid>
      <w:tr>
        <w:trPr>
          <w:trHeight w:val="36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w:t>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r>
      <w:tr>
        <w:trPr>
          <w:trHeight w:val="713"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大连华信计算机技术股份 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776.92</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w:t>
            </w:r>
          </w:p>
        </w:tc>
      </w:tr>
      <w:tr>
        <w:trPr>
          <w:trHeight w:val="40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776.92</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w:t>
            </w:r>
          </w:p>
        </w:tc>
      </w:tr>
    </w:tbl>
    <w:p>
      <w:pPr>
        <w:spacing w:line="544" w:lineRule="auto" w:before="49"/>
        <w:ind w:left="392" w:right="3011" w:firstLine="0"/>
        <w:jc w:val="left"/>
        <w:rPr>
          <w:rFonts w:ascii="宋体" w:hAnsi="宋体" w:cs="宋体" w:eastAsia="宋体" w:hint="default"/>
          <w:sz w:val="18"/>
          <w:szCs w:val="18"/>
        </w:rPr>
      </w:pPr>
      <w:r>
        <w:rPr>
          <w:rFonts w:ascii="宋体" w:hAnsi="宋体" w:cs="宋体" w:eastAsia="宋体" w:hint="default"/>
          <w:sz w:val="18"/>
          <w:szCs w:val="18"/>
        </w:rPr>
        <w:t>其中：报告期内公司向控股股东及其子公司销售产品或提供劳务的关联交易金额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、资产收购、出售发生的关联交易</w:t>
      </w:r>
      <w:r>
        <w:rPr>
          <w:rFonts w:ascii="宋体" w:hAnsi="宋体" w:cs="宋体" w:eastAsia="宋体" w:hint="default"/>
          <w:b/>
          <w:bCs/>
          <w:w w:val="100"/>
          <w:sz w:val="21"/>
          <w:szCs w:val="21"/>
        </w:rPr>
        <w:t> </w:t>
      </w:r>
      <w:r>
        <w:rPr>
          <w:rFonts w:ascii="宋体" w:hAnsi="宋体" w:cs="宋体" w:eastAsia="宋体" w:hint="default"/>
          <w:sz w:val="18"/>
          <w:szCs w:val="18"/>
        </w:rPr>
        <w:t>报告期内公司无资产收购、出售发生的关联交易。</w:t>
      </w:r>
    </w:p>
    <w:p>
      <w:pPr>
        <w:pStyle w:val="Heading3"/>
        <w:spacing w:line="240" w:lineRule="auto" w:before="127"/>
        <w:ind w:left="392" w:right="3011"/>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392" w:right="3011"/>
        <w:jc w:val="left"/>
      </w:pPr>
      <w:r>
        <w:rPr/>
        <w:t>报告期内公司不存在共同对外投资的关联交易。</w:t>
      </w:r>
    </w:p>
    <w:p>
      <w:pPr>
        <w:spacing w:line="240" w:lineRule="auto" w:before="0"/>
        <w:rPr>
          <w:rFonts w:ascii="宋体" w:hAnsi="宋体" w:cs="宋体" w:eastAsia="宋体" w:hint="default"/>
          <w:sz w:val="18"/>
          <w:szCs w:val="18"/>
        </w:rPr>
      </w:pPr>
    </w:p>
    <w:p>
      <w:pPr>
        <w:pStyle w:val="Heading3"/>
        <w:spacing w:line="240" w:lineRule="auto" w:before="120"/>
        <w:ind w:left="392" w:right="3011"/>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392" w:right="3011"/>
        <w:jc w:val="left"/>
      </w:pPr>
      <w:r>
        <w:rPr/>
        <w:t>是否存在非经营性关联债权债务往来</w:t>
      </w:r>
    </w:p>
    <w:p>
      <w:pPr>
        <w:pStyle w:val="BodyText"/>
        <w:spacing w:line="240" w:lineRule="auto" w:before="117"/>
        <w:ind w:left="392" w:right="301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left="392" w:right="3011"/>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815" w:right="0"/>
        <w:jc w:val="left"/>
      </w:pPr>
      <w:r>
        <w:rPr>
          <w:rFonts w:ascii="Times New Roman" w:hAnsi="Times New Roman" w:cs="Times New Roman" w:eastAsia="Times New Roman" w:hint="default"/>
        </w:rPr>
        <w:t>2012</w:t>
      </w:r>
      <w:r>
        <w:rPr/>
        <w:t>年报告期内，公司将部分办公用房租赁给关联公司及联营企业，具体如下：</w:t>
      </w:r>
    </w:p>
    <w:p>
      <w:pPr>
        <w:spacing w:line="240" w:lineRule="auto" w:before="11"/>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3601"/>
        <w:gridCol w:w="1661"/>
        <w:gridCol w:w="1400"/>
        <w:gridCol w:w="1563"/>
        <w:gridCol w:w="1978"/>
      </w:tblGrid>
      <w:tr>
        <w:trPr>
          <w:trHeight w:val="694" w:hRule="exact"/>
        </w:trPr>
        <w:tc>
          <w:tcPr>
            <w:tcW w:w="36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6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与公司的关系</w:t>
            </w:r>
          </w:p>
        </w:tc>
        <w:tc>
          <w:tcPr>
            <w:tcW w:w="14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宋体" w:hAnsi="宋体" w:cs="宋体" w:eastAsia="宋体" w:hint="default"/>
                <w:sz w:val="18"/>
                <w:szCs w:val="18"/>
              </w:rPr>
              <w:t>租赁面积</w:t>
            </w:r>
            <w:r>
              <w:rPr>
                <w:rFonts w:ascii="Times New Roman" w:hAnsi="Times New Roman" w:cs="Times New Roman" w:eastAsia="Times New Roman" w:hint="default"/>
                <w:sz w:val="18"/>
                <w:szCs w:val="18"/>
              </w:rPr>
              <w:t>(</w:t>
            </w:r>
            <w:r>
              <w:rPr>
                <w:rFonts w:ascii="宋体" w:hAnsi="宋体" w:cs="宋体" w:eastAsia="宋体" w:hint="default"/>
                <w:sz w:val="18"/>
                <w:szCs w:val="18"/>
              </w:rPr>
              <w:t>平方米</w:t>
            </w:r>
            <w:r>
              <w:rPr>
                <w:rFonts w:ascii="Times New Roman" w:hAnsi="Times New Roman" w:cs="Times New Roman" w:eastAsia="Times New Roman" w:hint="default"/>
                <w:sz w:val="18"/>
                <w:szCs w:val="18"/>
              </w:rPr>
              <w:t>)</w:t>
            </w:r>
          </w:p>
        </w:tc>
        <w:tc>
          <w:tcPr>
            <w:tcW w:w="15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定价依据</w:t>
            </w:r>
          </w:p>
        </w:tc>
        <w:tc>
          <w:tcPr>
            <w:tcW w:w="19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本期确认的租赁收益</w:t>
            </w:r>
          </w:p>
        </w:tc>
      </w:tr>
      <w:tr>
        <w:trPr>
          <w:trHeight w:val="659" w:hRule="exact"/>
        </w:trPr>
        <w:tc>
          <w:tcPr>
            <w:tcW w:w="3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宝鲜然（北京）贸易有限公司</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9"/>
              <w:ind w:left="4" w:right="-1"/>
              <w:jc w:val="left"/>
              <w:rPr>
                <w:rFonts w:ascii="宋体" w:hAnsi="宋体" w:cs="宋体" w:eastAsia="宋体" w:hint="default"/>
                <w:sz w:val="18"/>
                <w:szCs w:val="18"/>
              </w:rPr>
            </w:pPr>
            <w:r>
              <w:rPr>
                <w:rFonts w:ascii="宋体" w:hAnsi="宋体" w:cs="宋体" w:eastAsia="宋体" w:hint="default"/>
                <w:sz w:val="18"/>
                <w:szCs w:val="18"/>
              </w:rPr>
              <w:t>为实际控制人共同控</w:t>
            </w:r>
            <w:r>
              <w:rPr>
                <w:rFonts w:ascii="宋体" w:hAnsi="宋体" w:cs="宋体" w:eastAsia="宋体" w:hint="default"/>
                <w:spacing w:val="-73"/>
                <w:sz w:val="18"/>
                <w:szCs w:val="18"/>
              </w:rPr>
              <w:t> </w:t>
            </w:r>
            <w:r>
              <w:rPr>
                <w:rFonts w:ascii="宋体" w:hAnsi="宋体" w:cs="宋体" w:eastAsia="宋体" w:hint="default"/>
                <w:sz w:val="18"/>
                <w:szCs w:val="18"/>
              </w:rPr>
              <w:t>制的孙公司</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731.11</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444,514.88</w:t>
            </w:r>
          </w:p>
        </w:tc>
      </w:tr>
      <w:tr>
        <w:trPr>
          <w:trHeight w:val="660" w:hRule="exact"/>
        </w:trPr>
        <w:tc>
          <w:tcPr>
            <w:tcW w:w="3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北京华泰德丰技术有限公司</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公司董事担任董事的</w:t>
            </w:r>
            <w:r>
              <w:rPr>
                <w:rFonts w:ascii="宋体" w:hAnsi="宋体" w:cs="宋体" w:eastAsia="宋体" w:hint="default"/>
                <w:spacing w:val="-73"/>
                <w:sz w:val="18"/>
                <w:szCs w:val="18"/>
              </w:rPr>
              <w:t> </w:t>
            </w:r>
            <w:r>
              <w:rPr>
                <w:rFonts w:ascii="宋体" w:hAnsi="宋体" w:cs="宋体" w:eastAsia="宋体" w:hint="default"/>
                <w:sz w:val="18"/>
                <w:szCs w:val="18"/>
              </w:rPr>
              <w:t>联营企业</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350</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432,000.00</w:t>
            </w:r>
          </w:p>
        </w:tc>
      </w:tr>
      <w:tr>
        <w:trPr>
          <w:trHeight w:val="658" w:hRule="exact"/>
        </w:trPr>
        <w:tc>
          <w:tcPr>
            <w:tcW w:w="3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神州泰岳顶策科技（北京）有限公司</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z w:val="18"/>
                <w:szCs w:val="18"/>
              </w:rPr>
              <w:t>公司董事担任法人代</w:t>
            </w:r>
            <w:r>
              <w:rPr>
                <w:rFonts w:ascii="宋体" w:hAnsi="宋体" w:cs="宋体" w:eastAsia="宋体" w:hint="default"/>
                <w:spacing w:val="-73"/>
                <w:sz w:val="18"/>
                <w:szCs w:val="18"/>
              </w:rPr>
              <w:t> </w:t>
            </w:r>
            <w:r>
              <w:rPr>
                <w:rFonts w:ascii="宋体" w:hAnsi="宋体" w:cs="宋体" w:eastAsia="宋体" w:hint="default"/>
                <w:sz w:val="18"/>
                <w:szCs w:val="18"/>
              </w:rPr>
              <w:t>表的联营企业</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552.55</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689,331.40</w:t>
            </w:r>
          </w:p>
        </w:tc>
      </w:tr>
      <w:tr>
        <w:trPr>
          <w:trHeight w:val="660" w:hRule="exact"/>
        </w:trPr>
        <w:tc>
          <w:tcPr>
            <w:tcW w:w="3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中信网络科技股份有限公司</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公司联营企业之下属</w:t>
            </w:r>
            <w:r>
              <w:rPr>
                <w:rFonts w:ascii="宋体" w:hAnsi="宋体" w:cs="宋体" w:eastAsia="宋体" w:hint="default"/>
                <w:spacing w:val="-73"/>
                <w:sz w:val="18"/>
                <w:szCs w:val="18"/>
              </w:rPr>
              <w:t> </w:t>
            </w:r>
            <w:r>
              <w:rPr>
                <w:rFonts w:ascii="宋体" w:hAnsi="宋体" w:cs="宋体" w:eastAsia="宋体" w:hint="default"/>
                <w:sz w:val="18"/>
                <w:szCs w:val="18"/>
              </w:rPr>
              <w:t>企业</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2,220.54</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2,738,490.96</w:t>
            </w:r>
          </w:p>
        </w:tc>
      </w:tr>
      <w:tr>
        <w:trPr>
          <w:trHeight w:val="661" w:hRule="exact"/>
        </w:trPr>
        <w:tc>
          <w:tcPr>
            <w:tcW w:w="3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华信永道（北京）科技有限公司</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1"/>
              <w:jc w:val="left"/>
              <w:rPr>
                <w:rFonts w:ascii="宋体" w:hAnsi="宋体" w:cs="宋体" w:eastAsia="宋体" w:hint="default"/>
                <w:sz w:val="18"/>
                <w:szCs w:val="18"/>
              </w:rPr>
            </w:pPr>
            <w:r>
              <w:rPr>
                <w:rFonts w:ascii="宋体" w:hAnsi="宋体" w:cs="宋体" w:eastAsia="宋体" w:hint="default"/>
                <w:sz w:val="18"/>
                <w:szCs w:val="18"/>
              </w:rPr>
              <w:t>公司联营企业之下属</w:t>
            </w:r>
            <w:r>
              <w:rPr>
                <w:rFonts w:ascii="宋体" w:hAnsi="宋体" w:cs="宋体" w:eastAsia="宋体" w:hint="default"/>
                <w:spacing w:val="-73"/>
                <w:sz w:val="18"/>
                <w:szCs w:val="18"/>
              </w:rPr>
              <w:t> </w:t>
            </w:r>
            <w:r>
              <w:rPr>
                <w:rFonts w:ascii="宋体" w:hAnsi="宋体" w:cs="宋体" w:eastAsia="宋体" w:hint="default"/>
                <w:sz w:val="18"/>
                <w:szCs w:val="18"/>
              </w:rPr>
              <w:t>企业</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1,199.91</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1,343,899.20</w:t>
            </w:r>
          </w:p>
        </w:tc>
      </w:tr>
      <w:tr>
        <w:trPr>
          <w:trHeight w:val="346" w:hRule="exact"/>
        </w:trPr>
        <w:tc>
          <w:tcPr>
            <w:tcW w:w="822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5,648,236.44</w:t>
            </w:r>
          </w:p>
        </w:tc>
      </w:tr>
    </w:tbl>
    <w:p>
      <w:pPr>
        <w:pStyle w:val="BodyText"/>
        <w:spacing w:line="240" w:lineRule="auto" w:before="8"/>
        <w:ind w:left="539" w:right="0"/>
        <w:jc w:val="left"/>
      </w:pPr>
      <w:r>
        <w:rPr>
          <w:rFonts w:ascii="Times New Roman" w:hAnsi="Times New Roman" w:cs="Times New Roman" w:eastAsia="Times New Roman" w:hint="default"/>
        </w:rPr>
        <w:t>*</w:t>
      </w:r>
      <w:r>
        <w:rPr/>
        <w:t>以上除宝鲜然（北京）贸易有限公司（已于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月不再成为公司关联企业）外，其余均为公司的联营企业。</w:t>
      </w:r>
    </w:p>
    <w:p>
      <w:pPr>
        <w:spacing w:after="0" w:line="240" w:lineRule="auto"/>
        <w:jc w:val="left"/>
        <w:sectPr>
          <w:pgSz w:w="11910" w:h="16840"/>
          <w:pgMar w:header="852" w:footer="980" w:top="1340" w:bottom="1160" w:left="740" w:right="720"/>
        </w:sectPr>
      </w:pPr>
    </w:p>
    <w:p>
      <w:pPr>
        <w:pStyle w:val="Heading2"/>
        <w:spacing w:line="240" w:lineRule="auto" w:before="55"/>
        <w:ind w:right="0"/>
        <w:jc w:val="both"/>
        <w:rPr>
          <w:b w:val="0"/>
          <w:bCs w:val="0"/>
        </w:rPr>
      </w:pPr>
      <w:r>
        <w:rPr/>
        <w:t>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0"/>
        <w:rPr>
          <w:rFonts w:ascii="宋体" w:hAnsi="宋体" w:cs="宋体" w:eastAsia="宋体" w:hint="default"/>
          <w:sz w:val="18"/>
          <w:szCs w:val="18"/>
        </w:rPr>
      </w:pPr>
    </w:p>
    <w:p>
      <w:pPr>
        <w:pStyle w:val="Heading3"/>
        <w:spacing w:line="240" w:lineRule="auto" w:before="121"/>
        <w:ind w:right="0"/>
        <w:jc w:val="both"/>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报告期内公司不存在对外担保情况。</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3</w:t>
      </w:r>
      <w:r>
        <w:rPr/>
        <w:t>、报告期内或报告期继续发生的委托理财情况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报告期内公司不存在委托理财情况。</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报告期末衍生品投资的持仓情况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报告期内公司不存在委托贷款情况。</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13" w:right="0"/>
        <w:jc w:val="left"/>
      </w:pPr>
      <w:r>
        <w:rPr>
          <w:rFonts w:ascii="宋体" w:hAnsi="宋体" w:cs="宋体" w:eastAsia="宋体" w:hint="default"/>
        </w:rPr>
        <w:t>2013</w:t>
      </w:r>
      <w:r>
        <w:rPr/>
        <w:t>年</w:t>
      </w:r>
      <w:r>
        <w:rPr>
          <w:rFonts w:ascii="宋体" w:hAnsi="宋体" w:cs="宋体" w:eastAsia="宋体" w:hint="default"/>
        </w:rPr>
        <w:t>4</w:t>
      </w:r>
      <w:r>
        <w:rPr/>
        <w:t>月，新媒传信与中国移动通信集团广东有限公司（下称“中国移动广东公司”）就</w:t>
      </w: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1</w:t>
      </w:r>
      <w:r>
        <w:rPr/>
        <w:t>日—</w:t>
      </w:r>
      <w:r>
        <w:rPr>
          <w:rFonts w:ascii="宋体" w:hAnsi="宋体" w:cs="宋体" w:eastAsia="宋体" w:hint="default"/>
        </w:rPr>
        <w:t>2013</w:t>
      </w:r>
      <w:r>
        <w:rPr/>
        <w:t>年</w:t>
      </w:r>
      <w:r>
        <w:rPr>
          <w:rFonts w:ascii="宋体" w:hAnsi="宋体" w:cs="宋体" w:eastAsia="宋体" w:hint="default"/>
        </w:rPr>
        <w:t>6</w:t>
      </w:r>
      <w:r>
        <w:rPr/>
        <w:t>月</w:t>
      </w:r>
    </w:p>
    <w:p>
      <w:pPr>
        <w:spacing w:line="240" w:lineRule="auto" w:before="10"/>
        <w:rPr>
          <w:rFonts w:ascii="宋体" w:hAnsi="宋体" w:cs="宋体" w:eastAsia="宋体" w:hint="default"/>
          <w:sz w:val="17"/>
          <w:szCs w:val="17"/>
        </w:rPr>
      </w:pPr>
    </w:p>
    <w:p>
      <w:pPr>
        <w:pStyle w:val="BodyText"/>
        <w:spacing w:line="477" w:lineRule="auto"/>
        <w:ind w:right="149"/>
        <w:jc w:val="both"/>
      </w:pPr>
      <w:r>
        <w:rPr>
          <w:rFonts w:ascii="宋体" w:hAnsi="宋体" w:cs="宋体" w:eastAsia="宋体" w:hint="default"/>
          <w:spacing w:val="-2"/>
        </w:rPr>
        <w:t>30</w:t>
      </w:r>
      <w:r>
        <w:rPr>
          <w:spacing w:val="-2"/>
        </w:rPr>
        <w:t>日期间的飞信系统开发与支撑达成了合作协议，约定：</w:t>
      </w:r>
      <w:r>
        <w:rPr>
          <w:rFonts w:ascii="宋体" w:hAnsi="宋体" w:cs="宋体" w:eastAsia="宋体" w:hint="default"/>
          <w:spacing w:val="-2"/>
        </w:rPr>
        <w:t>2012</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2013</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30</w:t>
      </w:r>
      <w:r>
        <w:rPr>
          <w:spacing w:val="-2"/>
        </w:rPr>
        <w:t>日为飞信业务的开发与支撑工作，服</w:t>
      </w:r>
      <w:r>
        <w:rPr>
          <w:spacing w:val="-54"/>
        </w:rPr>
        <w:t> </w:t>
      </w:r>
      <w:r>
        <w:rPr>
          <w:spacing w:val="-54"/>
        </w:rPr>
      </w:r>
      <w:r>
        <w:rPr/>
        <w:t>务费用金额约为</w:t>
      </w:r>
      <w:r>
        <w:rPr>
          <w:rFonts w:ascii="宋体" w:hAnsi="宋体" w:cs="宋体" w:eastAsia="宋体" w:hint="default"/>
        </w:rPr>
        <w:t>2.93</w:t>
      </w:r>
      <w:r>
        <w:rPr/>
        <w:t>亿元；</w:t>
      </w:r>
      <w:r>
        <w:rPr>
          <w:rFonts w:ascii="宋体" w:hAnsi="宋体" w:cs="宋体" w:eastAsia="宋体" w:hint="default"/>
        </w:rPr>
        <w:t>2013</w:t>
      </w:r>
      <w:r>
        <w:rPr/>
        <w:t>年</w:t>
      </w:r>
      <w:r>
        <w:rPr>
          <w:rFonts w:ascii="宋体" w:hAnsi="宋体" w:cs="宋体" w:eastAsia="宋体" w:hint="default"/>
        </w:rPr>
        <w:t>5</w:t>
      </w:r>
      <w:r>
        <w:rPr/>
        <w:t>月</w:t>
      </w:r>
      <w:r>
        <w:rPr>
          <w:rFonts w:ascii="宋体" w:hAnsi="宋体" w:cs="宋体" w:eastAsia="宋体" w:hint="default"/>
        </w:rPr>
        <w:t>1</w:t>
      </w:r>
      <w:r>
        <w:rPr/>
        <w:t>日至</w:t>
      </w:r>
      <w:r>
        <w:rPr>
          <w:rFonts w:ascii="宋体" w:hAnsi="宋体" w:cs="宋体" w:eastAsia="宋体" w:hint="default"/>
        </w:rPr>
        <w:t>2013</w:t>
      </w:r>
      <w:r>
        <w:rPr/>
        <w:t>年</w:t>
      </w:r>
      <w:r>
        <w:rPr>
          <w:rFonts w:ascii="宋体" w:hAnsi="宋体" w:cs="宋体" w:eastAsia="宋体" w:hint="default"/>
        </w:rPr>
        <w:t>6</w:t>
      </w:r>
      <w:r>
        <w:rPr/>
        <w:t>月</w:t>
      </w:r>
      <w:r>
        <w:rPr>
          <w:rFonts w:ascii="宋体" w:hAnsi="宋体" w:cs="宋体" w:eastAsia="宋体" w:hint="default"/>
        </w:rPr>
        <w:t>30</w:t>
      </w:r>
      <w:r>
        <w:rPr/>
        <w:t>日为配合中国移动广东公司招标工作的过渡阶段，由新媒传信提供 保障服务工作，保障工作服务费用合计约为</w:t>
      </w:r>
      <w:r>
        <w:rPr>
          <w:rFonts w:ascii="宋体" w:hAnsi="宋体" w:cs="宋体" w:eastAsia="宋体" w:hint="default"/>
        </w:rPr>
        <w:t>0.31</w:t>
      </w:r>
      <w:r>
        <w:rPr/>
        <w:t>亿元。</w:t>
      </w:r>
    </w:p>
    <w:p>
      <w:pPr>
        <w:spacing w:after="0" w:line="477" w:lineRule="auto"/>
        <w:jc w:val="both"/>
        <w:sectPr>
          <w:pgSz w:w="11910" w:h="16840"/>
          <w:pgMar w:header="852" w:footer="980" w:top="1340" w:bottom="1160" w:left="980" w:right="980"/>
        </w:sectPr>
      </w:pPr>
    </w:p>
    <w:p>
      <w:pPr>
        <w:pStyle w:val="Heading2"/>
        <w:spacing w:line="240" w:lineRule="auto" w:before="55"/>
        <w:ind w:right="0"/>
        <w:jc w:val="left"/>
        <w:rPr>
          <w:b w:val="0"/>
          <w:bCs w:val="0"/>
        </w:rPr>
      </w:pPr>
      <w:r>
        <w:rPr/>
        <w:pict>
          <v:shape style="position:absolute;margin-left:308.306pt;margin-top:419.089996pt;width:132.450pt;height:20pt;mso-position-horizontal-relative:page;mso-position-vertical-relative:page;z-index:-946624" type="#_x0000_t202" filled="false" stroked="false">
            <v:textbox inset="0,0,0,0">
              <w:txbxContent>
                <w:p>
                  <w:pPr>
                    <w:spacing w:line="240" w:lineRule="auto" w:before="7"/>
                    <w:rPr>
                      <w:rFonts w:ascii="宋体" w:hAnsi="宋体" w:cs="宋体" w:eastAsia="宋体" w:hint="default"/>
                      <w:b/>
                      <w:bCs/>
                      <w:sz w:val="12"/>
                      <w:szCs w:val="12"/>
                    </w:rPr>
                  </w:pPr>
                </w:p>
                <w:p>
                  <w:pPr>
                    <w:pStyle w:val="BodyText"/>
                    <w:spacing w:line="240" w:lineRule="auto"/>
                    <w:ind w:left="0" w:right="0"/>
                    <w:jc w:val="left"/>
                  </w:pPr>
                  <w:r>
                    <w:rPr/>
                    <w:t>不转让所持有的公司股份。</w:t>
                  </w:r>
                </w:p>
              </w:txbxContent>
            </v:textbox>
            <w10:wrap type="none"/>
          </v:shape>
        </w:pict>
      </w:r>
      <w:r>
        <w:rPr/>
        <w:pict>
          <v:group style="position:absolute;margin-left:413.470001pt;margin-top:419.089996pt;width:28.5pt;height:33.3pt;mso-position-horizontal-relative:page;mso-position-vertical-relative:page;z-index:-946600" coordorigin="8269,8382" coordsize="570,666">
            <v:group style="position:absolute;left:8269;top:8735;width:570;height:313" coordorigin="8269,8735" coordsize="570,313">
              <v:shape style="position:absolute;left:8269;top:8735;width:570;height:313" coordorigin="8269,8735" coordsize="570,313" path="m8269,9047l8839,9047,8839,8735,8269,8735,8269,9047xe" filled="true" fillcolor="#ffffff" stroked="false">
                <v:path arrowok="t"/>
                <v:fill type="solid"/>
              </v:shape>
            </v:group>
            <v:group style="position:absolute;left:8291;top:8382;width:524;height:353" coordorigin="8291,8382" coordsize="524,353">
              <v:shape style="position:absolute;left:8291;top:8382;width:524;height:353" coordorigin="8291,8382" coordsize="524,353" path="m8291,8735l8814,8735,8814,8382,8291,8382,8291,8735xe" filled="true" fillcolor="#ffffff" stroked="false">
                <v:path arrowok="t"/>
                <v:fill type="solid"/>
              </v:shape>
            </v:group>
            <w10:wrap type="none"/>
          </v:group>
        </w:pict>
      </w:r>
      <w:r>
        <w:rPr/>
        <w:t>八、承诺事项履行情况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59"/>
        <w:gridCol w:w="1414"/>
        <w:gridCol w:w="4957"/>
        <w:gridCol w:w="579"/>
        <w:gridCol w:w="629"/>
        <w:gridCol w:w="1332"/>
      </w:tblGrid>
      <w:tr>
        <w:trPr>
          <w:trHeight w:val="715" w:hRule="exact"/>
        </w:trPr>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6" w:right="101" w:hanging="181"/>
              <w:jc w:val="left"/>
              <w:rPr>
                <w:rFonts w:ascii="宋体" w:hAnsi="宋体" w:cs="宋体" w:eastAsia="宋体" w:hint="default"/>
                <w:sz w:val="18"/>
                <w:szCs w:val="18"/>
              </w:rPr>
            </w:pPr>
            <w:r>
              <w:rPr>
                <w:rFonts w:ascii="宋体" w:hAnsi="宋体" w:cs="宋体" w:eastAsia="宋体" w:hint="default"/>
                <w:sz w:val="18"/>
                <w:szCs w:val="18"/>
              </w:rPr>
              <w:t>承诺事 项</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4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01"/>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8" w:right="38"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股改承 诺</w:t>
            </w:r>
          </w:p>
        </w:tc>
        <w:tc>
          <w:tcPr>
            <w:tcW w:w="1414" w:type="dxa"/>
            <w:tcBorders>
              <w:top w:val="single" w:sz="4" w:space="0" w:color="000000"/>
              <w:left w:val="single" w:sz="4" w:space="0" w:color="000000"/>
              <w:bottom w:val="single" w:sz="4" w:space="0" w:color="000000"/>
              <w:right w:val="single" w:sz="4" w:space="0" w:color="000000"/>
            </w:tcBorders>
          </w:tcPr>
          <w:p>
            <w:pPr/>
          </w:p>
        </w:tc>
        <w:tc>
          <w:tcPr>
            <w:tcW w:w="495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收购报 告书或 权益变 动报告 书中所 作承诺</w:t>
            </w:r>
          </w:p>
        </w:tc>
        <w:tc>
          <w:tcPr>
            <w:tcW w:w="1414" w:type="dxa"/>
            <w:tcBorders>
              <w:top w:val="single" w:sz="4" w:space="0" w:color="000000"/>
              <w:left w:val="single" w:sz="4" w:space="0" w:color="000000"/>
              <w:bottom w:val="single" w:sz="4" w:space="0" w:color="000000"/>
              <w:right w:val="single" w:sz="4" w:space="0" w:color="000000"/>
            </w:tcBorders>
          </w:tcPr>
          <w:p>
            <w:pPr/>
          </w:p>
        </w:tc>
        <w:tc>
          <w:tcPr>
            <w:tcW w:w="495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资产置 换时所 作承诺</w:t>
            </w:r>
          </w:p>
        </w:tc>
        <w:tc>
          <w:tcPr>
            <w:tcW w:w="1414" w:type="dxa"/>
            <w:tcBorders>
              <w:top w:val="single" w:sz="4" w:space="0" w:color="000000"/>
              <w:left w:val="single" w:sz="4" w:space="0" w:color="000000"/>
              <w:bottom w:val="single" w:sz="4" w:space="0" w:color="000000"/>
              <w:right w:val="single" w:sz="4" w:space="0" w:color="000000"/>
            </w:tcBorders>
          </w:tcPr>
          <w:p>
            <w:pPr/>
          </w:p>
        </w:tc>
        <w:tc>
          <w:tcPr>
            <w:tcW w:w="495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4" w:right="183"/>
              <w:jc w:val="both"/>
              <w:rPr>
                <w:rFonts w:ascii="宋体" w:hAnsi="宋体" w:cs="宋体" w:eastAsia="宋体" w:hint="default"/>
                <w:sz w:val="18"/>
                <w:szCs w:val="18"/>
              </w:rPr>
            </w:pPr>
            <w:r>
              <w:rPr>
                <w:rFonts w:ascii="宋体" w:hAnsi="宋体" w:cs="宋体" w:eastAsia="宋体" w:hint="default"/>
                <w:sz w:val="18"/>
                <w:szCs w:val="18"/>
              </w:rPr>
              <w:t>发行时 所作承 诺</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9" w:lineRule="auto"/>
              <w:ind w:left="23" w:right="19"/>
              <w:jc w:val="left"/>
              <w:rPr>
                <w:rFonts w:ascii="宋体" w:hAnsi="宋体" w:cs="宋体" w:eastAsia="宋体" w:hint="default"/>
                <w:sz w:val="18"/>
                <w:szCs w:val="18"/>
              </w:rPr>
            </w:pPr>
            <w:r>
              <w:rPr>
                <w:rFonts w:ascii="宋体" w:hAnsi="宋体" w:cs="宋体" w:eastAsia="宋体" w:hint="default"/>
                <w:sz w:val="18"/>
                <w:szCs w:val="18"/>
              </w:rPr>
              <w:t>公司或持有公司 股份</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以上（含 </w:t>
            </w:r>
            <w:r>
              <w:rPr>
                <w:rFonts w:ascii="Times New Roman" w:hAnsi="Times New Roman" w:cs="Times New Roman" w:eastAsia="Times New Roman" w:hint="default"/>
                <w:sz w:val="18"/>
                <w:szCs w:val="18"/>
              </w:rPr>
              <w:t>5%</w:t>
            </w:r>
            <w:r>
              <w:rPr>
                <w:rFonts w:ascii="宋体" w:hAnsi="宋体" w:cs="宋体" w:eastAsia="宋体" w:hint="default"/>
                <w:sz w:val="18"/>
                <w:szCs w:val="18"/>
              </w:rPr>
              <w:t>）的股东及作 </w:t>
            </w:r>
            <w:r>
              <w:rPr>
                <w:rFonts w:ascii="宋体" w:hAnsi="宋体" w:cs="宋体" w:eastAsia="宋体" w:hint="default"/>
                <w:spacing w:val="-11"/>
                <w:sz w:val="18"/>
                <w:szCs w:val="18"/>
              </w:rPr>
              <w:t>为股东的董事、监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事、高级管理人员</w:t>
            </w:r>
          </w:p>
        </w:tc>
        <w:tc>
          <w:tcPr>
            <w:tcW w:w="495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9"/>
              <w:jc w:val="both"/>
              <w:rPr>
                <w:rFonts w:ascii="宋体" w:hAnsi="宋体" w:cs="宋体" w:eastAsia="宋体" w:hint="default"/>
                <w:sz w:val="18"/>
                <w:szCs w:val="18"/>
              </w:rPr>
            </w:pPr>
            <w:r>
              <w:rPr>
                <w:rFonts w:ascii="宋体" w:hAnsi="宋体" w:cs="宋体" w:eastAsia="宋体" w:hint="default"/>
                <w:sz w:val="18"/>
                <w:szCs w:val="18"/>
              </w:rPr>
              <w:t>不转让或者委托他人管理其直接或者间接持有的公司本次发行 前已发行的股份，也不由公司回购其直接或者间接持有的公司 本次发行前已发行的股份。同时，在担任公司董事、监事或高 级管理人员期间，每年转让的股份不超过本人所持公司股份总 数的百分之二十五；离职后半年内，</w:t>
            </w:r>
          </w:p>
        </w:tc>
        <w:tc>
          <w:tcPr>
            <w:tcW w:w="57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2009</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9"/>
                <w:szCs w:val="29"/>
              </w:rPr>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3"/>
              <w:jc w:val="both"/>
              <w:rPr>
                <w:rFonts w:ascii="宋体" w:hAnsi="宋体" w:cs="宋体" w:eastAsia="宋体" w:hint="default"/>
                <w:sz w:val="18"/>
                <w:szCs w:val="18"/>
              </w:rPr>
            </w:pPr>
            <w:r>
              <w:rPr>
                <w:rFonts w:ascii="宋体" w:hAnsi="宋体" w:cs="宋体" w:eastAsia="宋体" w:hint="default"/>
                <w:sz w:val="18"/>
                <w:szCs w:val="18"/>
              </w:rPr>
              <w:t>自公司 股票上 市之日 起三十 六个月 内</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31" w:right="29"/>
              <w:jc w:val="center"/>
              <w:rPr>
                <w:rFonts w:ascii="宋体" w:hAnsi="宋体" w:cs="宋体" w:eastAsia="宋体" w:hint="default"/>
                <w:sz w:val="18"/>
                <w:szCs w:val="18"/>
              </w:rPr>
            </w:pPr>
            <w:r>
              <w:rPr>
                <w:rFonts w:ascii="宋体" w:hAnsi="宋体" w:cs="宋体" w:eastAsia="宋体" w:hint="default"/>
                <w:sz w:val="18"/>
                <w:szCs w:val="18"/>
              </w:rPr>
              <w:t>报告期内，上述 人员均遵守了所 做的承诺。</w:t>
            </w:r>
          </w:p>
        </w:tc>
      </w:tr>
      <w:tr>
        <w:trPr>
          <w:trHeight w:val="3521" w:hRule="exact"/>
        </w:trPr>
        <w:tc>
          <w:tcPr>
            <w:tcW w:w="759"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314" w:lineRule="auto"/>
              <w:ind w:left="23" w:right="21"/>
              <w:jc w:val="left"/>
              <w:rPr>
                <w:rFonts w:ascii="宋体" w:hAnsi="宋体" w:cs="宋体" w:eastAsia="宋体" w:hint="default"/>
                <w:sz w:val="18"/>
                <w:szCs w:val="18"/>
              </w:rPr>
            </w:pPr>
            <w:r>
              <w:rPr>
                <w:rFonts w:ascii="宋体" w:hAnsi="宋体" w:cs="宋体" w:eastAsia="宋体" w:hint="default"/>
                <w:spacing w:val="-11"/>
                <w:sz w:val="18"/>
                <w:szCs w:val="18"/>
              </w:rPr>
              <w:t>控股股东、实际控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制人王宁和李力</w:t>
            </w:r>
          </w:p>
        </w:tc>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、将来不以任何方式从事，包括与他人合作直接或间接从事与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公司及其子公司相同、相似或在任何方面构成竞争的业务；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 将尽一切可能之努力使本人其他关联企业不从事与公司及其子 </w:t>
            </w:r>
            <w:r>
              <w:rPr>
                <w:rFonts w:ascii="宋体" w:hAnsi="宋体" w:cs="宋体" w:eastAsia="宋体" w:hint="default"/>
                <w:spacing w:val="-2"/>
                <w:sz w:val="18"/>
                <w:szCs w:val="18"/>
              </w:rPr>
              <w:t>公司相同、类似或在任何方面构成竞争的业务；</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、不投资控股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于业务与公司及其子公司相同、类似或在任何方面构成竞争的 </w:t>
            </w:r>
            <w:r>
              <w:rPr>
                <w:rFonts w:ascii="宋体" w:hAnsi="宋体" w:cs="宋体" w:eastAsia="宋体" w:hint="default"/>
                <w:spacing w:val="-2"/>
                <w:sz w:val="18"/>
                <w:szCs w:val="18"/>
              </w:rPr>
              <w:t>公司、企业或其他机构、组织；</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、不向其他业务与公司及其子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公司相同、类似或在任何方面构成竞争的公司、企业或其他机 构、组织或个人提供专有技术或提供销售渠道、客户信息等商 </w:t>
            </w:r>
            <w:r>
              <w:rPr>
                <w:rFonts w:ascii="宋体" w:hAnsi="宋体" w:cs="宋体" w:eastAsia="宋体" w:hint="default"/>
                <w:spacing w:val="-2"/>
                <w:sz w:val="18"/>
                <w:szCs w:val="18"/>
              </w:rPr>
              <w:t>业机密；</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、如果未来本人拟从事的业务可能与公司及其子公司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构成同业竞争，本人将本着公司及其子公司优先的原则与公司 协商解决。</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31" w:right="29"/>
              <w:jc w:val="center"/>
              <w:rPr>
                <w:rFonts w:ascii="宋体" w:hAnsi="宋体" w:cs="宋体" w:eastAsia="宋体" w:hint="default"/>
                <w:sz w:val="18"/>
                <w:szCs w:val="18"/>
              </w:rPr>
            </w:pPr>
            <w:r>
              <w:rPr>
                <w:rFonts w:ascii="宋体" w:hAnsi="宋体" w:cs="宋体" w:eastAsia="宋体" w:hint="default"/>
                <w:sz w:val="18"/>
                <w:szCs w:val="18"/>
              </w:rPr>
              <w:t>报告期内，公司 控股股东和实际 控制人信守承 诺，没有发生与 公司同业竞争的 行为。</w:t>
            </w:r>
          </w:p>
        </w:tc>
      </w:tr>
      <w:tr>
        <w:trPr>
          <w:trHeight w:val="1651"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其他对 公司中 小股东 所作承 诺</w:t>
            </w:r>
          </w:p>
        </w:tc>
        <w:tc>
          <w:tcPr>
            <w:tcW w:w="1414" w:type="dxa"/>
            <w:tcBorders>
              <w:top w:val="single" w:sz="4" w:space="0" w:color="000000"/>
              <w:left w:val="single" w:sz="4" w:space="0" w:color="000000"/>
              <w:bottom w:val="single" w:sz="4" w:space="0" w:color="000000"/>
              <w:right w:val="single" w:sz="4" w:space="0" w:color="000000"/>
            </w:tcBorders>
          </w:tcPr>
          <w:p>
            <w:pPr/>
          </w:p>
        </w:tc>
        <w:tc>
          <w:tcPr>
            <w:tcW w:w="495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承诺是 否及时 履行</w:t>
            </w:r>
          </w:p>
        </w:tc>
        <w:tc>
          <w:tcPr>
            <w:tcW w:w="891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52" w:footer="980" w:top="1340" w:bottom="1160" w:left="980" w:right="980"/>
        </w:sectPr>
      </w:pPr>
    </w:p>
    <w:p>
      <w:pPr>
        <w:spacing w:line="240" w:lineRule="auto" w:before="2"/>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747"/>
        <w:gridCol w:w="8921"/>
      </w:tblGrid>
      <w:tr>
        <w:trPr>
          <w:trHeight w:val="1961" w:hRule="exact"/>
        </w:trPr>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2"/>
              <w:jc w:val="both"/>
              <w:rPr>
                <w:rFonts w:ascii="宋体" w:hAnsi="宋体" w:cs="宋体" w:eastAsia="宋体" w:hint="default"/>
                <w:sz w:val="18"/>
                <w:szCs w:val="18"/>
              </w:rPr>
            </w:pPr>
            <w:r>
              <w:rPr>
                <w:rFonts w:ascii="宋体" w:hAnsi="宋体" w:cs="宋体" w:eastAsia="宋体" w:hint="default"/>
                <w:sz w:val="18"/>
                <w:szCs w:val="18"/>
              </w:rPr>
              <w:t>未完成 履行的 具体原 因及下 一步计 划</w:t>
            </w:r>
          </w:p>
        </w:tc>
        <w:tc>
          <w:tcPr>
            <w:tcW w:w="8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276" w:hRule="exact"/>
        </w:trPr>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2"/>
              <w:jc w:val="both"/>
              <w:rPr>
                <w:rFonts w:ascii="宋体" w:hAnsi="宋体" w:cs="宋体" w:eastAsia="宋体" w:hint="default"/>
                <w:sz w:val="18"/>
                <w:szCs w:val="18"/>
              </w:rPr>
            </w:pPr>
            <w:r>
              <w:rPr>
                <w:rFonts w:ascii="宋体" w:hAnsi="宋体" w:cs="宋体" w:eastAsia="宋体" w:hint="default"/>
                <w:sz w:val="18"/>
                <w:szCs w:val="18"/>
              </w:rPr>
              <w:t>是否就 导致的 同业竞 争和关 联交易 问题作 出承诺</w:t>
            </w:r>
          </w:p>
        </w:tc>
        <w:tc>
          <w:tcPr>
            <w:tcW w:w="8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2"/>
              <w:jc w:val="both"/>
              <w:rPr>
                <w:rFonts w:ascii="宋体" w:hAnsi="宋体" w:cs="宋体" w:eastAsia="宋体" w:hint="default"/>
                <w:sz w:val="18"/>
                <w:szCs w:val="18"/>
              </w:rPr>
            </w:pPr>
            <w:r>
              <w:rPr>
                <w:rFonts w:ascii="宋体" w:hAnsi="宋体" w:cs="宋体" w:eastAsia="宋体" w:hint="default"/>
                <w:sz w:val="18"/>
                <w:szCs w:val="18"/>
              </w:rPr>
              <w:t>承诺的 解决期 限</w:t>
            </w:r>
          </w:p>
        </w:tc>
        <w:tc>
          <w:tcPr>
            <w:tcW w:w="8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72"/>
              <w:jc w:val="left"/>
              <w:rPr>
                <w:rFonts w:ascii="宋体" w:hAnsi="宋体" w:cs="宋体" w:eastAsia="宋体" w:hint="default"/>
                <w:sz w:val="18"/>
                <w:szCs w:val="18"/>
              </w:rPr>
            </w:pPr>
            <w:r>
              <w:rPr>
                <w:rFonts w:ascii="宋体" w:hAnsi="宋体" w:cs="宋体" w:eastAsia="宋体" w:hint="default"/>
                <w:sz w:val="18"/>
                <w:szCs w:val="18"/>
              </w:rPr>
              <w:t>解决方 式</w:t>
            </w:r>
          </w:p>
        </w:tc>
        <w:tc>
          <w:tcPr>
            <w:tcW w:w="8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7" w:hRule="exact"/>
        </w:trPr>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2"/>
              <w:jc w:val="both"/>
              <w:rPr>
                <w:rFonts w:ascii="宋体" w:hAnsi="宋体" w:cs="宋体" w:eastAsia="宋体" w:hint="default"/>
                <w:sz w:val="18"/>
                <w:szCs w:val="18"/>
              </w:rPr>
            </w:pPr>
            <w:r>
              <w:rPr>
                <w:rFonts w:ascii="宋体" w:hAnsi="宋体" w:cs="宋体" w:eastAsia="宋体" w:hint="default"/>
                <w:sz w:val="18"/>
                <w:szCs w:val="18"/>
              </w:rPr>
              <w:t>承诺的 履行情 况</w:t>
            </w:r>
          </w:p>
        </w:tc>
        <w:tc>
          <w:tcPr>
            <w:tcW w:w="8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b/>
          <w:bCs/>
          <w:sz w:val="19"/>
          <w:szCs w:val="19"/>
        </w:rPr>
      </w:pPr>
    </w:p>
    <w:p>
      <w:pPr>
        <w:pStyle w:val="Heading3"/>
        <w:spacing w:line="256"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九、聘任、解聘会计师事务所情况</w:t>
      </w:r>
      <w:r>
        <w:rPr>
          <w:b w:val="0"/>
          <w:bCs w:val="0"/>
        </w:rPr>
      </w:r>
    </w:p>
    <w:p>
      <w:pPr>
        <w:spacing w:line="240" w:lineRule="auto" w:before="4"/>
        <w:rPr>
          <w:rFonts w:ascii="宋体" w:hAnsi="宋体" w:cs="宋体" w:eastAsia="宋体" w:hint="default"/>
          <w:b/>
          <w:bCs/>
          <w:sz w:val="26"/>
          <w:szCs w:val="26"/>
        </w:rPr>
      </w:pPr>
    </w:p>
    <w:p>
      <w:pPr>
        <w:pStyle w:val="Heading5"/>
        <w:spacing w:line="240" w:lineRule="auto"/>
        <w:ind w:right="0"/>
        <w:jc w:val="left"/>
        <w:rPr>
          <w:b w:val="0"/>
          <w:bCs w:val="0"/>
        </w:rPr>
      </w:pPr>
      <w:r>
        <w:rPr/>
        <w:t>现聘任的会计事务所</w:t>
      </w:r>
      <w:r>
        <w:rPr>
          <w:b w:val="0"/>
          <w:bCs w:val="0"/>
        </w:rPr>
      </w:r>
    </w:p>
    <w:p>
      <w:pPr>
        <w:spacing w:line="240" w:lineRule="auto" w:before="4"/>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110</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王一芳、侯文灏</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是否改聘会计师事务所</w:t>
      </w:r>
    </w:p>
    <w:p>
      <w:pPr>
        <w:pStyle w:val="BodyText"/>
        <w:spacing w:line="240" w:lineRule="auto" w:before="11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852" w:footer="980" w:top="1340" w:bottom="1160" w:left="980" w:right="980"/>
        </w:sectPr>
      </w:pPr>
    </w:p>
    <w:p>
      <w:pPr>
        <w:pStyle w:val="Heading2"/>
        <w:spacing w:line="240" w:lineRule="auto" w:before="55"/>
        <w:ind w:right="136"/>
        <w:jc w:val="left"/>
        <w:rPr>
          <w:b w:val="0"/>
          <w:bCs w:val="0"/>
        </w:rPr>
      </w:pPr>
      <w:r>
        <w:rPr/>
        <w:t>十、上市公司及其董事、监事、高级管理人员、公司股东、实际控制人和收购人处罚及整改</w:t>
      </w:r>
      <w:r>
        <w:rPr>
          <w:w w:val="99"/>
        </w:rPr>
        <w:t> </w:t>
      </w:r>
      <w:r>
        <w:rPr/>
        <w:t>情况</w:t>
      </w:r>
      <w:r>
        <w:rPr>
          <w:b w:val="0"/>
          <w:bCs w:val="0"/>
        </w:rPr>
      </w:r>
    </w:p>
    <w:p>
      <w:pPr>
        <w:spacing w:line="240" w:lineRule="auto" w:before="4"/>
        <w:rPr>
          <w:rFonts w:ascii="宋体" w:hAnsi="宋体" w:cs="宋体" w:eastAsia="宋体" w:hint="default"/>
          <w:b/>
          <w:bCs/>
          <w:sz w:val="32"/>
          <w:szCs w:val="32"/>
        </w:rPr>
      </w:pPr>
    </w:p>
    <w:p>
      <w:pPr>
        <w:pStyle w:val="BodyText"/>
        <w:spacing w:line="489" w:lineRule="auto"/>
        <w:ind w:right="45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3"/>
        </w:rPr>
        <w:t> </w:t>
      </w:r>
      <w:r>
        <w:rPr>
          <w:rFonts w:ascii="宋体" w:hAnsi="宋体" w:cs="宋体" w:eastAsia="宋体" w:hint="default"/>
          <w:b/>
          <w:bCs/>
        </w:rPr>
        <w:t>不适用</w:t>
      </w:r>
      <w:r>
        <w:rPr>
          <w:rFonts w:ascii="宋体" w:hAnsi="宋体" w:cs="宋体" w:eastAsia="宋体" w:hint="default"/>
          <w:b/>
          <w:bCs/>
          <w:w w:val="99"/>
        </w:rPr>
        <w:t> </w:t>
      </w:r>
      <w:r>
        <w:rPr/>
        <w:t>上市公司及其子公司是否被列入环保部门公布的污染严重企业名单</w:t>
      </w:r>
    </w:p>
    <w:p>
      <w:pPr>
        <w:pStyle w:val="BodyText"/>
        <w:spacing w:line="489" w:lineRule="auto" w:before="83"/>
        <w:ind w:right="5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上市公司及其子公司是否存在其他重大社会安全问题</w:t>
      </w:r>
    </w:p>
    <w:p>
      <w:pPr>
        <w:spacing w:line="410" w:lineRule="auto" w:before="86"/>
        <w:ind w:left="152" w:right="7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否</w:t>
      </w:r>
      <w:r>
        <w:rPr>
          <w:rFonts w:ascii="宋体" w:hAnsi="宋体" w:cs="宋体" w:eastAsia="宋体" w:hint="default"/>
          <w:b/>
          <w:bCs/>
          <w:w w:val="99"/>
          <w:sz w:val="18"/>
          <w:szCs w:val="18"/>
        </w:rPr>
        <w:t> </w:t>
      </w:r>
      <w:r>
        <w:rPr>
          <w:rFonts w:ascii="宋体" w:hAnsi="宋体" w:cs="宋体" w:eastAsia="宋体" w:hint="default"/>
          <w:sz w:val="18"/>
          <w:szCs w:val="18"/>
        </w:rPr>
        <w:t>报告期内是否被行政处罚</w:t>
      </w:r>
    </w:p>
    <w:p>
      <w:pPr>
        <w:spacing w:line="239" w:lineRule="exact"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否</w:t>
      </w:r>
      <w:r>
        <w:rPr>
          <w:rFonts w:ascii="宋体" w:hAnsi="宋体" w:cs="宋体" w:eastAsia="宋体" w:hint="default"/>
          <w:sz w:val="18"/>
          <w:szCs w:val="18"/>
        </w:rPr>
      </w:r>
    </w:p>
    <w:p>
      <w:pPr>
        <w:spacing w:line="240" w:lineRule="auto" w:before="3"/>
        <w:rPr>
          <w:rFonts w:ascii="宋体" w:hAnsi="宋体" w:cs="宋体" w:eastAsia="宋体" w:hint="default"/>
          <w:b/>
          <w:bCs/>
          <w:sz w:val="24"/>
          <w:szCs w:val="24"/>
        </w:rPr>
      </w:pPr>
    </w:p>
    <w:p>
      <w:pPr>
        <w:pStyle w:val="Heading2"/>
        <w:spacing w:line="240" w:lineRule="auto"/>
        <w:ind w:right="0"/>
        <w:jc w:val="left"/>
        <w:rPr>
          <w:b w:val="0"/>
          <w:bCs w:val="0"/>
        </w:rPr>
      </w:pPr>
      <w:r>
        <w:rPr/>
        <w:t>十一、公司股东及其一致行动人在报告期提出或实施股份增持计划的情况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十二、</w:t>
      </w:r>
      <w:r>
        <w:rPr>
          <w:rFonts w:ascii="Times New Roman" w:hAnsi="Times New Roman" w:cs="Times New Roman" w:eastAsia="Times New Roman" w:hint="default"/>
        </w:rPr>
        <w:t>2012 </w:t>
      </w:r>
      <w:r>
        <w:rPr/>
        <w:t>年董事、监事、高级管理人员、持股</w:t>
      </w:r>
      <w:r>
        <w:rPr>
          <w:spacing w:val="-64"/>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十三、违规对外担保情况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报告期内公司不存在对外担保情况。</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十四、年度报告披露后面临暂停上市和终止上市情况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公司不存在年报披露后面临暂停上市和终止上市的情况。</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十五、其他重大事项的说明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jc w:val="left"/>
      </w:pPr>
      <w:r>
        <w:rPr>
          <w:spacing w:val="-2"/>
        </w:rPr>
        <w:t>报告期内，公司和子公司没有发生《证券法》第六十七条、《上市公司信息披露管理办法》第三十条所列的重大事件，以及</w:t>
      </w:r>
      <w:r>
        <w:rPr>
          <w:spacing w:val="-71"/>
        </w:rPr>
        <w:t> </w:t>
      </w:r>
      <w:r>
        <w:rPr>
          <w:spacing w:val="-71"/>
        </w:rPr>
      </w:r>
      <w:r>
        <w:rPr/>
        <w:t>公司董事会判断为重大事件的事项。</w:t>
      </w:r>
    </w:p>
    <w:p>
      <w:pPr>
        <w:spacing w:after="0" w:line="316" w:lineRule="auto"/>
        <w:jc w:val="left"/>
        <w:sectPr>
          <w:pgSz w:w="11910" w:h="16840"/>
          <w:pgMar w:header="852" w:footer="980" w:top="1340" w:bottom="116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2964" w:right="1024"/>
        <w:jc w:val="left"/>
        <w:rPr>
          <w:b w:val="0"/>
          <w:bCs w:val="0"/>
        </w:rPr>
      </w:pPr>
      <w:bookmarkStart w:name="_TOC_250004"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024"/>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24"/>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74"/>
        <w:gridCol w:w="1042"/>
        <w:gridCol w:w="888"/>
        <w:gridCol w:w="888"/>
        <w:gridCol w:w="627"/>
        <w:gridCol w:w="708"/>
        <w:gridCol w:w="1068"/>
        <w:gridCol w:w="1376"/>
        <w:gridCol w:w="1008"/>
        <w:gridCol w:w="855"/>
      </w:tblGrid>
      <w:tr>
        <w:trPr>
          <w:trHeight w:val="403" w:hRule="exact"/>
        </w:trPr>
        <w:tc>
          <w:tcPr>
            <w:tcW w:w="20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66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3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74" w:type="dxa"/>
            <w:vMerge w:val="restart"/>
            <w:tcBorders>
              <w:top w:val="nil" w:sz="6" w:space="0" w:color="auto"/>
              <w:left w:val="single" w:sz="4" w:space="0" w:color="000000"/>
              <w:right w:val="single" w:sz="4" w:space="0" w:color="000000"/>
            </w:tcBorders>
            <w:shd w:val="clear" w:color="auto" w:fill="D2D2D2"/>
          </w:tcPr>
          <w:p>
            <w:pPr/>
          </w:p>
        </w:tc>
        <w:tc>
          <w:tcPr>
            <w:tcW w:w="10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88" w:type="dxa"/>
            <w:tcBorders>
              <w:top w:val="single" w:sz="4" w:space="0" w:color="000000"/>
              <w:left w:val="single" w:sz="4" w:space="0" w:color="000000"/>
              <w:bottom w:val="nil" w:sz="6" w:space="0" w:color="auto"/>
              <w:right w:val="single" w:sz="4" w:space="0" w:color="000000"/>
            </w:tcBorders>
            <w:shd w:val="clear" w:color="auto" w:fill="D2D2D2"/>
          </w:tcPr>
          <w:p>
            <w:pPr/>
          </w:p>
        </w:tc>
        <w:tc>
          <w:tcPr>
            <w:tcW w:w="888" w:type="dxa"/>
            <w:tcBorders>
              <w:top w:val="single" w:sz="4" w:space="0" w:color="000000"/>
              <w:left w:val="single" w:sz="4" w:space="0" w:color="000000"/>
              <w:bottom w:val="nil" w:sz="6" w:space="0" w:color="auto"/>
              <w:right w:val="single" w:sz="4" w:space="0" w:color="000000"/>
            </w:tcBorders>
            <w:shd w:val="clear" w:color="auto" w:fill="D2D2D2"/>
          </w:tcPr>
          <w:p>
            <w:pPr/>
          </w:p>
        </w:tc>
        <w:tc>
          <w:tcPr>
            <w:tcW w:w="6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0" w:right="77"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0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74" w:type="dxa"/>
            <w:vMerge/>
            <w:tcBorders>
              <w:left w:val="single" w:sz="4" w:space="0" w:color="000000"/>
              <w:bottom w:val="nil" w:sz="6" w:space="0" w:color="auto"/>
              <w:right w:val="single" w:sz="4" w:space="0" w:color="000000"/>
            </w:tcBorders>
            <w:shd w:val="clear" w:color="auto" w:fill="D2D2D2"/>
          </w:tcPr>
          <w:p>
            <w:pPr/>
          </w:p>
        </w:tc>
        <w:tc>
          <w:tcPr>
            <w:tcW w:w="10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vMerge/>
            <w:tcBorders>
              <w:left w:val="single" w:sz="4" w:space="0" w:color="000000"/>
              <w:right w:val="single" w:sz="4" w:space="0" w:color="000000"/>
            </w:tcBorders>
            <w:shd w:val="clear" w:color="auto" w:fill="D2D2D2"/>
          </w:tcPr>
          <w:p>
            <w:pPr/>
          </w:p>
        </w:tc>
        <w:tc>
          <w:tcPr>
            <w:tcW w:w="10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199" w:hRule="exact"/>
        </w:trPr>
        <w:tc>
          <w:tcPr>
            <w:tcW w:w="2074" w:type="dxa"/>
            <w:vMerge w:val="restart"/>
            <w:tcBorders>
              <w:top w:val="nil" w:sz="6" w:space="0" w:color="auto"/>
              <w:left w:val="single" w:sz="4" w:space="0" w:color="000000"/>
              <w:right w:val="single" w:sz="4" w:space="0" w:color="000000"/>
            </w:tcBorders>
            <w:shd w:val="clear" w:color="auto" w:fill="D2D2D2"/>
          </w:tcPr>
          <w:p>
            <w:pPr/>
          </w:p>
        </w:tc>
        <w:tc>
          <w:tcPr>
            <w:tcW w:w="1042" w:type="dxa"/>
            <w:vMerge/>
            <w:tcBorders>
              <w:left w:val="single" w:sz="4" w:space="0" w:color="000000"/>
              <w:bottom w:val="nil" w:sz="6" w:space="0" w:color="auto"/>
              <w:right w:val="single" w:sz="4" w:space="0" w:color="000000"/>
            </w:tcBorders>
            <w:shd w:val="clear" w:color="auto" w:fill="D2D2D2"/>
          </w:tcPr>
          <w:p>
            <w:pPr/>
          </w:p>
        </w:tc>
        <w:tc>
          <w:tcPr>
            <w:tcW w:w="888" w:type="dxa"/>
            <w:vMerge/>
            <w:tcBorders>
              <w:left w:val="single" w:sz="4" w:space="0" w:color="000000"/>
              <w:bottom w:val="nil" w:sz="6" w:space="0" w:color="auto"/>
              <w:right w:val="single" w:sz="4" w:space="0" w:color="000000"/>
            </w:tcBorders>
            <w:shd w:val="clear" w:color="auto" w:fill="D2D2D2"/>
          </w:tcPr>
          <w:p>
            <w:pPr/>
          </w:p>
        </w:tc>
        <w:tc>
          <w:tcPr>
            <w:tcW w:w="888" w:type="dxa"/>
            <w:vMerge/>
            <w:tcBorders>
              <w:left w:val="single" w:sz="4" w:space="0" w:color="000000"/>
              <w:bottom w:val="nil" w:sz="6" w:space="0" w:color="auto"/>
              <w:right w:val="single" w:sz="4" w:space="0" w:color="000000"/>
            </w:tcBorders>
            <w:shd w:val="clear" w:color="auto" w:fill="D2D2D2"/>
          </w:tcPr>
          <w:p>
            <w:pPr/>
          </w:p>
        </w:tc>
        <w:tc>
          <w:tcPr>
            <w:tcW w:w="627"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c>
          <w:tcPr>
            <w:tcW w:w="1008" w:type="dxa"/>
            <w:vMerge/>
            <w:tcBorders>
              <w:left w:val="single" w:sz="4" w:space="0" w:color="000000"/>
              <w:bottom w:val="nil" w:sz="6" w:space="0" w:color="auto"/>
              <w:right w:val="single" w:sz="4" w:space="0" w:color="000000"/>
            </w:tcBorders>
            <w:shd w:val="clear" w:color="auto" w:fill="D2D2D2"/>
          </w:tcPr>
          <w:p>
            <w:pPr/>
          </w:p>
        </w:tc>
        <w:tc>
          <w:tcPr>
            <w:tcW w:w="85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74" w:type="dxa"/>
            <w:vMerge/>
            <w:tcBorders>
              <w:left w:val="single" w:sz="4" w:space="0" w:color="000000"/>
              <w:bottom w:val="single" w:sz="4" w:space="0" w:color="000000"/>
              <w:right w:val="single" w:sz="4" w:space="0" w:color="000000"/>
            </w:tcBorders>
            <w:shd w:val="clear" w:color="auto" w:fill="D2D2D2"/>
          </w:tcPr>
          <w:p>
            <w:pPr/>
          </w:p>
        </w:tc>
        <w:tc>
          <w:tcPr>
            <w:tcW w:w="10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88" w:type="dxa"/>
            <w:tcBorders>
              <w:top w:val="nil" w:sz="6" w:space="0" w:color="auto"/>
              <w:left w:val="single" w:sz="4" w:space="0" w:color="000000"/>
              <w:bottom w:val="single" w:sz="4" w:space="0" w:color="000000"/>
              <w:right w:val="single" w:sz="4" w:space="0" w:color="000000"/>
            </w:tcBorders>
            <w:shd w:val="clear" w:color="auto" w:fill="D2D2D2"/>
          </w:tcPr>
          <w:p>
            <w:pPr/>
          </w:p>
        </w:tc>
        <w:tc>
          <w:tcPr>
            <w:tcW w:w="888" w:type="dxa"/>
            <w:tcBorders>
              <w:top w:val="nil" w:sz="6" w:space="0" w:color="auto"/>
              <w:left w:val="single" w:sz="4" w:space="0" w:color="000000"/>
              <w:bottom w:val="single" w:sz="4" w:space="0" w:color="000000"/>
              <w:right w:val="single" w:sz="4" w:space="0" w:color="000000"/>
            </w:tcBorders>
            <w:shd w:val="clear" w:color="auto" w:fill="D2D2D2"/>
          </w:tcPr>
          <w:p>
            <w:pPr/>
          </w:p>
        </w:tc>
        <w:tc>
          <w:tcPr>
            <w:tcW w:w="6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0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275,920,230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72.76%</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4,183,700</w:t>
            </w:r>
          </w:p>
        </w:tc>
        <w:tc>
          <w:tcPr>
            <w:tcW w:w="627"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-98,738,271</w:t>
            </w:r>
          </w:p>
        </w:tc>
        <w:tc>
          <w:tcPr>
            <w:tcW w:w="13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-94,554,571</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181,365,659</w:t>
            </w:r>
          </w:p>
        </w:tc>
        <w:tc>
          <w:tcPr>
            <w:tcW w:w="85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47.31%</w:t>
            </w:r>
          </w:p>
        </w:tc>
      </w:tr>
      <w:tr>
        <w:trPr>
          <w:trHeight w:val="391" w:hRule="exact"/>
        </w:trPr>
        <w:tc>
          <w:tcPr>
            <w:tcW w:w="20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42" w:type="dxa"/>
            <w:vMerge/>
            <w:tcBorders>
              <w:left w:val="single" w:sz="9" w:space="0" w:color="D2D2D2"/>
              <w:right w:val="single" w:sz="4" w:space="0" w:color="000000"/>
            </w:tcBorders>
          </w:tcPr>
          <w:p>
            <w:pPr/>
          </w:p>
        </w:tc>
        <w:tc>
          <w:tcPr>
            <w:tcW w:w="888"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62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068" w:type="dxa"/>
            <w:vMerge/>
            <w:tcBorders>
              <w:left w:val="single" w:sz="4" w:space="0" w:color="000000"/>
              <w:right w:val="single" w:sz="4" w:space="0" w:color="000000"/>
            </w:tcBorders>
          </w:tcPr>
          <w:p>
            <w:pPr/>
          </w:p>
        </w:tc>
        <w:tc>
          <w:tcPr>
            <w:tcW w:w="1376"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855" w:type="dxa"/>
            <w:vMerge/>
            <w:tcBorders>
              <w:left w:val="single" w:sz="4" w:space="0" w:color="000000"/>
              <w:right w:val="single" w:sz="4" w:space="0" w:color="000000"/>
            </w:tcBorders>
          </w:tcPr>
          <w:p>
            <w:pPr/>
          </w:p>
        </w:tc>
      </w:tr>
      <w:tr>
        <w:trPr>
          <w:trHeight w:val="158" w:hRule="exact"/>
        </w:trPr>
        <w:tc>
          <w:tcPr>
            <w:tcW w:w="20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2" w:type="dxa"/>
            <w:vMerge/>
            <w:tcBorders>
              <w:left w:val="single" w:sz="9" w:space="0" w:color="D2D2D2"/>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62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376"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855" w:type="dxa"/>
            <w:vMerge/>
            <w:tcBorders>
              <w:left w:val="single" w:sz="4" w:space="0" w:color="000000"/>
              <w:bottom w:val="single" w:sz="4" w:space="0" w:color="000000"/>
              <w:right w:val="single" w:sz="4" w:space="0" w:color="000000"/>
            </w:tcBorders>
          </w:tcPr>
          <w:p>
            <w:pPr/>
          </w:p>
        </w:tc>
      </w:tr>
      <w:tr>
        <w:trPr>
          <w:trHeight w:val="151" w:hRule="exact"/>
        </w:trPr>
        <w:tc>
          <w:tcPr>
            <w:tcW w:w="20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2" w:type="dxa"/>
            <w:vMerge w:val="restart"/>
            <w:tcBorders>
              <w:top w:val="single" w:sz="4" w:space="0" w:color="000000"/>
              <w:left w:val="single" w:sz="9" w:space="0" w:color="D2D2D2"/>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275,920,230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72.76%</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4,183,700</w:t>
            </w:r>
          </w:p>
        </w:tc>
        <w:tc>
          <w:tcPr>
            <w:tcW w:w="627"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-275,920,230</w:t>
            </w:r>
          </w:p>
        </w:tc>
        <w:tc>
          <w:tcPr>
            <w:tcW w:w="137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-271,736,530</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4,183,700</w:t>
            </w:r>
          </w:p>
        </w:tc>
        <w:tc>
          <w:tcPr>
            <w:tcW w:w="85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1.09%</w:t>
            </w:r>
          </w:p>
        </w:tc>
      </w:tr>
      <w:tr>
        <w:trPr>
          <w:trHeight w:val="394" w:hRule="exact"/>
        </w:trPr>
        <w:tc>
          <w:tcPr>
            <w:tcW w:w="20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其他内资持股</w:t>
            </w:r>
          </w:p>
        </w:tc>
        <w:tc>
          <w:tcPr>
            <w:tcW w:w="1042" w:type="dxa"/>
            <w:vMerge/>
            <w:tcBorders>
              <w:left w:val="single" w:sz="9" w:space="0" w:color="D2D2D2"/>
              <w:right w:val="single" w:sz="4" w:space="0" w:color="000000"/>
            </w:tcBorders>
          </w:tcPr>
          <w:p>
            <w:pPr/>
          </w:p>
        </w:tc>
        <w:tc>
          <w:tcPr>
            <w:tcW w:w="888"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62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068" w:type="dxa"/>
            <w:vMerge/>
            <w:tcBorders>
              <w:left w:val="single" w:sz="4" w:space="0" w:color="000000"/>
              <w:right w:val="single" w:sz="4" w:space="0" w:color="000000"/>
            </w:tcBorders>
          </w:tcPr>
          <w:p>
            <w:pPr/>
          </w:p>
        </w:tc>
        <w:tc>
          <w:tcPr>
            <w:tcW w:w="1376"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855" w:type="dxa"/>
            <w:vMerge/>
            <w:tcBorders>
              <w:left w:val="single" w:sz="4" w:space="0" w:color="000000"/>
              <w:right w:val="single" w:sz="4" w:space="0" w:color="000000"/>
            </w:tcBorders>
          </w:tcPr>
          <w:p>
            <w:pPr/>
          </w:p>
        </w:tc>
      </w:tr>
      <w:tr>
        <w:trPr>
          <w:trHeight w:val="151" w:hRule="exact"/>
        </w:trPr>
        <w:tc>
          <w:tcPr>
            <w:tcW w:w="20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2" w:type="dxa"/>
            <w:vMerge/>
            <w:tcBorders>
              <w:left w:val="single" w:sz="9" w:space="0" w:color="D2D2D2"/>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62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376"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855" w:type="dxa"/>
            <w:vMerge/>
            <w:tcBorders>
              <w:left w:val="single" w:sz="4" w:space="0" w:color="000000"/>
              <w:bottom w:val="single" w:sz="4" w:space="0" w:color="000000"/>
              <w:right w:val="single" w:sz="4" w:space="0" w:color="000000"/>
            </w:tcBorders>
          </w:tcPr>
          <w:p>
            <w:pPr/>
          </w:p>
        </w:tc>
      </w:tr>
      <w:tr>
        <w:trPr>
          <w:trHeight w:val="158" w:hRule="exact"/>
        </w:trPr>
        <w:tc>
          <w:tcPr>
            <w:tcW w:w="20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2"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14,400,000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3.8%</w:t>
            </w:r>
          </w:p>
        </w:tc>
        <w:tc>
          <w:tcPr>
            <w:tcW w:w="888" w:type="dxa"/>
            <w:vMerge w:val="restart"/>
            <w:tcBorders>
              <w:top w:val="single" w:sz="4" w:space="0" w:color="000000"/>
              <w:left w:val="single" w:sz="4" w:space="0" w:color="000000"/>
              <w:right w:val="single" w:sz="4" w:space="0" w:color="000000"/>
            </w:tcBorders>
          </w:tcPr>
          <w:p>
            <w:pPr/>
          </w:p>
        </w:tc>
        <w:tc>
          <w:tcPr>
            <w:tcW w:w="627"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-14,400,000</w:t>
            </w:r>
          </w:p>
        </w:tc>
        <w:tc>
          <w:tcPr>
            <w:tcW w:w="13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-14,400,000</w:t>
            </w:r>
          </w:p>
        </w:tc>
        <w:tc>
          <w:tcPr>
            <w:tcW w:w="1008" w:type="dxa"/>
            <w:vMerge w:val="restart"/>
            <w:tcBorders>
              <w:top w:val="single" w:sz="4" w:space="0" w:color="000000"/>
              <w:left w:val="single" w:sz="4" w:space="0" w:color="000000"/>
              <w:right w:val="single" w:sz="4" w:space="0" w:color="000000"/>
            </w:tcBorders>
          </w:tcPr>
          <w:p>
            <w:pPr/>
          </w:p>
        </w:tc>
        <w:tc>
          <w:tcPr>
            <w:tcW w:w="855" w:type="dxa"/>
            <w:vMerge w:val="restart"/>
            <w:tcBorders>
              <w:top w:val="single" w:sz="4" w:space="0" w:color="000000"/>
              <w:left w:val="single" w:sz="4" w:space="0" w:color="000000"/>
              <w:right w:val="single" w:sz="4" w:space="0" w:color="000000"/>
            </w:tcBorders>
          </w:tcPr>
          <w:p>
            <w:pPr/>
          </w:p>
        </w:tc>
      </w:tr>
      <w:tr>
        <w:trPr>
          <w:trHeight w:val="391" w:hRule="exact"/>
        </w:trPr>
        <w:tc>
          <w:tcPr>
            <w:tcW w:w="20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42" w:type="dxa"/>
            <w:vMerge/>
            <w:tcBorders>
              <w:left w:val="single" w:sz="9" w:space="0" w:color="D2D2D2"/>
              <w:right w:val="single" w:sz="4" w:space="0" w:color="000000"/>
            </w:tcBorders>
          </w:tcPr>
          <w:p>
            <w:pPr/>
          </w:p>
        </w:tc>
        <w:tc>
          <w:tcPr>
            <w:tcW w:w="888"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62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068" w:type="dxa"/>
            <w:vMerge/>
            <w:tcBorders>
              <w:left w:val="single" w:sz="4" w:space="0" w:color="000000"/>
              <w:right w:val="single" w:sz="4" w:space="0" w:color="000000"/>
            </w:tcBorders>
          </w:tcPr>
          <w:p>
            <w:pPr/>
          </w:p>
        </w:tc>
        <w:tc>
          <w:tcPr>
            <w:tcW w:w="1376"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855" w:type="dxa"/>
            <w:vMerge/>
            <w:tcBorders>
              <w:left w:val="single" w:sz="4" w:space="0" w:color="000000"/>
              <w:right w:val="single" w:sz="4" w:space="0" w:color="000000"/>
            </w:tcBorders>
          </w:tcPr>
          <w:p>
            <w:pPr/>
          </w:p>
        </w:tc>
      </w:tr>
      <w:tr>
        <w:trPr>
          <w:trHeight w:val="161" w:hRule="exact"/>
        </w:trPr>
        <w:tc>
          <w:tcPr>
            <w:tcW w:w="20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2" w:type="dxa"/>
            <w:vMerge/>
            <w:tcBorders>
              <w:left w:val="single" w:sz="9" w:space="0" w:color="D2D2D2"/>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62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376"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855" w:type="dxa"/>
            <w:vMerge/>
            <w:tcBorders>
              <w:left w:val="single" w:sz="4" w:space="0" w:color="000000"/>
              <w:bottom w:val="single" w:sz="4" w:space="0" w:color="000000"/>
              <w:right w:val="single" w:sz="4" w:space="0" w:color="000000"/>
            </w:tcBorders>
          </w:tcPr>
          <w:p>
            <w:pPr/>
          </w:p>
        </w:tc>
      </w:tr>
      <w:tr>
        <w:trPr>
          <w:trHeight w:val="151" w:hRule="exact"/>
        </w:trPr>
        <w:tc>
          <w:tcPr>
            <w:tcW w:w="20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2" w:type="dxa"/>
            <w:vMerge w:val="restart"/>
            <w:tcBorders>
              <w:top w:val="single" w:sz="4" w:space="0" w:color="000000"/>
              <w:left w:val="single" w:sz="9" w:space="0" w:color="D2D2D2"/>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261,520,230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68.97%</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4,183,700</w:t>
            </w:r>
          </w:p>
        </w:tc>
        <w:tc>
          <w:tcPr>
            <w:tcW w:w="627"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-261,520,230</w:t>
            </w:r>
          </w:p>
        </w:tc>
        <w:tc>
          <w:tcPr>
            <w:tcW w:w="137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-257,336,530</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4,183,700</w:t>
            </w:r>
          </w:p>
        </w:tc>
        <w:tc>
          <w:tcPr>
            <w:tcW w:w="85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1.09%</w:t>
            </w:r>
          </w:p>
        </w:tc>
      </w:tr>
      <w:tr>
        <w:trPr>
          <w:trHeight w:val="391" w:hRule="exact"/>
        </w:trPr>
        <w:tc>
          <w:tcPr>
            <w:tcW w:w="20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42" w:type="dxa"/>
            <w:vMerge/>
            <w:tcBorders>
              <w:left w:val="single" w:sz="9" w:space="0" w:color="D2D2D2"/>
              <w:right w:val="single" w:sz="4" w:space="0" w:color="000000"/>
            </w:tcBorders>
          </w:tcPr>
          <w:p>
            <w:pPr/>
          </w:p>
        </w:tc>
        <w:tc>
          <w:tcPr>
            <w:tcW w:w="888"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62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068" w:type="dxa"/>
            <w:vMerge/>
            <w:tcBorders>
              <w:left w:val="single" w:sz="4" w:space="0" w:color="000000"/>
              <w:right w:val="single" w:sz="4" w:space="0" w:color="000000"/>
            </w:tcBorders>
          </w:tcPr>
          <w:p>
            <w:pPr/>
          </w:p>
        </w:tc>
        <w:tc>
          <w:tcPr>
            <w:tcW w:w="1376"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855" w:type="dxa"/>
            <w:vMerge/>
            <w:tcBorders>
              <w:left w:val="single" w:sz="4" w:space="0" w:color="000000"/>
              <w:right w:val="single" w:sz="4" w:space="0" w:color="000000"/>
            </w:tcBorders>
          </w:tcPr>
          <w:p>
            <w:pPr/>
          </w:p>
        </w:tc>
      </w:tr>
      <w:tr>
        <w:trPr>
          <w:trHeight w:val="151" w:hRule="exact"/>
        </w:trPr>
        <w:tc>
          <w:tcPr>
            <w:tcW w:w="20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2" w:type="dxa"/>
            <w:vMerge/>
            <w:tcBorders>
              <w:left w:val="single" w:sz="9" w:space="0" w:color="D2D2D2"/>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62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376"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855" w:type="dxa"/>
            <w:vMerge/>
            <w:tcBorders>
              <w:left w:val="single" w:sz="4" w:space="0" w:color="000000"/>
              <w:bottom w:val="single" w:sz="4" w:space="0" w:color="000000"/>
              <w:right w:val="single" w:sz="4" w:space="0" w:color="000000"/>
            </w:tcBorders>
          </w:tcPr>
          <w:p>
            <w:pPr/>
          </w:p>
        </w:tc>
      </w:tr>
      <w:tr>
        <w:trPr>
          <w:trHeight w:val="158" w:hRule="exact"/>
        </w:trPr>
        <w:tc>
          <w:tcPr>
            <w:tcW w:w="20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2" w:type="dxa"/>
            <w:vMerge w:val="restart"/>
            <w:tcBorders>
              <w:top w:val="single" w:sz="4" w:space="0" w:color="000000"/>
              <w:left w:val="single" w:sz="9" w:space="0" w:color="D2D2D2"/>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627"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177,181,959</w:t>
            </w:r>
          </w:p>
        </w:tc>
        <w:tc>
          <w:tcPr>
            <w:tcW w:w="13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444" w:right="0"/>
              <w:jc w:val="left"/>
              <w:rPr>
                <w:rFonts w:ascii="Times New Roman" w:hAnsi="Times New Roman" w:cs="Times New Roman" w:eastAsia="Times New Roman" w:hint="default"/>
                <w:sz w:val="18"/>
                <w:szCs w:val="18"/>
              </w:rPr>
            </w:pPr>
            <w:r>
              <w:rPr>
                <w:rFonts w:ascii="Times New Roman"/>
                <w:sz w:val="18"/>
              </w:rPr>
              <w:t>177,181,959</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177,181,959</w:t>
            </w:r>
          </w:p>
        </w:tc>
        <w:tc>
          <w:tcPr>
            <w:tcW w:w="85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46.22%</w:t>
            </w:r>
          </w:p>
        </w:tc>
      </w:tr>
      <w:tr>
        <w:trPr>
          <w:trHeight w:val="394" w:hRule="exact"/>
        </w:trPr>
        <w:tc>
          <w:tcPr>
            <w:tcW w:w="20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高管股份</w:t>
            </w:r>
          </w:p>
        </w:tc>
        <w:tc>
          <w:tcPr>
            <w:tcW w:w="1042" w:type="dxa"/>
            <w:vMerge/>
            <w:tcBorders>
              <w:left w:val="single" w:sz="9" w:space="0" w:color="D2D2D2"/>
              <w:right w:val="single" w:sz="4" w:space="0" w:color="000000"/>
            </w:tcBorders>
          </w:tcPr>
          <w:p>
            <w:pPr/>
          </w:p>
        </w:tc>
        <w:tc>
          <w:tcPr>
            <w:tcW w:w="888"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62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068" w:type="dxa"/>
            <w:vMerge/>
            <w:tcBorders>
              <w:left w:val="single" w:sz="4" w:space="0" w:color="000000"/>
              <w:right w:val="single" w:sz="4" w:space="0" w:color="000000"/>
            </w:tcBorders>
          </w:tcPr>
          <w:p>
            <w:pPr/>
          </w:p>
        </w:tc>
        <w:tc>
          <w:tcPr>
            <w:tcW w:w="1376"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855" w:type="dxa"/>
            <w:vMerge/>
            <w:tcBorders>
              <w:left w:val="single" w:sz="4" w:space="0" w:color="000000"/>
              <w:right w:val="single" w:sz="4" w:space="0" w:color="000000"/>
            </w:tcBorders>
          </w:tcPr>
          <w:p>
            <w:pPr/>
          </w:p>
        </w:tc>
      </w:tr>
      <w:tr>
        <w:trPr>
          <w:trHeight w:val="158" w:hRule="exact"/>
        </w:trPr>
        <w:tc>
          <w:tcPr>
            <w:tcW w:w="20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2" w:type="dxa"/>
            <w:vMerge/>
            <w:tcBorders>
              <w:left w:val="single" w:sz="9" w:space="0" w:color="D2D2D2"/>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62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376"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855" w:type="dxa"/>
            <w:vMerge/>
            <w:tcBorders>
              <w:left w:val="single" w:sz="4" w:space="0" w:color="000000"/>
              <w:bottom w:val="single" w:sz="4" w:space="0" w:color="000000"/>
              <w:right w:val="single" w:sz="4" w:space="0" w:color="000000"/>
            </w:tcBorders>
          </w:tcPr>
          <w:p>
            <w:pPr/>
          </w:p>
        </w:tc>
      </w:tr>
      <w:tr>
        <w:trPr>
          <w:trHeight w:val="158" w:hRule="exact"/>
        </w:trPr>
        <w:tc>
          <w:tcPr>
            <w:tcW w:w="20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2" w:type="dxa"/>
            <w:vMerge w:val="restart"/>
            <w:tcBorders>
              <w:top w:val="single" w:sz="4" w:space="0" w:color="000000"/>
              <w:left w:val="single" w:sz="9" w:space="0" w:color="D2D2D2"/>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103,279,770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27.24%</w:t>
            </w:r>
          </w:p>
        </w:tc>
        <w:tc>
          <w:tcPr>
            <w:tcW w:w="888" w:type="dxa"/>
            <w:vMerge w:val="restart"/>
            <w:tcBorders>
              <w:top w:val="single" w:sz="4" w:space="0" w:color="000000"/>
              <w:left w:val="single" w:sz="4" w:space="0" w:color="000000"/>
              <w:right w:val="single" w:sz="4" w:space="0" w:color="000000"/>
            </w:tcBorders>
          </w:tcPr>
          <w:p>
            <w:pPr/>
          </w:p>
        </w:tc>
        <w:tc>
          <w:tcPr>
            <w:tcW w:w="627"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98,738,271</w:t>
            </w:r>
          </w:p>
        </w:tc>
        <w:tc>
          <w:tcPr>
            <w:tcW w:w="137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533" w:right="0"/>
              <w:jc w:val="left"/>
              <w:rPr>
                <w:rFonts w:ascii="Times New Roman" w:hAnsi="Times New Roman" w:cs="Times New Roman" w:eastAsia="Times New Roman" w:hint="default"/>
                <w:sz w:val="18"/>
                <w:szCs w:val="18"/>
              </w:rPr>
            </w:pPr>
            <w:r>
              <w:rPr>
                <w:rFonts w:ascii="Times New Roman"/>
                <w:sz w:val="18"/>
              </w:rPr>
              <w:t>98,738,271</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202,018,041</w:t>
            </w:r>
          </w:p>
        </w:tc>
        <w:tc>
          <w:tcPr>
            <w:tcW w:w="85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52.69%</w:t>
            </w:r>
          </w:p>
        </w:tc>
      </w:tr>
      <w:tr>
        <w:trPr>
          <w:trHeight w:val="394" w:hRule="exact"/>
        </w:trPr>
        <w:tc>
          <w:tcPr>
            <w:tcW w:w="20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42" w:type="dxa"/>
            <w:vMerge/>
            <w:tcBorders>
              <w:left w:val="single" w:sz="9" w:space="0" w:color="D2D2D2"/>
              <w:right w:val="single" w:sz="4" w:space="0" w:color="000000"/>
            </w:tcBorders>
          </w:tcPr>
          <w:p>
            <w:pPr/>
          </w:p>
        </w:tc>
        <w:tc>
          <w:tcPr>
            <w:tcW w:w="888"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62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068" w:type="dxa"/>
            <w:vMerge/>
            <w:tcBorders>
              <w:left w:val="single" w:sz="4" w:space="0" w:color="000000"/>
              <w:right w:val="single" w:sz="4" w:space="0" w:color="000000"/>
            </w:tcBorders>
          </w:tcPr>
          <w:p>
            <w:pPr/>
          </w:p>
        </w:tc>
        <w:tc>
          <w:tcPr>
            <w:tcW w:w="1376"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855" w:type="dxa"/>
            <w:vMerge/>
            <w:tcBorders>
              <w:left w:val="single" w:sz="4" w:space="0" w:color="000000"/>
              <w:right w:val="single" w:sz="4" w:space="0" w:color="000000"/>
            </w:tcBorders>
          </w:tcPr>
          <w:p>
            <w:pPr/>
          </w:p>
        </w:tc>
      </w:tr>
      <w:tr>
        <w:trPr>
          <w:trHeight w:val="158" w:hRule="exact"/>
        </w:trPr>
        <w:tc>
          <w:tcPr>
            <w:tcW w:w="20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2" w:type="dxa"/>
            <w:vMerge/>
            <w:tcBorders>
              <w:left w:val="single" w:sz="9" w:space="0" w:color="D2D2D2"/>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62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376"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855" w:type="dxa"/>
            <w:vMerge/>
            <w:tcBorders>
              <w:left w:val="single" w:sz="4" w:space="0" w:color="000000"/>
              <w:bottom w:val="single" w:sz="4" w:space="0" w:color="000000"/>
              <w:right w:val="single" w:sz="4" w:space="0" w:color="000000"/>
            </w:tcBorders>
          </w:tcPr>
          <w:p>
            <w:pPr/>
          </w:p>
        </w:tc>
      </w:tr>
      <w:tr>
        <w:trPr>
          <w:trHeight w:val="151" w:hRule="exact"/>
        </w:trPr>
        <w:tc>
          <w:tcPr>
            <w:tcW w:w="20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2" w:type="dxa"/>
            <w:vMerge w:val="restart"/>
            <w:tcBorders>
              <w:top w:val="single" w:sz="4" w:space="0" w:color="000000"/>
              <w:left w:val="single" w:sz="9" w:space="0" w:color="D2D2D2"/>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103,279,770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27.24%</w:t>
            </w:r>
          </w:p>
        </w:tc>
        <w:tc>
          <w:tcPr>
            <w:tcW w:w="888" w:type="dxa"/>
            <w:vMerge w:val="restart"/>
            <w:tcBorders>
              <w:top w:val="single" w:sz="4" w:space="0" w:color="000000"/>
              <w:left w:val="single" w:sz="4" w:space="0" w:color="000000"/>
              <w:right w:val="single" w:sz="4" w:space="0" w:color="000000"/>
            </w:tcBorders>
          </w:tcPr>
          <w:p>
            <w:pPr/>
          </w:p>
        </w:tc>
        <w:tc>
          <w:tcPr>
            <w:tcW w:w="627"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98,738,271</w:t>
            </w:r>
          </w:p>
        </w:tc>
        <w:tc>
          <w:tcPr>
            <w:tcW w:w="137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533" w:right="0"/>
              <w:jc w:val="left"/>
              <w:rPr>
                <w:rFonts w:ascii="Times New Roman" w:hAnsi="Times New Roman" w:cs="Times New Roman" w:eastAsia="Times New Roman" w:hint="default"/>
                <w:sz w:val="18"/>
                <w:szCs w:val="18"/>
              </w:rPr>
            </w:pPr>
            <w:r>
              <w:rPr>
                <w:rFonts w:ascii="Times New Roman"/>
                <w:sz w:val="18"/>
              </w:rPr>
              <w:t>98,738,271</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202,018,041</w:t>
            </w:r>
          </w:p>
        </w:tc>
        <w:tc>
          <w:tcPr>
            <w:tcW w:w="85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52.69%</w:t>
            </w:r>
          </w:p>
        </w:tc>
      </w:tr>
      <w:tr>
        <w:trPr>
          <w:trHeight w:val="391" w:hRule="exact"/>
        </w:trPr>
        <w:tc>
          <w:tcPr>
            <w:tcW w:w="20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42" w:type="dxa"/>
            <w:vMerge/>
            <w:tcBorders>
              <w:left w:val="single" w:sz="9" w:space="0" w:color="D2D2D2"/>
              <w:right w:val="single" w:sz="4" w:space="0" w:color="000000"/>
            </w:tcBorders>
          </w:tcPr>
          <w:p>
            <w:pPr/>
          </w:p>
        </w:tc>
        <w:tc>
          <w:tcPr>
            <w:tcW w:w="888"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62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068" w:type="dxa"/>
            <w:vMerge/>
            <w:tcBorders>
              <w:left w:val="single" w:sz="4" w:space="0" w:color="000000"/>
              <w:right w:val="single" w:sz="4" w:space="0" w:color="000000"/>
            </w:tcBorders>
          </w:tcPr>
          <w:p>
            <w:pPr/>
          </w:p>
        </w:tc>
        <w:tc>
          <w:tcPr>
            <w:tcW w:w="1376"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855" w:type="dxa"/>
            <w:vMerge/>
            <w:tcBorders>
              <w:left w:val="single" w:sz="4" w:space="0" w:color="000000"/>
              <w:right w:val="single" w:sz="4" w:space="0" w:color="000000"/>
            </w:tcBorders>
          </w:tcPr>
          <w:p>
            <w:pPr/>
          </w:p>
        </w:tc>
      </w:tr>
      <w:tr>
        <w:trPr>
          <w:trHeight w:val="151" w:hRule="exact"/>
        </w:trPr>
        <w:tc>
          <w:tcPr>
            <w:tcW w:w="20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2" w:type="dxa"/>
            <w:vMerge/>
            <w:tcBorders>
              <w:left w:val="single" w:sz="9" w:space="0" w:color="D2D2D2"/>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62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376"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855" w:type="dxa"/>
            <w:vMerge/>
            <w:tcBorders>
              <w:left w:val="single" w:sz="4" w:space="0" w:color="000000"/>
              <w:bottom w:val="single" w:sz="4" w:space="0" w:color="000000"/>
              <w:right w:val="single" w:sz="4" w:space="0" w:color="000000"/>
            </w:tcBorders>
          </w:tcPr>
          <w:p>
            <w:pPr/>
          </w:p>
        </w:tc>
      </w:tr>
      <w:tr>
        <w:trPr>
          <w:trHeight w:val="161" w:hRule="exact"/>
        </w:trPr>
        <w:tc>
          <w:tcPr>
            <w:tcW w:w="20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379,200,000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100%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4,183,700</w:t>
            </w:r>
          </w:p>
        </w:tc>
        <w:tc>
          <w:tcPr>
            <w:tcW w:w="627"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
        </w:tc>
        <w:tc>
          <w:tcPr>
            <w:tcW w:w="13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24" w:right="0"/>
              <w:jc w:val="left"/>
              <w:rPr>
                <w:rFonts w:ascii="Times New Roman" w:hAnsi="Times New Roman" w:cs="Times New Roman" w:eastAsia="Times New Roman" w:hint="default"/>
                <w:sz w:val="18"/>
                <w:szCs w:val="18"/>
              </w:rPr>
            </w:pPr>
            <w:r>
              <w:rPr>
                <w:rFonts w:ascii="Times New Roman"/>
                <w:sz w:val="18"/>
              </w:rPr>
              <w:t>4,183,700</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383,383,700</w:t>
            </w:r>
          </w:p>
        </w:tc>
        <w:tc>
          <w:tcPr>
            <w:tcW w:w="85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100%</w:t>
            </w:r>
          </w:p>
        </w:tc>
      </w:tr>
      <w:tr>
        <w:trPr>
          <w:trHeight w:val="391" w:hRule="exact"/>
        </w:trPr>
        <w:tc>
          <w:tcPr>
            <w:tcW w:w="20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42" w:type="dxa"/>
            <w:vMerge/>
            <w:tcBorders>
              <w:left w:val="single" w:sz="9" w:space="0" w:color="D2D2D2"/>
              <w:right w:val="single" w:sz="4" w:space="0" w:color="000000"/>
            </w:tcBorders>
          </w:tcPr>
          <w:p>
            <w:pPr/>
          </w:p>
        </w:tc>
        <w:tc>
          <w:tcPr>
            <w:tcW w:w="888"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62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068" w:type="dxa"/>
            <w:vMerge/>
            <w:tcBorders>
              <w:left w:val="single" w:sz="4" w:space="0" w:color="000000"/>
              <w:right w:val="single" w:sz="4" w:space="0" w:color="000000"/>
            </w:tcBorders>
          </w:tcPr>
          <w:p>
            <w:pPr/>
          </w:p>
        </w:tc>
        <w:tc>
          <w:tcPr>
            <w:tcW w:w="1376"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855" w:type="dxa"/>
            <w:vMerge/>
            <w:tcBorders>
              <w:left w:val="single" w:sz="4" w:space="0" w:color="000000"/>
              <w:right w:val="single" w:sz="4" w:space="0" w:color="000000"/>
            </w:tcBorders>
          </w:tcPr>
          <w:p>
            <w:pPr/>
          </w:p>
        </w:tc>
      </w:tr>
      <w:tr>
        <w:trPr>
          <w:trHeight w:val="158" w:hRule="exact"/>
        </w:trPr>
        <w:tc>
          <w:tcPr>
            <w:tcW w:w="20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2" w:type="dxa"/>
            <w:vMerge/>
            <w:tcBorders>
              <w:left w:val="single" w:sz="9" w:space="0" w:color="D2D2D2"/>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62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376"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855" w:type="dxa"/>
            <w:vMerge/>
            <w:tcBorders>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b/>
          <w:bCs/>
          <w:sz w:val="6"/>
          <w:szCs w:val="6"/>
        </w:rPr>
      </w:pPr>
    </w:p>
    <w:p>
      <w:pPr>
        <w:pStyle w:val="Heading5"/>
        <w:spacing w:line="240" w:lineRule="auto" w:before="44"/>
        <w:ind w:right="1024"/>
        <w:jc w:val="left"/>
        <w:rPr>
          <w:b w:val="0"/>
          <w:bCs w:val="0"/>
        </w:rPr>
      </w:pPr>
      <w:r>
        <w:rPr/>
        <w:t>股份变动的原因</w:t>
      </w:r>
      <w:r>
        <w:rPr>
          <w:b w:val="0"/>
          <w:bCs w:val="0"/>
        </w:rPr>
      </w:r>
    </w:p>
    <w:p>
      <w:pPr>
        <w:spacing w:line="240" w:lineRule="auto" w:before="12"/>
        <w:rPr>
          <w:rFonts w:ascii="宋体" w:hAnsi="宋体" w:cs="宋体" w:eastAsia="宋体" w:hint="default"/>
          <w:b/>
          <w:bCs/>
          <w:sz w:val="20"/>
          <w:szCs w:val="20"/>
        </w:rPr>
      </w:pPr>
    </w:p>
    <w:p>
      <w:pPr>
        <w:pStyle w:val="BodyText"/>
        <w:spacing w:line="451" w:lineRule="auto"/>
        <w:ind w:right="1024"/>
        <w:jc w:val="left"/>
      </w:pPr>
      <w:r>
        <w:rPr/>
        <w:t>（</w:t>
      </w:r>
      <w:r>
        <w:rPr>
          <w:rFonts w:ascii="Times New Roman" w:hAnsi="Times New Roman" w:cs="Times New Roman" w:eastAsia="Times New Roman" w:hint="default"/>
        </w:rPr>
        <w:t>1</w:t>
      </w:r>
      <w:r>
        <w:rPr/>
        <w:t>）报告期内公司实施了股票期权与限制性股票激励计划，并于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月完成授予登记工作，授予</w:t>
      </w:r>
      <w:r>
        <w:rPr>
          <w:rFonts w:ascii="Times New Roman" w:hAnsi="Times New Roman" w:cs="Times New Roman" w:eastAsia="Times New Roman" w:hint="default"/>
        </w:rPr>
        <w:t>370</w:t>
      </w:r>
      <w:r>
        <w:rPr/>
        <w:t>名激励对象</w:t>
      </w:r>
      <w:r>
        <w:rPr>
          <w:rFonts w:ascii="Times New Roman" w:hAnsi="Times New Roman" w:cs="Times New Roman" w:eastAsia="Times New Roman" w:hint="default"/>
        </w:rPr>
        <w:t>850</w:t>
      </w:r>
      <w:r>
        <w:rPr/>
        <w:t>万 份股票期权，</w:t>
      </w:r>
      <w:r>
        <w:rPr>
          <w:rFonts w:ascii="Times New Roman" w:hAnsi="Times New Roman" w:cs="Times New Roman" w:eastAsia="Times New Roman" w:hint="default"/>
        </w:rPr>
        <w:t>185</w:t>
      </w:r>
      <w:r>
        <w:rPr/>
        <w:t>名激励对象认购了限制性股票合计</w:t>
      </w:r>
      <w:r>
        <w:rPr>
          <w:rFonts w:ascii="Times New Roman" w:hAnsi="Times New Roman" w:cs="Times New Roman" w:eastAsia="Times New Roman" w:hint="default"/>
        </w:rPr>
        <w:t>418.37</w:t>
      </w:r>
      <w:r>
        <w:rPr/>
        <w:t>万股。</w:t>
      </w:r>
    </w:p>
    <w:p>
      <w:pPr>
        <w:pStyle w:val="BodyText"/>
        <w:spacing w:line="451" w:lineRule="auto" w:before="44"/>
        <w:ind w:right="1024"/>
        <w:jc w:val="left"/>
      </w:pPr>
      <w:r>
        <w:rPr/>
        <w:t>（</w:t>
      </w:r>
      <w:r>
        <w:rPr>
          <w:rFonts w:ascii="Times New Roman" w:hAnsi="Times New Roman" w:cs="Times New Roman" w:eastAsia="Times New Roman" w:hint="default"/>
        </w:rPr>
        <w:t>2</w:t>
      </w:r>
      <w:r>
        <w:rPr/>
        <w:t>）报告期内，公司首发限售股到期解除限售并分别于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日上市流通；公司董事、监事、高管 按照高管持股规定锁定</w:t>
      </w:r>
      <w:r>
        <w:rPr>
          <w:rFonts w:ascii="Times New Roman" w:hAnsi="Times New Roman" w:cs="Times New Roman" w:eastAsia="Times New Roman" w:hint="default"/>
        </w:rPr>
        <w:t>75%</w:t>
      </w:r>
      <w:r>
        <w:rPr/>
        <w:t>。</w:t>
      </w:r>
    </w:p>
    <w:p>
      <w:pPr>
        <w:pStyle w:val="Heading5"/>
        <w:spacing w:line="240" w:lineRule="auto" w:before="84"/>
        <w:ind w:right="1024"/>
        <w:jc w:val="left"/>
        <w:rPr>
          <w:b w:val="0"/>
          <w:bCs w:val="0"/>
        </w:rPr>
      </w:pPr>
      <w:r>
        <w:rPr/>
        <w:t>股份变动的批准情况</w:t>
      </w:r>
      <w:r>
        <w:rPr>
          <w:b w:val="0"/>
          <w:bCs w:val="0"/>
        </w:rPr>
      </w:r>
    </w:p>
    <w:p>
      <w:pPr>
        <w:spacing w:line="240" w:lineRule="auto" w:before="9"/>
        <w:rPr>
          <w:rFonts w:ascii="宋体" w:hAnsi="宋体" w:cs="宋体" w:eastAsia="宋体" w:hint="default"/>
          <w:b/>
          <w:bCs/>
          <w:sz w:val="20"/>
          <w:szCs w:val="20"/>
        </w:rPr>
      </w:pPr>
    </w:p>
    <w:p>
      <w:pPr>
        <w:spacing w:line="504" w:lineRule="auto" w:before="0"/>
        <w:ind w:left="152" w:right="7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股份变动的过户情况</w:t>
      </w:r>
      <w:r>
        <w:rPr>
          <w:rFonts w:ascii="宋体" w:hAnsi="宋体" w:cs="宋体" w:eastAsia="宋体" w:hint="default"/>
          <w:b/>
          <w:bCs/>
          <w:w w:val="99"/>
          <w:sz w:val="18"/>
          <w:szCs w:val="18"/>
        </w:rPr>
        <w:t> </w:t>
      </w:r>
      <w:r>
        <w:rPr>
          <w:rFonts w:ascii="宋体" w:hAnsi="宋体" w:cs="宋体" w:eastAsia="宋体" w:hint="default"/>
          <w:sz w:val="18"/>
          <w:szCs w:val="18"/>
        </w:rPr>
        <w:t>以上变动情况均已办理完毕相关手续</w:t>
      </w:r>
    </w:p>
    <w:p>
      <w:pPr>
        <w:spacing w:after="0" w:line="504" w:lineRule="auto"/>
        <w:jc w:val="left"/>
        <w:rPr>
          <w:rFonts w:ascii="宋体" w:hAnsi="宋体" w:cs="宋体" w:eastAsia="宋体" w:hint="default"/>
          <w:sz w:val="18"/>
          <w:szCs w:val="18"/>
        </w:rPr>
        <w:sectPr>
          <w:pgSz w:w="11910" w:h="16840"/>
          <w:pgMar w:header="852" w:footer="980" w:top="1340" w:bottom="1160" w:left="980" w:right="100"/>
        </w:sectPr>
      </w:pPr>
    </w:p>
    <w:p>
      <w:pPr>
        <w:spacing w:line="240" w:lineRule="auto" w:before="6"/>
        <w:rPr>
          <w:rFonts w:ascii="宋体" w:hAnsi="宋体" w:cs="宋体" w:eastAsia="宋体" w:hint="default"/>
          <w:sz w:val="10"/>
          <w:szCs w:val="10"/>
        </w:rPr>
      </w:pPr>
    </w:p>
    <w:p>
      <w:pPr>
        <w:pStyle w:val="Heading5"/>
        <w:spacing w:line="240" w:lineRule="auto" w:before="44"/>
        <w:ind w:right="0"/>
        <w:jc w:val="left"/>
        <w:rPr>
          <w:b w:val="0"/>
          <w:bCs w:val="0"/>
        </w:rPr>
      </w:pPr>
      <w:r>
        <w:rPr/>
        <w:t>股份变动对最近一年和最近一期基本每股收益和稀释每股收益、归属于公司普通股股东的每股净资产等财务指标的影响</w:t>
      </w:r>
      <w:r>
        <w:rPr>
          <w:b w:val="0"/>
          <w:bCs w:val="0"/>
        </w:rPr>
      </w:r>
    </w:p>
    <w:p>
      <w:pPr>
        <w:spacing w:line="240" w:lineRule="auto" w:before="12"/>
        <w:rPr>
          <w:rFonts w:ascii="宋体" w:hAnsi="宋体" w:cs="宋体" w:eastAsia="宋体" w:hint="default"/>
          <w:b/>
          <w:bCs/>
          <w:sz w:val="20"/>
          <w:szCs w:val="20"/>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52,828,968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13,207,242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39,621,726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首发承诺、高管 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52,828,968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13,207,242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39,621,726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首发承诺、高管 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齐强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27,675,390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6,918,848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20,756,542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首发承诺、高管 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黄松浪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23,232,276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5,808,069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17,424,207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首发承诺、高管 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王国华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21,977,724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5,494,431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16,483,293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首发承诺、高管 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万能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18,585,816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4,646,454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13,939,362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首发承诺、高管 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徐斯平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15,546,240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3,886,560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11,659,680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首发承诺、高管 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12,309,432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3,077,358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9,232,074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首发承诺、高管 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8,479,770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8,479,770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汇金立方资本管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金石投资有限公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4,239,882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1,059,971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3,179,911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首发承诺、高管 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王志刚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4,239,882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4,239,882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张振鹏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2,967,918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741,980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2,225,938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首发承诺、高管 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首发承诺、高管 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万瀛女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80" w:top="1340" w:bottom="1160" w:left="980" w:right="980"/>
        </w:sect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张黔山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1,271,964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1,271,964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刘国兰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周志锋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朱健松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首发承诺、高管 锁定、限制性股 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陶磊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首发承诺、高管 锁定、限制性股 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张国波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张仲书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梁德兴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谭立蓉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隋华锋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滕士勇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韩迎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张龙春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王雪飞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程永全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52" w:footer="980" w:top="1440" w:bottom="1160" w:left="980" w:right="980"/>
        </w:sect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刘豪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154,950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首发承诺、高管 锁定、限制性股 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艾东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丁彦超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雷益路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朱志金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李万国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辛琳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15"/>
              <w:jc w:val="left"/>
              <w:rPr>
                <w:rFonts w:ascii="宋体" w:hAnsi="宋体" w:cs="宋体" w:eastAsia="宋体" w:hint="default"/>
                <w:sz w:val="18"/>
                <w:szCs w:val="18"/>
              </w:rPr>
            </w:pPr>
            <w:r>
              <w:rPr>
                <w:rFonts w:ascii="Times New Roman" w:hAnsi="Times New Roman" w:cs="Times New Roman" w:eastAsia="Times New Roman" w:hint="default"/>
                <w:sz w:val="18"/>
                <w:szCs w:val="18"/>
              </w:rPr>
              <w:t>182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名核心业务 人员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4,097,750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4,097,750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275,920,230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98,738,271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4,183,700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181,365,659</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18"/>
          <w:szCs w:val="18"/>
        </w:rPr>
      </w:pPr>
    </w:p>
    <w:p>
      <w:pPr>
        <w:spacing w:line="506" w:lineRule="auto" w:before="26"/>
        <w:ind w:left="152" w:right="7124" w:firstLine="0"/>
        <w:jc w:val="left"/>
        <w:rPr>
          <w:rFonts w:ascii="宋体" w:hAnsi="宋体" w:cs="宋体" w:eastAsia="宋体" w:hint="default"/>
          <w:sz w:val="18"/>
          <w:szCs w:val="18"/>
        </w:rPr>
      </w:pPr>
      <w:r>
        <w:rPr>
          <w:rFonts w:ascii="宋体" w:hAnsi="宋体" w:cs="宋体" w:eastAsia="宋体" w:hint="default"/>
          <w:b/>
          <w:bCs/>
          <w:sz w:val="24"/>
          <w:szCs w:val="24"/>
        </w:rPr>
        <w:t>二、证券发行与上市情况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、报告期内证券发行情况</w:t>
      </w:r>
      <w:r>
        <w:rPr>
          <w:rFonts w:ascii="宋体" w:hAnsi="宋体" w:cs="宋体" w:eastAsia="宋体" w:hint="default"/>
          <w:b/>
          <w:bCs/>
          <w:w w:val="100"/>
          <w:sz w:val="21"/>
          <w:szCs w:val="21"/>
        </w:rPr>
        <w:t> </w:t>
      </w:r>
      <w:r>
        <w:rPr>
          <w:rFonts w:ascii="宋体" w:hAnsi="宋体" w:cs="宋体" w:eastAsia="宋体" w:hint="default"/>
          <w:sz w:val="18"/>
          <w:szCs w:val="18"/>
        </w:rPr>
        <w:t>报告期无证券发行情况</w:t>
      </w:r>
    </w:p>
    <w:p>
      <w:pPr>
        <w:pStyle w:val="Heading3"/>
        <w:spacing w:line="240" w:lineRule="auto" w:before="156"/>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2"/>
        <w:rPr>
          <w:rFonts w:ascii="宋体" w:hAnsi="宋体" w:cs="宋体" w:eastAsia="宋体" w:hint="default"/>
          <w:b/>
          <w:bCs/>
          <w:sz w:val="32"/>
          <w:szCs w:val="32"/>
        </w:rPr>
      </w:pPr>
    </w:p>
    <w:p>
      <w:pPr>
        <w:pStyle w:val="BodyText"/>
        <w:spacing w:line="240" w:lineRule="auto"/>
        <w:ind w:left="604"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月，公司完成了股票期权与限制性股票激励计划的授予登记工作，其中</w:t>
      </w:r>
      <w:r>
        <w:rPr>
          <w:rFonts w:ascii="Times New Roman" w:hAnsi="Times New Roman" w:cs="Times New Roman" w:eastAsia="Times New Roman" w:hint="default"/>
        </w:rPr>
        <w:t>185</w:t>
      </w:r>
      <w:r>
        <w:rPr/>
        <w:t>名激励对象认购了限制性股票合计</w:t>
      </w:r>
    </w:p>
    <w:p>
      <w:pPr>
        <w:spacing w:after="0" w:line="240" w:lineRule="auto"/>
        <w:jc w:val="left"/>
        <w:sectPr>
          <w:pgSz w:w="11910" w:h="16840"/>
          <w:pgMar w:header="852" w:footer="980" w:top="1440" w:bottom="1160" w:left="980" w:right="980"/>
        </w:sectPr>
      </w:pPr>
    </w:p>
    <w:p>
      <w:pPr>
        <w:spacing w:line="240" w:lineRule="auto" w:before="6"/>
        <w:rPr>
          <w:rFonts w:ascii="宋体" w:hAnsi="宋体" w:cs="宋体" w:eastAsia="宋体" w:hint="default"/>
          <w:sz w:val="10"/>
          <w:szCs w:val="10"/>
        </w:rPr>
      </w:pPr>
    </w:p>
    <w:p>
      <w:pPr>
        <w:pStyle w:val="BodyText"/>
        <w:spacing w:line="240" w:lineRule="auto" w:before="44"/>
        <w:ind w:right="0"/>
        <w:jc w:val="left"/>
      </w:pPr>
      <w:r>
        <w:rPr>
          <w:rFonts w:ascii="Times New Roman" w:hAnsi="Times New Roman" w:cs="Times New Roman" w:eastAsia="Times New Roman" w:hint="default"/>
        </w:rPr>
        <w:t>418.37</w:t>
      </w:r>
      <w:r>
        <w:rPr/>
        <w:t>万股，认购资金为</w:t>
      </w:r>
      <w:r>
        <w:rPr>
          <w:rFonts w:ascii="Times New Roman" w:hAnsi="Times New Roman" w:cs="Times New Roman" w:eastAsia="Times New Roman" w:hint="default"/>
        </w:rPr>
        <w:t>3752.78</w:t>
      </w:r>
      <w:r>
        <w:rPr/>
        <w:t>万元。授予完成后，公司股份总数由</w:t>
      </w:r>
      <w:r>
        <w:rPr>
          <w:rFonts w:ascii="Times New Roman" w:hAnsi="Times New Roman" w:cs="Times New Roman" w:eastAsia="Times New Roman" w:hint="default"/>
        </w:rPr>
        <w:t>379,200,000</w:t>
      </w:r>
      <w:r>
        <w:rPr/>
        <w:t>股增加至</w:t>
      </w:r>
      <w:r>
        <w:rPr>
          <w:rFonts w:ascii="Times New Roman" w:hAnsi="Times New Roman" w:cs="Times New Roman" w:eastAsia="Times New Roman" w:hint="default"/>
        </w:rPr>
        <w:t>383,383,700</w:t>
      </w:r>
      <w:r>
        <w:rPr/>
        <w:t>股。</w:t>
      </w:r>
    </w:p>
    <w:p>
      <w:pPr>
        <w:spacing w:line="240" w:lineRule="auto" w:before="0"/>
        <w:rPr>
          <w:rFonts w:ascii="宋体" w:hAnsi="宋体" w:cs="宋体" w:eastAsia="宋体" w:hint="default"/>
          <w:sz w:val="18"/>
          <w:szCs w:val="18"/>
        </w:rPr>
      </w:pPr>
    </w:p>
    <w:p>
      <w:pPr>
        <w:pStyle w:val="Heading2"/>
        <w:spacing w:line="240" w:lineRule="auto" w:before="158"/>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4"/>
        <w:gridCol w:w="1365"/>
        <w:gridCol w:w="1378"/>
        <w:gridCol w:w="1362"/>
        <w:gridCol w:w="1368"/>
        <w:gridCol w:w="1365"/>
        <w:gridCol w:w="1372"/>
      </w:tblGrid>
      <w:tr>
        <w:trPr>
          <w:trHeight w:val="408" w:hRule="exact"/>
        </w:trPr>
        <w:tc>
          <w:tcPr>
            <w:tcW w:w="2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78"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31,835</w:t>
            </w:r>
          </w:p>
        </w:tc>
        <w:tc>
          <w:tcPr>
            <w:tcW w:w="40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个交易日末的股东总数</w:t>
            </w:r>
          </w:p>
        </w:tc>
        <w:tc>
          <w:tcPr>
            <w:tcW w:w="13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31,667</w:t>
            </w:r>
          </w:p>
        </w:tc>
      </w:tr>
      <w:tr>
        <w:trPr>
          <w:trHeight w:val="39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1" w:hRule="exact"/>
        </w:trPr>
        <w:tc>
          <w:tcPr>
            <w:tcW w:w="13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30" w:right="47"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3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2" w:hRule="exact"/>
        </w:trPr>
        <w:tc>
          <w:tcPr>
            <w:tcW w:w="13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8"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3"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68" w:type="dxa"/>
            <w:vMerge/>
            <w:tcBorders>
              <w:left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365" w:type="dxa"/>
            <w:vMerge/>
            <w:tcBorders>
              <w:left w:val="single" w:sz="4" w:space="0" w:color="000000"/>
              <w:bottom w:val="nil" w:sz="6" w:space="0" w:color="auto"/>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2"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c>
          <w:tcPr>
            <w:tcW w:w="13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13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5" w:type="dxa"/>
            <w:vMerge/>
            <w:tcBorders>
              <w:left w:val="single" w:sz="4" w:space="0" w:color="000000"/>
              <w:bottom w:val="single" w:sz="4" w:space="0" w:color="000000"/>
              <w:right w:val="single" w:sz="4" w:space="0" w:color="000000"/>
            </w:tcBorders>
            <w:shd w:val="clear" w:color="auto" w:fill="D2D2D2"/>
          </w:tcPr>
          <w:p>
            <w:pPr/>
          </w:p>
        </w:tc>
        <w:tc>
          <w:tcPr>
            <w:tcW w:w="1372"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李力</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13.78%</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52,828,968</w:t>
            </w:r>
          </w:p>
        </w:tc>
        <w:tc>
          <w:tcPr>
            <w:tcW w:w="1368"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8"/>
                <w:szCs w:val="18"/>
              </w:rPr>
            </w:pPr>
            <w:r>
              <w:rPr>
                <w:rFonts w:ascii="Times New Roman"/>
                <w:spacing w:val="-1"/>
                <w:sz w:val="18"/>
              </w:rPr>
              <w:t>39,621,726</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王宁</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13.78%</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52,828,968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39,621,726</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齐强</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7.22%</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27,675,390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20,756,542</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黄松浪</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6.06%</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23,232,276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17,424,207</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王国华</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5.73%</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21,977,724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16,483,293</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万能</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4.85%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18,585,816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13,939,362</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徐斯平</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4.06%</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15,546,240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11,659,680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汪铖</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3.21%</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12,309,432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9,232,074</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汇金立方资本管 理有限公司</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2.01%</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7,694,600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赵林</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1.82%</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6,958,800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1" w:hRule="exact"/>
        </w:trPr>
        <w:tc>
          <w:tcPr>
            <w:tcW w:w="27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62"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3" w:hRule="exact"/>
        </w:trPr>
        <w:tc>
          <w:tcPr>
            <w:tcW w:w="2728" w:type="dxa"/>
            <w:gridSpan w:val="2"/>
            <w:vMerge/>
            <w:tcBorders>
              <w:left w:val="single" w:sz="4" w:space="0" w:color="000000"/>
              <w:bottom w:val="single" w:sz="4" w:space="0" w:color="000000"/>
              <w:right w:val="single" w:sz="4" w:space="0" w:color="000000"/>
            </w:tcBorders>
            <w:shd w:val="clear" w:color="auto" w:fill="D2D2D2"/>
          </w:tcPr>
          <w:p>
            <w:pPr/>
          </w:p>
        </w:tc>
        <w:tc>
          <w:tcPr>
            <w:tcW w:w="4108" w:type="dxa"/>
            <w:gridSpan w:val="3"/>
            <w:vMerge/>
            <w:tcBorders>
              <w:left w:val="single" w:sz="4" w:space="0" w:color="000000"/>
              <w:bottom w:val="single" w:sz="4" w:space="0" w:color="000000"/>
              <w:right w:val="single" w:sz="4" w:space="0" w:color="000000"/>
            </w:tcBorders>
            <w:shd w:val="clear" w:color="auto" w:fill="D2D2D2"/>
          </w:tcPr>
          <w:p>
            <w:pP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13"/>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李力</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13,207,242</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0"/>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13,207,242</w:t>
            </w:r>
          </w:p>
        </w:tc>
      </w:tr>
      <w:tr>
        <w:trPr>
          <w:trHeight w:val="403"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王宁</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13,207,242</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0"/>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13,207,242</w:t>
            </w:r>
          </w:p>
        </w:tc>
      </w:tr>
      <w:tr>
        <w:trPr>
          <w:trHeight w:val="401"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汇金立方资本管理有限公司</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7,694,600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0"/>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7,694,600</w:t>
            </w:r>
          </w:p>
        </w:tc>
      </w:tr>
      <w:tr>
        <w:trPr>
          <w:trHeight w:val="403"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赵林</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6,958,800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0"/>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6,958,800</w:t>
            </w:r>
          </w:p>
        </w:tc>
      </w:tr>
      <w:tr>
        <w:trPr>
          <w:trHeight w:val="401"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齐强</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6,918,848</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0"/>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6,918,848</w:t>
            </w:r>
          </w:p>
        </w:tc>
      </w:tr>
      <w:tr>
        <w:trPr>
          <w:trHeight w:val="403"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黄松浪</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5,808,069</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0"/>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5,808,069</w:t>
            </w:r>
          </w:p>
        </w:tc>
      </w:tr>
      <w:tr>
        <w:trPr>
          <w:trHeight w:val="401"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王国华</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5,494,431</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0"/>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5,494,431</w:t>
            </w:r>
          </w:p>
        </w:tc>
      </w:tr>
      <w:tr>
        <w:trPr>
          <w:trHeight w:val="403"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万能</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4,646,454</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0"/>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4,646,454</w:t>
            </w:r>
          </w:p>
        </w:tc>
      </w:tr>
      <w:tr>
        <w:trPr>
          <w:trHeight w:val="401"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徐斯平</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3,886,560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0"/>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3,886,560</w:t>
            </w:r>
          </w:p>
        </w:tc>
      </w:tr>
      <w:tr>
        <w:trPr>
          <w:trHeight w:val="403"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汪铖</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3,077,358</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0"/>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3,077,358</w:t>
            </w:r>
          </w:p>
        </w:tc>
      </w:tr>
      <w:tr>
        <w:trPr>
          <w:trHeight w:val="713" w:hRule="exact"/>
        </w:trPr>
        <w:tc>
          <w:tcPr>
            <w:tcW w:w="2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72"/>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5" w:type="dxa"/>
            <w:gridSpan w:val="5"/>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8" w:right="21"/>
              <w:jc w:val="left"/>
              <w:rPr>
                <w:rFonts w:ascii="宋体" w:hAnsi="宋体" w:cs="宋体" w:eastAsia="宋体" w:hint="default"/>
                <w:sz w:val="18"/>
                <w:szCs w:val="18"/>
              </w:rPr>
            </w:pPr>
            <w:r>
              <w:rPr>
                <w:rFonts w:ascii="宋体" w:hAnsi="宋体" w:cs="宋体" w:eastAsia="宋体" w:hint="default"/>
                <w:spacing w:val="-2"/>
                <w:sz w:val="18"/>
                <w:szCs w:val="18"/>
              </w:rPr>
              <w:t>本公司的并列第一大股东为自然人王宁先生、李力先生。双方签定了一致行动协议，为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一致行动人，是本公司的实际控制人。</w:t>
            </w:r>
          </w:p>
        </w:tc>
      </w:tr>
    </w:tbl>
    <w:p>
      <w:pPr>
        <w:spacing w:after="0" w:line="314" w:lineRule="auto"/>
        <w:jc w:val="left"/>
        <w:rPr>
          <w:rFonts w:ascii="宋体" w:hAnsi="宋体" w:cs="宋体" w:eastAsia="宋体" w:hint="default"/>
          <w:sz w:val="18"/>
          <w:szCs w:val="18"/>
        </w:rPr>
        <w:sectPr>
          <w:pgSz w:w="11910" w:h="16840"/>
          <w:pgMar w:header="852" w:footer="980" w:top="1340" w:bottom="1160" w:left="980" w:right="980"/>
        </w:sectPr>
      </w:pPr>
    </w:p>
    <w:p>
      <w:pPr>
        <w:pStyle w:val="Heading3"/>
        <w:spacing w:line="240" w:lineRule="auto" w:before="81"/>
        <w:ind w:right="0"/>
        <w:jc w:val="both"/>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3</w:t>
      </w:r>
      <w:r>
        <w:rPr/>
        <w:t>、公司实际控制人情况</w:t>
      </w:r>
      <w:r>
        <w:rPr>
          <w:b w:val="0"/>
          <w:bCs w:val="0"/>
        </w:rPr>
      </w:r>
    </w:p>
    <w:p>
      <w:pPr>
        <w:pStyle w:val="BodyText"/>
        <w:spacing w:line="600" w:lineRule="atLeast" w:before="56"/>
        <w:ind w:left="573" w:right="177"/>
        <w:jc w:val="left"/>
      </w:pPr>
      <w:r>
        <w:rPr/>
        <w:t>报告期内，公司控股股东及实际控制人未发生变化，为王宁和李力先生，相关情况如下： 王宁先生</w:t>
      </w:r>
      <w:r>
        <w:rPr>
          <w:spacing w:val="-5"/>
        </w:rPr>
        <w:t>，</w:t>
      </w:r>
      <w:r>
        <w:rPr>
          <w:rFonts w:ascii="Times New Roman" w:hAnsi="Times New Roman" w:cs="Times New Roman" w:eastAsia="Times New Roman" w:hint="default"/>
          <w:spacing w:val="1"/>
        </w:rPr>
        <w:t>1961</w:t>
      </w:r>
      <w:r>
        <w:rPr/>
        <w:t>年出生</w:t>
      </w:r>
      <w:r>
        <w:rPr>
          <w:spacing w:val="-5"/>
        </w:rPr>
        <w:t>，</w:t>
      </w:r>
      <w:r>
        <w:rPr/>
        <w:t>毕</w:t>
      </w:r>
      <w:r>
        <w:rPr>
          <w:spacing w:val="-3"/>
        </w:rPr>
        <w:t>业</w:t>
      </w:r>
      <w:r>
        <w:rPr/>
        <w:t>于河北大学</w:t>
      </w:r>
      <w:r>
        <w:rPr>
          <w:spacing w:val="-5"/>
        </w:rPr>
        <w:t>，</w:t>
      </w:r>
      <w:r>
        <w:rPr/>
        <w:t>理学</w:t>
      </w:r>
      <w:r>
        <w:rPr>
          <w:spacing w:val="-5"/>
        </w:rPr>
        <w:t>、</w:t>
      </w:r>
      <w:r>
        <w:rPr/>
        <w:t>法学双</w:t>
      </w:r>
      <w:r>
        <w:rPr>
          <w:spacing w:val="2"/>
        </w:rPr>
        <w:t>学</w:t>
      </w:r>
      <w:r>
        <w:rPr/>
        <w:t>士</w:t>
      </w:r>
      <w:r>
        <w:rPr>
          <w:spacing w:val="-5"/>
        </w:rPr>
        <w:t>，</w:t>
      </w:r>
      <w:r>
        <w:rPr/>
        <w:t>荣</w:t>
      </w:r>
      <w:r>
        <w:rPr>
          <w:spacing w:val="1"/>
        </w:rPr>
        <w:t>获</w:t>
      </w:r>
      <w:r>
        <w:rPr>
          <w:rFonts w:ascii="Times New Roman" w:hAnsi="Times New Roman" w:cs="Times New Roman" w:eastAsia="Times New Roman" w:hint="default"/>
          <w:spacing w:val="1"/>
        </w:rPr>
        <w:t>2006</w:t>
      </w:r>
      <w:r>
        <w:rPr/>
        <w:t>年</w:t>
      </w:r>
      <w:r>
        <w:rPr>
          <w:rFonts w:ascii="Times New Roman" w:hAnsi="Times New Roman" w:cs="Times New Roman" w:eastAsia="Times New Roman" w:hint="default"/>
          <w:spacing w:val="-1"/>
          <w:w w:val="44"/>
        </w:rPr>
        <w:t>―</w:t>
      </w:r>
      <w:r>
        <w:rPr/>
        <w:t>中国软件企</w:t>
      </w:r>
      <w:r>
        <w:rPr>
          <w:spacing w:val="-3"/>
        </w:rPr>
        <w:t>业</w:t>
      </w:r>
      <w:r>
        <w:rPr/>
        <w:t>十大领军人物</w:t>
      </w:r>
      <w:r>
        <w:rPr>
          <w:rFonts w:ascii="Times New Roman" w:hAnsi="Times New Roman" w:cs="Times New Roman" w:eastAsia="Times New Roman" w:hint="default"/>
          <w:spacing w:val="-1"/>
          <w:w w:val="158"/>
        </w:rPr>
        <w:t>‖</w:t>
      </w:r>
      <w:r>
        <w:rPr>
          <w:spacing w:val="-5"/>
        </w:rPr>
        <w:t>、</w:t>
      </w:r>
      <w:r>
        <w:rPr>
          <w:rFonts w:ascii="Times New Roman" w:hAnsi="Times New Roman" w:cs="Times New Roman" w:eastAsia="Times New Roman" w:hint="default"/>
          <w:spacing w:val="1"/>
        </w:rPr>
        <w:t>2009</w:t>
      </w:r>
      <w:r>
        <w:rPr/>
        <w:t>年</w:t>
      </w:r>
      <w:r>
        <w:rPr>
          <w:rFonts w:ascii="Times New Roman" w:hAnsi="Times New Roman" w:cs="Times New Roman" w:eastAsia="Times New Roman" w:hint="default"/>
          <w:spacing w:val="-1"/>
          <w:w w:val="44"/>
        </w:rPr>
        <w:t>―</w:t>
      </w:r>
      <w:r>
        <w:rPr/>
        <w:t>中</w:t>
      </w:r>
    </w:p>
    <w:p>
      <w:pPr>
        <w:spacing w:line="240" w:lineRule="auto" w:before="9"/>
        <w:rPr>
          <w:rFonts w:ascii="宋体" w:hAnsi="宋体" w:cs="宋体" w:eastAsia="宋体" w:hint="default"/>
          <w:sz w:val="16"/>
          <w:szCs w:val="16"/>
        </w:rPr>
      </w:pPr>
    </w:p>
    <w:p>
      <w:pPr>
        <w:pStyle w:val="BodyText"/>
        <w:spacing w:line="451" w:lineRule="auto"/>
        <w:ind w:right="191"/>
        <w:jc w:val="both"/>
      </w:pPr>
      <w:r>
        <w:rPr/>
        <w:t>国软件</w:t>
      </w:r>
      <w:r>
        <w:rPr>
          <w:spacing w:val="2"/>
        </w:rPr>
        <w:t>产</w:t>
      </w:r>
      <w:r>
        <w:rPr/>
        <w:t>业发展</w:t>
      </w:r>
      <w:r>
        <w:rPr>
          <w:spacing w:val="2"/>
        </w:rPr>
        <w:t>功</w:t>
      </w:r>
      <w:r>
        <w:rPr/>
        <w:t>勋人</w:t>
      </w:r>
      <w:r>
        <w:rPr>
          <w:spacing w:val="3"/>
        </w:rPr>
        <w:t>物</w:t>
      </w:r>
      <w:r>
        <w:rPr>
          <w:rFonts w:ascii="Times New Roman" w:hAnsi="Times New Roman" w:cs="Times New Roman" w:eastAsia="Times New Roman" w:hint="default"/>
          <w:spacing w:val="-1"/>
          <w:w w:val="158"/>
        </w:rPr>
        <w:t>‖</w:t>
      </w:r>
      <w:r>
        <w:rPr>
          <w:spacing w:val="2"/>
        </w:rPr>
        <w:t>及</w:t>
      </w:r>
      <w:r>
        <w:rPr>
          <w:rFonts w:ascii="Times New Roman" w:hAnsi="Times New Roman" w:cs="Times New Roman" w:eastAsia="Times New Roman" w:hint="default"/>
          <w:spacing w:val="1"/>
          <w:w w:val="44"/>
        </w:rPr>
        <w:t>―</w:t>
      </w:r>
      <w:r>
        <w:rPr/>
        <w:t>中国软</w:t>
      </w:r>
      <w:r>
        <w:rPr>
          <w:spacing w:val="2"/>
        </w:rPr>
        <w:t>件</w:t>
      </w:r>
      <w:r>
        <w:rPr/>
        <w:t>产业杰</w:t>
      </w:r>
      <w:r>
        <w:rPr>
          <w:spacing w:val="2"/>
        </w:rPr>
        <w:t>出</w:t>
      </w:r>
      <w:r>
        <w:rPr/>
        <w:t>企业</w:t>
      </w:r>
      <w:r>
        <w:rPr>
          <w:spacing w:val="3"/>
        </w:rPr>
        <w:t>家</w:t>
      </w:r>
      <w:r>
        <w:rPr>
          <w:rFonts w:ascii="Times New Roman" w:hAnsi="Times New Roman" w:cs="Times New Roman" w:eastAsia="Times New Roman" w:hint="default"/>
          <w:spacing w:val="-1"/>
          <w:w w:val="158"/>
        </w:rPr>
        <w:t>‖</w:t>
      </w:r>
      <w:r>
        <w:rPr>
          <w:spacing w:val="2"/>
        </w:rPr>
        <w:t>。曾</w:t>
      </w:r>
      <w:r>
        <w:rPr/>
        <w:t>任河北</w:t>
      </w:r>
      <w:r>
        <w:rPr>
          <w:spacing w:val="2"/>
        </w:rPr>
        <w:t>大</w:t>
      </w:r>
      <w:r>
        <w:rPr/>
        <w:t>学校团</w:t>
      </w:r>
      <w:r>
        <w:rPr>
          <w:spacing w:val="2"/>
        </w:rPr>
        <w:t>委</w:t>
      </w:r>
      <w:r>
        <w:rPr/>
        <w:t>书记</w:t>
      </w:r>
      <w:r>
        <w:rPr>
          <w:spacing w:val="2"/>
        </w:rPr>
        <w:t>、</w:t>
      </w:r>
      <w:r>
        <w:rPr/>
        <w:t>河</w:t>
      </w:r>
      <w:r>
        <w:rPr>
          <w:spacing w:val="2"/>
        </w:rPr>
        <w:t>北</w:t>
      </w:r>
      <w:r>
        <w:rPr/>
        <w:t>大学出</w:t>
      </w:r>
      <w:r>
        <w:rPr>
          <w:spacing w:val="2"/>
        </w:rPr>
        <w:t>版</w:t>
      </w:r>
      <w:r>
        <w:rPr/>
        <w:t>社社长</w:t>
      </w:r>
      <w:r>
        <w:rPr>
          <w:spacing w:val="2"/>
        </w:rPr>
        <w:t>、</w:t>
      </w:r>
      <w:r>
        <w:rPr/>
        <w:t>联想</w:t>
      </w:r>
      <w:r>
        <w:rPr>
          <w:spacing w:val="2"/>
        </w:rPr>
        <w:t>集</w:t>
      </w:r>
      <w:r>
        <w:rPr/>
        <w:t>团</w:t>
      </w:r>
      <w:r>
        <w:rPr>
          <w:spacing w:val="2"/>
        </w:rPr>
        <w:t>工</w:t>
      </w:r>
      <w:r>
        <w:rPr/>
        <w:t>控</w:t>
      </w:r>
      <w:r>
        <w:rPr/>
        <w:t> 公司电脑部经理、北京新海拓科技公司总经理，北京神州泰岳科技有限公司副总经理、总经理。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月至今担任公司董</w:t>
      </w:r>
      <w:r>
        <w:rPr>
          <w:spacing w:val="-83"/>
        </w:rPr>
        <w:t> </w:t>
      </w:r>
      <w:r>
        <w:rPr>
          <w:spacing w:val="-83"/>
        </w:rPr>
      </w:r>
      <w:r>
        <w:rPr/>
        <w:t>事长，其中，</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月，曾任公司财务负责人、总经理。兼任北京启天同信科技有限公司董事。</w:t>
      </w:r>
    </w:p>
    <w:p>
      <w:pPr>
        <w:pStyle w:val="BodyText"/>
        <w:spacing w:line="240" w:lineRule="auto" w:before="115"/>
        <w:ind w:left="573" w:right="0"/>
        <w:jc w:val="left"/>
      </w:pPr>
      <w:r>
        <w:rPr/>
        <w:t>李力先生，</w:t>
      </w:r>
      <w:r>
        <w:rPr>
          <w:rFonts w:ascii="Times New Roman" w:hAnsi="Times New Roman" w:cs="Times New Roman" w:eastAsia="Times New Roman" w:hint="default"/>
        </w:rPr>
        <w:t>1971</w:t>
      </w:r>
      <w:r>
        <w:rPr/>
        <w:t>年出生，毕业于首都经贸大学；曾任北京力霸科技有限公司副总经理。李力先生作为公司主要创始人，</w:t>
      </w:r>
    </w:p>
    <w:p>
      <w:pPr>
        <w:spacing w:line="240" w:lineRule="auto" w:before="9"/>
        <w:rPr>
          <w:rFonts w:ascii="宋体" w:hAnsi="宋体" w:cs="宋体" w:eastAsia="宋体" w:hint="default"/>
          <w:sz w:val="16"/>
          <w:szCs w:val="16"/>
        </w:rPr>
      </w:pPr>
    </w:p>
    <w:p>
      <w:pPr>
        <w:spacing w:line="520" w:lineRule="auto" w:before="0"/>
        <w:ind w:left="152" w:right="2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月至今历任公司董事、常务副总经理、总经理。兼任北京启天同信科技有限公司董事。 </w:t>
      </w:r>
      <w:r>
        <w:rPr>
          <w:rFonts w:ascii="宋体" w:hAnsi="宋体" w:cs="宋体" w:eastAsia="宋体" w:hint="default"/>
          <w:b/>
          <w:bCs/>
          <w:sz w:val="18"/>
          <w:szCs w:val="18"/>
        </w:rPr>
        <w:t>公司与实际控制人之间的产权及控制关系的方框图</w:t>
      </w:r>
      <w:r>
        <w:rPr>
          <w:rFonts w:ascii="宋体" w:hAnsi="宋体" w:cs="宋体" w:eastAsia="宋体" w:hint="default"/>
          <w:sz w:val="18"/>
          <w:szCs w:val="18"/>
        </w:rPr>
      </w:r>
    </w:p>
    <w:p>
      <w:pPr>
        <w:spacing w:line="240" w:lineRule="auto" w:before="3"/>
        <w:rPr>
          <w:rFonts w:ascii="宋体" w:hAnsi="宋体" w:cs="宋体" w:eastAsia="宋体" w:hint="default"/>
          <w:b/>
          <w:bCs/>
          <w:sz w:val="11"/>
          <w:szCs w:val="11"/>
        </w:rPr>
      </w:pPr>
    </w:p>
    <w:p>
      <w:pPr>
        <w:spacing w:line="2764" w:lineRule="exact"/>
        <w:ind w:left="2277" w:right="0" w:firstLine="0"/>
        <w:rPr>
          <w:rFonts w:ascii="宋体" w:hAnsi="宋体" w:cs="宋体" w:eastAsia="宋体" w:hint="default"/>
          <w:sz w:val="20"/>
          <w:szCs w:val="20"/>
        </w:rPr>
      </w:pPr>
      <w:r>
        <w:rPr>
          <w:rFonts w:ascii="宋体" w:hAnsi="宋体" w:cs="宋体" w:eastAsia="宋体" w:hint="default"/>
          <w:position w:val="-54"/>
          <w:sz w:val="20"/>
          <w:szCs w:val="20"/>
        </w:rPr>
        <w:drawing>
          <wp:inline distT="0" distB="0" distL="0" distR="0">
            <wp:extent cx="3399045" cy="1755648"/>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22" cstate="print"/>
                    <a:stretch>
                      <a:fillRect/>
                    </a:stretch>
                  </pic:blipFill>
                  <pic:spPr>
                    <a:xfrm>
                      <a:off x="0" y="0"/>
                      <a:ext cx="3399045" cy="1755648"/>
                    </a:xfrm>
                    <a:prstGeom prst="rect">
                      <a:avLst/>
                    </a:prstGeom>
                  </pic:spPr>
                </pic:pic>
              </a:graphicData>
            </a:graphic>
          </wp:inline>
        </w:drawing>
      </w:r>
      <w:r>
        <w:rPr>
          <w:rFonts w:ascii="宋体" w:hAnsi="宋体" w:cs="宋体" w:eastAsia="宋体" w:hint="default"/>
          <w:position w:val="-54"/>
          <w:sz w:val="20"/>
          <w:szCs w:val="20"/>
        </w:rPr>
      </w:r>
    </w:p>
    <w:p>
      <w:pPr>
        <w:spacing w:line="240" w:lineRule="auto" w:before="6"/>
        <w:rPr>
          <w:rFonts w:ascii="宋体" w:hAnsi="宋体" w:cs="宋体" w:eastAsia="宋体" w:hint="default"/>
          <w:b/>
          <w:bCs/>
          <w:sz w:val="24"/>
          <w:szCs w:val="24"/>
        </w:rPr>
      </w:pPr>
    </w:p>
    <w:p>
      <w:pPr>
        <w:pStyle w:val="Heading5"/>
        <w:spacing w:line="240" w:lineRule="auto"/>
        <w:ind w:right="0"/>
        <w:jc w:val="both"/>
        <w:rPr>
          <w:b w:val="0"/>
          <w:bCs w:val="0"/>
        </w:rPr>
      </w:pPr>
      <w:r>
        <w:rPr/>
        <w:t>实际控制人通过信托或其他资产管理方式控制公司</w:t>
      </w:r>
      <w:r>
        <w:rPr>
          <w:b w:val="0"/>
          <w:bCs w:val="0"/>
        </w:rPr>
      </w:r>
    </w:p>
    <w:p>
      <w:pPr>
        <w:spacing w:line="240" w:lineRule="auto" w:before="12"/>
        <w:rPr>
          <w:rFonts w:ascii="宋体" w:hAnsi="宋体" w:cs="宋体" w:eastAsia="宋体" w:hint="default"/>
          <w:b/>
          <w:bCs/>
          <w:sz w:val="20"/>
          <w:szCs w:val="20"/>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5</w:t>
      </w:r>
      <w:r>
        <w:rPr/>
        <w:t>、前</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名有限售条件股东持股数量及限售条件</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1" w:hanging="452"/>
              <w:jc w:val="left"/>
              <w:rPr>
                <w:rFonts w:ascii="宋体" w:hAnsi="宋体" w:cs="宋体" w:eastAsia="宋体" w:hint="default"/>
                <w:sz w:val="18"/>
                <w:szCs w:val="18"/>
              </w:rPr>
            </w:pPr>
            <w:r>
              <w:rPr>
                <w:rFonts w:ascii="宋体" w:hAnsi="宋体" w:cs="宋体" w:eastAsia="宋体" w:hint="default"/>
                <w:sz w:val="18"/>
                <w:szCs w:val="18"/>
              </w:rPr>
              <w:t>持有的有限售条件股份 数量（股）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39,621,726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39,621,726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高管锁定</w:t>
            </w:r>
          </w:p>
        </w:tc>
      </w:tr>
    </w:tbl>
    <w:p>
      <w:pPr>
        <w:spacing w:after="0" w:line="240" w:lineRule="auto"/>
        <w:jc w:val="left"/>
        <w:rPr>
          <w:rFonts w:ascii="宋体" w:hAnsi="宋体" w:cs="宋体" w:eastAsia="宋体" w:hint="default"/>
          <w:sz w:val="18"/>
          <w:szCs w:val="18"/>
        </w:rPr>
        <w:sectPr>
          <w:pgSz w:w="11910" w:h="16840"/>
          <w:pgMar w:header="852" w:footer="980" w:top="1340" w:bottom="1160" w:left="980" w:right="940"/>
        </w:sectPr>
      </w:pPr>
    </w:p>
    <w:p>
      <w:pPr>
        <w:spacing w:line="240" w:lineRule="auto" w:before="2"/>
        <w:rPr>
          <w:rFonts w:ascii="Times New Roman" w:hAnsi="Times New Roman" w:cs="Times New Roman" w:eastAsia="Times New Roman"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齐强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20,756,542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黄松浪</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17,424,207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王国华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16,483,293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万能</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13,939,362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徐斯平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11,659,680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汪铖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9,232,074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3,179,911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张振鹏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2,225,938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高管锁定</w:t>
            </w:r>
          </w:p>
        </w:tc>
      </w:tr>
    </w:tbl>
    <w:p>
      <w:pPr>
        <w:spacing w:after="0" w:line="240" w:lineRule="auto"/>
        <w:jc w:val="left"/>
        <w:rPr>
          <w:rFonts w:ascii="宋体" w:hAnsi="宋体" w:cs="宋体" w:eastAsia="宋体" w:hint="default"/>
          <w:sz w:val="18"/>
          <w:szCs w:val="18"/>
        </w:rPr>
        <w:sectPr>
          <w:pgSz w:w="11910" w:h="16840"/>
          <w:pgMar w:header="852" w:footer="980" w:top="134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p>
      <w:pPr>
        <w:pStyle w:val="Heading1"/>
        <w:spacing w:line="240" w:lineRule="auto"/>
        <w:ind w:left="1679" w:right="0"/>
        <w:jc w:val="left"/>
        <w:rPr>
          <w:b w:val="0"/>
          <w:bCs w:val="0"/>
        </w:rPr>
      </w:pPr>
      <w:bookmarkStart w:name="_TOC_250003" w:id="7"/>
      <w:r>
        <w:rPr/>
        <w:t>第七节</w:t>
      </w:r>
      <w:r>
        <w:rPr>
          <w:spacing w:val="-8"/>
        </w:rPr>
        <w:t> </w:t>
      </w:r>
      <w:r>
        <w:rPr/>
        <w:t>董事、监事、高级管理人员和员工情况</w:t>
      </w:r>
      <w:bookmarkEnd w:id="7"/>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pict>
          <v:shape style="position:absolute;margin-left:432.673004pt;margin-top:97.415596pt;width:56.7pt;height:15.6pt;mso-position-horizontal-relative:page;mso-position-vertical-relative:paragraph;z-index:-946576" type="#_x0000_t202" filled="false" stroked="false">
            <v:textbox inset="0,0,0,0">
              <w:txbxContent>
                <w:p>
                  <w:pPr>
                    <w:pStyle w:val="BodyText"/>
                    <w:spacing w:line="240" w:lineRule="auto" w:before="8"/>
                    <w:ind w:left="0" w:right="0"/>
                    <w:jc w:val="left"/>
                  </w:pPr>
                  <w:r>
                    <w:rPr/>
                    <w:t>（股）</w:t>
                  </w:r>
                </w:p>
              </w:txbxContent>
            </v:textbox>
            <w10:wrap type="none"/>
          </v:shape>
        </w:pict>
      </w:r>
      <w:r>
        <w:rPr/>
        <w:pict>
          <v:shape style="position:absolute;margin-left:518.979980pt;margin-top:99.461601pt;width:39.85pt;height:31.25pt;mso-position-horizontal-relative:page;mso-position-vertical-relative:paragraph;z-index:-946552" type="#_x0000_t202" filled="false" stroked="false">
            <v:textbox inset="0,0,0,0">
              <w:txbxContent>
                <w:p>
                  <w:pPr>
                    <w:pStyle w:val="BodyText"/>
                    <w:spacing w:line="203" w:lineRule="exact"/>
                    <w:ind w:left="0" w:right="0"/>
                    <w:jc w:val="left"/>
                  </w:pPr>
                  <w:r>
                    <w:rPr/>
                    <w:t>）</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684"/>
        <w:gridCol w:w="682"/>
        <w:gridCol w:w="682"/>
        <w:gridCol w:w="685"/>
        <w:gridCol w:w="684"/>
        <w:gridCol w:w="684"/>
        <w:gridCol w:w="936"/>
        <w:gridCol w:w="684"/>
        <w:gridCol w:w="684"/>
        <w:gridCol w:w="910"/>
        <w:gridCol w:w="685"/>
        <w:gridCol w:w="67"/>
        <w:gridCol w:w="615"/>
        <w:gridCol w:w="684"/>
        <w:gridCol w:w="67"/>
        <w:gridCol w:w="617"/>
      </w:tblGrid>
      <w:tr>
        <w:trPr>
          <w:trHeight w:val="1964"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5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2"/>
              <w:jc w:val="center"/>
              <w:rPr>
                <w:rFonts w:ascii="宋体" w:hAnsi="宋体" w:cs="宋体" w:eastAsia="宋体" w:hint="default"/>
                <w:sz w:val="18"/>
                <w:szCs w:val="18"/>
              </w:rPr>
            </w:pPr>
            <w:r>
              <w:rPr>
                <w:rFonts w:ascii="宋体" w:hAnsi="宋体" w:cs="宋体" w:eastAsia="宋体" w:hint="default"/>
                <w:sz w:val="18"/>
                <w:szCs w:val="18"/>
              </w:rPr>
              <w:t>年龄</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7" w:right="65"/>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7"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91" w:right="86"/>
              <w:jc w:val="left"/>
              <w:rPr>
                <w:rFonts w:ascii="宋体" w:hAnsi="宋体" w:cs="宋体" w:eastAsia="宋体" w:hint="default"/>
                <w:sz w:val="18"/>
                <w:szCs w:val="18"/>
              </w:rPr>
            </w:pPr>
            <w:r>
              <w:rPr>
                <w:rFonts w:ascii="宋体" w:hAnsi="宋体" w:cs="宋体" w:eastAsia="宋体" w:hint="default"/>
                <w:sz w:val="18"/>
                <w:szCs w:val="18"/>
              </w:rPr>
              <w:t>期末持股 数（股）</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65" w:firstLine="43"/>
              <w:jc w:val="both"/>
              <w:rPr>
                <w:rFonts w:ascii="宋体" w:hAnsi="宋体" w:cs="宋体" w:eastAsia="宋体" w:hint="default"/>
                <w:sz w:val="18"/>
                <w:szCs w:val="18"/>
              </w:rPr>
            </w:pPr>
            <w:r>
              <w:rPr>
                <w:rFonts w:ascii="宋体" w:hAnsi="宋体" w:cs="宋体" w:eastAsia="宋体" w:hint="default"/>
                <w:sz w:val="18"/>
                <w:szCs w:val="18"/>
              </w:rPr>
              <w:t>期初持 有股票 期权数 量</w:t>
            </w:r>
          </w:p>
        </w:tc>
        <w:tc>
          <w:tcPr>
            <w:tcW w:w="67" w:type="dxa"/>
            <w:tcBorders>
              <w:top w:val="single" w:sz="4" w:space="0" w:color="000000"/>
              <w:left w:val="single" w:sz="4" w:space="0" w:color="000000"/>
              <w:bottom w:val="single" w:sz="4" w:space="0" w:color="000000"/>
              <w:right w:val="nil" w:sz="6" w:space="0" w:color="auto"/>
            </w:tcBorders>
            <w:shd w:val="clear" w:color="auto" w:fill="D2D2D2"/>
          </w:tcPr>
          <w:p>
            <w:pPr/>
          </w:p>
        </w:tc>
        <w:tc>
          <w:tcPr>
            <w:tcW w:w="61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5" w:right="62"/>
              <w:jc w:val="both"/>
              <w:rPr>
                <w:rFonts w:ascii="宋体" w:hAnsi="宋体" w:cs="宋体" w:eastAsia="宋体" w:hint="default"/>
                <w:sz w:val="18"/>
                <w:szCs w:val="18"/>
              </w:rPr>
            </w:pPr>
            <w:r>
              <w:rPr>
                <w:rFonts w:ascii="宋体" w:hAnsi="宋体" w:cs="宋体" w:eastAsia="宋体" w:hint="default"/>
                <w:sz w:val="18"/>
                <w:szCs w:val="18"/>
              </w:rPr>
              <w:t>其中： 被授予 的限制 性股票 数量</w:t>
            </w:r>
          </w:p>
          <w:p>
            <w:pPr>
              <w:pStyle w:val="TableParagraph"/>
              <w:spacing w:line="240" w:lineRule="auto" w:before="19"/>
              <w:ind w:left="5"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65" w:firstLine="43"/>
              <w:jc w:val="both"/>
              <w:rPr>
                <w:rFonts w:ascii="宋体" w:hAnsi="宋体" w:cs="宋体" w:eastAsia="宋体" w:hint="default"/>
                <w:sz w:val="18"/>
                <w:szCs w:val="18"/>
              </w:rPr>
            </w:pPr>
            <w:r>
              <w:rPr>
                <w:rFonts w:ascii="宋体" w:hAnsi="宋体" w:cs="宋体" w:eastAsia="宋体" w:hint="default"/>
                <w:sz w:val="18"/>
                <w:szCs w:val="18"/>
              </w:rPr>
              <w:t>期末持 有股票 期权数 量（股</w:t>
            </w:r>
          </w:p>
        </w:tc>
        <w:tc>
          <w:tcPr>
            <w:tcW w:w="67" w:type="dxa"/>
            <w:tcBorders>
              <w:top w:val="single" w:sz="4" w:space="0" w:color="000000"/>
              <w:left w:val="single" w:sz="4" w:space="0" w:color="000000"/>
              <w:bottom w:val="single" w:sz="4" w:space="0" w:color="000000"/>
              <w:right w:val="nil" w:sz="6" w:space="0" w:color="auto"/>
            </w:tcBorders>
            <w:shd w:val="clear" w:color="auto" w:fill="D2D2D2"/>
          </w:tcPr>
          <w:p>
            <w:pPr/>
          </w:p>
        </w:tc>
        <w:tc>
          <w:tcPr>
            <w:tcW w:w="61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184" w:right="65" w:hanging="180"/>
              <w:jc w:val="left"/>
              <w:rPr>
                <w:rFonts w:ascii="宋体" w:hAnsi="宋体" w:cs="宋体" w:eastAsia="宋体" w:hint="default"/>
                <w:sz w:val="18"/>
                <w:szCs w:val="18"/>
              </w:rPr>
            </w:pPr>
            <w:r>
              <w:rPr>
                <w:rFonts w:ascii="宋体" w:hAnsi="宋体" w:cs="宋体" w:eastAsia="宋体" w:hint="default"/>
                <w:sz w:val="18"/>
                <w:szCs w:val="18"/>
              </w:rPr>
              <w:t>变动原 因</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52,828,968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52,828,968</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李力</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董事、 总经理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52,828,968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52,828,968</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黄松浪</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7" w:right="62"/>
              <w:jc w:val="center"/>
              <w:rPr>
                <w:rFonts w:ascii="宋体" w:hAnsi="宋体" w:cs="宋体" w:eastAsia="宋体" w:hint="default"/>
                <w:sz w:val="18"/>
                <w:szCs w:val="18"/>
              </w:rPr>
            </w:pPr>
            <w:r>
              <w:rPr>
                <w:rFonts w:ascii="宋体" w:hAnsi="宋体" w:cs="宋体" w:eastAsia="宋体" w:hint="default"/>
                <w:sz w:val="18"/>
                <w:szCs w:val="18"/>
              </w:rPr>
              <w:t>副董事 长、董 事会秘 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23,232,276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23,232,276</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581,000</w:t>
            </w: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47" w:right="65" w:hanging="180"/>
              <w:jc w:val="left"/>
              <w:rPr>
                <w:rFonts w:ascii="宋体" w:hAnsi="宋体" w:cs="宋体" w:eastAsia="宋体" w:hint="default"/>
                <w:sz w:val="18"/>
                <w:szCs w:val="18"/>
              </w:rPr>
            </w:pPr>
            <w:r>
              <w:rPr>
                <w:rFonts w:ascii="宋体" w:hAnsi="宋体" w:cs="宋体" w:eastAsia="宋体" w:hint="default"/>
                <w:sz w:val="18"/>
                <w:szCs w:val="18"/>
              </w:rPr>
              <w:t>股权激 励</w:t>
            </w:r>
          </w:p>
        </w:tc>
      </w:tr>
      <w:tr>
        <w:trPr>
          <w:trHeight w:val="102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王国华</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7" w:right="62"/>
              <w:jc w:val="both"/>
              <w:rPr>
                <w:rFonts w:ascii="宋体" w:hAnsi="宋体" w:cs="宋体" w:eastAsia="宋体" w:hint="default"/>
                <w:sz w:val="18"/>
                <w:szCs w:val="18"/>
              </w:rPr>
            </w:pPr>
            <w:r>
              <w:rPr>
                <w:rFonts w:ascii="宋体" w:hAnsi="宋体" w:cs="宋体" w:eastAsia="宋体" w:hint="default"/>
                <w:sz w:val="18"/>
                <w:szCs w:val="18"/>
              </w:rPr>
              <w:t>董事、 常务副 总经理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21,977,724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21,977,724</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股权激 励</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万能</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7" w:right="62"/>
              <w:jc w:val="center"/>
              <w:rPr>
                <w:rFonts w:ascii="宋体" w:hAnsi="宋体" w:cs="宋体" w:eastAsia="宋体" w:hint="default"/>
                <w:sz w:val="18"/>
                <w:szCs w:val="18"/>
              </w:rPr>
            </w:pPr>
            <w:r>
              <w:rPr>
                <w:rFonts w:ascii="宋体" w:hAnsi="宋体" w:cs="宋体" w:eastAsia="宋体" w:hint="default"/>
                <w:sz w:val="18"/>
                <w:szCs w:val="18"/>
              </w:rPr>
              <w:t>董事、 财务总 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18,585,816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18,585,816</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股权激 励</w:t>
            </w: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徐斯平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15,546,240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15,546,240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齐强</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27,675,390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27,675,390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陈冲</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蓝伯雄</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江锡如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独立董</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40" w:bottom="1160" w:left="980" w:right="600"/>
        </w:sectPr>
      </w:pPr>
    </w:p>
    <w:tbl>
      <w:tblPr>
        <w:tblW w:w="0" w:type="auto"/>
        <w:jc w:val="left"/>
        <w:tblInd w:w="148" w:type="dxa"/>
        <w:tblLayout w:type="fixed"/>
        <w:tblCellMar>
          <w:top w:w="0" w:type="dxa"/>
          <w:left w:w="0" w:type="dxa"/>
          <w:bottom w:w="0" w:type="dxa"/>
          <w:right w:w="0" w:type="dxa"/>
        </w:tblCellMar>
        <w:tblLook w:val="01E0"/>
      </w:tblPr>
      <w:tblGrid>
        <w:gridCol w:w="684"/>
        <w:gridCol w:w="682"/>
        <w:gridCol w:w="682"/>
        <w:gridCol w:w="685"/>
        <w:gridCol w:w="684"/>
        <w:gridCol w:w="684"/>
        <w:gridCol w:w="936"/>
        <w:gridCol w:w="684"/>
        <w:gridCol w:w="684"/>
        <w:gridCol w:w="910"/>
        <w:gridCol w:w="685"/>
        <w:gridCol w:w="682"/>
        <w:gridCol w:w="684"/>
        <w:gridCol w:w="684"/>
      </w:tblGrid>
      <w:tr>
        <w:trPr>
          <w:trHeight w:val="675"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事</w:t>
            </w: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刘凯湘</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李广刚</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55" w:right="62" w:hanging="89"/>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丁彦超</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郝岩</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职工监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汪铖</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12,309,432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12,309,432</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朱健松</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483,000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股权激 励</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陶磊</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483,000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股权激 励</w:t>
            </w: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2,580,000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二级市 场卖出</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张振鹏</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2,967,918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2,247,918</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二级市 场卖出</w:t>
            </w: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刘豪</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199,950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19,950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股权激 励</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许芃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4,239,882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4,239,882</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王志刚</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4,239,882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2,639,882</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二级市 场卖出</w:t>
            </w:r>
          </w:p>
        </w:tc>
      </w:tr>
      <w:tr>
        <w:trPr>
          <w:trHeight w:val="71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孙海粟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7" w:right="62" w:hanging="180"/>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440" w:bottom="1160" w:left="980" w:right="600"/>
        </w:sectPr>
      </w:pPr>
    </w:p>
    <w:p>
      <w:pPr>
        <w:spacing w:line="240" w:lineRule="auto" w:before="2"/>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683"/>
        <w:gridCol w:w="682"/>
        <w:gridCol w:w="682"/>
        <w:gridCol w:w="685"/>
        <w:gridCol w:w="684"/>
        <w:gridCol w:w="684"/>
        <w:gridCol w:w="936"/>
        <w:gridCol w:w="684"/>
        <w:gridCol w:w="684"/>
        <w:gridCol w:w="910"/>
        <w:gridCol w:w="685"/>
        <w:gridCol w:w="682"/>
        <w:gridCol w:w="685"/>
        <w:gridCol w:w="683"/>
      </w:tblGrid>
      <w:tr>
        <w:trPr>
          <w:trHeight w:val="363" w:hRule="exact"/>
        </w:trPr>
        <w:tc>
          <w:tcPr>
            <w:tcW w:w="68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75" w:right="0"/>
              <w:jc w:val="left"/>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240,482,49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85,950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237,948,44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85,950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二、任职情况</w:t>
      </w:r>
      <w:r>
        <w:rPr>
          <w:b w:val="0"/>
          <w:bCs w:val="0"/>
        </w:rPr>
      </w:r>
    </w:p>
    <w:p>
      <w:pPr>
        <w:spacing w:line="240" w:lineRule="auto" w:before="7"/>
        <w:rPr>
          <w:rFonts w:ascii="宋体" w:hAnsi="宋体" w:cs="宋体" w:eastAsia="宋体" w:hint="default"/>
          <w:b/>
          <w:bCs/>
          <w:sz w:val="32"/>
          <w:szCs w:val="32"/>
        </w:rPr>
      </w:pPr>
    </w:p>
    <w:p>
      <w:pPr>
        <w:pStyle w:val="BodyText"/>
        <w:spacing w:line="566" w:lineRule="auto"/>
        <w:ind w:left="573" w:right="3798" w:hanging="421"/>
        <w:jc w:val="left"/>
      </w:pPr>
      <w:r>
        <w:rPr/>
        <w:t>公司现任董事、监事、高级管理人员最近</w:t>
      </w:r>
      <w:r>
        <w:rPr>
          <w:spacing w:val="-45"/>
        </w:rPr>
        <w:t> </w:t>
      </w:r>
      <w:r>
        <w:rPr>
          <w:rFonts w:ascii="Times New Roman" w:hAnsi="Times New Roman" w:cs="Times New Roman" w:eastAsia="Times New Roman" w:hint="default"/>
        </w:rPr>
        <w:t>5 </w:t>
      </w:r>
      <w:r>
        <w:rPr/>
        <w:t>年的主要工作经历 </w:t>
      </w:r>
      <w:r>
        <w:rPr>
          <w:rFonts w:ascii="Times New Roman" w:hAnsi="Times New Roman" w:cs="Times New Roman" w:eastAsia="Times New Roman" w:hint="default"/>
          <w:b/>
          <w:bCs/>
        </w:rPr>
        <w:t>1</w:t>
      </w:r>
      <w:r>
        <w:rPr>
          <w:rFonts w:ascii="宋体" w:hAnsi="宋体" w:cs="宋体" w:eastAsia="宋体" w:hint="default"/>
          <w:b/>
          <w:bCs/>
        </w:rPr>
        <w:t>、董事会成员简介</w:t>
      </w:r>
      <w:r>
        <w:rPr>
          <w:rFonts w:ascii="宋体" w:hAnsi="宋体" w:cs="宋体" w:eastAsia="宋体" w:hint="default"/>
          <w:b/>
          <w:bCs/>
          <w:w w:val="99"/>
        </w:rPr>
        <w:t> </w:t>
      </w:r>
      <w:r>
        <w:rPr/>
        <w:t>公司董事会由十一名董事组成，其中独立董事四名，具体如下：</w:t>
      </w:r>
    </w:p>
    <w:p>
      <w:pPr>
        <w:pStyle w:val="BodyText"/>
        <w:spacing w:line="240" w:lineRule="auto" w:before="108"/>
        <w:ind w:left="573" w:right="0"/>
        <w:jc w:val="left"/>
      </w:pPr>
      <w:r>
        <w:rPr/>
        <w:t>王宁先生，董事长，简历见第六节之</w:t>
      </w:r>
      <w:r>
        <w:rPr>
          <w:rFonts w:ascii="Times New Roman" w:hAnsi="Times New Roman" w:cs="Times New Roman" w:eastAsia="Times New Roman" w:hint="default"/>
          <w:spacing w:val="-1"/>
          <w:w w:val="44"/>
        </w:rPr>
        <w:t>―</w:t>
      </w:r>
      <w:r>
        <w:rPr/>
        <w:t>三、控股股东及实际控制人情况</w:t>
      </w:r>
      <w:r>
        <w:rPr>
          <w:rFonts w:ascii="Times New Roman" w:hAnsi="Times New Roman" w:cs="Times New Roman" w:eastAsia="Times New Roman" w:hint="default"/>
          <w:spacing w:val="-1"/>
          <w:w w:val="158"/>
        </w:rPr>
        <w:t>‖</w:t>
      </w:r>
      <w:r>
        <w:rPr/>
        <w:t>。</w:t>
      </w:r>
    </w:p>
    <w:p>
      <w:pPr>
        <w:pStyle w:val="BodyText"/>
        <w:spacing w:line="580" w:lineRule="atLeast" w:before="8"/>
        <w:ind w:left="573" w:right="0"/>
        <w:jc w:val="left"/>
      </w:pPr>
      <w:r>
        <w:rPr>
          <w:spacing w:val="-1"/>
          <w:w w:val="100"/>
        </w:rPr>
        <w:t>李力先生，总经理，简历见第六节之</w:t>
      </w:r>
      <w:r>
        <w:rPr>
          <w:rFonts w:ascii="Times New Roman" w:hAnsi="Times New Roman" w:cs="Times New Roman" w:eastAsia="Times New Roman" w:hint="default"/>
          <w:spacing w:val="-1"/>
          <w:w w:val="100"/>
        </w:rPr>
        <w:t>―</w:t>
      </w:r>
      <w:r>
        <w:rPr>
          <w:spacing w:val="-1"/>
          <w:w w:val="100"/>
        </w:rPr>
        <w:t>三、控股股东及实际控制人情况</w:t>
      </w:r>
      <w:r>
        <w:rPr>
          <w:rFonts w:ascii="Times New Roman" w:hAnsi="Times New Roman" w:cs="Times New Roman" w:eastAsia="Times New Roman" w:hint="default"/>
          <w:spacing w:val="-1"/>
          <w:w w:val="100"/>
        </w:rPr>
        <w:t>‖</w:t>
      </w:r>
      <w:r>
        <w:rPr>
          <w:spacing w:val="-1"/>
          <w:w w:val="100"/>
        </w:rPr>
        <w:t>。</w:t>
      </w:r>
      <w:r>
        <w:rPr/>
        <w:t> 王国华先生，</w:t>
      </w:r>
      <w:r>
        <w:rPr>
          <w:rFonts w:ascii="Times New Roman" w:hAnsi="Times New Roman" w:cs="Times New Roman" w:eastAsia="Times New Roman" w:hint="default"/>
        </w:rPr>
        <w:t>1963</w:t>
      </w:r>
      <w:r>
        <w:rPr/>
        <w:t>年出生，毕业于天津大学系统工程专业，博士学位；曾任天津市学联主席和青联副主席，美国奔特</w:t>
      </w:r>
    </w:p>
    <w:p>
      <w:pPr>
        <w:spacing w:line="240" w:lineRule="auto" w:before="9"/>
        <w:rPr>
          <w:rFonts w:ascii="宋体" w:hAnsi="宋体" w:cs="宋体" w:eastAsia="宋体" w:hint="default"/>
          <w:sz w:val="16"/>
          <w:szCs w:val="16"/>
        </w:rPr>
      </w:pPr>
    </w:p>
    <w:p>
      <w:pPr>
        <w:pStyle w:val="BodyText"/>
        <w:spacing w:line="451" w:lineRule="auto"/>
        <w:ind w:right="0"/>
        <w:jc w:val="left"/>
      </w:pPr>
      <w:r>
        <w:rPr>
          <w:spacing w:val="-2"/>
        </w:rPr>
        <w:t>咨询公司高级项目经理、加拿大平台计算公司中国区总经理。</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10</w:t>
      </w:r>
      <w:r>
        <w:rPr>
          <w:spacing w:val="-2"/>
        </w:rPr>
        <w:t>月至今历任公司董事、副总经理、常务副总经理。现</w:t>
      </w:r>
      <w:r>
        <w:rPr>
          <w:spacing w:val="-63"/>
        </w:rPr>
        <w:t> </w:t>
      </w:r>
      <w:r>
        <w:rPr>
          <w:spacing w:val="-63"/>
        </w:rPr>
      </w:r>
      <w:r>
        <w:rPr/>
        <w:t>任公司董事、常务副总经理，兼任北京启天同信科技有限公司董事。</w:t>
      </w:r>
    </w:p>
    <w:p>
      <w:pPr>
        <w:pStyle w:val="BodyText"/>
        <w:spacing w:line="451" w:lineRule="auto" w:before="146"/>
        <w:ind w:right="531" w:firstLine="420"/>
        <w:jc w:val="both"/>
      </w:pPr>
      <w:r>
        <w:rPr/>
        <w:t>黄松浪先生，</w:t>
      </w:r>
      <w:r>
        <w:rPr>
          <w:rFonts w:ascii="Times New Roman" w:hAnsi="Times New Roman" w:cs="Times New Roman" w:eastAsia="Times New Roman" w:hint="default"/>
        </w:rPr>
        <w:t>1968</w:t>
      </w:r>
      <w:r>
        <w:rPr/>
        <w:t>年出生，毕业于清华大学，软件工程硕士学位，</w:t>
      </w:r>
      <w:r>
        <w:rPr>
          <w:rFonts w:ascii="Times New Roman" w:hAnsi="Times New Roman" w:cs="Times New Roman" w:eastAsia="Times New Roman" w:hint="default"/>
        </w:rPr>
        <w:t>2002</w:t>
      </w:r>
      <w:r>
        <w:rPr/>
        <w:t>年获美国新泽西州立大学</w:t>
      </w:r>
      <w:r>
        <w:rPr>
          <w:rFonts w:ascii="Times New Roman" w:hAnsi="Times New Roman" w:cs="Times New Roman" w:eastAsia="Times New Roman" w:hint="default"/>
        </w:rPr>
        <w:t>Rutgers</w:t>
      </w:r>
      <w:r>
        <w:rPr/>
        <w:t>商学院</w:t>
      </w:r>
      <w:r>
        <w:rPr>
          <w:rFonts w:ascii="Times New Roman" w:hAnsi="Times New Roman" w:cs="Times New Roman" w:eastAsia="Times New Roman" w:hint="default"/>
        </w:rPr>
        <w:t>EMBA</w:t>
      </w:r>
      <w:r>
        <w:rPr>
          <w:rFonts w:ascii="Times New Roman" w:hAnsi="Times New Roman" w:cs="Times New Roman" w:eastAsia="Times New Roman" w:hint="default"/>
          <w:w w:val="99"/>
        </w:rPr>
        <w:t> </w:t>
      </w:r>
      <w:r>
        <w:rPr/>
        <w:t>学位；曾任吉通通信有限公司技术总体部经理、中国惠普有限公司软件业务部总经理；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月至今任公司副董事长、董</w:t>
      </w:r>
      <w:r>
        <w:rPr>
          <w:spacing w:val="-84"/>
        </w:rPr>
        <w:t> </w:t>
      </w:r>
      <w:r>
        <w:rPr/>
        <w:t>事会秘书。现兼任大连华信计算机技术股份有限公司董事、北京神州泰岳顶策科技（北京）有限公司董事长。</w:t>
      </w:r>
    </w:p>
    <w:p>
      <w:pPr>
        <w:pStyle w:val="BodyText"/>
        <w:spacing w:line="451" w:lineRule="auto" w:before="146"/>
        <w:ind w:right="529" w:firstLine="420"/>
        <w:jc w:val="both"/>
      </w:pPr>
      <w:r>
        <w:rPr/>
        <w:t>万能先生，</w:t>
      </w:r>
      <w:r>
        <w:rPr>
          <w:rFonts w:ascii="Times New Roman" w:hAnsi="Times New Roman" w:cs="Times New Roman" w:eastAsia="Times New Roman" w:hint="default"/>
        </w:rPr>
        <w:t>1971</w:t>
      </w:r>
      <w:r>
        <w:rPr/>
        <w:t>年出生，毕业于北京科技大学；曾任北京科海天地电子技术有限公司技术部经理、北京中自公司技术 </w:t>
      </w:r>
      <w:r>
        <w:rPr>
          <w:spacing w:val="-2"/>
        </w:rPr>
        <w:t>部经理、北京神州泰岳科技有限公司副经理；</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5</w:t>
      </w:r>
      <w:r>
        <w:rPr>
          <w:spacing w:val="-2"/>
        </w:rPr>
        <w:t>月至今任公司董事，自</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7</w:t>
      </w:r>
      <w:r>
        <w:rPr>
          <w:spacing w:val="-2"/>
        </w:rPr>
        <w:t>月起担任公司财务总监。兼任北京启天</w:t>
      </w:r>
      <w:r>
        <w:rPr>
          <w:spacing w:val="-57"/>
        </w:rPr>
        <w:t> </w:t>
      </w:r>
      <w:r>
        <w:rPr>
          <w:spacing w:val="-57"/>
        </w:rPr>
      </w:r>
      <w:r>
        <w:rPr/>
        <w:t>同信科技有限公司董事。</w:t>
      </w:r>
    </w:p>
    <w:p>
      <w:pPr>
        <w:pStyle w:val="BodyText"/>
        <w:spacing w:line="451" w:lineRule="auto" w:before="146"/>
        <w:ind w:right="531" w:firstLine="420"/>
        <w:jc w:val="both"/>
      </w:pPr>
      <w:r>
        <w:rPr/>
        <w:t>齐强先生，</w:t>
      </w:r>
      <w:r>
        <w:rPr>
          <w:rFonts w:ascii="Times New Roman" w:hAnsi="Times New Roman" w:cs="Times New Roman" w:eastAsia="Times New Roman" w:hint="default"/>
        </w:rPr>
        <w:t>1970</w:t>
      </w:r>
      <w:r>
        <w:rPr/>
        <w:t>年出生，毕业于河北大学；曾任北京科海天地电子技术有限公司销售部经理、北京中自公司销售部经 理；</w:t>
      </w:r>
      <w:r>
        <w:rPr>
          <w:rFonts w:ascii="Times New Roman" w:hAnsi="Times New Roman" w:cs="Times New Roman" w:eastAsia="Times New Roman" w:hint="default"/>
        </w:rPr>
        <w:t>1997</w:t>
      </w:r>
      <w:r>
        <w:rPr/>
        <w:t>年至今历任北京神州泰岳科技有限公司副经理、北京启天同信科技有限公司总经理；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月至今任公司董事，</w:t>
      </w:r>
      <w:r>
        <w:rPr>
          <w:spacing w:val="-85"/>
        </w:rPr>
        <w:t> </w:t>
      </w:r>
      <w:r>
        <w:rPr>
          <w:spacing w:val="-85"/>
        </w:rPr>
      </w:r>
      <w:r>
        <w:rPr/>
        <w:t>兼任北京启天同信科技有限公司董事长、总经理。</w:t>
      </w:r>
    </w:p>
    <w:p>
      <w:pPr>
        <w:pStyle w:val="BodyText"/>
        <w:spacing w:line="451" w:lineRule="auto" w:before="146"/>
        <w:ind w:right="538" w:firstLine="420"/>
        <w:jc w:val="both"/>
      </w:pPr>
      <w:r>
        <w:rPr/>
        <w:t>徐斯平先生，</w:t>
      </w:r>
      <w:r>
        <w:rPr>
          <w:rFonts w:ascii="Times New Roman" w:hAnsi="Times New Roman" w:cs="Times New Roman" w:eastAsia="Times New Roman" w:hint="default"/>
        </w:rPr>
        <w:t>1958</w:t>
      </w:r>
      <w:r>
        <w:rPr/>
        <w:t>年出生，毕业于大连理工大学；曾先后任职于国家计委、国家经贸委、香港江胜集团、北京思乐信 息技术有限公司；</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6</w:t>
      </w:r>
      <w:r>
        <w:rPr/>
        <w:t>月至今任公司董事。兼任北京思乐信息技术有限公司董事长。</w:t>
      </w:r>
    </w:p>
    <w:p>
      <w:pPr>
        <w:pStyle w:val="BodyText"/>
        <w:spacing w:line="468" w:lineRule="auto" w:before="115"/>
        <w:ind w:right="531" w:firstLine="420"/>
        <w:jc w:val="both"/>
      </w:pPr>
      <w:r>
        <w:rPr/>
        <w:t>陈冲先生，</w:t>
      </w:r>
      <w:r>
        <w:rPr>
          <w:rFonts w:ascii="Times New Roman" w:hAnsi="Times New Roman" w:cs="Times New Roman" w:eastAsia="Times New Roman" w:hint="default"/>
        </w:rPr>
        <w:t>1944</w:t>
      </w:r>
      <w:r>
        <w:rPr/>
        <w:t>年出生，大学毕业，教授级高工。曾任机械电子工业部计算机司软件处处长、电子工业部计算机司软 </w:t>
      </w:r>
      <w:r>
        <w:rPr>
          <w:spacing w:val="-2"/>
        </w:rPr>
        <w:t>件处处长（副司级）、电子工业部计算机司副司长、信息产业部电子信息产品管理司副司长、信息产业部电子信息产品管理</w:t>
      </w:r>
      <w:r>
        <w:rPr>
          <w:spacing w:val="-64"/>
        </w:rPr>
        <w:t> </w:t>
      </w:r>
      <w:r>
        <w:rPr>
          <w:spacing w:val="-64"/>
        </w:rPr>
      </w:r>
      <w:r>
        <w:rPr>
          <w:spacing w:val="-2"/>
        </w:rPr>
        <w:t>司巡视员（正司级）、中国软件行业协会理事长；现任中国软件行业协会顾问、上海宝信软件股份有限公司独立董事、珠海</w:t>
      </w:r>
      <w:r>
        <w:rPr>
          <w:spacing w:val="-70"/>
        </w:rPr>
        <w:t> </w:t>
      </w:r>
      <w:r>
        <w:rPr>
          <w:spacing w:val="-70"/>
        </w:rPr>
      </w:r>
      <w:r>
        <w:rPr/>
        <w:t>万力达电气股份有限公司独立董事；</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月至今年担任公司独立董事。</w:t>
      </w:r>
    </w:p>
    <w:p>
      <w:pPr>
        <w:spacing w:after="0" w:line="468" w:lineRule="auto"/>
        <w:jc w:val="both"/>
        <w:sectPr>
          <w:pgSz w:w="11910" w:h="16840"/>
          <w:pgMar w:header="852" w:footer="980" w:top="1340" w:bottom="1160" w:left="980" w:right="600"/>
        </w:sectPr>
      </w:pPr>
    </w:p>
    <w:p>
      <w:pPr>
        <w:spacing w:line="240" w:lineRule="auto" w:before="6"/>
        <w:rPr>
          <w:rFonts w:ascii="宋体" w:hAnsi="宋体" w:cs="宋体" w:eastAsia="宋体" w:hint="default"/>
          <w:sz w:val="10"/>
          <w:szCs w:val="10"/>
        </w:rPr>
      </w:pPr>
    </w:p>
    <w:p>
      <w:pPr>
        <w:pStyle w:val="BodyText"/>
        <w:spacing w:line="470" w:lineRule="auto" w:before="44"/>
        <w:ind w:right="94" w:firstLine="420"/>
        <w:jc w:val="left"/>
      </w:pPr>
      <w:r>
        <w:rPr>
          <w:spacing w:val="-3"/>
        </w:rPr>
        <w:t>江锡如先生，</w:t>
      </w:r>
      <w:r>
        <w:rPr>
          <w:rFonts w:ascii="Times New Roman" w:hAnsi="Times New Roman" w:cs="Times New Roman" w:eastAsia="Times New Roman" w:hint="default"/>
          <w:spacing w:val="-3"/>
        </w:rPr>
        <w:t>1965</w:t>
      </w:r>
      <w:r>
        <w:rPr>
          <w:spacing w:val="-3"/>
        </w:rPr>
        <w:t>年</w:t>
      </w:r>
      <w:r>
        <w:rPr>
          <w:rFonts w:ascii="Times New Roman" w:hAnsi="Times New Roman" w:cs="Times New Roman" w:eastAsia="Times New Roman" w:hint="default"/>
          <w:spacing w:val="-3"/>
        </w:rPr>
        <w:t>2</w:t>
      </w:r>
      <w:r>
        <w:rPr>
          <w:spacing w:val="-3"/>
        </w:rPr>
        <w:t>月出生，毕业于中国人民大学，获经济学学士学位，高级会计师，党员。曾任财政部办公厅秘书；</w:t>
      </w:r>
      <w:r>
        <w:rPr/>
        <w:t> </w:t>
      </w:r>
      <w:r>
        <w:rPr>
          <w:spacing w:val="-2"/>
        </w:rPr>
        <w:t>财政部原商贸司副处长；财政部经贸司及企业司副处长；财政部企业司正处级调研员；中投信用担保有限公司财务总监兼财</w:t>
      </w:r>
      <w:r>
        <w:rPr>
          <w:spacing w:val="-63"/>
        </w:rPr>
        <w:t> </w:t>
      </w:r>
      <w:r>
        <w:rPr>
          <w:spacing w:val="-63"/>
        </w:rPr>
      </w:r>
      <w:r>
        <w:rPr>
          <w:spacing w:val="-2"/>
        </w:rPr>
        <w:t>务部总经理。现任中国华粮物流集团公司总经理助理；兼任中国华粮物流集团北良有限公司副总经理兼财务总监；北京东方</w:t>
      </w:r>
      <w:r>
        <w:rPr>
          <w:spacing w:val="-61"/>
        </w:rPr>
        <w:t> </w:t>
      </w:r>
      <w:r>
        <w:rPr>
          <w:spacing w:val="-61"/>
        </w:rPr>
      </w:r>
      <w:r>
        <w:rPr>
          <w:spacing w:val="-2"/>
        </w:rPr>
        <w:t>园林股份有限公司独立董事；上海凌云实业发展股份有限公司独立董事；北京顺鑫农业股份有限公司独立董事、北京立思辰</w:t>
      </w:r>
      <w:r>
        <w:rPr>
          <w:spacing w:val="-63"/>
        </w:rPr>
        <w:t> </w:t>
      </w:r>
      <w:r>
        <w:rPr>
          <w:spacing w:val="-63"/>
        </w:rPr>
      </w:r>
      <w:r>
        <w:rPr/>
        <w:t>科技股份有限公司独立董事。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月至今担任公司独立董事。</w:t>
      </w:r>
    </w:p>
    <w:p>
      <w:pPr>
        <w:pStyle w:val="BodyText"/>
        <w:spacing w:line="463" w:lineRule="auto" w:before="99"/>
        <w:ind w:right="92" w:firstLine="420"/>
        <w:jc w:val="left"/>
      </w:pPr>
      <w:r>
        <w:rPr/>
        <w:t>刘凯湘先生，</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12</w:t>
      </w:r>
      <w:r>
        <w:rPr/>
        <w:t>月出生，中国国籍，博士学历，教授，仲裁员。</w:t>
      </w:r>
      <w:r>
        <w:rPr>
          <w:rFonts w:ascii="Times New Roman" w:hAnsi="Times New Roman" w:cs="Times New Roman" w:eastAsia="Times New Roman" w:hint="default"/>
        </w:rPr>
        <w:t>1987 </w:t>
      </w:r>
      <w:r>
        <w:rPr/>
        <w:t>年</w:t>
      </w:r>
      <w:r>
        <w:rPr>
          <w:rFonts w:ascii="Times New Roman" w:hAnsi="Times New Roman" w:cs="Times New Roman" w:eastAsia="Times New Roman" w:hint="default"/>
        </w:rPr>
        <w:t>7</w:t>
      </w:r>
      <w:r>
        <w:rPr>
          <w:rFonts w:ascii="Times New Roman" w:hAnsi="Times New Roman" w:cs="Times New Roman" w:eastAsia="Times New Roman" w:hint="default"/>
          <w:spacing w:val="32"/>
        </w:rPr>
        <w:t> </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5</w:t>
      </w:r>
      <w:r>
        <w:rPr/>
        <w:t>月任北京工商大学教授， </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5</w:t>
      </w:r>
      <w:r>
        <w:rPr/>
        <w:t>月至今任北京大学教授、博士生导师。兼任中国国际经济贸易仲裁委员会仲裁员，新加坡国际仲裁院仲裁员，北京</w:t>
      </w:r>
      <w:r>
        <w:rPr>
          <w:spacing w:val="-85"/>
        </w:rPr>
        <w:t> </w:t>
      </w:r>
      <w:r>
        <w:rPr>
          <w:spacing w:val="-85"/>
        </w:rPr>
      </w:r>
      <w:r>
        <w:rPr>
          <w:spacing w:val="-4"/>
        </w:rPr>
        <w:t>仲裁委员会仲裁员，中国法学会民法研究会常务理事，北京市民商法研究会常务理事，湖南大学、上海大学、北京工商大学、</w:t>
      </w:r>
      <w:r>
        <w:rPr>
          <w:spacing w:val="-41"/>
        </w:rPr>
        <w:t> </w:t>
      </w:r>
      <w:r>
        <w:rPr>
          <w:spacing w:val="-41"/>
        </w:rPr>
      </w:r>
      <w:r>
        <w:rPr>
          <w:spacing w:val="-2"/>
        </w:rPr>
        <w:t>澳门科技大学等兼职教授；国家统计局、河北省人大常委会等专家咨询委员会委员、中国商法学研究会副会长；太极计算机</w:t>
      </w:r>
      <w:r>
        <w:rPr>
          <w:spacing w:val="-65"/>
        </w:rPr>
        <w:t> </w:t>
      </w:r>
      <w:r>
        <w:rPr>
          <w:spacing w:val="-65"/>
        </w:rPr>
      </w:r>
      <w:r>
        <w:rPr/>
        <w:t>股份有限公司独立董事、北京东方园林股份有限公司独立董事。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月至今担任公司独立董事。</w:t>
      </w:r>
    </w:p>
    <w:p>
      <w:pPr>
        <w:pStyle w:val="BodyText"/>
        <w:spacing w:line="463" w:lineRule="auto" w:before="105"/>
        <w:ind w:right="87" w:firstLine="420"/>
        <w:jc w:val="left"/>
      </w:pPr>
      <w:r>
        <w:rPr/>
        <w:t>蓝伯雄先生，</w:t>
      </w:r>
      <w:r>
        <w:rPr>
          <w:rFonts w:ascii="Times New Roman" w:hAnsi="Times New Roman" w:cs="Times New Roman" w:eastAsia="Times New Roman" w:hint="default"/>
        </w:rPr>
        <w:t>1950</w:t>
      </w:r>
      <w:r>
        <w:rPr/>
        <w:t>年</w:t>
      </w:r>
      <w:r>
        <w:rPr>
          <w:rFonts w:ascii="Times New Roman" w:hAnsi="Times New Roman" w:cs="Times New Roman" w:eastAsia="Times New Roman" w:hint="default"/>
        </w:rPr>
        <w:t>3</w:t>
      </w:r>
      <w:r>
        <w:rPr/>
        <w:t>月出生，中国国籍，教授。</w:t>
      </w:r>
      <w:r>
        <w:rPr>
          <w:rFonts w:ascii="Times New Roman" w:hAnsi="Times New Roman" w:cs="Times New Roman" w:eastAsia="Times New Roman" w:hint="default"/>
        </w:rPr>
        <w:t>1993</w:t>
      </w:r>
      <w:r>
        <w:rPr>
          <w:rFonts w:ascii="Times New Roman" w:hAnsi="Times New Roman" w:cs="Times New Roman" w:eastAsia="Times New Roman" w:hint="default"/>
          <w:spacing w:val="-8"/>
        </w:rPr>
        <w:t> </w:t>
      </w:r>
      <w:r>
        <w:rPr/>
        <w:t>年毕业于加拿大滑铁卢大学管理科学系，获管理科学博士学位。 </w:t>
      </w:r>
      <w:r>
        <w:rPr>
          <w:spacing w:val="-2"/>
        </w:rPr>
        <w:t>曾任清华大学经济管理学院副院长；现任清华大学经济管理学院教授，兼任中国运筹学会、北京运筹学会常务理事、美国运</w:t>
      </w:r>
      <w:r>
        <w:rPr>
          <w:spacing w:val="-64"/>
        </w:rPr>
        <w:t> </w:t>
      </w:r>
      <w:r>
        <w:rPr>
          <w:spacing w:val="-64"/>
        </w:rPr>
      </w:r>
      <w:r>
        <w:rPr/>
        <w:t>筹与管理科学学会会员。</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月至今担任公司独立董事。</w:t>
      </w:r>
    </w:p>
    <w:p>
      <w:pPr>
        <w:pStyle w:val="BodyText"/>
        <w:spacing w:line="566" w:lineRule="auto" w:before="153"/>
        <w:ind w:left="573" w:right="4533"/>
        <w:jc w:val="left"/>
      </w:pPr>
      <w:r>
        <w:rPr>
          <w:rFonts w:ascii="Times New Roman" w:hAnsi="Times New Roman" w:cs="Times New Roman" w:eastAsia="Times New Roman" w:hint="default"/>
          <w:b/>
          <w:bCs/>
        </w:rPr>
        <w:t>2</w:t>
      </w:r>
      <w:r>
        <w:rPr>
          <w:rFonts w:ascii="宋体" w:hAnsi="宋体" w:cs="宋体" w:eastAsia="宋体" w:hint="default"/>
          <w:b/>
          <w:bCs/>
        </w:rPr>
        <w:t>、监事</w:t>
      </w:r>
      <w:r>
        <w:rPr>
          <w:rFonts w:ascii="宋体" w:hAnsi="宋体" w:cs="宋体" w:eastAsia="宋体" w:hint="default"/>
          <w:b/>
          <w:bCs/>
          <w:w w:val="99"/>
        </w:rPr>
        <w:t> </w:t>
      </w:r>
      <w:r>
        <w:rPr/>
        <w:t>公司监事会由三名监事组成，其中职工监事一人，具体如下：</w:t>
      </w:r>
    </w:p>
    <w:p>
      <w:pPr>
        <w:pStyle w:val="BodyText"/>
        <w:spacing w:line="451" w:lineRule="auto" w:before="108"/>
        <w:ind w:right="94" w:firstLine="420"/>
        <w:jc w:val="left"/>
      </w:pPr>
      <w:r>
        <w:rPr/>
        <w:t>李广刚先生，公司监事会主席，</w:t>
      </w:r>
      <w:r>
        <w:rPr>
          <w:rFonts w:ascii="Times New Roman" w:hAnsi="Times New Roman" w:cs="Times New Roman" w:eastAsia="Times New Roman" w:hint="default"/>
        </w:rPr>
        <w:t>1978</w:t>
      </w:r>
      <w:r>
        <w:rPr/>
        <w:t>年出生，毕业于济南大学；曾任北京泰立特科技发展有限公司青岛分公司软件工 程师、北京新晨科技股份有限公司客户经理、联盈数码公司客户经理；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月至今任公司销售经理、监事会主席。</w:t>
      </w:r>
    </w:p>
    <w:p>
      <w:pPr>
        <w:pStyle w:val="BodyText"/>
        <w:spacing w:line="451" w:lineRule="auto" w:before="91"/>
        <w:ind w:right="94" w:firstLine="420"/>
        <w:jc w:val="left"/>
      </w:pPr>
      <w:r>
        <w:rPr/>
        <w:t>丁彦超先生，公司监事，</w:t>
      </w:r>
      <w:r>
        <w:rPr>
          <w:rFonts w:ascii="Times New Roman" w:hAnsi="Times New Roman" w:cs="Times New Roman" w:eastAsia="Times New Roman" w:hint="default"/>
        </w:rPr>
        <w:t>1968</w:t>
      </w:r>
      <w:r>
        <w:rPr/>
        <w:t>年出生，毕业于西北大学计算机系；曾任天津石化公司计算机中心软件工程师，</w:t>
      </w:r>
      <w:r>
        <w:rPr>
          <w:rFonts w:ascii="Times New Roman" w:hAnsi="Times New Roman" w:cs="Times New Roman" w:eastAsia="Times New Roman" w:hint="default"/>
        </w:rPr>
        <w:t>2002</w:t>
      </w:r>
      <w:r>
        <w:rPr/>
        <w:t>年 至今历任公司研发工程师、网管项目管理部技术主管；</w:t>
      </w:r>
      <w:r>
        <w:rPr>
          <w:rFonts w:ascii="Times New Roman" w:hAnsi="Times New Roman" w:cs="Times New Roman" w:eastAsia="Times New Roman" w:hint="default"/>
        </w:rPr>
        <w:t>2008</w:t>
      </w:r>
      <w:r>
        <w:rPr/>
        <w:t>年至今担任公司项目管理部技术主管。</w:t>
      </w:r>
    </w:p>
    <w:p>
      <w:pPr>
        <w:spacing w:line="240" w:lineRule="auto" w:before="6"/>
        <w:rPr>
          <w:rFonts w:ascii="宋体" w:hAnsi="宋体" w:cs="宋体" w:eastAsia="宋体" w:hint="default"/>
          <w:sz w:val="12"/>
          <w:szCs w:val="12"/>
        </w:rPr>
      </w:pPr>
    </w:p>
    <w:p>
      <w:pPr>
        <w:pStyle w:val="BodyText"/>
        <w:spacing w:line="451" w:lineRule="auto"/>
        <w:ind w:right="182" w:firstLine="420"/>
        <w:jc w:val="left"/>
      </w:pPr>
      <w:r>
        <w:rPr>
          <w:spacing w:val="-1"/>
        </w:rPr>
        <w:t>郝岩女士，公司职工监事，</w:t>
      </w:r>
      <w:r>
        <w:rPr>
          <w:rFonts w:ascii="Times New Roman" w:hAnsi="Times New Roman" w:cs="Times New Roman" w:eastAsia="Times New Roman" w:hint="default"/>
          <w:spacing w:val="-1"/>
        </w:rPr>
        <w:t>1980</w:t>
      </w:r>
      <w:r>
        <w:rPr>
          <w:spacing w:val="-1"/>
        </w:rPr>
        <w:t>年出生，毕业于北京林业大学；</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8</w:t>
      </w:r>
      <w:r>
        <w:rPr>
          <w:spacing w:val="-1"/>
        </w:rPr>
        <w:t>月至今历任公司行政部经理助理、经理。</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11</w:t>
      </w:r>
      <w:r>
        <w:rPr/>
        <w:t>月起任公司职工监事。</w:t>
      </w:r>
    </w:p>
    <w:p>
      <w:pPr>
        <w:spacing w:line="240" w:lineRule="auto" w:before="6"/>
        <w:rPr>
          <w:rFonts w:ascii="宋体" w:hAnsi="宋体" w:cs="宋体" w:eastAsia="宋体" w:hint="default"/>
          <w:sz w:val="12"/>
          <w:szCs w:val="12"/>
        </w:rPr>
      </w:pPr>
    </w:p>
    <w:p>
      <w:pPr>
        <w:pStyle w:val="Heading5"/>
        <w:spacing w:line="240" w:lineRule="auto"/>
        <w:ind w:left="573" w:right="94"/>
        <w:jc w:val="left"/>
        <w:rPr>
          <w:b w:val="0"/>
          <w:bCs w:val="0"/>
        </w:rPr>
      </w:pPr>
      <w:r>
        <w:rPr>
          <w:rFonts w:ascii="Times New Roman" w:hAnsi="Times New Roman" w:cs="Times New Roman" w:eastAsia="Times New Roman" w:hint="default"/>
        </w:rPr>
        <w:t>3</w:t>
      </w:r>
      <w:r>
        <w:rPr/>
        <w:t>、高级管理人员</w:t>
      </w:r>
      <w:r>
        <w:rPr>
          <w:b w:val="0"/>
          <w:bCs w:val="0"/>
        </w:rPr>
      </w:r>
    </w:p>
    <w:p>
      <w:pPr>
        <w:spacing w:line="240" w:lineRule="auto" w:before="12"/>
        <w:rPr>
          <w:rFonts w:ascii="宋体" w:hAnsi="宋体" w:cs="宋体" w:eastAsia="宋体" w:hint="default"/>
          <w:b/>
          <w:bCs/>
          <w:sz w:val="25"/>
          <w:szCs w:val="25"/>
        </w:rPr>
      </w:pPr>
    </w:p>
    <w:p>
      <w:pPr>
        <w:pStyle w:val="BodyText"/>
        <w:spacing w:line="566" w:lineRule="auto"/>
        <w:ind w:left="573" w:right="1383"/>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日，公司副总经理王志刚辞职。截止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日，公司高级管理人员具体情况如下： </w:t>
      </w:r>
      <w:r>
        <w:rPr>
          <w:spacing w:val="-1"/>
          <w:w w:val="99"/>
        </w:rPr>
        <w:t>李力先生，公司总经理，简历见本节之</w:t>
      </w:r>
      <w:r>
        <w:rPr>
          <w:rFonts w:ascii="Times New Roman" w:hAnsi="Times New Roman" w:cs="Times New Roman" w:eastAsia="Times New Roman" w:hint="default"/>
          <w:spacing w:val="-1"/>
          <w:w w:val="99"/>
        </w:rPr>
        <w:t>―1</w:t>
      </w:r>
      <w:r>
        <w:rPr>
          <w:spacing w:val="-1"/>
          <w:w w:val="99"/>
        </w:rPr>
        <w:t>、董事会成员简介</w:t>
      </w:r>
      <w:r>
        <w:rPr>
          <w:rFonts w:ascii="Times New Roman" w:hAnsi="Times New Roman" w:cs="Times New Roman" w:eastAsia="Times New Roman" w:hint="default"/>
          <w:spacing w:val="-1"/>
          <w:w w:val="99"/>
        </w:rPr>
        <w:t>‖</w:t>
      </w:r>
      <w:r>
        <w:rPr>
          <w:spacing w:val="-1"/>
          <w:w w:val="99"/>
        </w:rPr>
        <w:t>。</w:t>
      </w:r>
      <w:r>
        <w:rPr/>
        <w:t> </w:t>
      </w:r>
      <w:r>
        <w:rPr>
          <w:spacing w:val="-1"/>
          <w:w w:val="99"/>
        </w:rPr>
        <w:t>王国华先生，常务副总经理，简历见本节之</w:t>
      </w:r>
      <w:r>
        <w:rPr>
          <w:rFonts w:ascii="Times New Roman" w:hAnsi="Times New Roman" w:cs="Times New Roman" w:eastAsia="Times New Roman" w:hint="default"/>
          <w:spacing w:val="-1"/>
          <w:w w:val="99"/>
        </w:rPr>
        <w:t>―1</w:t>
      </w:r>
      <w:r>
        <w:rPr>
          <w:spacing w:val="-1"/>
          <w:w w:val="99"/>
        </w:rPr>
        <w:t>、董事会成员简介</w:t>
      </w:r>
      <w:r>
        <w:rPr>
          <w:rFonts w:ascii="Times New Roman" w:hAnsi="Times New Roman" w:cs="Times New Roman" w:eastAsia="Times New Roman" w:hint="default"/>
          <w:spacing w:val="-1"/>
          <w:w w:val="99"/>
        </w:rPr>
        <w:t>‖</w:t>
      </w:r>
      <w:r>
        <w:rPr>
          <w:spacing w:val="-1"/>
          <w:w w:val="99"/>
        </w:rPr>
        <w:t>。</w:t>
      </w:r>
      <w:r>
        <w:rPr/>
        <w:t> </w:t>
      </w:r>
      <w:r>
        <w:rPr>
          <w:spacing w:val="-1"/>
          <w:w w:val="99"/>
        </w:rPr>
        <w:t>黄松浪先生，董事会秘书，简历见本节之</w:t>
      </w:r>
      <w:r>
        <w:rPr>
          <w:rFonts w:ascii="Times New Roman" w:hAnsi="Times New Roman" w:cs="Times New Roman" w:eastAsia="Times New Roman" w:hint="default"/>
          <w:spacing w:val="-1"/>
          <w:w w:val="99"/>
        </w:rPr>
        <w:t>―1</w:t>
      </w:r>
      <w:r>
        <w:rPr>
          <w:spacing w:val="-1"/>
          <w:w w:val="99"/>
        </w:rPr>
        <w:t>、董事会成员简介</w:t>
      </w:r>
      <w:r>
        <w:rPr>
          <w:rFonts w:ascii="Times New Roman" w:hAnsi="Times New Roman" w:cs="Times New Roman" w:eastAsia="Times New Roman" w:hint="default"/>
          <w:spacing w:val="-1"/>
          <w:w w:val="99"/>
        </w:rPr>
        <w:t>‖</w:t>
      </w:r>
      <w:r>
        <w:rPr>
          <w:spacing w:val="-1"/>
          <w:w w:val="99"/>
        </w:rPr>
        <w:t>。</w:t>
      </w:r>
      <w:r>
        <w:rPr/>
        <w:t> </w:t>
      </w:r>
      <w:r>
        <w:rPr>
          <w:spacing w:val="-1"/>
          <w:w w:val="99"/>
        </w:rPr>
        <w:t>万能先生，财务总监，简历见本节之</w:t>
      </w:r>
      <w:r>
        <w:rPr>
          <w:rFonts w:ascii="Times New Roman" w:hAnsi="Times New Roman" w:cs="Times New Roman" w:eastAsia="Times New Roman" w:hint="default"/>
          <w:spacing w:val="-1"/>
          <w:w w:val="99"/>
        </w:rPr>
        <w:t>―1</w:t>
      </w:r>
      <w:r>
        <w:rPr>
          <w:spacing w:val="-1"/>
          <w:w w:val="99"/>
        </w:rPr>
        <w:t>、董事会成员简介</w:t>
      </w:r>
      <w:r>
        <w:rPr>
          <w:rFonts w:ascii="Times New Roman" w:hAnsi="Times New Roman" w:cs="Times New Roman" w:eastAsia="Times New Roman" w:hint="default"/>
          <w:spacing w:val="-1"/>
          <w:w w:val="99"/>
        </w:rPr>
        <w:t>‖</w:t>
      </w:r>
      <w:r>
        <w:rPr>
          <w:spacing w:val="-1"/>
          <w:w w:val="99"/>
        </w:rPr>
        <w:t>。</w:t>
      </w:r>
    </w:p>
    <w:p>
      <w:pPr>
        <w:spacing w:after="0" w:line="566" w:lineRule="auto"/>
        <w:jc w:val="left"/>
        <w:sectPr>
          <w:pgSz w:w="11910" w:h="16840"/>
          <w:pgMar w:header="852" w:footer="980" w:top="1340" w:bottom="1160" w:left="980" w:right="940"/>
        </w:sectPr>
      </w:pPr>
    </w:p>
    <w:p>
      <w:pPr>
        <w:spacing w:line="240" w:lineRule="auto" w:before="6"/>
        <w:rPr>
          <w:rFonts w:ascii="宋体" w:hAnsi="宋体" w:cs="宋体" w:eastAsia="宋体" w:hint="default"/>
          <w:sz w:val="10"/>
          <w:szCs w:val="10"/>
        </w:rPr>
      </w:pPr>
    </w:p>
    <w:p>
      <w:pPr>
        <w:pStyle w:val="BodyText"/>
        <w:spacing w:line="451" w:lineRule="auto" w:before="44"/>
        <w:ind w:right="186" w:firstLine="420"/>
        <w:jc w:val="both"/>
      </w:pPr>
      <w:r>
        <w:rPr>
          <w:spacing w:val="-1"/>
        </w:rPr>
        <w:t>许芃先生，</w:t>
      </w:r>
      <w:r>
        <w:rPr>
          <w:rFonts w:ascii="Times New Roman" w:hAnsi="Times New Roman" w:cs="Times New Roman" w:eastAsia="Times New Roman" w:hint="default"/>
          <w:spacing w:val="-1"/>
        </w:rPr>
        <w:t>1973</w:t>
      </w:r>
      <w:r>
        <w:rPr>
          <w:spacing w:val="-1"/>
        </w:rPr>
        <w:t>年出生，毕业于北京邮电大学；曾任秦皇岛电信局职员、中联集团工程师、</w:t>
      </w:r>
      <w:r>
        <w:rPr>
          <w:rFonts w:ascii="Times New Roman" w:hAnsi="Times New Roman" w:cs="Times New Roman" w:eastAsia="Times New Roman" w:hint="default"/>
          <w:spacing w:val="-1"/>
        </w:rPr>
        <w:t>CA</w:t>
      </w:r>
      <w:r>
        <w:rPr>
          <w:spacing w:val="-1"/>
        </w:rPr>
        <w:t>公司工程师；</w:t>
      </w:r>
      <w:r>
        <w:rPr>
          <w:rFonts w:ascii="Times New Roman" w:hAnsi="Times New Roman" w:cs="Times New Roman" w:eastAsia="Times New Roman" w:hint="default"/>
          <w:spacing w:val="-1"/>
        </w:rPr>
        <w:t>2002</w:t>
      </w:r>
      <w:r>
        <w:rPr>
          <w:spacing w:val="-1"/>
        </w:rPr>
        <w:t>年至</w:t>
      </w:r>
      <w:r>
        <w:rPr/>
        <w:t> 今历任公司系统网络事业部总经理、公司副总经理。</w:t>
      </w:r>
    </w:p>
    <w:p>
      <w:pPr>
        <w:spacing w:line="240" w:lineRule="auto" w:before="11"/>
        <w:rPr>
          <w:rFonts w:ascii="宋体" w:hAnsi="宋体" w:cs="宋体" w:eastAsia="宋体" w:hint="default"/>
          <w:sz w:val="14"/>
          <w:szCs w:val="14"/>
        </w:rPr>
      </w:pPr>
    </w:p>
    <w:p>
      <w:pPr>
        <w:pStyle w:val="BodyText"/>
        <w:spacing w:line="451" w:lineRule="auto"/>
        <w:ind w:right="101" w:firstLine="420"/>
        <w:jc w:val="both"/>
      </w:pPr>
      <w:r>
        <w:rPr>
          <w:spacing w:val="-1"/>
        </w:rPr>
        <w:t>张振鹏先生，</w:t>
      </w:r>
      <w:r>
        <w:rPr>
          <w:rFonts w:ascii="Times New Roman" w:hAnsi="Times New Roman" w:cs="Times New Roman" w:eastAsia="Times New Roman" w:hint="default"/>
          <w:spacing w:val="-1"/>
        </w:rPr>
        <w:t>1961</w:t>
      </w:r>
      <w:r>
        <w:rPr>
          <w:spacing w:val="-1"/>
        </w:rPr>
        <w:t>年出生，毕业于北京邮电学院，高级工程师；曾任石家庄邮电高等专科学校团委书记、学生处处长、</w:t>
      </w:r>
      <w:r>
        <w:rPr/>
        <w:t> 成教部主任、培训部主任等职；</w:t>
      </w:r>
      <w:r>
        <w:rPr>
          <w:rFonts w:ascii="Times New Roman" w:hAnsi="Times New Roman" w:cs="Times New Roman" w:eastAsia="Times New Roman" w:hint="default"/>
        </w:rPr>
        <w:t>2003</w:t>
      </w:r>
      <w:r>
        <w:rPr/>
        <w:t>年至今担任公司副总经理。</w:t>
      </w:r>
    </w:p>
    <w:p>
      <w:pPr>
        <w:spacing w:line="240" w:lineRule="auto" w:before="6"/>
        <w:rPr>
          <w:rFonts w:ascii="宋体" w:hAnsi="宋体" w:cs="宋体" w:eastAsia="宋体" w:hint="default"/>
          <w:sz w:val="12"/>
          <w:szCs w:val="12"/>
        </w:rPr>
      </w:pPr>
    </w:p>
    <w:p>
      <w:pPr>
        <w:pStyle w:val="BodyText"/>
        <w:spacing w:line="451" w:lineRule="auto"/>
        <w:ind w:right="198" w:firstLine="420"/>
        <w:jc w:val="both"/>
      </w:pPr>
      <w:r>
        <w:rPr/>
        <w:t>刘豪先生，</w:t>
      </w:r>
      <w:r>
        <w:rPr>
          <w:rFonts w:ascii="Times New Roman" w:hAnsi="Times New Roman" w:cs="Times New Roman" w:eastAsia="Times New Roman" w:hint="default"/>
        </w:rPr>
        <w:t>1972</w:t>
      </w:r>
      <w:r>
        <w:rPr/>
        <w:t>年出生，毕业于西安理工大学；曾任金科集团公司金融行业销售经理、中国惠普有限公司软件业务部 销售经理、国际商业机器（中国）有限公司软件部</w:t>
      </w:r>
      <w:r>
        <w:rPr>
          <w:rFonts w:ascii="Times New Roman" w:hAnsi="Times New Roman" w:cs="Times New Roman" w:eastAsia="Times New Roman" w:hint="default"/>
        </w:rPr>
        <w:t>Tivoli</w:t>
      </w:r>
      <w:r>
        <w:rPr>
          <w:rFonts w:ascii="Times New Roman" w:hAnsi="Times New Roman" w:cs="Times New Roman" w:eastAsia="Times New Roman" w:hint="default"/>
          <w:spacing w:val="24"/>
        </w:rPr>
        <w:t> </w:t>
      </w:r>
      <w:r>
        <w:rPr/>
        <w:t>北方区销售经理；</w:t>
      </w:r>
      <w:r>
        <w:rPr>
          <w:rFonts w:ascii="Times New Roman" w:hAnsi="Times New Roman" w:cs="Times New Roman" w:eastAsia="Times New Roman" w:hint="default"/>
        </w:rPr>
        <w:t>2007</w:t>
      </w:r>
      <w:r>
        <w:rPr/>
        <w:t>年至今担任公司副总经理。</w:t>
      </w:r>
    </w:p>
    <w:p>
      <w:pPr>
        <w:spacing w:line="240" w:lineRule="auto" w:before="6"/>
        <w:rPr>
          <w:rFonts w:ascii="宋体" w:hAnsi="宋体" w:cs="宋体" w:eastAsia="宋体" w:hint="default"/>
          <w:sz w:val="12"/>
          <w:szCs w:val="12"/>
        </w:rPr>
      </w:pPr>
    </w:p>
    <w:p>
      <w:pPr>
        <w:pStyle w:val="BodyText"/>
        <w:spacing w:line="451" w:lineRule="auto"/>
        <w:ind w:right="196" w:firstLine="420"/>
        <w:jc w:val="both"/>
      </w:pPr>
      <w:r>
        <w:rPr/>
        <w:t>高峰先生，</w:t>
      </w:r>
      <w:r>
        <w:rPr>
          <w:rFonts w:ascii="Times New Roman" w:hAnsi="Times New Roman" w:cs="Times New Roman" w:eastAsia="Times New Roman" w:hint="default"/>
        </w:rPr>
        <w:t>1976</w:t>
      </w:r>
      <w:r>
        <w:rPr/>
        <w:t>年出生，毕业于沈阳航空工业学院；</w:t>
      </w:r>
      <w:r>
        <w:rPr>
          <w:rFonts w:ascii="Times New Roman" w:hAnsi="Times New Roman" w:cs="Times New Roman" w:eastAsia="Times New Roman" w:hint="default"/>
        </w:rPr>
        <w:t>2002</w:t>
      </w:r>
      <w:r>
        <w:rPr/>
        <w:t>年至今历任公司销售经理、高级销售经理、行业销售总监、 副总经理。</w:t>
      </w:r>
    </w:p>
    <w:p>
      <w:pPr>
        <w:spacing w:line="240" w:lineRule="auto" w:before="11"/>
        <w:rPr>
          <w:rFonts w:ascii="宋体" w:hAnsi="宋体" w:cs="宋体" w:eastAsia="宋体" w:hint="default"/>
          <w:sz w:val="14"/>
          <w:szCs w:val="14"/>
        </w:rPr>
      </w:pPr>
    </w:p>
    <w:p>
      <w:pPr>
        <w:pStyle w:val="BodyText"/>
        <w:spacing w:line="451" w:lineRule="auto"/>
        <w:ind w:right="197" w:firstLine="420"/>
        <w:jc w:val="both"/>
      </w:pPr>
      <w:r>
        <w:rPr>
          <w:spacing w:val="-2"/>
        </w:rPr>
        <w:t>汪铖先生，</w:t>
      </w:r>
      <w:r>
        <w:rPr>
          <w:rFonts w:ascii="Times New Roman" w:hAnsi="Times New Roman" w:cs="Times New Roman" w:eastAsia="Times New Roman" w:hint="default"/>
          <w:spacing w:val="-2"/>
        </w:rPr>
        <w:t>1974</w:t>
      </w:r>
      <w:r>
        <w:rPr>
          <w:spacing w:val="-2"/>
        </w:rPr>
        <w:t>年</w:t>
      </w:r>
      <w:r>
        <w:rPr>
          <w:rFonts w:ascii="Times New Roman" w:hAnsi="Times New Roman" w:cs="Times New Roman" w:eastAsia="Times New Roman" w:hint="default"/>
          <w:spacing w:val="-2"/>
        </w:rPr>
        <w:t>1</w:t>
      </w:r>
      <w:r>
        <w:rPr>
          <w:spacing w:val="-2"/>
        </w:rPr>
        <w:t>月出生，毕业于武汉测绘科技大学，学士学位。曾任兆维集团通信工程师、联想集团销售经理，北</w:t>
      </w:r>
      <w:r>
        <w:rPr/>
        <w:t> 京互联时代通讯科技有限公司总经理，</w:t>
      </w:r>
      <w:r>
        <w:rPr>
          <w:rFonts w:ascii="Times New Roman" w:hAnsi="Times New Roman" w:cs="Times New Roman" w:eastAsia="Times New Roman" w:hint="default"/>
        </w:rPr>
        <w:t>2007</w:t>
      </w:r>
      <w:r>
        <w:rPr/>
        <w:t>年起至今任北京新媒传信科技有限公司执行董事、总经理。</w:t>
      </w:r>
    </w:p>
    <w:p>
      <w:pPr>
        <w:spacing w:line="240" w:lineRule="auto" w:before="6"/>
        <w:rPr>
          <w:rFonts w:ascii="宋体" w:hAnsi="宋体" w:cs="宋体" w:eastAsia="宋体" w:hint="default"/>
          <w:sz w:val="12"/>
          <w:szCs w:val="12"/>
        </w:rPr>
      </w:pPr>
    </w:p>
    <w:p>
      <w:pPr>
        <w:pStyle w:val="BodyText"/>
        <w:spacing w:line="451" w:lineRule="auto"/>
        <w:ind w:right="190" w:firstLine="420"/>
        <w:jc w:val="both"/>
      </w:pPr>
      <w:r>
        <w:rPr>
          <w:spacing w:val="-1"/>
        </w:rPr>
        <w:t>陶磊先生，</w:t>
      </w:r>
      <w:r>
        <w:rPr>
          <w:rFonts w:ascii="Times New Roman" w:hAnsi="Times New Roman" w:cs="Times New Roman" w:eastAsia="Times New Roman" w:hint="default"/>
          <w:spacing w:val="-1"/>
        </w:rPr>
        <w:t>1972</w:t>
      </w:r>
      <w:r>
        <w:rPr>
          <w:spacing w:val="-1"/>
        </w:rPr>
        <w:t>年</w:t>
      </w:r>
      <w:r>
        <w:rPr>
          <w:rFonts w:ascii="Times New Roman" w:hAnsi="Times New Roman" w:cs="Times New Roman" w:eastAsia="Times New Roman" w:hint="default"/>
          <w:spacing w:val="-1"/>
        </w:rPr>
        <w:t>6</w:t>
      </w:r>
      <w:r>
        <w:rPr>
          <w:spacing w:val="-1"/>
        </w:rPr>
        <w:t>月出生，毕业于南京理工大学，工学学士学位。曾任中国兵器工业总公司干部，北京新宇计算机有</w:t>
      </w:r>
      <w:r>
        <w:rPr/>
        <w:t> 限公司、英国电信</w:t>
      </w:r>
      <w:r>
        <w:rPr>
          <w:rFonts w:ascii="Times New Roman" w:hAnsi="Times New Roman" w:cs="Times New Roman" w:eastAsia="Times New Roman" w:hint="default"/>
        </w:rPr>
        <w:t>Syntegra</w:t>
      </w:r>
      <w:r>
        <w:rPr/>
        <w:t>销售经理，上海联盈数码技术有限公司销售总监。</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11</w:t>
      </w:r>
      <w:r>
        <w:rPr/>
        <w:t>月至今先后担任北京神州泰岳软件股 份有限公司大客户经理、总经理助理、副总经理，目前兼任北京神州泰岳良品电子商务有限公司的总经理。</w:t>
      </w:r>
    </w:p>
    <w:p>
      <w:pPr>
        <w:spacing w:line="240" w:lineRule="auto" w:before="11"/>
        <w:rPr>
          <w:rFonts w:ascii="宋体" w:hAnsi="宋体" w:cs="宋体" w:eastAsia="宋体" w:hint="default"/>
          <w:sz w:val="14"/>
          <w:szCs w:val="14"/>
        </w:rPr>
      </w:pPr>
    </w:p>
    <w:p>
      <w:pPr>
        <w:pStyle w:val="BodyText"/>
        <w:spacing w:line="458" w:lineRule="auto"/>
        <w:ind w:right="139" w:firstLine="420"/>
        <w:jc w:val="both"/>
      </w:pPr>
      <w:r>
        <w:rPr/>
        <w:t>朱健松先生，</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4</w:t>
      </w:r>
      <w:r>
        <w:rPr/>
        <w:t>月出生，毕业于北京联合大学电子工程学院，工学学士学位。曾任中国仪器进出口总公司职员、 </w:t>
      </w:r>
      <w:r>
        <w:rPr>
          <w:spacing w:val="-2"/>
        </w:rPr>
        <w:t>副科长；英孚美软件（中国）有限公司高级客户经理、销售经理；北邮电信科技股份有限公司北邮集思公司总经理、北邮电</w:t>
      </w:r>
      <w:r>
        <w:rPr>
          <w:spacing w:val="-70"/>
        </w:rPr>
        <w:t> </w:t>
      </w:r>
      <w:r>
        <w:rPr>
          <w:spacing w:val="-70"/>
        </w:rPr>
      </w:r>
      <w:r>
        <w:rPr>
          <w:spacing w:val="-2"/>
        </w:rPr>
        <w:t>信资源管理事业部总经理；博思软件（中国）有限公司销售经理、销售总监、中国区业务总经理等职务。</w:t>
      </w:r>
      <w:r>
        <w:rPr>
          <w:rFonts w:ascii="Times New Roman" w:hAnsi="Times New Roman" w:cs="Times New Roman" w:eastAsia="Times New Roman" w:hint="default"/>
          <w:spacing w:val="-2"/>
        </w:rPr>
        <w:t>2008</w:t>
      </w:r>
      <w:r>
        <w:rPr>
          <w:spacing w:val="-2"/>
        </w:rPr>
        <w:t>年加入北京神</w:t>
      </w:r>
      <w:r>
        <w:rPr>
          <w:spacing w:val="-63"/>
        </w:rPr>
        <w:t> </w:t>
      </w:r>
      <w:r>
        <w:rPr>
          <w:spacing w:val="-63"/>
        </w:rPr>
      </w:r>
      <w:r>
        <w:rPr/>
        <w:t>州泰岳软件股份有限公司任电信销售部总经理、副总经理。</w:t>
      </w:r>
    </w:p>
    <w:p>
      <w:pPr>
        <w:spacing w:line="240" w:lineRule="auto" w:before="5"/>
        <w:rPr>
          <w:rFonts w:ascii="宋体" w:hAnsi="宋体" w:cs="宋体" w:eastAsia="宋体" w:hint="default"/>
          <w:sz w:val="14"/>
          <w:szCs w:val="14"/>
        </w:rPr>
      </w:pPr>
    </w:p>
    <w:p>
      <w:pPr>
        <w:pStyle w:val="BodyText"/>
        <w:spacing w:line="451" w:lineRule="auto"/>
        <w:ind w:right="195" w:firstLine="420"/>
        <w:jc w:val="both"/>
      </w:pPr>
      <w:r>
        <w:rPr/>
        <w:t>孙海粟先生，</w:t>
      </w:r>
      <w:r>
        <w:rPr>
          <w:spacing w:val="19"/>
        </w:rPr>
        <w:t> </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2</w:t>
      </w:r>
      <w:r>
        <w:rPr/>
        <w:t>月出生，毕业于北京邮电大学无线电工程专业，学士学位。曾任国家计生委北京宣教中心工作 干部、宁波燕浩微波通信公司开发部经理，宁波江北通信设备实业公司总经理，宁波未来通信技术有限公司总经理，</w:t>
      </w:r>
      <w:r>
        <w:rPr>
          <w:rFonts w:ascii="Times New Roman" w:hAnsi="Times New Roman" w:cs="Times New Roman" w:eastAsia="Times New Roman" w:hint="default"/>
        </w:rPr>
        <w:t>2001</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年起至今任宁波普天通信技术有限公司总经理。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月至今任公司副总经理兼任宁波普天通信技术有限公司总经理。</w:t>
      </w:r>
    </w:p>
    <w:p>
      <w:pPr>
        <w:pStyle w:val="BodyText"/>
        <w:spacing w:line="240" w:lineRule="auto" w:before="84"/>
        <w:ind w:right="94"/>
        <w:jc w:val="left"/>
      </w:pPr>
      <w:r>
        <w:rPr/>
        <w:t>在股东单位任职情况</w:t>
      </w:r>
    </w:p>
    <w:p>
      <w:pPr>
        <w:pStyle w:val="BodyText"/>
        <w:spacing w:line="338" w:lineRule="auto" w:before="117"/>
        <w:ind w:right="8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3"/>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349"/>
        <w:gridCol w:w="1419"/>
        <w:gridCol w:w="1346"/>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9" w:right="36"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北京互联时代通讯科技有限公司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2" w:footer="980" w:top="1340" w:bottom="1160" w:left="980" w:right="940"/>
        </w:sect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349"/>
        <w:gridCol w:w="1419"/>
        <w:gridCol w:w="1346"/>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北京神州泰岳良品电子商务有限公司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北京华泰德丰技术有限公司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北京启天同信科技有限公司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北京互联时代通讯科技有限公司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神州泰岳（香港）有限公司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北京启天同信科技有限公司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齐强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北京启天同信科技有限公司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36" w:right="21" w:hanging="413"/>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齐强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宝鲜然（北京）贸易有限公司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黄松浪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黄松浪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北京神州泰岳通信技术有限公司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黄松浪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北京泰岳干腾网络信息技术有限公司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黄松浪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大连华信计算机技术股份有限公司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黄松浪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重庆新媒亿网科技有限公司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黄松浪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重庆新迈峰科技有限公司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黄松浪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神州泰岳顶策科技（北京）有限公司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王国华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北京启天同信科技有限公司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万能</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北京启天同信科技有限公司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徐斯平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北京思乐信息技术有限公司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徐斯平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北京互联时代通讯科技有限公司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2" w:footer="980" w:top="1440" w:bottom="1160" w:left="980" w:right="980"/>
        </w:sect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349"/>
        <w:gridCol w:w="1419"/>
        <w:gridCol w:w="1346"/>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陶磊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北京神州泰岳良品电子商务有限公司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陶磊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北京华泰德丰技术有限公司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孙海粟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宁波普天通信技术有限公司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孙海粟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宁波金信通讯技术有限公司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孙海粟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503" w:right="58" w:hanging="1441"/>
              <w:jc w:val="left"/>
              <w:rPr>
                <w:rFonts w:ascii="宋体" w:hAnsi="宋体" w:cs="宋体" w:eastAsia="宋体" w:hint="default"/>
                <w:sz w:val="18"/>
                <w:szCs w:val="18"/>
              </w:rPr>
            </w:pPr>
            <w:r>
              <w:rPr>
                <w:rFonts w:ascii="宋体" w:hAnsi="宋体" w:cs="宋体" w:eastAsia="宋体" w:hint="default"/>
                <w:sz w:val="18"/>
                <w:szCs w:val="18"/>
              </w:rPr>
              <w:t>宁波万信移动通信技术研究开发有限公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孙海粟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宁波移畅通信设备有限公司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47" w:right="21" w:hanging="324"/>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孙海粟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宁波普金通信设备有限公司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47" w:right="21" w:hanging="324"/>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孙海粟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宁波普天科技创业服务有限公司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孙海粟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宁波普天通信技术（香港）有限公司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汪铖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347" w:right="21" w:hanging="324"/>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汪铖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北京互联时代通讯科技有限公司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汪铖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5"/>
        <w:gridCol w:w="5975"/>
      </w:tblGrid>
      <w:tr>
        <w:trPr>
          <w:trHeight w:val="71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1"/>
                <w:sz w:val="18"/>
                <w:szCs w:val="18"/>
              </w:rPr>
              <w:t>公司董事、监事报酬由股东大会审议通过，高级管理人员报酬由董事会审议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通过。</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7"/>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年度经营情况和绩效情况审核调整。</w:t>
            </w:r>
          </w:p>
        </w:tc>
      </w:tr>
      <w:tr>
        <w:trPr>
          <w:trHeight w:val="71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董事、监事和高级管理人员报酬的实际支付情</w:t>
            </w:r>
            <w:r>
              <w:rPr>
                <w:rFonts w:ascii="宋体" w:hAnsi="宋体" w:cs="宋体" w:eastAsia="宋体" w:hint="default"/>
                <w:sz w:val="18"/>
                <w:szCs w:val="18"/>
              </w:rPr>
              <w:t> 况</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已根据确定报酬情况按时支付完毕。</w:t>
            </w:r>
          </w:p>
        </w:tc>
      </w:tr>
    </w:tbl>
    <w:p>
      <w:pPr>
        <w:spacing w:line="240" w:lineRule="auto" w:before="5"/>
        <w:rPr>
          <w:rFonts w:ascii="宋体" w:hAnsi="宋体" w:cs="宋体" w:eastAsia="宋体" w:hint="default"/>
          <w:b/>
          <w:bCs/>
          <w:sz w:val="6"/>
          <w:szCs w:val="6"/>
        </w:rPr>
      </w:pPr>
    </w:p>
    <w:p>
      <w:pPr>
        <w:pStyle w:val="BodyText"/>
        <w:spacing w:line="240" w:lineRule="auto" w:before="44"/>
        <w:ind w:right="0"/>
        <w:jc w:val="left"/>
      </w:pPr>
      <w:r>
        <w:rPr/>
        <w:t>公司报告期内董事、监事和高级管理人员报酬情况</w:t>
      </w:r>
    </w:p>
    <w:p>
      <w:pPr>
        <w:spacing w:line="240" w:lineRule="auto" w:before="6"/>
        <w:rPr>
          <w:rFonts w:ascii="宋体" w:hAnsi="宋体" w:cs="宋体" w:eastAsia="宋体" w:hint="default"/>
          <w:sz w:val="11"/>
          <w:szCs w:val="11"/>
        </w:rPr>
      </w:pPr>
    </w:p>
    <w:p>
      <w:pPr>
        <w:pStyle w:val="BodyText"/>
        <w:spacing w:line="240" w:lineRule="auto" w:before="44"/>
        <w:ind w:left="0" w:right="15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354"/>
        <w:gridCol w:w="1037"/>
        <w:gridCol w:w="1195"/>
        <w:gridCol w:w="1198"/>
        <w:gridCol w:w="1195"/>
        <w:gridCol w:w="1196"/>
        <w:gridCol w:w="1198"/>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王宁</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22.49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22.49</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李力</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22.49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22.49</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440" w:bottom="1160" w:left="980" w:right="980"/>
        </w:sectPr>
      </w:pPr>
    </w:p>
    <w:tbl>
      <w:tblPr>
        <w:tblW w:w="0" w:type="auto"/>
        <w:jc w:val="left"/>
        <w:tblInd w:w="148" w:type="dxa"/>
        <w:tblLayout w:type="fixed"/>
        <w:tblCellMar>
          <w:top w:w="0" w:type="dxa"/>
          <w:left w:w="0" w:type="dxa"/>
          <w:bottom w:w="0" w:type="dxa"/>
          <w:right w:w="0" w:type="dxa"/>
        </w:tblCellMar>
        <w:tblLook w:val="01E0"/>
      </w:tblPr>
      <w:tblGrid>
        <w:gridCol w:w="1198"/>
        <w:gridCol w:w="1354"/>
        <w:gridCol w:w="1037"/>
        <w:gridCol w:w="1195"/>
        <w:gridCol w:w="1198"/>
        <w:gridCol w:w="1195"/>
        <w:gridCol w:w="1196"/>
        <w:gridCol w:w="1198"/>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黄松浪</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403" w:right="38" w:hanging="360"/>
              <w:jc w:val="left"/>
              <w:rPr>
                <w:rFonts w:ascii="宋体" w:hAnsi="宋体" w:cs="宋体" w:eastAsia="宋体" w:hint="default"/>
                <w:sz w:val="18"/>
                <w:szCs w:val="18"/>
              </w:rPr>
            </w:pPr>
            <w:r>
              <w:rPr>
                <w:rFonts w:ascii="宋体" w:hAnsi="宋体" w:cs="宋体" w:eastAsia="宋体" w:hint="default"/>
                <w:sz w:val="18"/>
                <w:szCs w:val="18"/>
              </w:rPr>
              <w:t>副董事长、董事 会秘书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21.22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21.22</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王国华</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491" w:right="38" w:hanging="449"/>
              <w:jc w:val="left"/>
              <w:rPr>
                <w:rFonts w:ascii="宋体" w:hAnsi="宋体" w:cs="宋体" w:eastAsia="宋体" w:hint="default"/>
                <w:sz w:val="18"/>
                <w:szCs w:val="18"/>
              </w:rPr>
            </w:pPr>
            <w:r>
              <w:rPr>
                <w:rFonts w:ascii="宋体" w:hAnsi="宋体" w:cs="宋体" w:eastAsia="宋体" w:hint="default"/>
                <w:sz w:val="18"/>
                <w:szCs w:val="18"/>
              </w:rPr>
              <w:t>董事、常务副总 经理</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22.13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22.13</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万能</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董事、财务总监</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21.58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徐斯平</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3" w:right="0"/>
              <w:jc w:val="left"/>
              <w:rPr>
                <w:rFonts w:ascii="Times New Roman" w:hAnsi="Times New Roman" w:cs="Times New Roman" w:eastAsia="Times New Roman" w:hint="default"/>
                <w:sz w:val="18"/>
                <w:szCs w:val="18"/>
              </w:rPr>
            </w:pPr>
            <w:r>
              <w:rPr>
                <w:rFonts w:ascii="Times New Roman"/>
                <w:sz w:val="18"/>
              </w:rPr>
              <w:t>54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齐强</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陈冲</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3" w:right="0"/>
              <w:jc w:val="left"/>
              <w:rPr>
                <w:rFonts w:ascii="Times New Roman" w:hAnsi="Times New Roman" w:cs="Times New Roman" w:eastAsia="Times New Roman" w:hint="default"/>
                <w:sz w:val="18"/>
                <w:szCs w:val="18"/>
              </w:rPr>
            </w:pPr>
            <w:r>
              <w:rPr>
                <w:rFonts w:ascii="Times New Roman"/>
                <w:sz w:val="18"/>
              </w:rPr>
              <w:t>68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蓝伯雄</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62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江锡如</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3" w:right="0"/>
              <w:jc w:val="left"/>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刘凯湘</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李广刚</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3" w:right="0"/>
              <w:jc w:val="left"/>
              <w:rPr>
                <w:rFonts w:ascii="Times New Roman" w:hAnsi="Times New Roman" w:cs="Times New Roman" w:eastAsia="Times New Roman" w:hint="default"/>
                <w:sz w:val="18"/>
                <w:szCs w:val="18"/>
              </w:rPr>
            </w:pPr>
            <w:r>
              <w:rPr>
                <w:rFonts w:ascii="Times New Roman"/>
                <w:sz w:val="18"/>
              </w:rPr>
              <w:t>34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40.85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40.85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丁彦超</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27.02</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郝岩</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3" w:right="0"/>
              <w:jc w:val="left"/>
              <w:rPr>
                <w:rFonts w:ascii="Times New Roman" w:hAnsi="Times New Roman" w:cs="Times New Roman" w:eastAsia="Times New Roman" w:hint="default"/>
                <w:sz w:val="18"/>
                <w:szCs w:val="18"/>
              </w:rPr>
            </w:pPr>
            <w:r>
              <w:rPr>
                <w:rFonts w:ascii="Times New Roman"/>
                <w:sz w:val="18"/>
              </w:rPr>
              <w:t>32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12.54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12.54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汪铖</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40.89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40.89</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朱健松</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3" w:right="0"/>
              <w:jc w:val="left"/>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60.49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60.49</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陶磊</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28.03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28.03</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高峰</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3" w:right="0"/>
              <w:jc w:val="left"/>
              <w:rPr>
                <w:rFonts w:ascii="Times New Roman" w:hAnsi="Times New Roman" w:cs="Times New Roman" w:eastAsia="Times New Roman" w:hint="default"/>
                <w:sz w:val="18"/>
                <w:szCs w:val="18"/>
              </w:rPr>
            </w:pPr>
            <w:r>
              <w:rPr>
                <w:rFonts w:ascii="Times New Roman"/>
                <w:sz w:val="18"/>
              </w:rPr>
              <w:t>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48.44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48.44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张振鹏</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35.79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35.79</w:t>
            </w:r>
          </w:p>
        </w:tc>
      </w:tr>
      <w:tr>
        <w:trPr>
          <w:trHeight w:val="40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刘豪</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03" w:right="0"/>
              <w:jc w:val="lef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43.65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43.65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许芃</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55.49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55.49</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王志刚</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3" w:right="0"/>
              <w:jc w:val="lef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孙海粟</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5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532" w:right="0"/>
              <w:jc w:val="left"/>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551.39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551.39</w:t>
            </w:r>
          </w:p>
        </w:tc>
      </w:tr>
    </w:tbl>
    <w:p>
      <w:pPr>
        <w:pStyle w:val="BodyText"/>
        <w:spacing w:line="240" w:lineRule="auto" w:before="49"/>
        <w:ind w:right="0"/>
        <w:jc w:val="left"/>
      </w:pPr>
      <w:r>
        <w:rPr/>
        <w:t>公司董事、监事、高级管理人员报告期内被授予的股权激励情况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68"/>
        <w:gridCol w:w="965"/>
        <w:gridCol w:w="965"/>
        <w:gridCol w:w="962"/>
        <w:gridCol w:w="965"/>
        <w:gridCol w:w="968"/>
        <w:gridCol w:w="965"/>
        <w:gridCol w:w="965"/>
        <w:gridCol w:w="965"/>
        <w:gridCol w:w="965"/>
      </w:tblGrid>
      <w:tr>
        <w:trPr>
          <w:trHeight w:val="1340" w:hRule="exact"/>
        </w:trPr>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17" w:right="27" w:hanging="92"/>
              <w:jc w:val="left"/>
              <w:rPr>
                <w:rFonts w:ascii="宋体" w:hAnsi="宋体" w:cs="宋体" w:eastAsia="宋体" w:hint="default"/>
                <w:sz w:val="18"/>
                <w:szCs w:val="18"/>
              </w:rPr>
            </w:pPr>
            <w:r>
              <w:rPr>
                <w:rFonts w:ascii="宋体" w:hAnsi="宋体" w:cs="宋体" w:eastAsia="宋体" w:hint="default"/>
                <w:sz w:val="18"/>
                <w:szCs w:val="18"/>
              </w:rPr>
              <w:t>报告期内可 行权股数</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17" w:right="24" w:hanging="92"/>
              <w:jc w:val="left"/>
              <w:rPr>
                <w:rFonts w:ascii="宋体" w:hAnsi="宋体" w:cs="宋体" w:eastAsia="宋体" w:hint="default"/>
                <w:sz w:val="18"/>
                <w:szCs w:val="18"/>
              </w:rPr>
            </w:pPr>
            <w:r>
              <w:rPr>
                <w:rFonts w:ascii="宋体" w:hAnsi="宋体" w:cs="宋体" w:eastAsia="宋体" w:hint="default"/>
                <w:sz w:val="18"/>
                <w:szCs w:val="18"/>
              </w:rPr>
              <w:t>报告期内已 行权股数</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3" w:right="21"/>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7"/>
                <w:sz w:val="18"/>
                <w:szCs w:val="18"/>
              </w:rPr>
              <w:t>权价格（元</w:t>
            </w:r>
            <w:r>
              <w:rPr>
                <w:rFonts w:ascii="Times New Roman" w:hAnsi="Times New Roman" w:cs="Times New Roman" w:eastAsia="Times New Roman" w:hint="default"/>
                <w:spacing w:val="-7"/>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6" w:right="-20" w:firstLine="4"/>
              <w:jc w:val="left"/>
              <w:rPr>
                <w:rFonts w:ascii="宋体" w:hAnsi="宋体" w:cs="宋体" w:eastAsia="宋体" w:hint="default"/>
                <w:sz w:val="18"/>
                <w:szCs w:val="18"/>
              </w:rPr>
            </w:pPr>
            <w:r>
              <w:rPr>
                <w:rFonts w:ascii="宋体" w:hAnsi="宋体" w:cs="宋体" w:eastAsia="宋体" w:hint="default"/>
                <w:sz w:val="18"/>
                <w:szCs w:val="18"/>
              </w:rPr>
              <w:t>报告期末市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8" w:right="24"/>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8" w:right="26"/>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4"/>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19"/>
              <w:ind w:left="9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8" w:right="24"/>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401"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陶磊</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6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33,000</w:t>
            </w:r>
          </w:p>
        </w:tc>
      </w:tr>
      <w:tr>
        <w:trPr>
          <w:trHeight w:val="403"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9" w:right="0"/>
              <w:jc w:val="left"/>
              <w:rPr>
                <w:rFonts w:ascii="宋体" w:hAnsi="宋体" w:cs="宋体" w:eastAsia="宋体" w:hint="default"/>
                <w:sz w:val="18"/>
                <w:szCs w:val="18"/>
              </w:rPr>
            </w:pPr>
            <w:r>
              <w:rPr>
                <w:rFonts w:ascii="宋体" w:hAnsi="宋体" w:cs="宋体" w:eastAsia="宋体" w:hint="default"/>
                <w:sz w:val="18"/>
                <w:szCs w:val="18"/>
              </w:rPr>
              <w:t>朱健松</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6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33,000</w:t>
            </w:r>
          </w:p>
        </w:tc>
      </w:tr>
      <w:tr>
        <w:trPr>
          <w:trHeight w:val="401"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刘豪</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6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19,950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19,950</w:t>
            </w:r>
          </w:p>
        </w:tc>
      </w:tr>
      <w:tr>
        <w:trPr>
          <w:trHeight w:val="403" w:hRule="exact"/>
        </w:trPr>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85,950</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85,950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440" w:bottom="1160" w:left="980" w:right="980"/>
        </w:sectPr>
      </w:pPr>
    </w:p>
    <w:p>
      <w:pPr>
        <w:pStyle w:val="Heading2"/>
        <w:spacing w:line="240" w:lineRule="auto" w:before="55"/>
        <w:ind w:right="0"/>
        <w:jc w:val="left"/>
        <w:rPr>
          <w:b w:val="0"/>
          <w:bCs w:val="0"/>
        </w:rPr>
      </w:pPr>
      <w:r>
        <w:rPr/>
        <w:t>四、公司董事、监事、高级管理人员变动情况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966"/>
        <w:gridCol w:w="3613"/>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变动情形</w:t>
            </w:r>
          </w:p>
        </w:tc>
        <w:tc>
          <w:tcPr>
            <w:tcW w:w="1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变动日期</w:t>
            </w:r>
          </w:p>
        </w:tc>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王志刚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离职</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个人身体原因</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六、公司员工情况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604" w:right="0"/>
        <w:jc w:val="left"/>
      </w:pPr>
      <w:r>
        <w:rPr/>
        <w:t>截止</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日，公司及下属企业共有员工</w:t>
      </w:r>
      <w:r>
        <w:rPr>
          <w:rFonts w:ascii="宋体" w:hAnsi="宋体" w:cs="宋体" w:eastAsia="宋体" w:hint="default"/>
        </w:rPr>
        <w:t>4,567</w:t>
      </w:r>
      <w:r>
        <w:rPr/>
        <w:t>人，具体构成情况如下：</w:t>
      </w:r>
    </w:p>
    <w:p>
      <w:pPr>
        <w:spacing w:line="240" w:lineRule="auto" w:before="0"/>
        <w:rPr>
          <w:rFonts w:ascii="宋体" w:hAnsi="宋体" w:cs="宋体" w:eastAsia="宋体" w:hint="default"/>
          <w:sz w:val="18"/>
          <w:szCs w:val="18"/>
        </w:rPr>
      </w:pPr>
    </w:p>
    <w:p>
      <w:pPr>
        <w:pStyle w:val="Heading5"/>
        <w:spacing w:line="240" w:lineRule="auto" w:before="153"/>
        <w:ind w:left="470" w:right="0"/>
        <w:jc w:val="left"/>
        <w:rPr>
          <w:b w:val="0"/>
          <w:bCs w:val="0"/>
        </w:rPr>
      </w:pPr>
      <w:r>
        <w:rPr/>
        <w:t>（一）员工专业结构</w:t>
      </w:r>
      <w:r>
        <w:rPr>
          <w:b w:val="0"/>
          <w:bCs w:val="0"/>
        </w:rPr>
      </w:r>
    </w:p>
    <w:p>
      <w:pPr>
        <w:spacing w:line="240" w:lineRule="auto" w:before="0"/>
        <w:rPr>
          <w:rFonts w:ascii="宋体" w:hAnsi="宋体" w:cs="宋体" w:eastAsia="宋体" w:hint="default"/>
          <w:b/>
          <w:bCs/>
          <w:sz w:val="23"/>
          <w:szCs w:val="23"/>
        </w:rPr>
      </w:pPr>
    </w:p>
    <w:tbl>
      <w:tblPr>
        <w:tblW w:w="0" w:type="auto"/>
        <w:jc w:val="left"/>
        <w:tblInd w:w="145" w:type="dxa"/>
        <w:tblLayout w:type="fixed"/>
        <w:tblCellMar>
          <w:top w:w="0" w:type="dxa"/>
          <w:left w:w="0" w:type="dxa"/>
          <w:bottom w:w="0" w:type="dxa"/>
          <w:right w:w="0" w:type="dxa"/>
        </w:tblCellMar>
        <w:tblLook w:val="01E0"/>
      </w:tblPr>
      <w:tblGrid>
        <w:gridCol w:w="2723"/>
        <w:gridCol w:w="2676"/>
        <w:gridCol w:w="3080"/>
      </w:tblGrid>
      <w:tr>
        <w:trPr>
          <w:trHeight w:val="502" w:hRule="exact"/>
        </w:trPr>
        <w:tc>
          <w:tcPr>
            <w:tcW w:w="2723"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7"/>
              <w:ind w:left="1" w:right="0"/>
              <w:jc w:val="center"/>
              <w:rPr>
                <w:rFonts w:ascii="宋体" w:hAnsi="宋体" w:cs="宋体" w:eastAsia="宋体" w:hint="default"/>
                <w:sz w:val="18"/>
                <w:szCs w:val="18"/>
              </w:rPr>
            </w:pPr>
            <w:r>
              <w:rPr>
                <w:rFonts w:ascii="宋体" w:hAnsi="宋体" w:cs="宋体" w:eastAsia="宋体" w:hint="default"/>
                <w:b/>
                <w:bCs/>
                <w:sz w:val="18"/>
                <w:szCs w:val="18"/>
              </w:rPr>
              <w:t>专业结构</w:t>
            </w:r>
            <w:r>
              <w:rPr>
                <w:rFonts w:ascii="宋体" w:hAnsi="宋体" w:cs="宋体" w:eastAsia="宋体" w:hint="default"/>
                <w:sz w:val="18"/>
                <w:szCs w:val="18"/>
              </w:rPr>
            </w:r>
          </w:p>
        </w:tc>
        <w:tc>
          <w:tcPr>
            <w:tcW w:w="2676"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7"/>
              <w:ind w:right="1145"/>
              <w:jc w:val="righ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3080"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7"/>
              <w:ind w:left="1" w:right="0"/>
              <w:jc w:val="center"/>
              <w:rPr>
                <w:rFonts w:ascii="宋体" w:hAnsi="宋体" w:cs="宋体" w:eastAsia="宋体" w:hint="default"/>
                <w:sz w:val="18"/>
                <w:szCs w:val="18"/>
              </w:rPr>
            </w:pPr>
            <w:r>
              <w:rPr>
                <w:rFonts w:ascii="宋体" w:hAnsi="宋体" w:cs="宋体" w:eastAsia="宋体" w:hint="default"/>
                <w:b/>
                <w:bCs/>
                <w:sz w:val="18"/>
                <w:szCs w:val="18"/>
              </w:rPr>
              <w:t>占员工总数的比例</w:t>
            </w:r>
            <w:r>
              <w:rPr>
                <w:rFonts w:ascii="宋体" w:hAnsi="宋体" w:cs="宋体" w:eastAsia="宋体" w:hint="default"/>
                <w:sz w:val="18"/>
                <w:szCs w:val="18"/>
              </w:rPr>
            </w:r>
          </w:p>
        </w:tc>
      </w:tr>
      <w:tr>
        <w:trPr>
          <w:trHeight w:val="504" w:hRule="exact"/>
        </w:trPr>
        <w:tc>
          <w:tcPr>
            <w:tcW w:w="2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2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125"/>
              <w:jc w:val="right"/>
              <w:rPr>
                <w:rFonts w:ascii="Times New Roman" w:hAnsi="Times New Roman" w:cs="Times New Roman" w:eastAsia="Times New Roman" w:hint="default"/>
                <w:sz w:val="18"/>
                <w:szCs w:val="18"/>
              </w:rPr>
            </w:pPr>
            <w:r>
              <w:rPr>
                <w:rFonts w:ascii="Times New Roman"/>
                <w:sz w:val="18"/>
              </w:rPr>
              <w:t>3,620</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center"/>
              <w:rPr>
                <w:rFonts w:ascii="Times New Roman" w:hAnsi="Times New Roman" w:cs="Times New Roman" w:eastAsia="Times New Roman" w:hint="default"/>
                <w:sz w:val="18"/>
                <w:szCs w:val="18"/>
              </w:rPr>
            </w:pPr>
            <w:r>
              <w:rPr>
                <w:rFonts w:ascii="Times New Roman"/>
                <w:sz w:val="18"/>
              </w:rPr>
              <w:t>79.26%</w:t>
            </w:r>
          </w:p>
        </w:tc>
      </w:tr>
      <w:tr>
        <w:trPr>
          <w:trHeight w:val="504" w:hRule="exact"/>
        </w:trPr>
        <w:tc>
          <w:tcPr>
            <w:tcW w:w="2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191"/>
              <w:jc w:val="right"/>
              <w:rPr>
                <w:rFonts w:ascii="Times New Roman" w:hAnsi="Times New Roman" w:cs="Times New Roman" w:eastAsia="Times New Roman" w:hint="default"/>
                <w:sz w:val="18"/>
                <w:szCs w:val="18"/>
              </w:rPr>
            </w:pPr>
            <w:r>
              <w:rPr>
                <w:rFonts w:ascii="Times New Roman"/>
                <w:sz w:val="18"/>
              </w:rPr>
              <w:t>331</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2" w:right="0"/>
              <w:jc w:val="center"/>
              <w:rPr>
                <w:rFonts w:ascii="Times New Roman" w:hAnsi="Times New Roman" w:cs="Times New Roman" w:eastAsia="Times New Roman" w:hint="default"/>
                <w:sz w:val="18"/>
                <w:szCs w:val="18"/>
              </w:rPr>
            </w:pPr>
            <w:r>
              <w:rPr>
                <w:rFonts w:ascii="Times New Roman"/>
                <w:sz w:val="18"/>
              </w:rPr>
              <w:t>7.25%</w:t>
            </w:r>
          </w:p>
        </w:tc>
      </w:tr>
      <w:tr>
        <w:trPr>
          <w:trHeight w:val="502" w:hRule="exact"/>
        </w:trPr>
        <w:tc>
          <w:tcPr>
            <w:tcW w:w="2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后台职能人员</w:t>
            </w:r>
          </w:p>
        </w:tc>
        <w:tc>
          <w:tcPr>
            <w:tcW w:w="2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191"/>
              <w:jc w:val="right"/>
              <w:rPr>
                <w:rFonts w:ascii="Times New Roman" w:hAnsi="Times New Roman" w:cs="Times New Roman" w:eastAsia="Times New Roman" w:hint="default"/>
                <w:sz w:val="18"/>
                <w:szCs w:val="18"/>
              </w:rPr>
            </w:pPr>
            <w:r>
              <w:rPr>
                <w:rFonts w:ascii="Times New Roman"/>
                <w:sz w:val="18"/>
              </w:rPr>
              <w:t>542</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2" w:right="0"/>
              <w:jc w:val="center"/>
              <w:rPr>
                <w:rFonts w:ascii="Times New Roman" w:hAnsi="Times New Roman" w:cs="Times New Roman" w:eastAsia="Times New Roman" w:hint="default"/>
                <w:sz w:val="18"/>
                <w:szCs w:val="18"/>
              </w:rPr>
            </w:pPr>
            <w:r>
              <w:rPr>
                <w:rFonts w:ascii="Times New Roman"/>
                <w:sz w:val="18"/>
              </w:rPr>
              <w:t>11.87%</w:t>
            </w:r>
          </w:p>
        </w:tc>
      </w:tr>
      <w:tr>
        <w:trPr>
          <w:trHeight w:val="504" w:hRule="exact"/>
        </w:trPr>
        <w:tc>
          <w:tcPr>
            <w:tcW w:w="2723" w:type="dxa"/>
            <w:tcBorders>
              <w:top w:val="single" w:sz="6" w:space="0" w:color="000000"/>
              <w:left w:val="single" w:sz="6" w:space="0" w:color="000000"/>
              <w:bottom w:val="single" w:sz="6" w:space="0" w:color="000000"/>
              <w:right w:val="single" w:sz="6" w:space="0" w:color="000000"/>
            </w:tcBorders>
          </w:tcPr>
          <w:p>
            <w:pPr>
              <w:pStyle w:val="TableParagraph"/>
              <w:tabs>
                <w:tab w:pos="467" w:val="left" w:leader="none"/>
              </w:tabs>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其</w:t>
              <w:tab/>
              <w:t>他</w:t>
            </w:r>
          </w:p>
        </w:tc>
        <w:tc>
          <w:tcPr>
            <w:tcW w:w="2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center"/>
              <w:rPr>
                <w:rFonts w:ascii="Times New Roman" w:hAnsi="Times New Roman" w:cs="Times New Roman" w:eastAsia="Times New Roman" w:hint="default"/>
                <w:sz w:val="18"/>
                <w:szCs w:val="18"/>
              </w:rPr>
            </w:pPr>
            <w:r>
              <w:rPr>
                <w:rFonts w:ascii="Times New Roman"/>
                <w:sz w:val="18"/>
              </w:rPr>
              <w:t>74</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center"/>
              <w:rPr>
                <w:rFonts w:ascii="Times New Roman" w:hAnsi="Times New Roman" w:cs="Times New Roman" w:eastAsia="Times New Roman" w:hint="default"/>
                <w:sz w:val="18"/>
                <w:szCs w:val="18"/>
              </w:rPr>
            </w:pPr>
            <w:r>
              <w:rPr>
                <w:rFonts w:ascii="Times New Roman"/>
                <w:sz w:val="18"/>
              </w:rPr>
              <w:t>1.62%</w:t>
            </w:r>
          </w:p>
        </w:tc>
      </w:tr>
      <w:tr>
        <w:trPr>
          <w:trHeight w:val="504" w:hRule="exact"/>
        </w:trPr>
        <w:tc>
          <w:tcPr>
            <w:tcW w:w="2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1125"/>
              <w:jc w:val="right"/>
              <w:rPr>
                <w:rFonts w:ascii="Times New Roman" w:hAnsi="Times New Roman" w:cs="Times New Roman" w:eastAsia="Times New Roman" w:hint="default"/>
                <w:sz w:val="18"/>
                <w:szCs w:val="18"/>
              </w:rPr>
            </w:pPr>
            <w:r>
              <w:rPr>
                <w:rFonts w:ascii="Times New Roman"/>
                <w:sz w:val="18"/>
              </w:rPr>
              <w:t>4,567</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4"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b/>
          <w:bCs/>
          <w:sz w:val="15"/>
          <w:szCs w:val="15"/>
        </w:rPr>
      </w:pPr>
    </w:p>
    <w:p>
      <w:pPr>
        <w:pStyle w:val="Heading5"/>
        <w:spacing w:line="240" w:lineRule="auto" w:before="44"/>
        <w:ind w:left="470" w:right="0"/>
        <w:jc w:val="left"/>
        <w:rPr>
          <w:b w:val="0"/>
          <w:bCs w:val="0"/>
        </w:rPr>
      </w:pPr>
      <w:r>
        <w:rPr/>
        <w:t>（二）学历结构</w:t>
      </w:r>
      <w:r>
        <w:rPr>
          <w:b w:val="0"/>
          <w:bCs w:val="0"/>
        </w:rPr>
      </w:r>
    </w:p>
    <w:p>
      <w:pPr>
        <w:spacing w:line="240" w:lineRule="auto" w:before="0"/>
        <w:rPr>
          <w:rFonts w:ascii="宋体" w:hAnsi="宋体" w:cs="宋体" w:eastAsia="宋体" w:hint="default"/>
          <w:b/>
          <w:bCs/>
          <w:sz w:val="23"/>
          <w:szCs w:val="23"/>
        </w:rPr>
      </w:pPr>
    </w:p>
    <w:tbl>
      <w:tblPr>
        <w:tblW w:w="0" w:type="auto"/>
        <w:jc w:val="left"/>
        <w:tblInd w:w="145" w:type="dxa"/>
        <w:tblLayout w:type="fixed"/>
        <w:tblCellMar>
          <w:top w:w="0" w:type="dxa"/>
          <w:left w:w="0" w:type="dxa"/>
          <w:bottom w:w="0" w:type="dxa"/>
          <w:right w:w="0" w:type="dxa"/>
        </w:tblCellMar>
        <w:tblLook w:val="01E0"/>
      </w:tblPr>
      <w:tblGrid>
        <w:gridCol w:w="2725"/>
        <w:gridCol w:w="2679"/>
        <w:gridCol w:w="3082"/>
      </w:tblGrid>
      <w:tr>
        <w:trPr>
          <w:trHeight w:val="502" w:hRule="exact"/>
        </w:trPr>
        <w:tc>
          <w:tcPr>
            <w:tcW w:w="2725"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b/>
                <w:bCs/>
                <w:sz w:val="18"/>
                <w:szCs w:val="18"/>
              </w:rPr>
              <w:t>学历结构</w:t>
            </w:r>
            <w:r>
              <w:rPr>
                <w:rFonts w:ascii="宋体" w:hAnsi="宋体" w:cs="宋体" w:eastAsia="宋体" w:hint="default"/>
                <w:sz w:val="18"/>
                <w:szCs w:val="18"/>
              </w:rPr>
            </w:r>
          </w:p>
        </w:tc>
        <w:tc>
          <w:tcPr>
            <w:tcW w:w="2679"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7"/>
              <w:ind w:right="1145"/>
              <w:jc w:val="righ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3082"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b/>
                <w:bCs/>
                <w:sz w:val="18"/>
                <w:szCs w:val="18"/>
              </w:rPr>
              <w:t>占员工总数的比例</w:t>
            </w:r>
            <w:r>
              <w:rPr>
                <w:rFonts w:ascii="宋体" w:hAnsi="宋体" w:cs="宋体" w:eastAsia="宋体" w:hint="default"/>
                <w:sz w:val="18"/>
                <w:szCs w:val="18"/>
              </w:rPr>
            </w:r>
          </w:p>
        </w:tc>
      </w:tr>
      <w:tr>
        <w:trPr>
          <w:trHeight w:val="504"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研究生及以上</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191"/>
              <w:jc w:val="right"/>
              <w:rPr>
                <w:rFonts w:ascii="Times New Roman" w:hAnsi="Times New Roman" w:cs="Times New Roman" w:eastAsia="Times New Roman" w:hint="default"/>
                <w:sz w:val="18"/>
                <w:szCs w:val="18"/>
              </w:rPr>
            </w:pPr>
            <w:r>
              <w:rPr>
                <w:rFonts w:ascii="Times New Roman"/>
                <w:sz w:val="18"/>
              </w:rPr>
              <w:t>206</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4.51%</w:t>
            </w:r>
          </w:p>
        </w:tc>
      </w:tr>
      <w:tr>
        <w:trPr>
          <w:trHeight w:val="502"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大学本科</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125"/>
              <w:jc w:val="right"/>
              <w:rPr>
                <w:rFonts w:ascii="Times New Roman" w:hAnsi="Times New Roman" w:cs="Times New Roman" w:eastAsia="Times New Roman" w:hint="default"/>
                <w:sz w:val="18"/>
                <w:szCs w:val="18"/>
              </w:rPr>
            </w:pPr>
            <w:r>
              <w:rPr>
                <w:rFonts w:ascii="Times New Roman"/>
                <w:sz w:val="18"/>
              </w:rPr>
              <w:t>2,921</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4" w:right="0"/>
              <w:jc w:val="center"/>
              <w:rPr>
                <w:rFonts w:ascii="Times New Roman" w:hAnsi="Times New Roman" w:cs="Times New Roman" w:eastAsia="Times New Roman" w:hint="default"/>
                <w:sz w:val="18"/>
                <w:szCs w:val="18"/>
              </w:rPr>
            </w:pPr>
            <w:r>
              <w:rPr>
                <w:rFonts w:ascii="Times New Roman"/>
                <w:sz w:val="18"/>
              </w:rPr>
              <w:t>63.96%</w:t>
            </w:r>
          </w:p>
        </w:tc>
      </w:tr>
      <w:tr>
        <w:trPr>
          <w:trHeight w:val="504"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大学专科</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125"/>
              <w:jc w:val="right"/>
              <w:rPr>
                <w:rFonts w:ascii="Times New Roman" w:hAnsi="Times New Roman" w:cs="Times New Roman" w:eastAsia="Times New Roman" w:hint="default"/>
                <w:sz w:val="18"/>
                <w:szCs w:val="18"/>
              </w:rPr>
            </w:pPr>
            <w:r>
              <w:rPr>
                <w:rFonts w:ascii="Times New Roman"/>
                <w:sz w:val="18"/>
              </w:rPr>
              <w:t>1,190</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4" w:right="0"/>
              <w:jc w:val="center"/>
              <w:rPr>
                <w:rFonts w:ascii="Times New Roman" w:hAnsi="Times New Roman" w:cs="Times New Roman" w:eastAsia="Times New Roman" w:hint="default"/>
                <w:sz w:val="18"/>
                <w:szCs w:val="18"/>
              </w:rPr>
            </w:pPr>
            <w:r>
              <w:rPr>
                <w:rFonts w:ascii="Times New Roman"/>
                <w:sz w:val="18"/>
              </w:rPr>
              <w:t>26.06%</w:t>
            </w:r>
          </w:p>
        </w:tc>
      </w:tr>
      <w:tr>
        <w:trPr>
          <w:trHeight w:val="502"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大专以下</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191"/>
              <w:jc w:val="right"/>
              <w:rPr>
                <w:rFonts w:ascii="Times New Roman" w:hAnsi="Times New Roman" w:cs="Times New Roman" w:eastAsia="Times New Roman" w:hint="default"/>
                <w:sz w:val="18"/>
                <w:szCs w:val="18"/>
              </w:rPr>
            </w:pPr>
            <w:r>
              <w:rPr>
                <w:rFonts w:ascii="Times New Roman"/>
                <w:sz w:val="18"/>
              </w:rPr>
              <w:t>250</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5.47%</w:t>
            </w:r>
          </w:p>
        </w:tc>
      </w:tr>
      <w:tr>
        <w:trPr>
          <w:trHeight w:val="504"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125"/>
              <w:jc w:val="right"/>
              <w:rPr>
                <w:rFonts w:ascii="Times New Roman" w:hAnsi="Times New Roman" w:cs="Times New Roman" w:eastAsia="Times New Roman" w:hint="default"/>
                <w:sz w:val="18"/>
                <w:szCs w:val="18"/>
              </w:rPr>
            </w:pPr>
            <w:r>
              <w:rPr>
                <w:rFonts w:ascii="Times New Roman"/>
                <w:sz w:val="18"/>
              </w:rPr>
              <w:t>4,567</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3"/>
        <w:rPr>
          <w:rFonts w:ascii="宋体" w:hAnsi="宋体" w:cs="宋体" w:eastAsia="宋体" w:hint="default"/>
          <w:b/>
          <w:bCs/>
          <w:sz w:val="15"/>
          <w:szCs w:val="15"/>
        </w:rPr>
      </w:pPr>
    </w:p>
    <w:p>
      <w:pPr>
        <w:pStyle w:val="Heading5"/>
        <w:spacing w:line="240" w:lineRule="auto" w:before="44"/>
        <w:ind w:left="470" w:right="0"/>
        <w:jc w:val="left"/>
        <w:rPr>
          <w:b w:val="0"/>
          <w:bCs w:val="0"/>
        </w:rPr>
      </w:pPr>
      <w:r>
        <w:rPr/>
        <w:t>（三）年龄结构</w:t>
      </w:r>
      <w:r>
        <w:rPr>
          <w:b w:val="0"/>
          <w:bCs w:val="0"/>
        </w:rPr>
      </w:r>
    </w:p>
    <w:p>
      <w:pPr>
        <w:spacing w:line="240" w:lineRule="auto" w:before="0"/>
        <w:rPr>
          <w:rFonts w:ascii="宋体" w:hAnsi="宋体" w:cs="宋体" w:eastAsia="宋体" w:hint="default"/>
          <w:b/>
          <w:bCs/>
          <w:sz w:val="23"/>
          <w:szCs w:val="23"/>
        </w:rPr>
      </w:pPr>
    </w:p>
    <w:tbl>
      <w:tblPr>
        <w:tblW w:w="0" w:type="auto"/>
        <w:jc w:val="left"/>
        <w:tblInd w:w="145" w:type="dxa"/>
        <w:tblLayout w:type="fixed"/>
        <w:tblCellMar>
          <w:top w:w="0" w:type="dxa"/>
          <w:left w:w="0" w:type="dxa"/>
          <w:bottom w:w="0" w:type="dxa"/>
          <w:right w:w="0" w:type="dxa"/>
        </w:tblCellMar>
        <w:tblLook w:val="01E0"/>
      </w:tblPr>
      <w:tblGrid>
        <w:gridCol w:w="2725"/>
        <w:gridCol w:w="2679"/>
        <w:gridCol w:w="3082"/>
      </w:tblGrid>
      <w:tr>
        <w:trPr>
          <w:trHeight w:val="504" w:hRule="exact"/>
        </w:trPr>
        <w:tc>
          <w:tcPr>
            <w:tcW w:w="2725"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9"/>
              <w:ind w:right="990"/>
              <w:jc w:val="right"/>
              <w:rPr>
                <w:rFonts w:ascii="宋体" w:hAnsi="宋体" w:cs="宋体" w:eastAsia="宋体" w:hint="default"/>
                <w:sz w:val="18"/>
                <w:szCs w:val="18"/>
              </w:rPr>
            </w:pPr>
            <w:r>
              <w:rPr>
                <w:rFonts w:ascii="宋体" w:hAnsi="宋体" w:cs="宋体" w:eastAsia="宋体" w:hint="default"/>
                <w:b/>
                <w:bCs/>
                <w:w w:val="95"/>
                <w:sz w:val="18"/>
                <w:szCs w:val="18"/>
              </w:rPr>
              <w:t>年龄结构</w:t>
            </w:r>
            <w:r>
              <w:rPr>
                <w:rFonts w:ascii="宋体" w:hAnsi="宋体" w:cs="宋体" w:eastAsia="宋体" w:hint="default"/>
                <w:sz w:val="18"/>
                <w:szCs w:val="18"/>
              </w:rPr>
            </w:r>
          </w:p>
        </w:tc>
        <w:tc>
          <w:tcPr>
            <w:tcW w:w="2679"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9"/>
              <w:ind w:left="4" w:right="0"/>
              <w:jc w:val="center"/>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3082"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b/>
                <w:bCs/>
                <w:sz w:val="18"/>
                <w:szCs w:val="18"/>
              </w:rPr>
              <w:t>占员工总数的比例</w:t>
            </w:r>
            <w:r>
              <w:rPr>
                <w:rFonts w:ascii="宋体" w:hAnsi="宋体" w:cs="宋体" w:eastAsia="宋体" w:hint="default"/>
                <w:sz w:val="18"/>
                <w:szCs w:val="18"/>
              </w:rPr>
            </w:r>
          </w:p>
        </w:tc>
      </w:tr>
      <w:tr>
        <w:trPr>
          <w:trHeight w:val="504"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89"/>
              <w:jc w:val="right"/>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宋体" w:hAnsi="宋体" w:cs="宋体" w:eastAsia="宋体" w:hint="default"/>
                <w:sz w:val="18"/>
                <w:szCs w:val="18"/>
              </w:rPr>
              <w:t>岁以上</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4" w:right="0"/>
              <w:jc w:val="center"/>
              <w:rPr>
                <w:rFonts w:ascii="Times New Roman" w:hAnsi="Times New Roman" w:cs="Times New Roman" w:eastAsia="Times New Roman" w:hint="default"/>
                <w:sz w:val="18"/>
                <w:szCs w:val="18"/>
              </w:rPr>
            </w:pPr>
            <w:r>
              <w:rPr>
                <w:rFonts w:ascii="Times New Roman"/>
                <w:sz w:val="18"/>
              </w:rPr>
              <w:t>80</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1.75%</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80" w:top="1340" w:bottom="1160" w:left="980" w:right="980"/>
        </w:sectPr>
      </w:pPr>
    </w:p>
    <w:p>
      <w:pPr>
        <w:spacing w:line="240" w:lineRule="auto" w:before="2"/>
        <w:rPr>
          <w:rFonts w:ascii="宋体" w:hAnsi="宋体" w:cs="宋体" w:eastAsia="宋体" w:hint="default"/>
          <w:b/>
          <w:bCs/>
          <w:sz w:val="7"/>
          <w:szCs w:val="7"/>
        </w:rPr>
      </w:pPr>
    </w:p>
    <w:tbl>
      <w:tblPr>
        <w:tblW w:w="0" w:type="auto"/>
        <w:jc w:val="left"/>
        <w:tblInd w:w="145" w:type="dxa"/>
        <w:tblLayout w:type="fixed"/>
        <w:tblCellMar>
          <w:top w:w="0" w:type="dxa"/>
          <w:left w:w="0" w:type="dxa"/>
          <w:bottom w:w="0" w:type="dxa"/>
          <w:right w:w="0" w:type="dxa"/>
        </w:tblCellMar>
        <w:tblLook w:val="01E0"/>
      </w:tblPr>
      <w:tblGrid>
        <w:gridCol w:w="2725"/>
        <w:gridCol w:w="2679"/>
        <w:gridCol w:w="3082"/>
      </w:tblGrid>
      <w:tr>
        <w:trPr>
          <w:trHeight w:val="504"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36-45</w:t>
            </w:r>
            <w:r>
              <w:rPr>
                <w:rFonts w:ascii="宋体" w:hAnsi="宋体" w:cs="宋体" w:eastAsia="宋体" w:hint="default"/>
                <w:sz w:val="18"/>
                <w:szCs w:val="18"/>
              </w:rPr>
              <w:t>岁</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4" w:right="0"/>
              <w:jc w:val="center"/>
              <w:rPr>
                <w:rFonts w:ascii="Times New Roman" w:hAnsi="Times New Roman" w:cs="Times New Roman" w:eastAsia="Times New Roman" w:hint="default"/>
                <w:sz w:val="18"/>
                <w:szCs w:val="18"/>
              </w:rPr>
            </w:pPr>
            <w:r>
              <w:rPr>
                <w:rFonts w:ascii="Times New Roman"/>
                <w:sz w:val="18"/>
              </w:rPr>
              <w:t>291</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6.37%</w:t>
            </w:r>
          </w:p>
        </w:tc>
      </w:tr>
      <w:tr>
        <w:trPr>
          <w:trHeight w:val="502"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岁以下</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2" w:right="0"/>
              <w:jc w:val="center"/>
              <w:rPr>
                <w:rFonts w:ascii="Times New Roman" w:hAnsi="Times New Roman" w:cs="Times New Roman" w:eastAsia="Times New Roman" w:hint="default"/>
                <w:sz w:val="18"/>
                <w:szCs w:val="18"/>
              </w:rPr>
            </w:pPr>
            <w:r>
              <w:rPr>
                <w:rFonts w:ascii="Times New Roman"/>
                <w:sz w:val="18"/>
              </w:rPr>
              <w:t>4,196</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4" w:right="0"/>
              <w:jc w:val="center"/>
              <w:rPr>
                <w:rFonts w:ascii="Times New Roman" w:hAnsi="Times New Roman" w:cs="Times New Roman" w:eastAsia="Times New Roman" w:hint="default"/>
                <w:sz w:val="18"/>
                <w:szCs w:val="18"/>
              </w:rPr>
            </w:pPr>
            <w:r>
              <w:rPr>
                <w:rFonts w:ascii="Times New Roman"/>
                <w:sz w:val="18"/>
              </w:rPr>
              <w:t>91.88%</w:t>
            </w:r>
          </w:p>
        </w:tc>
      </w:tr>
      <w:tr>
        <w:trPr>
          <w:trHeight w:val="504"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center"/>
              <w:rPr>
                <w:rFonts w:ascii="Times New Roman" w:hAnsi="Times New Roman" w:cs="Times New Roman" w:eastAsia="Times New Roman" w:hint="default"/>
                <w:sz w:val="18"/>
                <w:szCs w:val="18"/>
              </w:rPr>
            </w:pPr>
            <w:r>
              <w:rPr>
                <w:rFonts w:ascii="Times New Roman"/>
                <w:sz w:val="18"/>
              </w:rPr>
              <w:t>4,567</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3"/>
        <w:rPr>
          <w:rFonts w:ascii="宋体" w:hAnsi="宋体" w:cs="宋体" w:eastAsia="宋体" w:hint="default"/>
          <w:b/>
          <w:bCs/>
          <w:sz w:val="15"/>
          <w:szCs w:val="15"/>
        </w:rPr>
      </w:pPr>
    </w:p>
    <w:p>
      <w:pPr>
        <w:pStyle w:val="Heading5"/>
        <w:spacing w:line="240" w:lineRule="auto" w:before="44"/>
        <w:ind w:right="0"/>
        <w:jc w:val="left"/>
        <w:rPr>
          <w:b w:val="0"/>
          <w:bCs w:val="0"/>
        </w:rPr>
      </w:pPr>
      <w:r>
        <w:rPr/>
        <w:t>（四）公司执行北京市社会保险制度，没有需要公司承担费用的离退休职工。</w:t>
      </w:r>
      <w:r>
        <w:rPr>
          <w:b w:val="0"/>
          <w:bCs w:val="0"/>
        </w:rPr>
      </w:r>
    </w:p>
    <w:p>
      <w:pPr>
        <w:spacing w:after="0" w:line="240" w:lineRule="auto"/>
        <w:jc w:val="left"/>
        <w:sectPr>
          <w:pgSz w:w="11910" w:h="16840"/>
          <w:pgMar w:header="852" w:footer="980" w:top="1340" w:bottom="1160" w:left="980" w:right="980"/>
        </w:sectPr>
      </w:pPr>
    </w:p>
    <w:p>
      <w:pPr>
        <w:spacing w:line="240" w:lineRule="auto" w:before="12"/>
        <w:rPr>
          <w:rFonts w:ascii="宋体" w:hAnsi="宋体" w:cs="宋体" w:eastAsia="宋体" w:hint="default"/>
          <w:b/>
          <w:bCs/>
          <w:sz w:val="29"/>
          <w:szCs w:val="29"/>
        </w:rPr>
      </w:pPr>
    </w:p>
    <w:p>
      <w:pPr>
        <w:pStyle w:val="Heading1"/>
        <w:spacing w:line="240" w:lineRule="auto"/>
        <w:ind w:left="134" w:right="170"/>
        <w:jc w:val="center"/>
        <w:rPr>
          <w:b w:val="0"/>
          <w:bCs w:val="0"/>
        </w:rPr>
      </w:pPr>
      <w:bookmarkStart w:name="_TOC_250002"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4"/>
        <w:jc w:val="left"/>
        <w:rPr>
          <w:b w:val="0"/>
          <w:bCs w:val="0"/>
        </w:rPr>
      </w:pPr>
      <w:r>
        <w:rPr/>
        <w:t>一、公司治理的基本状况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91" w:firstLine="420"/>
        <w:jc w:val="both"/>
      </w:pPr>
      <w:r>
        <w:rPr/>
        <w:t>公司严格按照《公司法》、《证券法》、《上市公司治理准则》、《深圳证券交易所创业板股票上市规则》、《深圳 </w:t>
      </w:r>
      <w:r>
        <w:rPr>
          <w:spacing w:val="-2"/>
        </w:rPr>
        <w:t>证券交易所创业板上市公司规范运作指引》及中国证监会有关法律法规等的要求，确立了股东大会、董事会、监事会及经营</w:t>
      </w:r>
      <w:r>
        <w:rPr>
          <w:spacing w:val="-64"/>
        </w:rPr>
        <w:t> </w:t>
      </w:r>
      <w:r>
        <w:rPr>
          <w:spacing w:val="-64"/>
        </w:rPr>
      </w:r>
      <w:r>
        <w:rPr>
          <w:spacing w:val="-2"/>
        </w:rPr>
        <w:t>管理层的分层治理结构，并在公司董事会下设立了战略、审计、提名、薪酬与考核等专门委员会。报告期内，公司不断完善</w:t>
      </w:r>
      <w:r>
        <w:rPr>
          <w:spacing w:val="-67"/>
        </w:rPr>
        <w:t> </w:t>
      </w:r>
      <w:r>
        <w:rPr>
          <w:spacing w:val="-67"/>
        </w:rPr>
      </w:r>
      <w:r>
        <w:rPr>
          <w:spacing w:val="-2"/>
        </w:rPr>
        <w:t>法人治理结构，提高公司治理水平，建立健全各项内部管控制度，规范公司日常经营和整体运作，严格按照相关规定对公司</w:t>
      </w:r>
      <w:r>
        <w:rPr>
          <w:spacing w:val="-65"/>
        </w:rPr>
        <w:t> </w:t>
      </w:r>
      <w:r>
        <w:rPr>
          <w:spacing w:val="-65"/>
        </w:rPr>
      </w:r>
      <w:r>
        <w:rPr/>
        <w:t>重大事项进行信息披露，确保真实、准确、完整、及时、公平披露原则，有效保护广大投资者利益。</w:t>
      </w:r>
    </w:p>
    <w:p>
      <w:pPr>
        <w:spacing w:line="240" w:lineRule="auto" w:before="7"/>
        <w:rPr>
          <w:rFonts w:ascii="宋体" w:hAnsi="宋体" w:cs="宋体" w:eastAsia="宋体" w:hint="default"/>
          <w:sz w:val="13"/>
          <w:szCs w:val="13"/>
        </w:rPr>
      </w:pPr>
    </w:p>
    <w:p>
      <w:pPr>
        <w:pStyle w:val="BodyText"/>
        <w:spacing w:line="463" w:lineRule="auto"/>
        <w:ind w:right="94" w:firstLine="288"/>
        <w:jc w:val="left"/>
      </w:pPr>
      <w:r>
        <w:rPr/>
        <w:t>截至</w:t>
      </w:r>
      <w:r>
        <w:rPr>
          <w:rFonts w:ascii="Times New Roman" w:hAnsi="Times New Roman" w:cs="Times New Roman" w:eastAsia="Times New Roman" w:hint="default"/>
        </w:rPr>
        <w:t>2012</w:t>
      </w:r>
      <w:r>
        <w:rPr/>
        <w:t>年末，公司实际治理状况符合《上市公司治理准则》和《深圳证券交易所创业板上市公司规范运作指引》的要 求，重大生产经营决策、投资决策及财务决策均按照《公司章程》及有关内控制度的规定执行，相关机构和人员依法运作、 尽职尽责，未出现违法、违规现象。</w:t>
      </w:r>
    </w:p>
    <w:p>
      <w:pPr>
        <w:spacing w:line="240" w:lineRule="auto" w:before="2"/>
        <w:rPr>
          <w:rFonts w:ascii="宋体" w:hAnsi="宋体" w:cs="宋体" w:eastAsia="宋体" w:hint="default"/>
          <w:sz w:val="14"/>
          <w:szCs w:val="14"/>
        </w:rPr>
      </w:pPr>
    </w:p>
    <w:p>
      <w:pPr>
        <w:pStyle w:val="BodyText"/>
        <w:spacing w:line="568" w:lineRule="auto"/>
        <w:ind w:left="573" w:right="94"/>
        <w:jc w:val="left"/>
      </w:pPr>
      <w:r>
        <w:rPr>
          <w:rFonts w:ascii="Times New Roman" w:hAnsi="Times New Roman" w:cs="Times New Roman" w:eastAsia="Times New Roman" w:hint="default"/>
        </w:rPr>
        <w:t>1</w:t>
      </w:r>
      <w:r>
        <w:rPr/>
        <w:t>、股东与股东大会 公司严格按照《上市公司股东大会规则》、《公司章程》、《股东大会议事规则》等规定的要求，召集、召开股东大</w:t>
      </w:r>
    </w:p>
    <w:p>
      <w:pPr>
        <w:pStyle w:val="BodyText"/>
        <w:spacing w:line="219" w:lineRule="exact"/>
        <w:ind w:right="0"/>
        <w:jc w:val="left"/>
      </w:pPr>
      <w:r>
        <w:rPr/>
        <w:t>会，并为股东参加会议提供便利，使其充分行使股东权利。公司股东大会在审议每项议案过程中设有议事程序，能够平等对</w:t>
      </w:r>
    </w:p>
    <w:p>
      <w:pPr>
        <w:spacing w:line="240" w:lineRule="auto" w:before="10"/>
        <w:rPr>
          <w:rFonts w:ascii="宋体" w:hAnsi="宋体" w:cs="宋体" w:eastAsia="宋体" w:hint="default"/>
          <w:sz w:val="17"/>
          <w:szCs w:val="17"/>
        </w:rPr>
      </w:pPr>
    </w:p>
    <w:p>
      <w:pPr>
        <w:pStyle w:val="BodyText"/>
        <w:spacing w:line="477" w:lineRule="auto"/>
        <w:ind w:right="94"/>
        <w:jc w:val="left"/>
      </w:pPr>
      <w:r>
        <w:rPr>
          <w:spacing w:val="-2"/>
        </w:rPr>
        <w:t>待所有股东，就股东的质询作出解释和说明，听取股东的建议与意见，保证了中小股东的话语权，并通过聘请律师出席见证</w:t>
      </w:r>
      <w:r>
        <w:rPr>
          <w:spacing w:val="-65"/>
        </w:rPr>
        <w:t> </w:t>
      </w:r>
      <w:r>
        <w:rPr>
          <w:spacing w:val="-65"/>
        </w:rPr>
      </w:r>
      <w:r>
        <w:rPr/>
        <w:t>保证了会议的召集、召开和表决程序的合法性。</w:t>
      </w:r>
    </w:p>
    <w:p>
      <w:pPr>
        <w:spacing w:line="240" w:lineRule="auto" w:before="4"/>
        <w:rPr>
          <w:rFonts w:ascii="宋体" w:hAnsi="宋体" w:cs="宋体" w:eastAsia="宋体" w:hint="default"/>
          <w:sz w:val="13"/>
          <w:szCs w:val="13"/>
        </w:rPr>
      </w:pPr>
    </w:p>
    <w:p>
      <w:pPr>
        <w:pStyle w:val="BodyText"/>
        <w:spacing w:line="568" w:lineRule="auto"/>
        <w:ind w:left="573" w:right="94"/>
        <w:jc w:val="left"/>
      </w:pPr>
      <w:r>
        <w:rPr>
          <w:rFonts w:ascii="Times New Roman" w:hAnsi="Times New Roman" w:cs="Times New Roman" w:eastAsia="Times New Roman" w:hint="default"/>
        </w:rPr>
        <w:t>2</w:t>
      </w:r>
      <w:r>
        <w:rPr/>
        <w:t>、控股股东与上市公司 公司严格按照《公司法》、《证券法》、《公司章程》及证券监管部门的有关规定正确处理与控股股东的关系。公司</w:t>
      </w:r>
    </w:p>
    <w:p>
      <w:pPr>
        <w:pStyle w:val="BodyText"/>
        <w:spacing w:line="219" w:lineRule="exact"/>
        <w:ind w:right="0"/>
        <w:jc w:val="left"/>
      </w:pPr>
      <w:r>
        <w:rPr/>
        <w:t>控股股东严格规范自身行为，依法行使其权利并承担相应义务，没有超越股东大会直接或间接干预本公司的决策和生产经营</w:t>
      </w:r>
    </w:p>
    <w:p>
      <w:pPr>
        <w:spacing w:line="240" w:lineRule="auto" w:before="10"/>
        <w:rPr>
          <w:rFonts w:ascii="宋体" w:hAnsi="宋体" w:cs="宋体" w:eastAsia="宋体" w:hint="default"/>
          <w:sz w:val="17"/>
          <w:szCs w:val="17"/>
        </w:rPr>
      </w:pPr>
    </w:p>
    <w:p>
      <w:pPr>
        <w:pStyle w:val="BodyText"/>
        <w:spacing w:line="477" w:lineRule="auto"/>
        <w:ind w:right="94"/>
        <w:jc w:val="left"/>
      </w:pPr>
      <w:r>
        <w:rPr>
          <w:spacing w:val="-2"/>
        </w:rPr>
        <w:t>活动。公司拥有独立完整的业务和自主经营能力，董事会、监事会和其他内部机构独立运作。报告期内，未发生超越股东大</w:t>
      </w:r>
      <w:r>
        <w:rPr>
          <w:spacing w:val="-67"/>
        </w:rPr>
        <w:t> </w:t>
      </w:r>
      <w:r>
        <w:rPr>
          <w:spacing w:val="-67"/>
        </w:rPr>
      </w:r>
      <w:r>
        <w:rPr/>
        <w:t>会和董事会的授权权限，直接或间接干预公司决策和经营活动及利用其控制地位侵害其他股东利益的行为出现。</w:t>
      </w:r>
    </w:p>
    <w:p>
      <w:pPr>
        <w:spacing w:line="240" w:lineRule="auto" w:before="5"/>
        <w:rPr>
          <w:rFonts w:ascii="宋体" w:hAnsi="宋体" w:cs="宋体" w:eastAsia="宋体" w:hint="default"/>
          <w:sz w:val="13"/>
          <w:szCs w:val="13"/>
        </w:rPr>
      </w:pPr>
    </w:p>
    <w:p>
      <w:pPr>
        <w:pStyle w:val="BodyText"/>
        <w:spacing w:line="240" w:lineRule="auto"/>
        <w:ind w:left="573" w:right="94"/>
        <w:jc w:val="left"/>
      </w:pPr>
      <w:r>
        <w:rPr>
          <w:rFonts w:ascii="Times New Roman" w:hAnsi="Times New Roman" w:cs="Times New Roman" w:eastAsia="Times New Roman" w:hint="default"/>
        </w:rPr>
        <w:t>3</w:t>
      </w:r>
      <w:r>
        <w:rPr/>
        <w:t>、董事和董事会</w:t>
      </w:r>
    </w:p>
    <w:p>
      <w:pPr>
        <w:spacing w:line="240" w:lineRule="auto" w:before="1"/>
        <w:rPr>
          <w:rFonts w:ascii="宋体" w:hAnsi="宋体" w:cs="宋体" w:eastAsia="宋体" w:hint="default"/>
          <w:sz w:val="26"/>
          <w:szCs w:val="26"/>
        </w:rPr>
      </w:pPr>
    </w:p>
    <w:p>
      <w:pPr>
        <w:pStyle w:val="BodyText"/>
        <w:spacing w:line="470" w:lineRule="auto"/>
        <w:ind w:right="194" w:firstLine="420"/>
        <w:jc w:val="both"/>
      </w:pPr>
      <w:r>
        <w:rPr>
          <w:spacing w:val="-2"/>
        </w:rPr>
        <w:t>公司董事会设董事</w:t>
      </w:r>
      <w:r>
        <w:rPr>
          <w:rFonts w:ascii="Times New Roman" w:hAnsi="Times New Roman" w:cs="Times New Roman" w:eastAsia="Times New Roman" w:hint="default"/>
          <w:spacing w:val="-2"/>
        </w:rPr>
        <w:t>11</w:t>
      </w:r>
      <w:r>
        <w:rPr>
          <w:spacing w:val="-2"/>
        </w:rPr>
        <w:t>名，其中独立董事</w:t>
      </w:r>
      <w:r>
        <w:rPr>
          <w:rFonts w:ascii="Times New Roman" w:hAnsi="Times New Roman" w:cs="Times New Roman" w:eastAsia="Times New Roman" w:hint="default"/>
          <w:spacing w:val="-2"/>
        </w:rPr>
        <w:t>4</w:t>
      </w:r>
      <w:r>
        <w:rPr>
          <w:spacing w:val="-2"/>
        </w:rPr>
        <w:t>名，董事会的人数及人员构成符合法律、法规和《公司章程》的要求。任职期</w:t>
      </w:r>
      <w:r>
        <w:rPr/>
        <w:t> </w:t>
      </w:r>
      <w:r>
        <w:rPr>
          <w:spacing w:val="-2"/>
        </w:rPr>
        <w:t>间，公司全体董事勤勉尽责开展工作，持续关注公司经营状况，主动参加相关培训，提高规范运作水平；积极参加董事会会</w:t>
      </w:r>
      <w:r>
        <w:rPr>
          <w:spacing w:val="-67"/>
        </w:rPr>
        <w:t> </w:t>
      </w:r>
      <w:r>
        <w:rPr>
          <w:spacing w:val="-67"/>
        </w:rPr>
      </w:r>
      <w:r>
        <w:rPr>
          <w:spacing w:val="-2"/>
        </w:rPr>
        <w:t>议，充分发挥各自的专业特长，审慎决策，维护公司和广大股东的利益。公司董事会会议的召集、召开等程序均符合相关规</w:t>
      </w:r>
      <w:r>
        <w:rPr>
          <w:spacing w:val="-67"/>
        </w:rPr>
        <w:t> </w:t>
      </w:r>
      <w:r>
        <w:rPr>
          <w:spacing w:val="-67"/>
        </w:rPr>
      </w:r>
      <w:r>
        <w:rPr>
          <w:spacing w:val="-2"/>
        </w:rPr>
        <w:t>定的要求；历次董事会会议记录内容真实、准确、完整，保存安全；会议决议做到充分准确且及时披露。董事会下设战略委</w:t>
      </w:r>
      <w:r>
        <w:rPr>
          <w:spacing w:val="-70"/>
        </w:rPr>
        <w:t> </w:t>
      </w:r>
      <w:r>
        <w:rPr>
          <w:spacing w:val="-70"/>
        </w:rPr>
      </w:r>
      <w:r>
        <w:rPr/>
        <w:t>员会、审计委员会、薪酬与考核委员会、提名委员会。</w:t>
      </w:r>
    </w:p>
    <w:p>
      <w:pPr>
        <w:spacing w:after="0" w:line="470" w:lineRule="auto"/>
        <w:jc w:val="both"/>
        <w:sectPr>
          <w:pgSz w:w="11910" w:h="16840"/>
          <w:pgMar w:header="852" w:footer="980" w:top="1340" w:bottom="1160" w:left="980" w:right="940"/>
        </w:sectPr>
      </w:pPr>
    </w:p>
    <w:p>
      <w:pPr>
        <w:spacing w:line="240" w:lineRule="auto" w:before="6"/>
        <w:rPr>
          <w:rFonts w:ascii="宋体" w:hAnsi="宋体" w:cs="宋体" w:eastAsia="宋体" w:hint="default"/>
          <w:sz w:val="10"/>
          <w:szCs w:val="10"/>
        </w:rPr>
      </w:pPr>
    </w:p>
    <w:p>
      <w:pPr>
        <w:pStyle w:val="BodyText"/>
        <w:spacing w:line="240" w:lineRule="auto" w:before="44"/>
        <w:ind w:left="573" w:right="0"/>
        <w:jc w:val="left"/>
      </w:pPr>
      <w:r>
        <w:rPr>
          <w:rFonts w:ascii="Times New Roman" w:hAnsi="Times New Roman" w:cs="Times New Roman" w:eastAsia="Times New Roman" w:hint="default"/>
        </w:rPr>
        <w:t>4</w:t>
      </w:r>
      <w:r>
        <w:rPr/>
        <w:t>、监事和监事会</w:t>
      </w:r>
    </w:p>
    <w:p>
      <w:pPr>
        <w:spacing w:line="240" w:lineRule="auto" w:before="1"/>
        <w:rPr>
          <w:rFonts w:ascii="宋体" w:hAnsi="宋体" w:cs="宋体" w:eastAsia="宋体" w:hint="default"/>
          <w:sz w:val="26"/>
          <w:szCs w:val="26"/>
        </w:rPr>
      </w:pPr>
    </w:p>
    <w:p>
      <w:pPr>
        <w:pStyle w:val="BodyText"/>
        <w:spacing w:line="463" w:lineRule="auto"/>
        <w:ind w:right="152" w:firstLine="420"/>
        <w:jc w:val="both"/>
      </w:pPr>
      <w:r>
        <w:rPr/>
        <w:t>公司监事会设监事</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名，监事会的人数和构成符合法律、法规的要求。公司监事能够按照《监事会 </w:t>
      </w:r>
      <w:r>
        <w:rPr>
          <w:spacing w:val="-2"/>
        </w:rPr>
        <w:t>议事规则》的要求，认真履行自己的职责，对公司重大事项、关联交易、财务状况以及董事、高管人员履行职责的合法合规</w:t>
      </w:r>
      <w:r>
        <w:rPr>
          <w:spacing w:val="-68"/>
        </w:rPr>
        <w:t> </w:t>
      </w:r>
      <w:r>
        <w:rPr>
          <w:spacing w:val="-68"/>
        </w:rPr>
      </w:r>
      <w:r>
        <w:rPr/>
        <w:t>性进行监督。</w:t>
      </w:r>
    </w:p>
    <w:p>
      <w:pPr>
        <w:spacing w:line="240" w:lineRule="auto" w:before="2"/>
        <w:rPr>
          <w:rFonts w:ascii="宋体" w:hAnsi="宋体" w:cs="宋体" w:eastAsia="宋体" w:hint="default"/>
          <w:sz w:val="14"/>
          <w:szCs w:val="14"/>
        </w:rPr>
      </w:pPr>
    </w:p>
    <w:p>
      <w:pPr>
        <w:pStyle w:val="BodyText"/>
        <w:spacing w:line="568" w:lineRule="auto"/>
        <w:ind w:left="573" w:right="0"/>
        <w:jc w:val="left"/>
      </w:pPr>
      <w:r>
        <w:rPr>
          <w:rFonts w:ascii="Times New Roman" w:hAnsi="Times New Roman" w:cs="Times New Roman" w:eastAsia="Times New Roman" w:hint="default"/>
        </w:rPr>
        <w:t>5</w:t>
      </w:r>
      <w:r>
        <w:rPr/>
        <w:t>、绩效评价与激励约束机制 公司已建立企业绩效评价激励体系，并在报告期内不断完善。董事、监事和高级管理人员的绩效评价标准和激励约束</w:t>
      </w:r>
    </w:p>
    <w:p>
      <w:pPr>
        <w:pStyle w:val="BodyText"/>
        <w:spacing w:line="219" w:lineRule="exact"/>
        <w:ind w:right="0"/>
        <w:jc w:val="both"/>
      </w:pPr>
      <w:r>
        <w:rPr/>
        <w:t>机制公开、透明，符合法律、法规的规定。</w:t>
      </w:r>
    </w:p>
    <w:p>
      <w:pPr>
        <w:spacing w:line="240" w:lineRule="auto" w:before="13"/>
        <w:rPr>
          <w:rFonts w:ascii="宋体" w:hAnsi="宋体" w:cs="宋体" w:eastAsia="宋体" w:hint="default"/>
          <w:sz w:val="26"/>
          <w:szCs w:val="26"/>
        </w:rPr>
      </w:pPr>
    </w:p>
    <w:p>
      <w:pPr>
        <w:pStyle w:val="BodyText"/>
        <w:spacing w:line="568" w:lineRule="auto"/>
        <w:ind w:left="501" w:right="0" w:firstLine="72"/>
        <w:jc w:val="left"/>
      </w:pPr>
      <w:r>
        <w:rPr>
          <w:rFonts w:ascii="Times New Roman" w:hAnsi="Times New Roman" w:cs="Times New Roman" w:eastAsia="Times New Roman" w:hint="default"/>
        </w:rPr>
        <w:t>6</w:t>
      </w:r>
      <w:r>
        <w:rPr/>
        <w:t>、关于信息披露与透明度 </w:t>
      </w:r>
      <w:r>
        <w:rPr>
          <w:spacing w:val="-2"/>
        </w:rPr>
        <w:t>公司严格按照有关法律法规以及《信息披露制度》、《投资者关系管理制度》等的要求，真实、准确、完整、及时、公</w:t>
      </w:r>
    </w:p>
    <w:p>
      <w:pPr>
        <w:pStyle w:val="BodyText"/>
        <w:spacing w:line="233" w:lineRule="exact"/>
        <w:ind w:left="212" w:right="0"/>
        <w:jc w:val="both"/>
      </w:pPr>
      <w:r>
        <w:rPr/>
        <w:t>平地披露有关信息；并指定公司董事会秘书负责信息披露工作，协调公司与投资者的关系</w:t>
      </w:r>
      <w:r>
        <w:rPr>
          <w:rFonts w:ascii="Times New Roman" w:hAnsi="Times New Roman" w:cs="Times New Roman" w:eastAsia="Times New Roman" w:hint="default"/>
        </w:rPr>
        <w:t>,</w:t>
      </w:r>
      <w:r>
        <w:rPr/>
        <w:t>接待投资者来访调研，回答投资</w:t>
      </w:r>
    </w:p>
    <w:p>
      <w:pPr>
        <w:spacing w:line="240" w:lineRule="auto" w:before="9"/>
        <w:rPr>
          <w:rFonts w:ascii="宋体" w:hAnsi="宋体" w:cs="宋体" w:eastAsia="宋体" w:hint="default"/>
          <w:sz w:val="16"/>
          <w:szCs w:val="16"/>
        </w:rPr>
      </w:pPr>
    </w:p>
    <w:p>
      <w:pPr>
        <w:pStyle w:val="BodyText"/>
        <w:spacing w:line="477" w:lineRule="auto"/>
        <w:ind w:left="212" w:right="135"/>
        <w:jc w:val="left"/>
      </w:pPr>
      <w:r>
        <w:rPr/>
        <w:t>者咨询；</w:t>
      </w:r>
      <w:r>
        <w:rPr>
          <w:spacing w:val="-51"/>
        </w:rPr>
        <w:t> </w:t>
      </w:r>
      <w:r>
        <w:rPr/>
        <w:t>并指定《证券时报》、《中国证券报》、《上海证券报》、《证券日报》以及巨潮资讯网为公司信息披露的指定</w:t>
      </w:r>
      <w:r>
        <w:rPr/>
        <w:t> 报纸和网站，确保公司所有投资者能够以平等的机会获得信息。</w:t>
      </w:r>
    </w:p>
    <w:p>
      <w:pPr>
        <w:spacing w:line="240" w:lineRule="auto" w:before="4"/>
        <w:rPr>
          <w:rFonts w:ascii="宋体" w:hAnsi="宋体" w:cs="宋体" w:eastAsia="宋体" w:hint="default"/>
          <w:sz w:val="13"/>
          <w:szCs w:val="13"/>
        </w:rPr>
      </w:pPr>
    </w:p>
    <w:p>
      <w:pPr>
        <w:pStyle w:val="BodyText"/>
        <w:spacing w:line="568" w:lineRule="auto"/>
        <w:ind w:left="573" w:right="0"/>
        <w:jc w:val="left"/>
      </w:pPr>
      <w:r>
        <w:rPr>
          <w:rFonts w:ascii="Times New Roman" w:hAnsi="Times New Roman" w:cs="Times New Roman" w:eastAsia="Times New Roman" w:hint="default"/>
        </w:rPr>
        <w:t>7</w:t>
      </w:r>
      <w:r>
        <w:rPr/>
        <w:t>、关于相关利益者 公司充分尊重和维护相关利益者的合法权益，实现社会、股东、公司、员工等各方面利益的协调平衡，诚信对待供应</w:t>
      </w:r>
    </w:p>
    <w:p>
      <w:pPr>
        <w:pStyle w:val="BodyText"/>
        <w:spacing w:line="219" w:lineRule="exact"/>
        <w:ind w:right="0"/>
        <w:jc w:val="both"/>
      </w:pPr>
      <w:r>
        <w:rPr/>
        <w:t>商和客户，坚持与相关利益者互利共赢的原则，共同推动公司持续、稳健发展。</w:t>
      </w:r>
    </w:p>
    <w:p>
      <w:pPr>
        <w:spacing w:line="240" w:lineRule="auto" w:before="12"/>
        <w:rPr>
          <w:rFonts w:ascii="宋体" w:hAnsi="宋体" w:cs="宋体" w:eastAsia="宋体" w:hint="default"/>
          <w:sz w:val="26"/>
          <w:szCs w:val="26"/>
        </w:rPr>
      </w:pPr>
    </w:p>
    <w:p>
      <w:pPr>
        <w:pStyle w:val="BodyText"/>
        <w:spacing w:line="499" w:lineRule="auto"/>
        <w:ind w:left="441" w:right="0" w:firstLine="132"/>
        <w:jc w:val="left"/>
      </w:pPr>
      <w:r>
        <w:rPr>
          <w:rFonts w:ascii="Times New Roman" w:hAnsi="Times New Roman" w:cs="Times New Roman" w:eastAsia="Times New Roman" w:hint="default"/>
        </w:rPr>
        <w:t>8</w:t>
      </w:r>
      <w:r>
        <w:rPr/>
        <w:t>、关于内部审计体系 </w:t>
      </w:r>
      <w:r>
        <w:rPr>
          <w:spacing w:val="-1"/>
        </w:rPr>
        <w:t>公司董事会下设审计委员会，主要负责公司内部审计与外部审计之间进行沟通，并监督公司内部审计制度的实施，审查</w:t>
      </w:r>
    </w:p>
    <w:p>
      <w:pPr>
        <w:pStyle w:val="BodyText"/>
        <w:spacing w:line="477" w:lineRule="auto" w:before="38"/>
        <w:ind w:right="150"/>
        <w:jc w:val="both"/>
      </w:pPr>
      <w:r>
        <w:rPr>
          <w:spacing w:val="-2"/>
        </w:rPr>
        <w:t>公司内部控制制度的执行情况，审查公司的财务信息及披露正常等。审计委员会下设独立的内审部，内审部直接对审计委员</w:t>
      </w:r>
      <w:r>
        <w:rPr>
          <w:spacing w:val="-63"/>
        </w:rPr>
        <w:t> </w:t>
      </w:r>
      <w:r>
        <w:rPr>
          <w:spacing w:val="-63"/>
        </w:rPr>
      </w:r>
      <w:r>
        <w:rPr>
          <w:spacing w:val="-2"/>
        </w:rPr>
        <w:t>会负责及报告工作。公司严格根据《公司法》、《证券法》、《企业内部控制基本规范》等有关法律、法规和规章制度，结</w:t>
      </w:r>
      <w:r>
        <w:rPr>
          <w:spacing w:val="-68"/>
        </w:rPr>
        <w:t> </w:t>
      </w:r>
      <w:r>
        <w:rPr>
          <w:spacing w:val="-68"/>
        </w:rPr>
      </w:r>
      <w:r>
        <w:rPr>
          <w:spacing w:val="-2"/>
        </w:rPr>
        <w:t>合公司的实际情况、自身特点和管理需要，制定了贯穿于公司生产经营各层面、各环节的内部控制体系，规范经营，控制风</w:t>
      </w:r>
      <w:r>
        <w:rPr>
          <w:spacing w:val="-67"/>
        </w:rPr>
        <w:t> </w:t>
      </w:r>
      <w:r>
        <w:rPr>
          <w:spacing w:val="-67"/>
        </w:rPr>
      </w:r>
      <w:r>
        <w:rPr/>
        <w:t>险。</w:t>
      </w:r>
    </w:p>
    <w:p>
      <w:pPr>
        <w:spacing w:line="240" w:lineRule="auto" w:before="5"/>
        <w:rPr>
          <w:rFonts w:ascii="宋体" w:hAnsi="宋体" w:cs="宋体" w:eastAsia="宋体" w:hint="default"/>
          <w:sz w:val="13"/>
          <w:szCs w:val="13"/>
        </w:rPr>
      </w:pPr>
    </w:p>
    <w:p>
      <w:pPr>
        <w:pStyle w:val="Heading5"/>
        <w:spacing w:line="240" w:lineRule="auto"/>
        <w:ind w:right="0"/>
        <w:jc w:val="both"/>
        <w:rPr>
          <w:b w:val="0"/>
          <w:bCs w:val="0"/>
        </w:rPr>
      </w:pPr>
      <w:r>
        <w:rPr/>
        <w:t>公司治理与《公司法》和中国证监会相关规定的要求是否存在差异</w:t>
      </w:r>
      <w:r>
        <w:rPr>
          <w:b w:val="0"/>
          <w:bCs w:val="0"/>
        </w:rPr>
      </w:r>
    </w:p>
    <w:p>
      <w:pPr>
        <w:spacing w:line="240" w:lineRule="auto" w:before="12"/>
        <w:rPr>
          <w:rFonts w:ascii="宋体" w:hAnsi="宋体" w:cs="宋体" w:eastAsia="宋体" w:hint="default"/>
          <w:b/>
          <w:bCs/>
          <w:sz w:val="20"/>
          <w:szCs w:val="20"/>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否</w:t>
      </w:r>
      <w:r>
        <w:rPr>
          <w:rFonts w:ascii="宋体" w:hAnsi="宋体" w:cs="宋体" w:eastAsia="宋体" w:hint="default"/>
          <w:sz w:val="18"/>
          <w:szCs w:val="18"/>
        </w:rPr>
      </w:r>
    </w:p>
    <w:p>
      <w:pPr>
        <w:spacing w:line="240" w:lineRule="auto" w:before="0"/>
        <w:rPr>
          <w:rFonts w:ascii="宋体" w:hAnsi="宋体" w:cs="宋体" w:eastAsia="宋体" w:hint="default"/>
          <w:b/>
          <w:bCs/>
          <w:sz w:val="24"/>
          <w:szCs w:val="24"/>
        </w:rPr>
      </w:pPr>
    </w:p>
    <w:p>
      <w:pPr>
        <w:pStyle w:val="Heading2"/>
        <w:spacing w:line="240" w:lineRule="auto"/>
        <w:ind w:right="0"/>
        <w:jc w:val="both"/>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6"/>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38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9"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0" w:right="0"/>
              <w:jc w:val="left"/>
              <w:rPr>
                <w:rFonts w:ascii="宋体" w:hAnsi="宋体" w:cs="宋体" w:eastAsia="宋体" w:hint="default"/>
                <w:sz w:val="18"/>
                <w:szCs w:val="18"/>
              </w:rPr>
            </w:pPr>
            <w:r>
              <w:rPr>
                <w:rFonts w:ascii="宋体" w:hAnsi="宋体" w:cs="宋体" w:eastAsia="宋体" w:hint="default"/>
                <w:sz w:val="18"/>
                <w:szCs w:val="18"/>
              </w:rPr>
              <w:t>会议决议刊登的信息披露日</w:t>
            </w:r>
          </w:p>
        </w:tc>
      </w:tr>
    </w:tbl>
    <w:p>
      <w:pPr>
        <w:spacing w:after="0" w:line="240" w:lineRule="auto"/>
        <w:jc w:val="left"/>
        <w:rPr>
          <w:rFonts w:ascii="宋体" w:hAnsi="宋体" w:cs="宋体" w:eastAsia="宋体" w:hint="default"/>
          <w:sz w:val="18"/>
          <w:szCs w:val="18"/>
        </w:rPr>
        <w:sectPr>
          <w:pgSz w:w="11910" w:h="16840"/>
          <w:pgMar w:header="852" w:footer="980" w:top="1340" w:bottom="1160" w:left="980" w:right="980"/>
        </w:sectPr>
      </w:pPr>
    </w:p>
    <w:p>
      <w:pPr>
        <w:spacing w:line="240" w:lineRule="auto" w:before="2"/>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6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9"/>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四届二十次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四届二十一次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四届二十二次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四届二十三次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四届二十四次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01" w:right="22" w:hanging="1078"/>
              <w:jc w:val="left"/>
              <w:rPr>
                <w:rFonts w:ascii="宋体" w:hAnsi="宋体" w:cs="宋体" w:eastAsia="宋体" w:hint="default"/>
                <w:sz w:val="18"/>
                <w:szCs w:val="18"/>
              </w:rPr>
            </w:pPr>
            <w:r>
              <w:rPr>
                <w:rFonts w:ascii="宋体" w:hAnsi="宋体" w:cs="宋体" w:eastAsia="宋体" w:hint="default"/>
                <w:sz w:val="18"/>
                <w:szCs w:val="18"/>
              </w:rPr>
              <w:t>未达到信息披露标准，免于披 露</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四届二十五次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四届二十六次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01" w:right="22" w:hanging="1078"/>
              <w:jc w:val="left"/>
              <w:rPr>
                <w:rFonts w:ascii="宋体" w:hAnsi="宋体" w:cs="宋体" w:eastAsia="宋体" w:hint="default"/>
                <w:sz w:val="18"/>
                <w:szCs w:val="18"/>
              </w:rPr>
            </w:pPr>
            <w:r>
              <w:rPr>
                <w:rFonts w:ascii="宋体" w:hAnsi="宋体" w:cs="宋体" w:eastAsia="宋体" w:hint="default"/>
                <w:sz w:val="18"/>
                <w:szCs w:val="18"/>
              </w:rPr>
              <w:t>未达到信息披露标准，免于披 露</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四届二十七次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四届二十八次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四届二十九次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四届三十次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52" w:footer="980" w:top="1340" w:bottom="1160" w:left="980" w:right="980"/>
        </w:sectPr>
      </w:pPr>
    </w:p>
    <w:p>
      <w:pPr>
        <w:spacing w:line="240" w:lineRule="auto" w:before="2"/>
        <w:rPr>
          <w:rFonts w:ascii="宋体" w:hAnsi="宋体" w:cs="宋体" w:eastAsia="宋体" w:hint="default"/>
          <w:b/>
          <w:bCs/>
          <w:sz w:val="7"/>
          <w:szCs w:val="7"/>
        </w:rPr>
      </w:pPr>
    </w:p>
    <w:tbl>
      <w:tblPr>
        <w:tblW w:w="0" w:type="auto"/>
        <w:jc w:val="left"/>
        <w:tblInd w:w="227"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四届三十一次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9"/>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四届三十二次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四届三十三次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01" w:right="22" w:hanging="1078"/>
              <w:jc w:val="left"/>
              <w:rPr>
                <w:rFonts w:ascii="宋体" w:hAnsi="宋体" w:cs="宋体" w:eastAsia="宋体" w:hint="default"/>
                <w:sz w:val="18"/>
                <w:szCs w:val="18"/>
              </w:rPr>
            </w:pPr>
            <w:r>
              <w:rPr>
                <w:rFonts w:ascii="宋体" w:hAnsi="宋体" w:cs="宋体" w:eastAsia="宋体" w:hint="default"/>
                <w:sz w:val="18"/>
                <w:szCs w:val="18"/>
              </w:rPr>
              <w:t>未达到信息披露标准，免于披 露</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left="232" w:right="0"/>
        <w:jc w:val="left"/>
        <w:rPr>
          <w:b w:val="0"/>
          <w:bCs w:val="0"/>
        </w:rPr>
      </w:pPr>
      <w:r>
        <w:rPr/>
        <w:t>四、年度报告重大差错责任追究制度的建立与执行情况</w:t>
      </w:r>
      <w:r>
        <w:rPr>
          <w:b w:val="0"/>
          <w:bCs w:val="0"/>
        </w:rPr>
      </w:r>
    </w:p>
    <w:p>
      <w:pPr>
        <w:spacing w:line="240" w:lineRule="auto" w:before="4"/>
        <w:rPr>
          <w:rFonts w:ascii="宋体" w:hAnsi="宋体" w:cs="宋体" w:eastAsia="宋体" w:hint="default"/>
          <w:b/>
          <w:bCs/>
          <w:sz w:val="32"/>
          <w:szCs w:val="32"/>
        </w:rPr>
      </w:pPr>
    </w:p>
    <w:p>
      <w:pPr>
        <w:pStyle w:val="BodyText"/>
        <w:spacing w:line="240" w:lineRule="auto"/>
        <w:ind w:left="593" w:right="0"/>
        <w:jc w:val="left"/>
      </w:pPr>
      <w:r>
        <w:rPr/>
        <w:t>为进一步健全公司信息披露管理制度</w:t>
      </w:r>
      <w:r>
        <w:rPr>
          <w:spacing w:val="-65"/>
        </w:rPr>
        <w:t>，</w:t>
      </w:r>
      <w:r>
        <w:rPr/>
        <w:t>保证年报信息披露内容的真实</w:t>
      </w:r>
      <w:r>
        <w:rPr>
          <w:spacing w:val="-65"/>
        </w:rPr>
        <w:t>、</w:t>
      </w:r>
      <w:r>
        <w:rPr/>
        <w:t>准确和完整</w:t>
      </w:r>
      <w:r>
        <w:rPr>
          <w:spacing w:val="-65"/>
        </w:rPr>
        <w:t>，</w:t>
      </w:r>
      <w:r>
        <w:rPr/>
        <w:t>根</w:t>
      </w:r>
      <w:r>
        <w:rPr>
          <w:spacing w:val="-65"/>
        </w:rPr>
        <w:t>据</w:t>
      </w:r>
      <w:r>
        <w:rPr/>
        <w:t>《</w:t>
      </w:r>
      <w:r>
        <w:rPr>
          <w:spacing w:val="-3"/>
        </w:rPr>
        <w:t>上</w:t>
      </w:r>
      <w:r>
        <w:rPr/>
        <w:t>市公司信息披露管理办法</w:t>
      </w:r>
      <w:r>
        <w:rPr>
          <w:spacing w:val="-92"/>
        </w:rPr>
        <w:t>》</w:t>
      </w:r>
      <w:r>
        <w:rPr/>
        <w:t>、</w:t>
      </w:r>
    </w:p>
    <w:p>
      <w:pPr>
        <w:spacing w:line="240" w:lineRule="auto" w:before="10"/>
        <w:rPr>
          <w:rFonts w:ascii="宋体" w:hAnsi="宋体" w:cs="宋体" w:eastAsia="宋体" w:hint="default"/>
          <w:sz w:val="17"/>
          <w:szCs w:val="17"/>
        </w:rPr>
      </w:pPr>
    </w:p>
    <w:p>
      <w:pPr>
        <w:pStyle w:val="BodyText"/>
        <w:spacing w:line="477" w:lineRule="auto"/>
        <w:ind w:left="232" w:right="230"/>
        <w:jc w:val="left"/>
      </w:pPr>
      <w:r>
        <w:rPr>
          <w:spacing w:val="-5"/>
        </w:rPr>
        <w:t>《上市公司治理准则》、《深圳证券交易所创业板股票上市规则》的有关规定，公司于</w:t>
      </w:r>
      <w:r>
        <w:rPr>
          <w:spacing w:val="-39"/>
        </w:rPr>
        <w:t> </w:t>
      </w:r>
      <w:r>
        <w:rPr>
          <w:rFonts w:ascii="宋体" w:hAnsi="宋体" w:cs="宋体" w:eastAsia="宋体" w:hint="default"/>
        </w:rPr>
        <w:t>2010</w:t>
      </w:r>
      <w:r>
        <w:rPr>
          <w:rFonts w:ascii="宋体" w:hAnsi="宋体" w:cs="宋体" w:eastAsia="宋体" w:hint="default"/>
          <w:spacing w:val="-43"/>
        </w:rPr>
        <w:t> </w:t>
      </w:r>
      <w:r>
        <w:rPr/>
        <w:t>年</w:t>
      </w:r>
      <w:r>
        <w:rPr>
          <w:spacing w:val="-42"/>
        </w:rPr>
        <w:t> </w:t>
      </w:r>
      <w:r>
        <w:rPr>
          <w:rFonts w:ascii="宋体" w:hAnsi="宋体" w:cs="宋体" w:eastAsia="宋体" w:hint="default"/>
        </w:rPr>
        <w:t>4</w:t>
      </w:r>
      <w:r>
        <w:rPr>
          <w:rFonts w:ascii="宋体" w:hAnsi="宋体" w:cs="宋体" w:eastAsia="宋体" w:hint="default"/>
          <w:spacing w:val="-40"/>
        </w:rPr>
        <w:t> </w:t>
      </w:r>
      <w:r>
        <w:rPr>
          <w:spacing w:val="-1"/>
        </w:rPr>
        <w:t>月制定了《年报信息披露重</w:t>
      </w:r>
      <w:r>
        <w:rPr/>
        <w:t> 大差错责任追究制度》并得到有效贯彻执行。报告期内，公司无年报信息披露重大差错。</w:t>
      </w:r>
    </w:p>
    <w:p>
      <w:pPr>
        <w:spacing w:line="240" w:lineRule="auto" w:before="7"/>
        <w:rPr>
          <w:rFonts w:ascii="宋体" w:hAnsi="宋体" w:cs="宋体" w:eastAsia="宋体" w:hint="default"/>
          <w:sz w:val="17"/>
          <w:szCs w:val="17"/>
        </w:rPr>
      </w:pPr>
    </w:p>
    <w:p>
      <w:pPr>
        <w:pStyle w:val="Heading2"/>
        <w:spacing w:line="240" w:lineRule="auto"/>
        <w:ind w:left="232" w:right="0"/>
        <w:jc w:val="left"/>
        <w:rPr>
          <w:b w:val="0"/>
          <w:bCs w:val="0"/>
        </w:rPr>
      </w:pPr>
      <w:r>
        <w:rPr/>
        <w:t>五、监事会工作情况</w:t>
      </w:r>
      <w:r>
        <w:rPr>
          <w:b w:val="0"/>
          <w:bCs w:val="0"/>
        </w:rPr>
      </w:r>
    </w:p>
    <w:p>
      <w:pPr>
        <w:spacing w:line="240" w:lineRule="auto" w:before="10"/>
        <w:rPr>
          <w:rFonts w:ascii="宋体" w:hAnsi="宋体" w:cs="宋体" w:eastAsia="宋体" w:hint="default"/>
          <w:b/>
          <w:bCs/>
          <w:sz w:val="30"/>
          <w:szCs w:val="30"/>
        </w:rPr>
      </w:pPr>
    </w:p>
    <w:p>
      <w:pPr>
        <w:pStyle w:val="Heading3"/>
        <w:spacing w:line="240" w:lineRule="auto"/>
        <w:ind w:left="232" w:right="0"/>
        <w:jc w:val="left"/>
        <w:rPr>
          <w:b w:val="0"/>
          <w:bCs w:val="0"/>
        </w:rPr>
      </w:pPr>
      <w:r>
        <w:rPr/>
        <w:t>（一）监事会在报告期内的监督活动是否发现公司存在风险</w:t>
      </w:r>
      <w:r>
        <w:rPr>
          <w:b w:val="0"/>
          <w:bCs w:val="0"/>
        </w:rPr>
      </w:r>
    </w:p>
    <w:p>
      <w:pPr>
        <w:spacing w:line="240" w:lineRule="auto" w:before="9"/>
        <w:rPr>
          <w:rFonts w:ascii="宋体" w:hAnsi="宋体" w:cs="宋体" w:eastAsia="宋体" w:hint="default"/>
          <w:b/>
          <w:bCs/>
          <w:sz w:val="25"/>
          <w:szCs w:val="25"/>
        </w:rPr>
      </w:pPr>
    </w:p>
    <w:p>
      <w:pPr>
        <w:spacing w:before="0"/>
        <w:ind w:left="2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否</w:t>
      </w:r>
      <w:r>
        <w:rPr>
          <w:rFonts w:ascii="宋体" w:hAnsi="宋体" w:cs="宋体" w:eastAsia="宋体" w:hint="default"/>
          <w:sz w:val="18"/>
          <w:szCs w:val="18"/>
        </w:rPr>
      </w:r>
    </w:p>
    <w:p>
      <w:pPr>
        <w:spacing w:line="240" w:lineRule="auto" w:before="2"/>
        <w:rPr>
          <w:rFonts w:ascii="宋体" w:hAnsi="宋体" w:cs="宋体" w:eastAsia="宋体" w:hint="default"/>
          <w:b/>
          <w:bCs/>
          <w:sz w:val="24"/>
          <w:szCs w:val="24"/>
        </w:rPr>
      </w:pPr>
    </w:p>
    <w:p>
      <w:pPr>
        <w:pStyle w:val="Heading3"/>
        <w:spacing w:line="240" w:lineRule="auto"/>
        <w:ind w:left="232" w:right="0"/>
        <w:jc w:val="left"/>
        <w:rPr>
          <w:b w:val="0"/>
          <w:bCs w:val="0"/>
        </w:rPr>
      </w:pPr>
      <w:r>
        <w:rPr/>
        <w:t>（二）公司监事会对报告期内的监督事项无异议。</w:t>
      </w:r>
      <w:r>
        <w:rPr>
          <w:b w:val="0"/>
          <w:bCs w:val="0"/>
        </w:rPr>
      </w:r>
    </w:p>
    <w:p>
      <w:pPr>
        <w:spacing w:line="240" w:lineRule="auto" w:before="12"/>
        <w:rPr>
          <w:rFonts w:ascii="宋体" w:hAnsi="宋体" w:cs="宋体" w:eastAsia="宋体" w:hint="default"/>
          <w:b/>
          <w:bCs/>
          <w:sz w:val="23"/>
          <w:szCs w:val="23"/>
        </w:rPr>
      </w:pPr>
    </w:p>
    <w:p>
      <w:pPr>
        <w:pStyle w:val="Heading3"/>
        <w:spacing w:line="240" w:lineRule="auto"/>
        <w:ind w:left="232" w:right="0"/>
        <w:jc w:val="left"/>
        <w:rPr>
          <w:b w:val="0"/>
          <w:bCs w:val="0"/>
        </w:rPr>
      </w:pPr>
      <w:r>
        <w:rPr/>
        <w:t>（三）监事会报告</w:t>
      </w:r>
      <w:r>
        <w:rPr>
          <w:b w:val="0"/>
          <w:bCs w:val="0"/>
        </w:rPr>
      </w:r>
    </w:p>
    <w:p>
      <w:pPr>
        <w:spacing w:line="240" w:lineRule="auto" w:before="9"/>
        <w:rPr>
          <w:rFonts w:ascii="宋体" w:hAnsi="宋体" w:cs="宋体" w:eastAsia="宋体" w:hint="default"/>
          <w:b/>
          <w:bCs/>
          <w:sz w:val="25"/>
          <w:szCs w:val="25"/>
        </w:rPr>
      </w:pPr>
    </w:p>
    <w:p>
      <w:pPr>
        <w:pStyle w:val="BodyText"/>
        <w:spacing w:line="477" w:lineRule="auto"/>
        <w:ind w:left="232" w:right="144" w:firstLine="360"/>
        <w:jc w:val="left"/>
      </w:pPr>
      <w:r>
        <w:rPr>
          <w:spacing w:val="-10"/>
        </w:rPr>
        <w:t>报告期内，公司监事会根据《公司法》、《证券法》、《公司章程》和《监事会议事规则》等有关规定，认真履行各项职责，</w:t>
      </w:r>
      <w:r>
        <w:rPr/>
        <w:t> </w:t>
      </w:r>
      <w:r>
        <w:rPr>
          <w:spacing w:val="-2"/>
        </w:rPr>
        <w:t>积极有效地开展工作，对公司依法运作情况和公司董事、高级管理人员履行职责情况进行监督，维护了公司及股东的合法权</w:t>
      </w:r>
      <w:r>
        <w:rPr>
          <w:spacing w:val="-63"/>
        </w:rPr>
        <w:t> </w:t>
      </w:r>
      <w:r>
        <w:rPr>
          <w:spacing w:val="-63"/>
        </w:rPr>
      </w:r>
      <w:r>
        <w:rPr/>
        <w:t>益。</w:t>
      </w:r>
    </w:p>
    <w:p>
      <w:pPr>
        <w:pStyle w:val="BodyText"/>
        <w:spacing w:line="240" w:lineRule="auto" w:before="92"/>
        <w:ind w:left="593" w:right="0"/>
        <w:jc w:val="left"/>
      </w:pPr>
      <w:r>
        <w:rPr>
          <w:rFonts w:ascii="Times New Roman" w:hAnsi="Times New Roman" w:cs="Times New Roman" w:eastAsia="Times New Roman" w:hint="default"/>
        </w:rPr>
        <w:t>1</w:t>
      </w:r>
      <w:r>
        <w:rPr/>
        <w:t>、报告期内监事会的工作情况</w:t>
      </w:r>
    </w:p>
    <w:p>
      <w:pPr>
        <w:spacing w:line="240" w:lineRule="auto" w:before="11"/>
        <w:rPr>
          <w:rFonts w:ascii="宋体" w:hAnsi="宋体" w:cs="宋体" w:eastAsia="宋体" w:hint="default"/>
          <w:sz w:val="19"/>
          <w:szCs w:val="19"/>
        </w:rPr>
      </w:pPr>
    </w:p>
    <w:p>
      <w:pPr>
        <w:pStyle w:val="BodyText"/>
        <w:spacing w:line="240" w:lineRule="auto"/>
        <w:ind w:left="593" w:right="0"/>
        <w:jc w:val="left"/>
      </w:pPr>
      <w:r>
        <w:rPr/>
        <w:t>报告期内，公司共召开</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次监事会会议。具体内容如下：</w:t>
      </w:r>
    </w:p>
    <w:p>
      <w:pPr>
        <w:spacing w:line="240" w:lineRule="auto" w:before="2"/>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1594"/>
        <w:gridCol w:w="3488"/>
        <w:gridCol w:w="4782"/>
      </w:tblGrid>
      <w:tr>
        <w:trPr>
          <w:trHeight w:val="578"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7"/>
              <w:ind w:left="5"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4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7"/>
              <w:ind w:left="5" w:right="0"/>
              <w:jc w:val="center"/>
              <w:rPr>
                <w:rFonts w:ascii="宋体" w:hAnsi="宋体" w:cs="宋体" w:eastAsia="宋体" w:hint="default"/>
                <w:sz w:val="18"/>
                <w:szCs w:val="18"/>
              </w:rPr>
            </w:pPr>
            <w:r>
              <w:rPr>
                <w:rFonts w:ascii="宋体" w:hAnsi="宋体" w:cs="宋体" w:eastAsia="宋体" w:hint="default"/>
                <w:b/>
                <w:bCs/>
                <w:sz w:val="18"/>
                <w:szCs w:val="18"/>
              </w:rPr>
              <w:t>会议届次</w:t>
            </w:r>
            <w:r>
              <w:rPr>
                <w:rFonts w:ascii="宋体" w:hAnsi="宋体" w:cs="宋体" w:eastAsia="宋体" w:hint="default"/>
                <w:sz w:val="18"/>
                <w:szCs w:val="18"/>
              </w:rPr>
            </w:r>
          </w:p>
        </w:tc>
        <w:tc>
          <w:tcPr>
            <w:tcW w:w="47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b/>
                <w:bCs/>
                <w:sz w:val="18"/>
                <w:szCs w:val="18"/>
              </w:rPr>
              <w:t>召开时间</w:t>
            </w:r>
            <w:r>
              <w:rPr>
                <w:rFonts w:ascii="宋体" w:hAnsi="宋体" w:cs="宋体" w:eastAsia="宋体" w:hint="default"/>
                <w:sz w:val="18"/>
                <w:szCs w:val="18"/>
              </w:rPr>
            </w:r>
          </w:p>
        </w:tc>
      </w:tr>
      <w:tr>
        <w:trPr>
          <w:trHeight w:val="57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 w:right="0"/>
              <w:jc w:val="center"/>
              <w:rPr>
                <w:rFonts w:ascii="宋体" w:hAnsi="宋体" w:cs="宋体" w:eastAsia="宋体" w:hint="default"/>
                <w:sz w:val="18"/>
                <w:szCs w:val="18"/>
              </w:rPr>
            </w:pPr>
            <w:r>
              <w:rPr>
                <w:rFonts w:ascii="宋体"/>
                <w:sz w:val="18"/>
              </w:rPr>
              <w:t>1</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宋体" w:hAnsi="宋体" w:cs="宋体" w:eastAsia="宋体" w:hint="default"/>
                <w:sz w:val="18"/>
                <w:szCs w:val="18"/>
              </w:rPr>
            </w:pPr>
            <w:r>
              <w:rPr>
                <w:rFonts w:ascii="宋体" w:hAnsi="宋体" w:cs="宋体" w:eastAsia="宋体" w:hint="default"/>
                <w:sz w:val="18"/>
                <w:szCs w:val="18"/>
              </w:rPr>
              <w:t>四届十一次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57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center"/>
              <w:rPr>
                <w:rFonts w:ascii="宋体" w:hAnsi="宋体" w:cs="宋体" w:eastAsia="宋体" w:hint="default"/>
                <w:sz w:val="18"/>
                <w:szCs w:val="18"/>
              </w:rPr>
            </w:pPr>
            <w:r>
              <w:rPr>
                <w:rFonts w:ascii="宋体"/>
                <w:sz w:val="18"/>
              </w:rPr>
              <w:t>2</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hAnsi="宋体" w:cs="宋体" w:eastAsia="宋体" w:hint="default"/>
                <w:sz w:val="18"/>
                <w:szCs w:val="18"/>
              </w:rPr>
              <w:t>四届十二次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57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 w:right="0"/>
              <w:jc w:val="center"/>
              <w:rPr>
                <w:rFonts w:ascii="宋体" w:hAnsi="宋体" w:cs="宋体" w:eastAsia="宋体" w:hint="default"/>
                <w:sz w:val="18"/>
                <w:szCs w:val="18"/>
              </w:rPr>
            </w:pPr>
            <w:r>
              <w:rPr>
                <w:rFonts w:ascii="宋体"/>
                <w:sz w:val="18"/>
              </w:rPr>
              <w:t>3</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hAnsi="宋体" w:cs="宋体" w:eastAsia="宋体" w:hint="default"/>
                <w:sz w:val="18"/>
                <w:szCs w:val="18"/>
              </w:rPr>
              <w:t>四届十三次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57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 w:right="0"/>
              <w:jc w:val="center"/>
              <w:rPr>
                <w:rFonts w:ascii="宋体" w:hAnsi="宋体" w:cs="宋体" w:eastAsia="宋体" w:hint="default"/>
                <w:sz w:val="18"/>
                <w:szCs w:val="18"/>
              </w:rPr>
            </w:pPr>
            <w:r>
              <w:rPr>
                <w:rFonts w:ascii="宋体"/>
                <w:sz w:val="18"/>
              </w:rPr>
              <w:t>4</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hAnsi="宋体" w:cs="宋体" w:eastAsia="宋体" w:hint="default"/>
                <w:sz w:val="18"/>
                <w:szCs w:val="18"/>
              </w:rPr>
              <w:t>四届十四次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57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 w:right="0"/>
              <w:jc w:val="center"/>
              <w:rPr>
                <w:rFonts w:ascii="宋体" w:hAnsi="宋体" w:cs="宋体" w:eastAsia="宋体" w:hint="default"/>
                <w:sz w:val="18"/>
                <w:szCs w:val="18"/>
              </w:rPr>
            </w:pPr>
            <w:r>
              <w:rPr>
                <w:rFonts w:ascii="宋体"/>
                <w:sz w:val="18"/>
              </w:rPr>
              <w:t>5</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hAnsi="宋体" w:cs="宋体" w:eastAsia="宋体" w:hint="default"/>
                <w:sz w:val="18"/>
                <w:szCs w:val="18"/>
              </w:rPr>
              <w:t>四届十五次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52" w:footer="980" w:top="1340" w:bottom="1160" w:left="900" w:right="900"/>
        </w:sectPr>
      </w:pPr>
    </w:p>
    <w:p>
      <w:pPr>
        <w:spacing w:line="240" w:lineRule="auto" w:before="10"/>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594"/>
        <w:gridCol w:w="3488"/>
        <w:gridCol w:w="4782"/>
      </w:tblGrid>
      <w:tr>
        <w:trPr>
          <w:trHeight w:val="574" w:hRule="exact"/>
        </w:trPr>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8"/>
              <w:ind w:left="749" w:right="0"/>
              <w:jc w:val="left"/>
              <w:rPr>
                <w:rFonts w:ascii="宋体" w:hAnsi="宋体" w:cs="宋体" w:eastAsia="宋体" w:hint="default"/>
                <w:sz w:val="18"/>
                <w:szCs w:val="18"/>
              </w:rPr>
            </w:pPr>
            <w:r>
              <w:rPr>
                <w:rFonts w:ascii="宋体"/>
                <w:sz w:val="18"/>
              </w:rPr>
              <w:t>6</w:t>
            </w:r>
          </w:p>
        </w:tc>
        <w:tc>
          <w:tcPr>
            <w:tcW w:w="34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8"/>
              <w:ind w:left="5" w:right="0"/>
              <w:jc w:val="center"/>
              <w:rPr>
                <w:rFonts w:ascii="宋体" w:hAnsi="宋体" w:cs="宋体" w:eastAsia="宋体" w:hint="default"/>
                <w:sz w:val="18"/>
                <w:szCs w:val="18"/>
              </w:rPr>
            </w:pPr>
            <w:r>
              <w:rPr>
                <w:rFonts w:ascii="宋体" w:hAnsi="宋体" w:cs="宋体" w:eastAsia="宋体" w:hint="default"/>
                <w:sz w:val="18"/>
                <w:szCs w:val="18"/>
              </w:rPr>
              <w:t>四届十六次</w:t>
            </w:r>
          </w:p>
        </w:tc>
        <w:tc>
          <w:tcPr>
            <w:tcW w:w="47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8"/>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57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749" w:right="0"/>
              <w:jc w:val="left"/>
              <w:rPr>
                <w:rFonts w:ascii="宋体" w:hAnsi="宋体" w:cs="宋体" w:eastAsia="宋体" w:hint="default"/>
                <w:sz w:val="18"/>
                <w:szCs w:val="18"/>
              </w:rPr>
            </w:pPr>
            <w:r>
              <w:rPr>
                <w:rFonts w:ascii="宋体"/>
                <w:sz w:val="18"/>
              </w:rPr>
              <w:t>7</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5" w:right="0"/>
              <w:jc w:val="center"/>
              <w:rPr>
                <w:rFonts w:ascii="宋体" w:hAnsi="宋体" w:cs="宋体" w:eastAsia="宋体" w:hint="default"/>
                <w:sz w:val="18"/>
                <w:szCs w:val="18"/>
              </w:rPr>
            </w:pPr>
            <w:r>
              <w:rPr>
                <w:rFonts w:ascii="宋体" w:hAnsi="宋体" w:cs="宋体" w:eastAsia="宋体" w:hint="default"/>
                <w:sz w:val="18"/>
                <w:szCs w:val="18"/>
              </w:rPr>
              <w:t>四届十七次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line="240" w:lineRule="auto" w:before="5"/>
        <w:rPr>
          <w:rFonts w:ascii="宋体" w:hAnsi="宋体" w:cs="宋体" w:eastAsia="宋体" w:hint="default"/>
          <w:sz w:val="6"/>
          <w:szCs w:val="6"/>
        </w:rPr>
      </w:pPr>
    </w:p>
    <w:p>
      <w:pPr>
        <w:pStyle w:val="BodyText"/>
        <w:spacing w:line="240" w:lineRule="auto" w:before="44"/>
        <w:ind w:left="593" w:right="0"/>
        <w:jc w:val="left"/>
      </w:pPr>
      <w:r>
        <w:rPr/>
        <w:t>（</w:t>
      </w:r>
      <w:r>
        <w:rPr>
          <w:rFonts w:ascii="宋体" w:hAnsi="宋体" w:cs="宋体" w:eastAsia="宋体" w:hint="default"/>
        </w:rPr>
        <w:t>1</w:t>
      </w:r>
      <w:r>
        <w:rPr/>
        <w:t>）第四届监事会第十一次会议</w:t>
      </w:r>
    </w:p>
    <w:p>
      <w:pPr>
        <w:spacing w:line="240" w:lineRule="auto" w:before="9"/>
        <w:rPr>
          <w:rFonts w:ascii="宋体" w:hAnsi="宋体" w:cs="宋体" w:eastAsia="宋体" w:hint="default"/>
          <w:sz w:val="20"/>
          <w:szCs w:val="20"/>
        </w:rPr>
      </w:pPr>
    </w:p>
    <w:p>
      <w:pPr>
        <w:pStyle w:val="BodyText"/>
        <w:spacing w:line="477" w:lineRule="auto"/>
        <w:ind w:left="232" w:right="238" w:firstLine="360"/>
        <w:jc w:val="both"/>
      </w:pPr>
      <w:r>
        <w:rPr>
          <w:rFonts w:ascii="宋体" w:hAnsi="宋体" w:cs="宋体" w:eastAsia="宋体" w:hint="default"/>
        </w:rPr>
        <w:t>2012</w:t>
      </w:r>
      <w:r>
        <w:rPr>
          <w:rFonts w:ascii="宋体" w:hAnsi="宋体" w:cs="宋体" w:eastAsia="宋体" w:hint="default"/>
          <w:spacing w:val="-44"/>
        </w:rPr>
        <w:t> </w:t>
      </w:r>
      <w:r>
        <w:rPr/>
        <w:t>年</w:t>
      </w:r>
      <w:r>
        <w:rPr>
          <w:spacing w:val="-48"/>
        </w:rPr>
        <w:t> </w:t>
      </w:r>
      <w:r>
        <w:rPr>
          <w:rFonts w:ascii="宋体" w:hAnsi="宋体" w:cs="宋体" w:eastAsia="宋体" w:hint="default"/>
        </w:rPr>
        <w:t>4</w:t>
      </w:r>
      <w:r>
        <w:rPr>
          <w:rFonts w:ascii="宋体" w:hAnsi="宋体" w:cs="宋体" w:eastAsia="宋体" w:hint="default"/>
          <w:spacing w:val="-45"/>
        </w:rPr>
        <w:t> </w:t>
      </w:r>
      <w:r>
        <w:rPr/>
        <w:t>月</w:t>
      </w:r>
      <w:r>
        <w:rPr>
          <w:spacing w:val="-48"/>
        </w:rPr>
        <w:t> </w:t>
      </w:r>
      <w:r>
        <w:rPr>
          <w:rFonts w:ascii="宋体" w:hAnsi="宋体" w:cs="宋体" w:eastAsia="宋体" w:hint="default"/>
        </w:rPr>
        <w:t>24</w:t>
      </w:r>
      <w:r>
        <w:rPr>
          <w:rFonts w:ascii="宋体" w:hAnsi="宋体" w:cs="宋体" w:eastAsia="宋体" w:hint="default"/>
          <w:spacing w:val="-45"/>
        </w:rPr>
        <w:t> </w:t>
      </w:r>
      <w:r>
        <w:rPr/>
        <w:t>日，在公司会议室以现场方式召开了第四届监事会第十一次会议，审议通过了《</w:t>
      </w:r>
      <w:r>
        <w:rPr>
          <w:rFonts w:ascii="宋体" w:hAnsi="宋体" w:cs="宋体" w:eastAsia="宋体" w:hint="default"/>
        </w:rPr>
        <w:t>2011</w:t>
      </w:r>
      <w:r>
        <w:rPr>
          <w:rFonts w:ascii="宋体" w:hAnsi="宋体" w:cs="宋体" w:eastAsia="宋体" w:hint="default"/>
          <w:spacing w:val="1"/>
        </w:rPr>
        <w:t> </w:t>
      </w:r>
      <w:r>
        <w:rPr/>
        <w:t>年度监事会工作 </w:t>
      </w:r>
      <w:r>
        <w:rPr>
          <w:spacing w:val="-21"/>
        </w:rPr>
        <w:t>报告》、《</w:t>
      </w:r>
      <w:r>
        <w:rPr>
          <w:rFonts w:ascii="宋体" w:hAnsi="宋体" w:cs="宋体" w:eastAsia="宋体" w:hint="default"/>
          <w:spacing w:val="-21"/>
        </w:rPr>
        <w:t>2011</w:t>
      </w:r>
      <w:r>
        <w:rPr>
          <w:rFonts w:ascii="宋体" w:hAnsi="宋体" w:cs="宋体" w:eastAsia="宋体" w:hint="default"/>
          <w:spacing w:val="-36"/>
        </w:rPr>
        <w:t> </w:t>
      </w:r>
      <w:r>
        <w:rPr>
          <w:spacing w:val="-7"/>
        </w:rPr>
        <w:t>年度报告》及摘要、《</w:t>
      </w:r>
      <w:r>
        <w:rPr>
          <w:rFonts w:ascii="宋体" w:hAnsi="宋体" w:cs="宋体" w:eastAsia="宋体" w:hint="default"/>
          <w:spacing w:val="-7"/>
        </w:rPr>
        <w:t>2011</w:t>
      </w:r>
      <w:r>
        <w:rPr>
          <w:rFonts w:ascii="宋体" w:hAnsi="宋体" w:cs="宋体" w:eastAsia="宋体" w:hint="default"/>
          <w:spacing w:val="-35"/>
        </w:rPr>
        <w:t> </w:t>
      </w:r>
      <w:r>
        <w:rPr>
          <w:spacing w:val="-13"/>
        </w:rPr>
        <w:t>年度财务决算报告》、《</w:t>
      </w:r>
      <w:r>
        <w:rPr>
          <w:rFonts w:ascii="宋体" w:hAnsi="宋体" w:cs="宋体" w:eastAsia="宋体" w:hint="default"/>
          <w:spacing w:val="-13"/>
        </w:rPr>
        <w:t>2011</w:t>
      </w:r>
      <w:r>
        <w:rPr>
          <w:rFonts w:ascii="宋体" w:hAnsi="宋体" w:cs="宋体" w:eastAsia="宋体" w:hint="default"/>
          <w:spacing w:val="-35"/>
        </w:rPr>
        <w:t> </w:t>
      </w:r>
      <w:r>
        <w:rPr>
          <w:spacing w:val="-12"/>
        </w:rPr>
        <w:t>年度利润分配的议案》、《</w:t>
      </w:r>
      <w:r>
        <w:rPr>
          <w:rFonts w:ascii="宋体" w:hAnsi="宋体" w:cs="宋体" w:eastAsia="宋体" w:hint="default"/>
          <w:spacing w:val="-12"/>
        </w:rPr>
        <w:t>2011</w:t>
      </w:r>
      <w:r>
        <w:rPr>
          <w:rFonts w:ascii="宋体" w:hAnsi="宋体" w:cs="宋体" w:eastAsia="宋体" w:hint="default"/>
          <w:spacing w:val="-35"/>
        </w:rPr>
        <w:t> </w:t>
      </w:r>
      <w:r>
        <w:rPr>
          <w:spacing w:val="-1"/>
        </w:rPr>
        <w:t>年度募集资金存放与使</w:t>
      </w:r>
      <w:r>
        <w:rPr>
          <w:spacing w:val="-87"/>
        </w:rPr>
        <w:t> </w:t>
      </w:r>
      <w:r>
        <w:rPr>
          <w:spacing w:val="-87"/>
        </w:rPr>
      </w:r>
      <w:r>
        <w:rPr>
          <w:spacing w:val="-13"/>
        </w:rPr>
        <w:t>用情况的专项报告》、《</w:t>
      </w:r>
      <w:r>
        <w:rPr>
          <w:rFonts w:ascii="宋体" w:hAnsi="宋体" w:cs="宋体" w:eastAsia="宋体" w:hint="default"/>
          <w:spacing w:val="-13"/>
        </w:rPr>
        <w:t>2011</w:t>
      </w:r>
      <w:r>
        <w:rPr>
          <w:rFonts w:ascii="宋体" w:hAnsi="宋体" w:cs="宋体" w:eastAsia="宋体" w:hint="default"/>
          <w:spacing w:val="-40"/>
        </w:rPr>
        <w:t> </w:t>
      </w:r>
      <w:r>
        <w:rPr>
          <w:spacing w:val="-10"/>
        </w:rPr>
        <w:t>年度内部控制自我评价报告》、《关于聘请</w:t>
      </w:r>
      <w:r>
        <w:rPr>
          <w:spacing w:val="-40"/>
        </w:rPr>
        <w:t> </w:t>
      </w:r>
      <w:r>
        <w:rPr>
          <w:rFonts w:ascii="宋体" w:hAnsi="宋体" w:cs="宋体" w:eastAsia="宋体" w:hint="default"/>
        </w:rPr>
        <w:t>2012</w:t>
      </w:r>
      <w:r>
        <w:rPr>
          <w:rFonts w:ascii="宋体" w:hAnsi="宋体" w:cs="宋体" w:eastAsia="宋体" w:hint="default"/>
          <w:spacing w:val="-38"/>
        </w:rPr>
        <w:t> </w:t>
      </w:r>
      <w:r>
        <w:rPr>
          <w:spacing w:val="-14"/>
        </w:rPr>
        <w:t>年度审计机构的议案》、《公司</w:t>
      </w:r>
      <w:r>
        <w:rPr>
          <w:spacing w:val="-40"/>
        </w:rPr>
        <w:t> </w:t>
      </w:r>
      <w:r>
        <w:rPr>
          <w:rFonts w:ascii="宋体" w:hAnsi="宋体" w:cs="宋体" w:eastAsia="宋体" w:hint="default"/>
        </w:rPr>
        <w:t>2012</w:t>
      </w:r>
      <w:r>
        <w:rPr>
          <w:rFonts w:ascii="宋体" w:hAnsi="宋体" w:cs="宋体" w:eastAsia="宋体" w:hint="default"/>
          <w:spacing w:val="-40"/>
        </w:rPr>
        <w:t> </w:t>
      </w:r>
      <w:r>
        <w:rPr/>
        <w:t>年第一季度</w:t>
      </w:r>
      <w:r>
        <w:rPr>
          <w:spacing w:val="-84"/>
        </w:rPr>
        <w:t> </w:t>
      </w:r>
      <w:r>
        <w:rPr/>
        <w:t>报告全文》及正文。</w:t>
      </w:r>
    </w:p>
    <w:p>
      <w:pPr>
        <w:pStyle w:val="BodyText"/>
        <w:spacing w:line="240" w:lineRule="auto" w:before="95"/>
        <w:ind w:left="593" w:right="0"/>
        <w:jc w:val="left"/>
      </w:pPr>
      <w:r>
        <w:rPr/>
        <w:t>（</w:t>
      </w:r>
      <w:r>
        <w:rPr>
          <w:rFonts w:ascii="宋体" w:hAnsi="宋体" w:cs="宋体" w:eastAsia="宋体" w:hint="default"/>
        </w:rPr>
        <w:t>2</w:t>
      </w:r>
      <w:r>
        <w:rPr/>
        <w:t>）第四届监事会第十二次会议</w:t>
      </w:r>
    </w:p>
    <w:p>
      <w:pPr>
        <w:spacing w:line="240" w:lineRule="auto" w:before="9"/>
        <w:rPr>
          <w:rFonts w:ascii="宋体" w:hAnsi="宋体" w:cs="宋体" w:eastAsia="宋体" w:hint="default"/>
          <w:sz w:val="20"/>
          <w:szCs w:val="20"/>
        </w:rPr>
      </w:pPr>
    </w:p>
    <w:p>
      <w:pPr>
        <w:pStyle w:val="BodyText"/>
        <w:spacing w:line="477" w:lineRule="auto"/>
        <w:ind w:left="232" w:right="232" w:firstLine="360"/>
        <w:jc w:val="both"/>
      </w:pPr>
      <w:r>
        <w:rPr>
          <w:rFonts w:ascii="宋体" w:hAnsi="宋体" w:cs="宋体" w:eastAsia="宋体" w:hint="default"/>
        </w:rPr>
        <w:t>2012</w:t>
      </w:r>
      <w:r>
        <w:rPr>
          <w:rFonts w:ascii="宋体" w:hAnsi="宋体" w:cs="宋体" w:eastAsia="宋体" w:hint="default"/>
          <w:spacing w:val="-52"/>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24</w:t>
      </w:r>
      <w:r>
        <w:rPr>
          <w:rFonts w:ascii="宋体" w:hAnsi="宋体" w:cs="宋体" w:eastAsia="宋体" w:hint="default"/>
          <w:spacing w:val="-53"/>
        </w:rPr>
        <w:t> </w:t>
      </w:r>
      <w:r>
        <w:rPr/>
        <w:t>日，在公司以现场方式召开了第四届监事会第十二次会议，审议通过了《北京神州泰岳软件股份有限公 </w:t>
      </w:r>
      <w:r>
        <w:rPr>
          <w:spacing w:val="-5"/>
        </w:rPr>
        <w:t>司股票期权与限制性股票激励计划（草案）》及其摘要、《北京神州泰岳软件股份有限公司股票期权与限制性股票激励计划考</w:t>
      </w:r>
      <w:r>
        <w:rPr>
          <w:spacing w:val="-79"/>
        </w:rPr>
        <w:t> </w:t>
      </w:r>
      <w:r>
        <w:rPr>
          <w:spacing w:val="-79"/>
        </w:rPr>
      </w:r>
      <w:r>
        <w:rPr>
          <w:spacing w:val="-14"/>
        </w:rPr>
        <w:t>核管理办法》。</w:t>
      </w:r>
    </w:p>
    <w:p>
      <w:pPr>
        <w:pStyle w:val="BodyText"/>
        <w:spacing w:line="240" w:lineRule="auto" w:before="95"/>
        <w:ind w:left="593" w:right="0"/>
        <w:jc w:val="left"/>
      </w:pPr>
      <w:r>
        <w:rPr/>
        <w:t>（</w:t>
      </w:r>
      <w:r>
        <w:rPr>
          <w:rFonts w:ascii="宋体" w:hAnsi="宋体" w:cs="宋体" w:eastAsia="宋体" w:hint="default"/>
        </w:rPr>
        <w:t>3</w:t>
      </w:r>
      <w:r>
        <w:rPr/>
        <w:t>）第四届监事会第十三次会议</w:t>
      </w:r>
    </w:p>
    <w:p>
      <w:pPr>
        <w:spacing w:line="240" w:lineRule="auto" w:before="12"/>
        <w:rPr>
          <w:rFonts w:ascii="宋体" w:hAnsi="宋体" w:cs="宋体" w:eastAsia="宋体" w:hint="default"/>
          <w:sz w:val="20"/>
          <w:szCs w:val="20"/>
        </w:rPr>
      </w:pPr>
    </w:p>
    <w:p>
      <w:pPr>
        <w:pStyle w:val="BodyText"/>
        <w:spacing w:line="477" w:lineRule="auto"/>
        <w:ind w:left="232" w:right="281" w:firstLine="360"/>
        <w:jc w:val="both"/>
      </w:pPr>
      <w:r>
        <w:rPr>
          <w:rFonts w:ascii="宋体" w:hAnsi="宋体" w:cs="宋体" w:eastAsia="宋体" w:hint="default"/>
        </w:rPr>
        <w:t>2012</w:t>
      </w:r>
      <w:r>
        <w:rPr>
          <w:rFonts w:ascii="宋体" w:hAnsi="宋体" w:cs="宋体" w:eastAsia="宋体" w:hint="default"/>
          <w:spacing w:val="-44"/>
        </w:rPr>
        <w:t> </w:t>
      </w:r>
      <w:r>
        <w:rPr/>
        <w:t>年</w:t>
      </w:r>
      <w:r>
        <w:rPr>
          <w:spacing w:val="-48"/>
        </w:rPr>
        <w:t> </w:t>
      </w:r>
      <w:r>
        <w:rPr>
          <w:rFonts w:ascii="宋体" w:hAnsi="宋体" w:cs="宋体" w:eastAsia="宋体" w:hint="default"/>
        </w:rPr>
        <w:t>7</w:t>
      </w:r>
      <w:r>
        <w:rPr>
          <w:rFonts w:ascii="宋体" w:hAnsi="宋体" w:cs="宋体" w:eastAsia="宋体" w:hint="default"/>
          <w:spacing w:val="-45"/>
        </w:rPr>
        <w:t> </w:t>
      </w:r>
      <w:r>
        <w:rPr/>
        <w:t>月</w:t>
      </w:r>
      <w:r>
        <w:rPr>
          <w:spacing w:val="-48"/>
        </w:rPr>
        <w:t> </w:t>
      </w:r>
      <w:r>
        <w:rPr>
          <w:rFonts w:ascii="宋体" w:hAnsi="宋体" w:cs="宋体" w:eastAsia="宋体" w:hint="default"/>
        </w:rPr>
        <w:t>26</w:t>
      </w:r>
      <w:r>
        <w:rPr>
          <w:rFonts w:ascii="宋体" w:hAnsi="宋体" w:cs="宋体" w:eastAsia="宋体" w:hint="default"/>
          <w:spacing w:val="-45"/>
        </w:rPr>
        <w:t> </w:t>
      </w:r>
      <w:r>
        <w:rPr/>
        <w:t>日，在公司以现场方式召开了第四届监事会第十三次会议，审议通过了《公司</w:t>
      </w:r>
      <w:r>
        <w:rPr>
          <w:spacing w:val="-44"/>
        </w:rPr>
        <w:t> </w:t>
      </w:r>
      <w:r>
        <w:rPr>
          <w:rFonts w:ascii="宋体" w:hAnsi="宋体" w:cs="宋体" w:eastAsia="宋体" w:hint="default"/>
        </w:rPr>
        <w:t>2012</w:t>
      </w:r>
      <w:r>
        <w:rPr>
          <w:rFonts w:ascii="宋体" w:hAnsi="宋体" w:cs="宋体" w:eastAsia="宋体" w:hint="default"/>
          <w:spacing w:val="-44"/>
        </w:rPr>
        <w:t> </w:t>
      </w:r>
      <w:r>
        <w:rPr/>
        <w:t>年半年度报告》及 </w:t>
      </w:r>
      <w:r>
        <w:rPr>
          <w:spacing w:val="-10"/>
        </w:rPr>
        <w:t>摘要、《关于修改</w:t>
      </w:r>
      <w:r>
        <w:rPr>
          <w:rFonts w:ascii="宋体" w:hAnsi="宋体" w:cs="宋体" w:eastAsia="宋体" w:hint="default"/>
          <w:spacing w:val="-10"/>
        </w:rPr>
        <w:t>&lt;</w:t>
      </w:r>
      <w:r>
        <w:rPr>
          <w:spacing w:val="-10"/>
        </w:rPr>
        <w:t>公司章程</w:t>
      </w:r>
      <w:r>
        <w:rPr>
          <w:rFonts w:ascii="宋体" w:hAnsi="宋体" w:cs="宋体" w:eastAsia="宋体" w:hint="default"/>
          <w:spacing w:val="-10"/>
        </w:rPr>
        <w:t>&gt;</w:t>
      </w:r>
      <w:r>
        <w:rPr>
          <w:spacing w:val="-10"/>
        </w:rPr>
        <w:t>的议案》。</w:t>
      </w:r>
    </w:p>
    <w:p>
      <w:pPr>
        <w:pStyle w:val="BodyText"/>
        <w:spacing w:line="240" w:lineRule="auto" w:before="92"/>
        <w:ind w:left="593" w:right="0"/>
        <w:jc w:val="left"/>
      </w:pPr>
      <w:r>
        <w:rPr/>
        <w:t>（</w:t>
      </w:r>
      <w:r>
        <w:rPr>
          <w:rFonts w:ascii="宋体" w:hAnsi="宋体" w:cs="宋体" w:eastAsia="宋体" w:hint="default"/>
        </w:rPr>
        <w:t>4</w:t>
      </w:r>
      <w:r>
        <w:rPr/>
        <w:t>）第四届监事会第十四次会议</w:t>
      </w:r>
    </w:p>
    <w:p>
      <w:pPr>
        <w:spacing w:line="240" w:lineRule="auto" w:before="12"/>
        <w:rPr>
          <w:rFonts w:ascii="宋体" w:hAnsi="宋体" w:cs="宋体" w:eastAsia="宋体" w:hint="default"/>
          <w:sz w:val="20"/>
          <w:szCs w:val="20"/>
        </w:rPr>
      </w:pPr>
    </w:p>
    <w:p>
      <w:pPr>
        <w:pStyle w:val="BodyText"/>
        <w:spacing w:line="477" w:lineRule="auto"/>
        <w:ind w:left="232" w:right="231" w:firstLine="360"/>
        <w:jc w:val="both"/>
      </w:pPr>
      <w:r>
        <w:rPr>
          <w:rFonts w:ascii="宋体" w:hAnsi="宋体" w:cs="宋体" w:eastAsia="宋体" w:hint="default"/>
        </w:rPr>
        <w:t>2012</w:t>
      </w:r>
      <w:r>
        <w:rPr>
          <w:rFonts w:ascii="宋体" w:hAnsi="宋体" w:cs="宋体" w:eastAsia="宋体" w:hint="default"/>
          <w:spacing w:val="-52"/>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20</w:t>
      </w:r>
      <w:r>
        <w:rPr>
          <w:rFonts w:ascii="宋体" w:hAnsi="宋体" w:cs="宋体" w:eastAsia="宋体" w:hint="default"/>
          <w:spacing w:val="-53"/>
        </w:rPr>
        <w:t> </w:t>
      </w:r>
      <w:r>
        <w:rPr/>
        <w:t>日，在公司会议室以现场方式召开了第四届监事会第十四次会议，审议通过了《北京神州泰岳软件股份 </w:t>
      </w:r>
      <w:r>
        <w:rPr>
          <w:spacing w:val="-9"/>
        </w:rPr>
        <w:t>有限公司股票期权与限制性股票激励计划（正式稿）》、《北京神州泰岳软件股份有限公司股权激励对象名单》、《股权激励计</w:t>
      </w:r>
      <w:r>
        <w:rPr>
          <w:spacing w:val="-39"/>
        </w:rPr>
        <w:t> </w:t>
      </w:r>
      <w:r>
        <w:rPr>
          <w:spacing w:val="-39"/>
        </w:rPr>
      </w:r>
      <w:r>
        <w:rPr/>
        <w:t>划考核管理办法（修订稿</w:t>
      </w:r>
      <w:r>
        <w:rPr>
          <w:spacing w:val="1"/>
        </w:rPr>
        <w:t> </w:t>
      </w:r>
      <w:r>
        <w:rPr>
          <w:rFonts w:ascii="宋体" w:hAnsi="宋体" w:cs="宋体" w:eastAsia="宋体" w:hint="default"/>
          <w:spacing w:val="-61"/>
        </w:rPr>
        <w:t>)</w:t>
      </w:r>
      <w:r>
        <w:rPr>
          <w:spacing w:val="-61"/>
        </w:rPr>
        <w:t>》。</w:t>
      </w:r>
      <w:r>
        <w:rPr/>
      </w:r>
    </w:p>
    <w:p>
      <w:pPr>
        <w:pStyle w:val="BodyText"/>
        <w:spacing w:line="240" w:lineRule="auto" w:before="95"/>
        <w:ind w:left="593" w:right="0"/>
        <w:jc w:val="left"/>
      </w:pPr>
      <w:r>
        <w:rPr/>
        <w:t>（</w:t>
      </w:r>
      <w:r>
        <w:rPr>
          <w:rFonts w:ascii="宋体" w:hAnsi="宋体" w:cs="宋体" w:eastAsia="宋体" w:hint="default"/>
        </w:rPr>
        <w:t>5</w:t>
      </w:r>
      <w:r>
        <w:rPr/>
        <w:t>）第四届监事会第十五次会议</w:t>
      </w:r>
    </w:p>
    <w:p>
      <w:pPr>
        <w:spacing w:line="240" w:lineRule="auto" w:before="9"/>
        <w:rPr>
          <w:rFonts w:ascii="宋体" w:hAnsi="宋体" w:cs="宋体" w:eastAsia="宋体" w:hint="default"/>
          <w:sz w:val="20"/>
          <w:szCs w:val="20"/>
        </w:rPr>
      </w:pPr>
    </w:p>
    <w:p>
      <w:pPr>
        <w:pStyle w:val="BodyText"/>
        <w:spacing w:line="477" w:lineRule="auto"/>
        <w:ind w:left="232" w:right="232" w:firstLine="360"/>
        <w:jc w:val="both"/>
      </w:pPr>
      <w:r>
        <w:rPr>
          <w:rFonts w:ascii="宋体" w:hAnsi="宋体" w:cs="宋体" w:eastAsia="宋体" w:hint="default"/>
        </w:rPr>
        <w:t>2012</w:t>
      </w:r>
      <w:r>
        <w:rPr>
          <w:rFonts w:ascii="宋体" w:hAnsi="宋体" w:cs="宋体" w:eastAsia="宋体" w:hint="default"/>
          <w:spacing w:val="-52"/>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10</w:t>
      </w:r>
      <w:r>
        <w:rPr>
          <w:rFonts w:ascii="宋体" w:hAnsi="宋体" w:cs="宋体" w:eastAsia="宋体" w:hint="default"/>
          <w:spacing w:val="-53"/>
        </w:rPr>
        <w:t> </w:t>
      </w:r>
      <w:r>
        <w:rPr/>
        <w:t>日，在公司会议室以现场方式召开了第四届监事会第十五次会议，审议通过了《关于公司股权激励计划 </w:t>
      </w:r>
      <w:r>
        <w:rPr>
          <w:spacing w:val="-9"/>
        </w:rPr>
        <w:t>所涉股权授予的议案》。</w:t>
      </w:r>
    </w:p>
    <w:p>
      <w:pPr>
        <w:pStyle w:val="BodyText"/>
        <w:spacing w:line="240" w:lineRule="auto" w:before="95"/>
        <w:ind w:left="593" w:right="0"/>
        <w:jc w:val="left"/>
      </w:pPr>
      <w:r>
        <w:rPr/>
        <w:t>（</w:t>
      </w:r>
      <w:r>
        <w:rPr>
          <w:rFonts w:ascii="宋体" w:hAnsi="宋体" w:cs="宋体" w:eastAsia="宋体" w:hint="default"/>
        </w:rPr>
        <w:t>6</w:t>
      </w:r>
      <w:r>
        <w:rPr/>
        <w:t>）第四届监事会第十六次会议</w:t>
      </w:r>
    </w:p>
    <w:p>
      <w:pPr>
        <w:spacing w:line="240" w:lineRule="auto" w:before="12"/>
        <w:rPr>
          <w:rFonts w:ascii="宋体" w:hAnsi="宋体" w:cs="宋体" w:eastAsia="宋体" w:hint="default"/>
          <w:sz w:val="20"/>
          <w:szCs w:val="20"/>
        </w:rPr>
      </w:pPr>
    </w:p>
    <w:p>
      <w:pPr>
        <w:pStyle w:val="BodyText"/>
        <w:spacing w:line="477" w:lineRule="auto"/>
        <w:ind w:left="232" w:right="285" w:firstLine="360"/>
        <w:jc w:val="both"/>
      </w:pPr>
      <w:r>
        <w:rPr>
          <w:rFonts w:ascii="宋体" w:hAnsi="宋体" w:cs="宋体" w:eastAsia="宋体" w:hint="default"/>
        </w:rPr>
        <w:t>2012</w:t>
      </w:r>
      <w:r>
        <w:rPr>
          <w:rFonts w:ascii="宋体" w:hAnsi="宋体" w:cs="宋体" w:eastAsia="宋体" w:hint="default"/>
          <w:spacing w:val="-45"/>
        </w:rPr>
        <w:t> </w:t>
      </w:r>
      <w:r>
        <w:rPr/>
        <w:t>年</w:t>
      </w:r>
      <w:r>
        <w:rPr>
          <w:spacing w:val="-49"/>
        </w:rPr>
        <w:t> </w:t>
      </w:r>
      <w:r>
        <w:rPr>
          <w:rFonts w:ascii="宋体" w:hAnsi="宋体" w:cs="宋体" w:eastAsia="宋体" w:hint="default"/>
        </w:rPr>
        <w:t>10</w:t>
      </w:r>
      <w:r>
        <w:rPr>
          <w:rFonts w:ascii="宋体" w:hAnsi="宋体" w:cs="宋体" w:eastAsia="宋体" w:hint="default"/>
          <w:spacing w:val="-46"/>
        </w:rPr>
        <w:t> </w:t>
      </w:r>
      <w:r>
        <w:rPr/>
        <w:t>月</w:t>
      </w:r>
      <w:r>
        <w:rPr>
          <w:spacing w:val="-47"/>
        </w:rPr>
        <w:t> </w:t>
      </w:r>
      <w:r>
        <w:rPr>
          <w:rFonts w:ascii="宋体" w:hAnsi="宋体" w:cs="宋体" w:eastAsia="宋体" w:hint="default"/>
        </w:rPr>
        <w:t>18</w:t>
      </w:r>
      <w:r>
        <w:rPr>
          <w:rFonts w:ascii="宋体" w:hAnsi="宋体" w:cs="宋体" w:eastAsia="宋体" w:hint="default"/>
          <w:spacing w:val="-46"/>
        </w:rPr>
        <w:t> </w:t>
      </w:r>
      <w:r>
        <w:rPr/>
        <w:t>日，在公司会议室以现场方式召开了第四届监事会第十六次会议，审议通过了《关于公司股权激励计 </w:t>
      </w:r>
      <w:r>
        <w:rPr>
          <w:spacing w:val="-10"/>
        </w:rPr>
        <w:t>划人员调整的议案》。</w:t>
      </w:r>
    </w:p>
    <w:p>
      <w:pPr>
        <w:pStyle w:val="BodyText"/>
        <w:spacing w:line="240" w:lineRule="auto" w:before="92"/>
        <w:ind w:left="593" w:right="0"/>
        <w:jc w:val="left"/>
      </w:pPr>
      <w:r>
        <w:rPr/>
        <w:t>（</w:t>
      </w:r>
      <w:r>
        <w:rPr>
          <w:rFonts w:ascii="宋体" w:hAnsi="宋体" w:cs="宋体" w:eastAsia="宋体" w:hint="default"/>
        </w:rPr>
        <w:t>7</w:t>
      </w:r>
      <w:r>
        <w:rPr/>
        <w:t>）第四届监事会第十七次会议</w:t>
      </w:r>
    </w:p>
    <w:p>
      <w:pPr>
        <w:spacing w:line="240" w:lineRule="auto" w:before="12"/>
        <w:rPr>
          <w:rFonts w:ascii="宋体" w:hAnsi="宋体" w:cs="宋体" w:eastAsia="宋体" w:hint="default"/>
          <w:sz w:val="20"/>
          <w:szCs w:val="20"/>
        </w:rPr>
      </w:pPr>
    </w:p>
    <w:p>
      <w:pPr>
        <w:pStyle w:val="BodyText"/>
        <w:spacing w:line="477" w:lineRule="auto"/>
        <w:ind w:left="232" w:right="228" w:firstLine="360"/>
        <w:jc w:val="both"/>
      </w:pPr>
      <w:r>
        <w:rPr>
          <w:rFonts w:ascii="宋体" w:hAnsi="宋体" w:cs="宋体" w:eastAsia="宋体" w:hint="default"/>
        </w:rPr>
        <w:t>2012</w:t>
      </w:r>
      <w:r>
        <w:rPr>
          <w:rFonts w:ascii="宋体" w:hAnsi="宋体" w:cs="宋体" w:eastAsia="宋体" w:hint="default"/>
          <w:spacing w:val="-50"/>
        </w:rPr>
        <w:t> </w:t>
      </w:r>
      <w:r>
        <w:rPr/>
        <w:t>年</w:t>
      </w:r>
      <w:r>
        <w:rPr>
          <w:spacing w:val="-54"/>
        </w:rPr>
        <w:t> </w:t>
      </w:r>
      <w:r>
        <w:rPr>
          <w:rFonts w:ascii="宋体" w:hAnsi="宋体" w:cs="宋体" w:eastAsia="宋体" w:hint="default"/>
        </w:rPr>
        <w:t>10</w:t>
      </w:r>
      <w:r>
        <w:rPr>
          <w:rFonts w:ascii="宋体" w:hAnsi="宋体" w:cs="宋体" w:eastAsia="宋体" w:hint="default"/>
          <w:spacing w:val="-51"/>
        </w:rPr>
        <w:t> </w:t>
      </w:r>
      <w:r>
        <w:rPr/>
        <w:t>月</w:t>
      </w:r>
      <w:r>
        <w:rPr>
          <w:spacing w:val="-52"/>
        </w:rPr>
        <w:t> </w:t>
      </w:r>
      <w:r>
        <w:rPr>
          <w:rFonts w:ascii="宋体" w:hAnsi="宋体" w:cs="宋体" w:eastAsia="宋体" w:hint="default"/>
        </w:rPr>
        <w:t>22</w:t>
      </w:r>
      <w:r>
        <w:rPr>
          <w:rFonts w:ascii="宋体" w:hAnsi="宋体" w:cs="宋体" w:eastAsia="宋体" w:hint="default"/>
          <w:spacing w:val="-51"/>
        </w:rPr>
        <w:t> </w:t>
      </w:r>
      <w:r>
        <w:rPr/>
        <w:t>日，在公司会议室以现场方式召开了第四届监事会第十七次会议，审议通过了《公司</w:t>
      </w:r>
      <w:r>
        <w:rPr>
          <w:spacing w:val="-50"/>
        </w:rPr>
        <w:t> </w:t>
      </w:r>
      <w:r>
        <w:rPr>
          <w:rFonts w:ascii="宋体" w:hAnsi="宋体" w:cs="宋体" w:eastAsia="宋体" w:hint="default"/>
        </w:rPr>
        <w:t>2012</w:t>
      </w:r>
      <w:r>
        <w:rPr>
          <w:rFonts w:ascii="宋体" w:hAnsi="宋体" w:cs="宋体" w:eastAsia="宋体" w:hint="default"/>
          <w:spacing w:val="-50"/>
        </w:rPr>
        <w:t> </w:t>
      </w:r>
      <w:r>
        <w:rPr/>
        <w:t>年第三季度 报告全文》及摘要。</w:t>
      </w:r>
    </w:p>
    <w:p>
      <w:pPr>
        <w:pStyle w:val="BodyText"/>
        <w:spacing w:line="240" w:lineRule="auto" w:before="95"/>
        <w:ind w:left="593" w:right="0"/>
        <w:jc w:val="left"/>
      </w:pPr>
      <w:r>
        <w:rPr>
          <w:rFonts w:ascii="宋体" w:hAnsi="宋体" w:cs="宋体" w:eastAsia="宋体" w:hint="default"/>
        </w:rPr>
        <w:t>2</w:t>
      </w:r>
      <w:r>
        <w:rPr/>
        <w:t>、监事会对公司</w:t>
      </w:r>
      <w:r>
        <w:rPr>
          <w:spacing w:val="-48"/>
        </w:rPr>
        <w:t> </w:t>
      </w:r>
      <w:r>
        <w:rPr>
          <w:rFonts w:ascii="宋体" w:hAnsi="宋体" w:cs="宋体" w:eastAsia="宋体" w:hint="default"/>
        </w:rPr>
        <w:t>2012</w:t>
      </w:r>
      <w:r>
        <w:rPr>
          <w:rFonts w:ascii="宋体" w:hAnsi="宋体" w:cs="宋体" w:eastAsia="宋体" w:hint="default"/>
          <w:spacing w:val="-46"/>
        </w:rPr>
        <w:t> </w:t>
      </w:r>
      <w:r>
        <w:rPr/>
        <w:t>年度有关事项的独立意见</w:t>
      </w:r>
    </w:p>
    <w:p>
      <w:pPr>
        <w:spacing w:after="0" w:line="240" w:lineRule="auto"/>
        <w:jc w:val="left"/>
        <w:sectPr>
          <w:pgSz w:w="11910" w:h="16840"/>
          <w:pgMar w:header="852" w:footer="980" w:top="1340" w:bottom="1160" w:left="900" w:right="900"/>
        </w:sectPr>
      </w:pPr>
    </w:p>
    <w:p>
      <w:pPr>
        <w:spacing w:line="240" w:lineRule="auto" w:before="6"/>
        <w:rPr>
          <w:rFonts w:ascii="宋体" w:hAnsi="宋体" w:cs="宋体" w:eastAsia="宋体" w:hint="default"/>
          <w:sz w:val="10"/>
          <w:szCs w:val="10"/>
        </w:rPr>
      </w:pPr>
    </w:p>
    <w:p>
      <w:pPr>
        <w:pStyle w:val="BodyText"/>
        <w:spacing w:line="477" w:lineRule="auto" w:before="44"/>
        <w:ind w:right="190" w:firstLine="360"/>
        <w:jc w:val="both"/>
      </w:pPr>
      <w:r>
        <w:rPr>
          <w:spacing w:val="-2"/>
        </w:rPr>
        <w:t>报告期内，公司监事会对公司依法运作情况、公司财务情况、关联交易等事项以及公司董事会和经营层职务行为进行了</w:t>
      </w:r>
      <w:r>
        <w:rPr/>
        <w:t> 认真监督检查，具体情况如下：</w:t>
      </w:r>
    </w:p>
    <w:p>
      <w:pPr>
        <w:pStyle w:val="BodyText"/>
        <w:spacing w:line="240" w:lineRule="auto" w:before="95"/>
        <w:ind w:left="513" w:right="94"/>
        <w:jc w:val="left"/>
      </w:pPr>
      <w:r>
        <w:rPr/>
        <w:t>（</w:t>
      </w:r>
      <w:r>
        <w:rPr>
          <w:rFonts w:ascii="宋体" w:hAnsi="宋体" w:cs="宋体" w:eastAsia="宋体" w:hint="default"/>
        </w:rPr>
        <w:t>1</w:t>
      </w:r>
      <w:r>
        <w:rPr/>
        <w:t>）公司依法运作情况</w:t>
      </w:r>
    </w:p>
    <w:p>
      <w:pPr>
        <w:spacing w:line="240" w:lineRule="auto" w:before="9"/>
        <w:rPr>
          <w:rFonts w:ascii="宋体" w:hAnsi="宋体" w:cs="宋体" w:eastAsia="宋体" w:hint="default"/>
          <w:sz w:val="20"/>
          <w:szCs w:val="20"/>
        </w:rPr>
      </w:pPr>
    </w:p>
    <w:p>
      <w:pPr>
        <w:pStyle w:val="BodyText"/>
        <w:spacing w:line="477" w:lineRule="auto"/>
        <w:ind w:right="195" w:firstLine="360"/>
        <w:jc w:val="both"/>
      </w:pPr>
      <w:r>
        <w:rPr>
          <w:rFonts w:ascii="宋体" w:hAnsi="宋体" w:cs="宋体" w:eastAsia="宋体" w:hint="default"/>
        </w:rPr>
        <w:t>2012</w:t>
      </w:r>
      <w:r>
        <w:rPr>
          <w:rFonts w:ascii="宋体" w:hAnsi="宋体" w:cs="宋体" w:eastAsia="宋体" w:hint="default"/>
          <w:spacing w:val="-45"/>
        </w:rPr>
        <w:t> </w:t>
      </w:r>
      <w:r>
        <w:rPr/>
        <w:t>年，公司监事会积极参加股东大会，列席董事会会议，对公司的决策程序、内部控制制度的建立与执行情况以及 </w:t>
      </w:r>
      <w:r>
        <w:rPr>
          <w:spacing w:val="-5"/>
        </w:rPr>
        <w:t>公司董事、高级管理人员履行职务情况进行了监督。监事会认为：公司决策程序遵守了《公司法》、《证券法》等法律、法规</w:t>
      </w:r>
      <w:r>
        <w:rPr>
          <w:spacing w:val="-86"/>
        </w:rPr>
        <w:t> </w:t>
      </w:r>
      <w:r>
        <w:rPr>
          <w:spacing w:val="-86"/>
        </w:rPr>
      </w:r>
      <w:r>
        <w:rPr>
          <w:spacing w:val="-2"/>
        </w:rPr>
        <w:t>以及《公司章程》等的相关规定，建立了较为完善的内部控制制度。董事会运作规范、决策合理、程序合法，认真执行股东</w:t>
      </w:r>
      <w:r>
        <w:rPr>
          <w:spacing w:val="-73"/>
        </w:rPr>
        <w:t> </w:t>
      </w:r>
      <w:r>
        <w:rPr>
          <w:spacing w:val="-73"/>
        </w:rPr>
      </w:r>
      <w:r>
        <w:rPr>
          <w:spacing w:val="-2"/>
        </w:rPr>
        <w:t>大会的各项决议。公司董事、高级管理人员执行公司职务时忠于职守、勤勉尽责，不存在违反法律、法规、《公司章程》或</w:t>
      </w:r>
      <w:r>
        <w:rPr>
          <w:spacing w:val="-72"/>
        </w:rPr>
        <w:t> </w:t>
      </w:r>
      <w:r>
        <w:rPr>
          <w:spacing w:val="-72"/>
        </w:rPr>
      </w:r>
      <w:r>
        <w:rPr/>
        <w:t>损害公司利益的行为。</w:t>
      </w:r>
    </w:p>
    <w:p>
      <w:pPr>
        <w:pStyle w:val="BodyText"/>
        <w:spacing w:line="240" w:lineRule="auto" w:before="95"/>
        <w:ind w:left="513" w:right="94"/>
        <w:jc w:val="left"/>
      </w:pPr>
      <w:r>
        <w:rPr/>
        <w:t>（</w:t>
      </w:r>
      <w:r>
        <w:rPr>
          <w:rFonts w:ascii="宋体" w:hAnsi="宋体" w:cs="宋体" w:eastAsia="宋体" w:hint="default"/>
        </w:rPr>
        <w:t>2</w:t>
      </w:r>
      <w:r>
        <w:rPr/>
        <w:t>）检查公司财务的情况</w:t>
      </w:r>
    </w:p>
    <w:p>
      <w:pPr>
        <w:spacing w:line="240" w:lineRule="auto" w:before="12"/>
        <w:rPr>
          <w:rFonts w:ascii="宋体" w:hAnsi="宋体" w:cs="宋体" w:eastAsia="宋体" w:hint="default"/>
          <w:sz w:val="20"/>
          <w:szCs w:val="20"/>
        </w:rPr>
      </w:pPr>
    </w:p>
    <w:p>
      <w:pPr>
        <w:pStyle w:val="BodyText"/>
        <w:spacing w:line="240" w:lineRule="auto"/>
        <w:ind w:left="513" w:right="94"/>
        <w:jc w:val="left"/>
      </w:pPr>
      <w:r>
        <w:rPr/>
        <w:t>监事会对</w:t>
      </w:r>
      <w:r>
        <w:rPr>
          <w:spacing w:val="-47"/>
        </w:rPr>
        <w:t> </w:t>
      </w:r>
      <w:r>
        <w:rPr>
          <w:rFonts w:ascii="宋体" w:hAnsi="宋体" w:cs="宋体" w:eastAsia="宋体" w:hint="default"/>
        </w:rPr>
        <w:t>2012</w:t>
      </w:r>
      <w:r>
        <w:rPr>
          <w:rFonts w:ascii="宋体" w:hAnsi="宋体" w:cs="宋体" w:eastAsia="宋体" w:hint="default"/>
          <w:spacing w:val="-45"/>
        </w:rPr>
        <w:t> </w:t>
      </w:r>
      <w:r>
        <w:rPr/>
        <w:t>年度公司的财务状况、财务管理、财务成果等进行了认真细致、有效地监督、检查和审核，认为：公司</w:t>
      </w:r>
    </w:p>
    <w:p>
      <w:pPr>
        <w:spacing w:line="240" w:lineRule="auto" w:before="10"/>
        <w:rPr>
          <w:rFonts w:ascii="宋体" w:hAnsi="宋体" w:cs="宋体" w:eastAsia="宋体" w:hint="default"/>
          <w:sz w:val="17"/>
          <w:szCs w:val="17"/>
        </w:rPr>
      </w:pPr>
    </w:p>
    <w:p>
      <w:pPr>
        <w:pStyle w:val="BodyText"/>
        <w:spacing w:line="240" w:lineRule="auto"/>
        <w:ind w:right="94"/>
        <w:jc w:val="left"/>
      </w:pPr>
      <w:r>
        <w:rPr/>
        <w:t>财务制度健全、财务运作规范、财务状况良好，立信会计师事务所出具的公司</w:t>
      </w:r>
      <w:r>
        <w:rPr>
          <w:spacing w:val="-46"/>
        </w:rPr>
        <w:t> </w:t>
      </w:r>
      <w:r>
        <w:rPr>
          <w:rFonts w:ascii="宋体" w:hAnsi="宋体" w:cs="宋体" w:eastAsia="宋体" w:hint="default"/>
        </w:rPr>
        <w:t>2012</w:t>
      </w:r>
      <w:r>
        <w:rPr>
          <w:rFonts w:ascii="宋体" w:hAnsi="宋体" w:cs="宋体" w:eastAsia="宋体" w:hint="default"/>
          <w:spacing w:val="-44"/>
        </w:rPr>
        <w:t> </w:t>
      </w:r>
      <w:r>
        <w:rPr/>
        <w:t>年度审计报告真实、客观、准确地反映</w:t>
      </w:r>
    </w:p>
    <w:p>
      <w:pPr>
        <w:spacing w:line="240" w:lineRule="auto" w:before="10"/>
        <w:rPr>
          <w:rFonts w:ascii="宋体" w:hAnsi="宋体" w:cs="宋体" w:eastAsia="宋体" w:hint="default"/>
          <w:sz w:val="17"/>
          <w:szCs w:val="17"/>
        </w:rPr>
      </w:pPr>
    </w:p>
    <w:p>
      <w:pPr>
        <w:pStyle w:val="BodyText"/>
        <w:spacing w:line="240" w:lineRule="auto"/>
        <w:ind w:right="94"/>
        <w:jc w:val="left"/>
      </w:pPr>
      <w:r>
        <w:rPr/>
        <w:t>了公司</w:t>
      </w:r>
      <w:r>
        <w:rPr>
          <w:spacing w:val="-46"/>
        </w:rPr>
        <w:t> </w:t>
      </w:r>
      <w:r>
        <w:rPr>
          <w:rFonts w:ascii="宋体" w:hAnsi="宋体" w:cs="宋体" w:eastAsia="宋体" w:hint="default"/>
        </w:rPr>
        <w:t>2012</w:t>
      </w:r>
      <w:r>
        <w:rPr>
          <w:rFonts w:ascii="宋体" w:hAnsi="宋体" w:cs="宋体" w:eastAsia="宋体" w:hint="default"/>
          <w:spacing w:val="-45"/>
        </w:rPr>
        <w:t> </w:t>
      </w:r>
      <w:r>
        <w:rPr/>
        <w:t>年度的财务状况和经营成果。</w:t>
      </w:r>
    </w:p>
    <w:p>
      <w:pPr>
        <w:spacing w:line="240" w:lineRule="auto" w:before="9"/>
        <w:rPr>
          <w:rFonts w:ascii="宋体" w:hAnsi="宋体" w:cs="宋体" w:eastAsia="宋体" w:hint="default"/>
          <w:sz w:val="20"/>
          <w:szCs w:val="20"/>
        </w:rPr>
      </w:pPr>
    </w:p>
    <w:p>
      <w:pPr>
        <w:pStyle w:val="BodyText"/>
        <w:spacing w:line="240" w:lineRule="auto"/>
        <w:ind w:left="513" w:right="94"/>
        <w:jc w:val="left"/>
      </w:pPr>
      <w:r>
        <w:rPr/>
        <w:t>（</w:t>
      </w:r>
      <w:r>
        <w:rPr>
          <w:rFonts w:ascii="宋体" w:hAnsi="宋体" w:cs="宋体" w:eastAsia="宋体" w:hint="default"/>
        </w:rPr>
        <w:t>3</w:t>
      </w:r>
      <w:r>
        <w:rPr/>
        <w:t>）公司募集资金投入项目情况</w:t>
      </w:r>
    </w:p>
    <w:p>
      <w:pPr>
        <w:spacing w:line="240" w:lineRule="auto" w:before="12"/>
        <w:rPr>
          <w:rFonts w:ascii="宋体" w:hAnsi="宋体" w:cs="宋体" w:eastAsia="宋体" w:hint="default"/>
          <w:sz w:val="20"/>
          <w:szCs w:val="20"/>
        </w:rPr>
      </w:pPr>
    </w:p>
    <w:p>
      <w:pPr>
        <w:pStyle w:val="BodyText"/>
        <w:spacing w:line="240" w:lineRule="auto"/>
        <w:ind w:left="513" w:right="94"/>
        <w:jc w:val="left"/>
      </w:pPr>
      <w:r>
        <w:rPr>
          <w:spacing w:val="-3"/>
        </w:rPr>
        <w:t>经核查，监事会认为：截止</w:t>
      </w:r>
      <w:r>
        <w:rPr>
          <w:spacing w:val="-49"/>
        </w:rPr>
        <w:t> </w:t>
      </w:r>
      <w:r>
        <w:rPr>
          <w:rFonts w:ascii="宋体" w:hAnsi="宋体" w:cs="宋体" w:eastAsia="宋体" w:hint="default"/>
        </w:rPr>
        <w:t>2012</w:t>
      </w:r>
      <w:r>
        <w:rPr>
          <w:rFonts w:ascii="宋体" w:hAnsi="宋体" w:cs="宋体" w:eastAsia="宋体" w:hint="default"/>
          <w:spacing w:val="-47"/>
        </w:rPr>
        <w:t> </w:t>
      </w:r>
      <w:r>
        <w:rPr/>
        <w:t>年末，公司募集资金项目累计投入金额合计</w:t>
      </w:r>
      <w:r>
        <w:rPr>
          <w:spacing w:val="-49"/>
        </w:rPr>
        <w:t> </w:t>
      </w:r>
      <w:r>
        <w:rPr>
          <w:rFonts w:ascii="宋体" w:hAnsi="宋体" w:cs="宋体" w:eastAsia="宋体" w:hint="default"/>
        </w:rPr>
        <w:t>99,250.9</w:t>
      </w:r>
      <w:r>
        <w:rPr>
          <w:rFonts w:ascii="宋体" w:hAnsi="宋体" w:cs="宋体" w:eastAsia="宋体" w:hint="default"/>
          <w:spacing w:val="-47"/>
        </w:rPr>
        <w:t> </w:t>
      </w:r>
      <w:r>
        <w:rPr>
          <w:spacing w:val="-3"/>
        </w:rPr>
        <w:t>万元，其中，原募集资金项目投</w:t>
      </w:r>
    </w:p>
    <w:p>
      <w:pPr>
        <w:spacing w:line="240" w:lineRule="auto" w:before="10"/>
        <w:rPr>
          <w:rFonts w:ascii="宋体" w:hAnsi="宋体" w:cs="宋体" w:eastAsia="宋体" w:hint="default"/>
          <w:sz w:val="17"/>
          <w:szCs w:val="17"/>
        </w:rPr>
      </w:pPr>
    </w:p>
    <w:p>
      <w:pPr>
        <w:pStyle w:val="BodyText"/>
        <w:spacing w:line="477" w:lineRule="auto"/>
        <w:ind w:right="180"/>
        <w:jc w:val="left"/>
      </w:pPr>
      <w:r>
        <w:rPr/>
        <w:t>入金额</w:t>
      </w:r>
      <w:r>
        <w:rPr>
          <w:spacing w:val="-58"/>
        </w:rPr>
        <w:t> </w:t>
      </w:r>
      <w:r>
        <w:rPr>
          <w:rFonts w:ascii="宋体" w:hAnsi="宋体" w:cs="宋体" w:eastAsia="宋体" w:hint="default"/>
        </w:rPr>
        <w:t>29,521.39</w:t>
      </w:r>
      <w:r>
        <w:rPr>
          <w:rFonts w:ascii="宋体" w:hAnsi="宋体" w:cs="宋体" w:eastAsia="宋体" w:hint="default"/>
          <w:spacing w:val="-57"/>
        </w:rPr>
        <w:t> </w:t>
      </w:r>
      <w:r>
        <w:rPr>
          <w:spacing w:val="-4"/>
        </w:rPr>
        <w:t>万元，超募资金使用</w:t>
      </w:r>
      <w:r>
        <w:rPr>
          <w:spacing w:val="-58"/>
        </w:rPr>
        <w:t> </w:t>
      </w:r>
      <w:r>
        <w:rPr>
          <w:rFonts w:ascii="宋体" w:hAnsi="宋体" w:cs="宋体" w:eastAsia="宋体" w:hint="default"/>
        </w:rPr>
        <w:t>69,729.51</w:t>
      </w:r>
      <w:r>
        <w:rPr>
          <w:rFonts w:ascii="宋体" w:hAnsi="宋体" w:cs="宋体" w:eastAsia="宋体" w:hint="default"/>
          <w:spacing w:val="-57"/>
        </w:rPr>
        <w:t> </w:t>
      </w:r>
      <w:r>
        <w:rPr/>
        <w:t>万元；公司募集资金实际投入项目与承诺投入项目一致，不存在违规使用 募集资金的行为，没有变更投向和用途。</w:t>
      </w:r>
    </w:p>
    <w:p>
      <w:pPr>
        <w:pStyle w:val="BodyText"/>
        <w:spacing w:line="240" w:lineRule="auto" w:before="95"/>
        <w:ind w:left="513" w:right="94"/>
        <w:jc w:val="left"/>
      </w:pPr>
      <w:r>
        <w:rPr/>
        <w:t>（</w:t>
      </w:r>
      <w:r>
        <w:rPr>
          <w:rFonts w:ascii="宋体" w:hAnsi="宋体" w:cs="宋体" w:eastAsia="宋体" w:hint="default"/>
        </w:rPr>
        <w:t>4</w:t>
      </w:r>
      <w:r>
        <w:rPr/>
        <w:t>）公司收购、出售资产情况</w:t>
      </w:r>
    </w:p>
    <w:p>
      <w:pPr>
        <w:spacing w:line="240" w:lineRule="auto" w:before="9"/>
        <w:rPr>
          <w:rFonts w:ascii="宋体" w:hAnsi="宋体" w:cs="宋体" w:eastAsia="宋体" w:hint="default"/>
          <w:sz w:val="20"/>
          <w:szCs w:val="20"/>
        </w:rPr>
      </w:pPr>
    </w:p>
    <w:p>
      <w:pPr>
        <w:pStyle w:val="BodyText"/>
        <w:spacing w:line="477" w:lineRule="auto"/>
        <w:ind w:right="186" w:firstLine="360"/>
        <w:jc w:val="both"/>
      </w:pPr>
      <w:r>
        <w:rPr/>
        <w:t>报告期内，公司未发生出售资产的情形；共发生</w:t>
      </w:r>
      <w:r>
        <w:rPr>
          <w:spacing w:val="-51"/>
        </w:rPr>
        <w:t> </w:t>
      </w:r>
      <w:r>
        <w:rPr>
          <w:rFonts w:ascii="宋体" w:hAnsi="宋体" w:cs="宋体" w:eastAsia="宋体" w:hint="default"/>
        </w:rPr>
        <w:t>1</w:t>
      </w:r>
      <w:r>
        <w:rPr>
          <w:rFonts w:ascii="宋体" w:hAnsi="宋体" w:cs="宋体" w:eastAsia="宋体" w:hint="default"/>
          <w:spacing w:val="-51"/>
        </w:rPr>
        <w:t> </w:t>
      </w:r>
      <w:r>
        <w:rPr>
          <w:spacing w:val="-3"/>
        </w:rPr>
        <w:t>项收购资产的情形，即：公司使用自有资金</w:t>
      </w:r>
      <w:r>
        <w:rPr>
          <w:spacing w:val="-51"/>
        </w:rPr>
        <w:t> </w:t>
      </w:r>
      <w:r>
        <w:rPr>
          <w:rFonts w:ascii="宋体" w:hAnsi="宋体" w:cs="宋体" w:eastAsia="宋体" w:hint="default"/>
        </w:rPr>
        <w:t>529</w:t>
      </w:r>
      <w:r>
        <w:rPr>
          <w:rFonts w:ascii="宋体" w:hAnsi="宋体" w:cs="宋体" w:eastAsia="宋体" w:hint="default"/>
          <w:spacing w:val="-51"/>
        </w:rPr>
        <w:t> </w:t>
      </w:r>
      <w:r>
        <w:rPr/>
        <w:t>万元人民币对神州泰 </w:t>
      </w:r>
      <w:r>
        <w:rPr>
          <w:spacing w:val="-3"/>
        </w:rPr>
        <w:t>岳（香港）有限公司（简称“泰岳香港”）进行增资，用于泰岳香港收购</w:t>
      </w:r>
      <w:r>
        <w:rPr>
          <w:spacing w:val="-41"/>
        </w:rPr>
        <w:t> </w:t>
      </w:r>
      <w:r>
        <w:rPr>
          <w:rFonts w:ascii="宋体" w:hAnsi="宋体" w:cs="宋体" w:eastAsia="宋体" w:hint="default"/>
          <w:spacing w:val="-1"/>
        </w:rPr>
        <w:t>Bridge</w:t>
      </w:r>
      <w:r>
        <w:rPr>
          <w:rFonts w:ascii="宋体" w:hAnsi="宋体" w:cs="宋体" w:eastAsia="宋体" w:hint="default"/>
          <w:spacing w:val="3"/>
        </w:rPr>
        <w:t> </w:t>
      </w:r>
      <w:r>
        <w:rPr>
          <w:rFonts w:ascii="宋体" w:hAnsi="宋体" w:cs="宋体" w:eastAsia="宋体" w:hint="default"/>
          <w:spacing w:val="-1"/>
        </w:rPr>
        <w:t>Minds</w:t>
      </w:r>
      <w:r>
        <w:rPr>
          <w:rFonts w:ascii="宋体" w:hAnsi="宋体" w:cs="宋体" w:eastAsia="宋体" w:hint="default"/>
          <w:spacing w:val="3"/>
        </w:rPr>
        <w:t> </w:t>
      </w:r>
      <w:r>
        <w:rPr>
          <w:rFonts w:ascii="宋体" w:hAnsi="宋体" w:cs="宋体" w:eastAsia="宋体" w:hint="default"/>
          <w:spacing w:val="-1"/>
        </w:rPr>
        <w:t>Consulting</w:t>
      </w:r>
      <w:r>
        <w:rPr>
          <w:rFonts w:ascii="宋体" w:hAnsi="宋体" w:cs="宋体" w:eastAsia="宋体" w:hint="default"/>
          <w:spacing w:val="3"/>
        </w:rPr>
        <w:t> </w:t>
      </w:r>
      <w:r>
        <w:rPr>
          <w:rFonts w:ascii="宋体" w:hAnsi="宋体" w:cs="宋体" w:eastAsia="宋体" w:hint="default"/>
          <w:spacing w:val="-1"/>
        </w:rPr>
        <w:t>Pte</w:t>
      </w:r>
      <w:r>
        <w:rPr>
          <w:rFonts w:ascii="宋体" w:hAnsi="宋体" w:cs="宋体" w:eastAsia="宋体" w:hint="default"/>
          <w:spacing w:val="3"/>
        </w:rPr>
        <w:t> </w:t>
      </w:r>
      <w:r>
        <w:rPr>
          <w:rFonts w:ascii="宋体" w:hAnsi="宋体" w:cs="宋体" w:eastAsia="宋体" w:hint="default"/>
        </w:rPr>
        <w:t>Ltd</w:t>
      </w:r>
      <w:r>
        <w:rPr/>
        <w:t>（智桥资讯公</w:t>
      </w:r>
      <w:r>
        <w:rPr>
          <w:spacing w:val="-86"/>
        </w:rPr>
        <w:t> </w:t>
      </w:r>
      <w:r>
        <w:rPr/>
        <w:t>司）</w:t>
      </w:r>
      <w:r>
        <w:rPr>
          <w:rFonts w:ascii="宋体" w:hAnsi="宋体" w:cs="宋体" w:eastAsia="宋体" w:hint="default"/>
        </w:rPr>
        <w:t>25%</w:t>
      </w:r>
      <w:r>
        <w:rPr/>
        <w:t>股权事宜。</w:t>
      </w:r>
    </w:p>
    <w:p>
      <w:pPr>
        <w:pStyle w:val="BodyText"/>
        <w:spacing w:line="240" w:lineRule="auto" w:before="95"/>
        <w:ind w:left="513" w:right="0"/>
        <w:jc w:val="left"/>
      </w:pPr>
      <w:r>
        <w:rPr/>
        <w:t>上述收购交易价格合理，决策程序合法有效，未发生内幕交易以及其他损害公司股东利益或造成公司资产流失的情况。</w:t>
      </w:r>
    </w:p>
    <w:p>
      <w:pPr>
        <w:spacing w:line="240" w:lineRule="auto" w:before="12"/>
        <w:rPr>
          <w:rFonts w:ascii="宋体" w:hAnsi="宋体" w:cs="宋体" w:eastAsia="宋体" w:hint="default"/>
          <w:sz w:val="20"/>
          <w:szCs w:val="20"/>
        </w:rPr>
      </w:pPr>
    </w:p>
    <w:p>
      <w:pPr>
        <w:pStyle w:val="BodyText"/>
        <w:spacing w:line="240" w:lineRule="auto"/>
        <w:ind w:left="513" w:right="94"/>
        <w:jc w:val="left"/>
      </w:pPr>
      <w:r>
        <w:rPr/>
        <w:t>（</w:t>
      </w:r>
      <w:r>
        <w:rPr>
          <w:rFonts w:ascii="宋体" w:hAnsi="宋体" w:cs="宋体" w:eastAsia="宋体" w:hint="default"/>
        </w:rPr>
        <w:t>5</w:t>
      </w:r>
      <w:r>
        <w:rPr/>
        <w:t>）公司关联交易情况</w:t>
      </w:r>
    </w:p>
    <w:p>
      <w:pPr>
        <w:spacing w:line="240" w:lineRule="auto" w:before="9"/>
        <w:rPr>
          <w:rFonts w:ascii="宋体" w:hAnsi="宋体" w:cs="宋体" w:eastAsia="宋体" w:hint="default"/>
          <w:sz w:val="20"/>
          <w:szCs w:val="20"/>
        </w:rPr>
      </w:pPr>
    </w:p>
    <w:p>
      <w:pPr>
        <w:pStyle w:val="BodyText"/>
        <w:spacing w:line="477" w:lineRule="auto"/>
        <w:ind w:right="195" w:firstLine="360"/>
        <w:jc w:val="both"/>
      </w:pPr>
      <w:r>
        <w:rPr/>
        <w:t>报告期内公司向关联方收取的租赁及物业费为</w:t>
      </w:r>
      <w:r>
        <w:rPr>
          <w:spacing w:val="-46"/>
        </w:rPr>
        <w:t> </w:t>
      </w:r>
      <w:r>
        <w:rPr>
          <w:rFonts w:ascii="宋体" w:hAnsi="宋体" w:cs="宋体" w:eastAsia="宋体" w:hint="default"/>
        </w:rPr>
        <w:t>564.82</w:t>
      </w:r>
      <w:r>
        <w:rPr>
          <w:rFonts w:ascii="宋体" w:hAnsi="宋体" w:cs="宋体" w:eastAsia="宋体" w:hint="default"/>
          <w:spacing w:val="-45"/>
        </w:rPr>
        <w:t> </w:t>
      </w:r>
      <w:r>
        <w:rPr/>
        <w:t>万元</w:t>
      </w:r>
      <w:r>
        <w:rPr>
          <w:rFonts w:ascii="宋体" w:hAnsi="宋体" w:cs="宋体" w:eastAsia="宋体" w:hint="default"/>
        </w:rPr>
        <w:t>,</w:t>
      </w:r>
      <w:r>
        <w:rPr/>
        <w:t>向大连华信采购的软件服务</w:t>
      </w:r>
      <w:r>
        <w:rPr>
          <w:spacing w:val="-46"/>
        </w:rPr>
        <w:t> </w:t>
      </w:r>
      <w:r>
        <w:rPr>
          <w:rFonts w:ascii="宋体" w:hAnsi="宋体" w:cs="宋体" w:eastAsia="宋体" w:hint="default"/>
        </w:rPr>
        <w:t>776.92</w:t>
      </w:r>
      <w:r>
        <w:rPr>
          <w:rFonts w:ascii="宋体" w:hAnsi="宋体" w:cs="宋体" w:eastAsia="宋体" w:hint="default"/>
          <w:spacing w:val="-45"/>
        </w:rPr>
        <w:t> </w:t>
      </w:r>
      <w:r>
        <w:rPr/>
        <w:t>万元。该等事项基于市 </w:t>
      </w:r>
      <w:r>
        <w:rPr>
          <w:spacing w:val="-2"/>
        </w:rPr>
        <w:t>场原则进行定价，交易价格客观公允，不存在损害公司及中小股东利益的情形，决策程序符合《公司章程》和《关联交易决</w:t>
      </w:r>
      <w:r>
        <w:rPr>
          <w:spacing w:val="-69"/>
        </w:rPr>
        <w:t> </w:t>
      </w:r>
      <w:r>
        <w:rPr>
          <w:spacing w:val="-69"/>
        </w:rPr>
      </w:r>
      <w:r>
        <w:rPr/>
        <w:t>策制度》等相关规定。除该等事项外，公司无其他关联交易情况发生。</w:t>
      </w:r>
    </w:p>
    <w:p>
      <w:pPr>
        <w:pStyle w:val="BodyText"/>
        <w:spacing w:line="518" w:lineRule="auto" w:before="95"/>
        <w:ind w:left="513" w:right="197"/>
        <w:jc w:val="left"/>
      </w:pPr>
      <w:r>
        <w:rPr/>
        <w:t>（</w:t>
      </w:r>
      <w:r>
        <w:rPr>
          <w:rFonts w:ascii="宋体" w:hAnsi="宋体" w:cs="宋体" w:eastAsia="宋体" w:hint="default"/>
        </w:rPr>
        <w:t>6</w:t>
      </w:r>
      <w:r>
        <w:rPr/>
        <w:t>）建立和实施内幕信息知情人管理制度的情况 </w:t>
      </w:r>
      <w:r>
        <w:rPr>
          <w:spacing w:val="-2"/>
        </w:rPr>
        <w:t>报告期内，公司修订了《内幕信息知情人登记制度》，使该制度更加完善。公司及各子公司的内幕信息流转、信息知情</w:t>
      </w:r>
    </w:p>
    <w:p>
      <w:pPr>
        <w:pStyle w:val="BodyText"/>
        <w:spacing w:line="240" w:lineRule="auto" w:before="23"/>
        <w:ind w:right="0"/>
        <w:jc w:val="left"/>
      </w:pPr>
      <w:r>
        <w:rPr/>
        <w:t>人登记管理、重大事项的报告、传递、审核、披露程序均严格遵守《内幕信息知情人登记制度》的有关规定；严把内幕信息</w:t>
      </w:r>
    </w:p>
    <w:p>
      <w:pPr>
        <w:spacing w:after="0" w:line="240" w:lineRule="auto"/>
        <w:jc w:val="left"/>
        <w:sectPr>
          <w:pgSz w:w="11910" w:h="16840"/>
          <w:pgMar w:header="852" w:footer="980" w:top="1340" w:bottom="1160" w:left="980" w:right="940"/>
        </w:sectPr>
      </w:pPr>
    </w:p>
    <w:p>
      <w:pPr>
        <w:spacing w:line="240" w:lineRule="auto" w:before="6"/>
        <w:rPr>
          <w:rFonts w:ascii="宋体" w:hAnsi="宋体" w:cs="宋体" w:eastAsia="宋体" w:hint="default"/>
          <w:sz w:val="10"/>
          <w:szCs w:val="10"/>
        </w:rPr>
      </w:pPr>
    </w:p>
    <w:p>
      <w:pPr>
        <w:pStyle w:val="BodyText"/>
        <w:spacing w:line="240" w:lineRule="auto" w:before="44"/>
        <w:ind w:right="0"/>
        <w:jc w:val="left"/>
      </w:pPr>
      <w:r>
        <w:rPr/>
        <w:t>流转审批程序，将信息知情人控制在最小范围内，切实做到内幕信息在披露前各环节所有知情人员如实、完整登记。</w:t>
      </w:r>
    </w:p>
    <w:p>
      <w:pPr>
        <w:spacing w:line="240" w:lineRule="auto" w:before="12"/>
        <w:rPr>
          <w:rFonts w:ascii="宋体" w:hAnsi="宋体" w:cs="宋体" w:eastAsia="宋体" w:hint="default"/>
          <w:sz w:val="20"/>
          <w:szCs w:val="20"/>
        </w:rPr>
      </w:pPr>
    </w:p>
    <w:p>
      <w:pPr>
        <w:pStyle w:val="BodyText"/>
        <w:spacing w:line="240" w:lineRule="auto"/>
        <w:ind w:left="513" w:right="0"/>
        <w:jc w:val="left"/>
      </w:pPr>
      <w:r>
        <w:rPr/>
        <w:t>（</w:t>
      </w:r>
      <w:r>
        <w:rPr>
          <w:rFonts w:ascii="宋体" w:hAnsi="宋体" w:cs="宋体" w:eastAsia="宋体" w:hint="default"/>
        </w:rPr>
        <w:t>7</w:t>
      </w:r>
      <w:r>
        <w:rPr/>
        <w:t>）对内部控制自我评价报告的意见</w:t>
      </w:r>
    </w:p>
    <w:p>
      <w:pPr>
        <w:spacing w:line="240" w:lineRule="auto" w:before="9"/>
        <w:rPr>
          <w:rFonts w:ascii="宋体" w:hAnsi="宋体" w:cs="宋体" w:eastAsia="宋体" w:hint="default"/>
          <w:sz w:val="20"/>
          <w:szCs w:val="20"/>
        </w:rPr>
      </w:pPr>
    </w:p>
    <w:p>
      <w:pPr>
        <w:pStyle w:val="BodyText"/>
        <w:spacing w:line="477" w:lineRule="auto"/>
        <w:ind w:right="153" w:firstLine="360"/>
        <w:jc w:val="both"/>
      </w:pPr>
      <w:r>
        <w:rPr>
          <w:spacing w:val="-13"/>
        </w:rPr>
        <w:t>监事会认为：《公司</w:t>
      </w:r>
      <w:r>
        <w:rPr/>
        <w:t> </w:t>
      </w:r>
      <w:r>
        <w:rPr>
          <w:rFonts w:ascii="宋体" w:hAnsi="宋体" w:cs="宋体" w:eastAsia="宋体" w:hint="default"/>
        </w:rPr>
        <w:t>2012</w:t>
      </w:r>
      <w:r>
        <w:rPr>
          <w:rFonts w:ascii="宋体" w:hAnsi="宋体" w:cs="宋体" w:eastAsia="宋体" w:hint="default"/>
          <w:spacing w:val="-71"/>
        </w:rPr>
        <w:t> </w:t>
      </w:r>
      <w:r>
        <w:rPr>
          <w:spacing w:val="-2"/>
        </w:rPr>
        <w:t>年度内部控制自我评价报告》真实、客观地反映了公司内部控制制度的建设及运行情况。公司</w:t>
      </w:r>
      <w:r>
        <w:rPr/>
        <w:t> </w:t>
      </w:r>
      <w:r>
        <w:rPr>
          <w:spacing w:val="-2"/>
        </w:rPr>
        <w:t>目前已建立了适合公司自身实际情况且符合国家相关法律法规要求的内部控制体系，并能得到有效执行，该体系的建立对公</w:t>
      </w:r>
      <w:r>
        <w:rPr>
          <w:spacing w:val="-64"/>
        </w:rPr>
        <w:t> </w:t>
      </w:r>
      <w:r>
        <w:rPr>
          <w:spacing w:val="-64"/>
        </w:rPr>
      </w:r>
      <w:r>
        <w:rPr>
          <w:spacing w:val="-2"/>
        </w:rPr>
        <w:t>司生产经营管理的各环节起到了较好的风险防范和控制作用，保证了公司各项业务活动的有序、有效开展，保护了公司资产</w:t>
      </w:r>
      <w:r>
        <w:rPr>
          <w:spacing w:val="-66"/>
        </w:rPr>
        <w:t> </w:t>
      </w:r>
      <w:r>
        <w:rPr>
          <w:spacing w:val="-66"/>
        </w:rPr>
      </w:r>
      <w:r>
        <w:rPr/>
        <w:t>的安全、完整，维护了公司及股东的利益。</w:t>
      </w:r>
    </w:p>
    <w:p>
      <w:pPr>
        <w:pStyle w:val="BodyText"/>
        <w:spacing w:line="240" w:lineRule="auto" w:before="95"/>
        <w:ind w:left="513" w:right="0"/>
        <w:jc w:val="left"/>
      </w:pPr>
      <w:r>
        <w:rPr/>
        <w:t>（</w:t>
      </w:r>
      <w:r>
        <w:rPr>
          <w:rFonts w:ascii="宋体" w:hAnsi="宋体" w:cs="宋体" w:eastAsia="宋体" w:hint="default"/>
        </w:rPr>
        <w:t>8</w:t>
      </w:r>
      <w:r>
        <w:rPr/>
        <w:t>）关于</w:t>
      </w:r>
      <w:r>
        <w:rPr>
          <w:spacing w:val="-48"/>
        </w:rPr>
        <w:t> </w:t>
      </w:r>
      <w:r>
        <w:rPr>
          <w:rFonts w:ascii="宋体" w:hAnsi="宋体" w:cs="宋体" w:eastAsia="宋体" w:hint="default"/>
        </w:rPr>
        <w:t>2012</w:t>
      </w:r>
      <w:r>
        <w:rPr>
          <w:rFonts w:ascii="宋体" w:hAnsi="宋体" w:cs="宋体" w:eastAsia="宋体" w:hint="default"/>
          <w:spacing w:val="-46"/>
        </w:rPr>
        <w:t> </w:t>
      </w:r>
      <w:r>
        <w:rPr/>
        <w:t>年年度报告的专项审核意见</w:t>
      </w:r>
    </w:p>
    <w:p>
      <w:pPr>
        <w:spacing w:line="240" w:lineRule="auto" w:before="12"/>
        <w:rPr>
          <w:rFonts w:ascii="宋体" w:hAnsi="宋体" w:cs="宋体" w:eastAsia="宋体" w:hint="default"/>
          <w:sz w:val="20"/>
          <w:szCs w:val="20"/>
        </w:rPr>
      </w:pPr>
    </w:p>
    <w:p>
      <w:pPr>
        <w:pStyle w:val="BodyText"/>
        <w:spacing w:line="477" w:lineRule="auto"/>
        <w:ind w:right="159" w:firstLine="360"/>
        <w:jc w:val="both"/>
      </w:pPr>
      <w:r>
        <w:rPr/>
        <w:t>经审核，监事会认为：董事会编制与审核的《</w:t>
      </w:r>
      <w:r>
        <w:rPr>
          <w:rFonts w:ascii="宋体" w:hAnsi="宋体" w:cs="宋体" w:eastAsia="宋体" w:hint="default"/>
        </w:rPr>
        <w:t>2012</w:t>
      </w:r>
      <w:r>
        <w:rPr>
          <w:rFonts w:ascii="宋体" w:hAnsi="宋体" w:cs="宋体" w:eastAsia="宋体" w:hint="default"/>
          <w:spacing w:val="-45"/>
        </w:rPr>
        <w:t> </w:t>
      </w:r>
      <w:r>
        <w:rPr/>
        <w:t>年度报告》及摘要，符合法律、行政法规、中国证监会和深圳证券 交易所的规定，报告内容真实、准确，完整地反映了公司</w:t>
      </w:r>
      <w:r>
        <w:rPr>
          <w:spacing w:val="-46"/>
        </w:rPr>
        <w:t> </w:t>
      </w:r>
      <w:r>
        <w:rPr>
          <w:rFonts w:ascii="宋体" w:hAnsi="宋体" w:cs="宋体" w:eastAsia="宋体" w:hint="default"/>
        </w:rPr>
        <w:t>2012</w:t>
      </w:r>
      <w:r>
        <w:rPr>
          <w:rFonts w:ascii="宋体" w:hAnsi="宋体" w:cs="宋体" w:eastAsia="宋体" w:hint="default"/>
          <w:spacing w:val="-45"/>
        </w:rPr>
        <w:t> </w:t>
      </w:r>
      <w:r>
        <w:rPr/>
        <w:t>年度经营的实际情况，不存在任何虚假记载、误导性陈述或 者重大遗漏。</w:t>
      </w:r>
    </w:p>
    <w:p>
      <w:pPr>
        <w:pStyle w:val="BodyText"/>
        <w:spacing w:line="477" w:lineRule="auto" w:before="92"/>
        <w:ind w:right="160" w:firstLine="360"/>
        <w:jc w:val="both"/>
      </w:pPr>
      <w:r>
        <w:rPr>
          <w:spacing w:val="-2"/>
        </w:rPr>
        <w:t>本届监事会将继续严格按照《公司法》、公司章程和国家有关法规政策的规定，忠实履行自己的职责，进一步促进公司</w:t>
      </w:r>
      <w:r>
        <w:rPr/>
        <w:t> 的规范运作。</w:t>
      </w:r>
    </w:p>
    <w:p>
      <w:pPr>
        <w:spacing w:after="0" w:line="477" w:lineRule="auto"/>
        <w:jc w:val="both"/>
        <w:sectPr>
          <w:pgSz w:w="11910" w:h="16840"/>
          <w:pgMar w:header="852" w:footer="980" w:top="1340" w:bottom="1160" w:left="980" w:right="9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1"/>
        <w:spacing w:line="240" w:lineRule="auto"/>
        <w:ind w:right="2420"/>
        <w:jc w:val="center"/>
        <w:rPr>
          <w:b w:val="0"/>
          <w:bCs w:val="0"/>
        </w:rPr>
      </w:pPr>
      <w:bookmarkStart w:name="_TOC_250001" w:id="9"/>
      <w:r>
        <w:rPr/>
        <w:t>第九节</w:t>
      </w:r>
      <w:r>
        <w:rPr>
          <w:spacing w:val="-2"/>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112587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bl>
    <w:p>
      <w:pPr>
        <w:spacing w:after="0" w:line="240" w:lineRule="auto"/>
        <w:jc w:val="left"/>
        <w:rPr>
          <w:rFonts w:ascii="宋体" w:hAnsi="宋体" w:cs="宋体" w:eastAsia="宋体" w:hint="default"/>
          <w:sz w:val="18"/>
          <w:szCs w:val="18"/>
        </w:rPr>
        <w:sectPr>
          <w:pgSz w:w="11910" w:h="16840"/>
          <w:pgMar w:header="852" w:footer="980" w:top="1340" w:bottom="1160" w:left="980" w:right="980"/>
        </w:sectPr>
      </w:pPr>
    </w:p>
    <w:p>
      <w:pPr>
        <w:spacing w:line="240" w:lineRule="auto" w:before="4"/>
        <w:rPr>
          <w:rFonts w:ascii="宋体" w:hAnsi="宋体" w:cs="宋体" w:eastAsia="宋体" w:hint="default"/>
          <w:b/>
          <w:bCs/>
          <w:sz w:val="25"/>
          <w:szCs w:val="25"/>
        </w:rPr>
      </w:pPr>
    </w:p>
    <w:p>
      <w:pPr>
        <w:pStyle w:val="Heading5"/>
        <w:spacing w:line="240" w:lineRule="auto" w:before="44"/>
        <w:ind w:left="134" w:right="172"/>
        <w:jc w:val="center"/>
        <w:rPr>
          <w:b w:val="0"/>
          <w:bCs w:val="0"/>
        </w:rPr>
      </w:pPr>
      <w:r>
        <w:rPr/>
        <w:t>审 计 报</w:t>
      </w:r>
      <w:r>
        <w:rPr>
          <w:spacing w:val="-3"/>
        </w:rPr>
        <w:t> </w:t>
      </w:r>
      <w:r>
        <w:rPr/>
        <w:t>告</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44"/>
        <w:ind w:left="0" w:right="188"/>
        <w:jc w:val="right"/>
      </w:pPr>
      <w:r>
        <w:rPr>
          <w:spacing w:val="-1"/>
        </w:rPr>
        <w:t>信会师报字</w:t>
      </w:r>
      <w:r>
        <w:rPr>
          <w:rFonts w:ascii="宋体" w:hAnsi="宋体" w:cs="宋体" w:eastAsia="宋体" w:hint="default"/>
          <w:spacing w:val="-1"/>
        </w:rPr>
        <w:t>[2013]</w:t>
      </w:r>
      <w:r>
        <w:rPr>
          <w:spacing w:val="-1"/>
        </w:rPr>
        <w:t>第</w:t>
      </w:r>
      <w:r>
        <w:rPr>
          <w:rFonts w:ascii="宋体" w:hAnsi="宋体" w:cs="宋体" w:eastAsia="宋体" w:hint="default"/>
          <w:spacing w:val="-1"/>
        </w:rPr>
        <w:t>112587</w:t>
      </w:r>
      <w:r>
        <w:rPr>
          <w:spacing w:val="-1"/>
        </w:rPr>
        <w:t>号</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5"/>
        <w:spacing w:line="240" w:lineRule="auto"/>
        <w:ind w:right="94"/>
        <w:jc w:val="left"/>
        <w:rPr>
          <w:b w:val="0"/>
          <w:bCs w:val="0"/>
        </w:rPr>
      </w:pPr>
      <w:r>
        <w:rPr/>
        <w:t>北京神州泰岳软件股份有限公司全体股东：</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7"/>
          <w:szCs w:val="17"/>
        </w:rPr>
      </w:pPr>
    </w:p>
    <w:p>
      <w:pPr>
        <w:pStyle w:val="BodyText"/>
        <w:spacing w:line="477" w:lineRule="auto"/>
        <w:ind w:right="188" w:firstLine="559"/>
        <w:jc w:val="both"/>
      </w:pPr>
      <w:r>
        <w:rPr/>
        <w:t>我们审计了后附的北京神州泰岳软件股份有限公司（以下简称贵公司）财务报表，包括</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日的资产负债 </w:t>
      </w:r>
      <w:r>
        <w:rPr>
          <w:spacing w:val="-2"/>
        </w:rPr>
        <w:t>表和合并资产负债表、</w:t>
      </w:r>
      <w:r>
        <w:rPr>
          <w:rFonts w:ascii="宋体" w:hAnsi="宋体" w:cs="宋体" w:eastAsia="宋体" w:hint="default"/>
          <w:spacing w:val="-2"/>
        </w:rPr>
        <w:t>2012</w:t>
      </w:r>
      <w:r>
        <w:rPr>
          <w:spacing w:val="-2"/>
        </w:rPr>
        <w:t>年度的利润表和合并利润表、</w:t>
      </w:r>
      <w:r>
        <w:rPr>
          <w:rFonts w:ascii="宋体" w:hAnsi="宋体" w:cs="宋体" w:eastAsia="宋体" w:hint="default"/>
          <w:spacing w:val="-2"/>
        </w:rPr>
        <w:t>2012</w:t>
      </w:r>
      <w:r>
        <w:rPr>
          <w:spacing w:val="-2"/>
        </w:rPr>
        <w:t>年度的现金流量表和合并现金流量表、</w:t>
      </w:r>
      <w:r>
        <w:rPr>
          <w:rFonts w:ascii="宋体" w:hAnsi="宋体" w:cs="宋体" w:eastAsia="宋体" w:hint="default"/>
          <w:spacing w:val="-2"/>
        </w:rPr>
        <w:t>2012</w:t>
      </w:r>
      <w:r>
        <w:rPr>
          <w:spacing w:val="-2"/>
        </w:rPr>
        <w:t>年度的所有者权益</w:t>
      </w:r>
      <w:r>
        <w:rPr>
          <w:spacing w:val="-54"/>
        </w:rPr>
        <w:t> </w:t>
      </w:r>
      <w:r>
        <w:rPr>
          <w:spacing w:val="-54"/>
        </w:rPr>
      </w:r>
      <w:r>
        <w:rPr/>
        <w:t>变动表和合并所有者权益变动表以及财务报表附注。</w:t>
      </w:r>
    </w:p>
    <w:p>
      <w:pPr>
        <w:spacing w:line="477" w:lineRule="auto" w:before="55"/>
        <w:ind w:left="513" w:right="183" w:hanging="8"/>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编制和公允列报财务报表是贵公司管理层的责任。这种责任包括：（</w:t>
      </w:r>
      <w:r>
        <w:rPr>
          <w:rFonts w:ascii="宋体" w:hAnsi="宋体" w:cs="宋体" w:eastAsia="宋体" w:hint="default"/>
          <w:sz w:val="18"/>
          <w:szCs w:val="18"/>
        </w:rPr>
        <w:t>1</w:t>
      </w:r>
      <w:r>
        <w:rPr>
          <w:rFonts w:ascii="宋体" w:hAnsi="宋体" w:cs="宋体" w:eastAsia="宋体" w:hint="default"/>
          <w:sz w:val="18"/>
          <w:szCs w:val="18"/>
        </w:rPr>
        <w:t>）按照企业会计准则的规定编制财务报表，并使</w:t>
      </w:r>
    </w:p>
    <w:p>
      <w:pPr>
        <w:pStyle w:val="BodyText"/>
        <w:spacing w:line="477" w:lineRule="auto" w:before="54"/>
        <w:ind w:left="513" w:right="94" w:hanging="361"/>
        <w:jc w:val="left"/>
      </w:pPr>
      <w:r>
        <w:rPr/>
        <w:t>其实现公允反映；（</w:t>
      </w:r>
      <w:r>
        <w:rPr>
          <w:rFonts w:ascii="宋体" w:hAnsi="宋体" w:cs="宋体" w:eastAsia="宋体" w:hint="default"/>
        </w:rPr>
        <w:t>2</w:t>
      </w:r>
      <w:r>
        <w:rPr/>
        <w:t>）设计、执行和维护必要的内部控制，以使财务报表不存在由于舞弊或错误导致的重大错报。 </w:t>
      </w: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477" w:lineRule="auto" w:before="54"/>
        <w:ind w:right="94"/>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477" w:lineRule="auto" w:before="54"/>
        <w:ind w:right="94"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3"/>
        </w:rPr>
        <w:t> </w:t>
      </w:r>
      <w:r>
        <w:rPr>
          <w:spacing w:val="-63"/>
        </w:rPr>
      </w:r>
      <w:r>
        <w:rPr/>
        <w:t>计政策的恰当性和作出会计估计的合理性，以及评价财务报表的总体列报。</w:t>
      </w:r>
    </w:p>
    <w:p>
      <w:pPr>
        <w:pStyle w:val="BodyText"/>
        <w:spacing w:line="477" w:lineRule="auto" w:before="54"/>
        <w:ind w:left="513" w:right="315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477" w:lineRule="auto" w:before="54"/>
        <w:ind w:right="94" w:firstLine="360"/>
        <w:jc w:val="left"/>
      </w:pPr>
      <w:r>
        <w:rPr>
          <w:spacing w:val="-2"/>
        </w:rPr>
        <w:t>我们认为，贵公司财务报表在所有重大方面按照企业会计准则的规定编制，公允反映了贵公司</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日的财务状</w:t>
      </w:r>
      <w:r>
        <w:rPr/>
        <w:t> 况以及</w:t>
      </w:r>
      <w:r>
        <w:rPr>
          <w:rFonts w:ascii="宋体" w:hAnsi="宋体" w:cs="宋体" w:eastAsia="宋体" w:hint="default"/>
        </w:rPr>
        <w:t>2012</w:t>
      </w:r>
      <w:r>
        <w:rPr/>
        <w:t>年度的经营成果和现金流量。</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1"/>
          <w:szCs w:val="21"/>
        </w:rPr>
      </w:pPr>
    </w:p>
    <w:p>
      <w:pPr>
        <w:pStyle w:val="Heading5"/>
        <w:tabs>
          <w:tab w:pos="5899" w:val="left" w:leader="none"/>
        </w:tabs>
        <w:spacing w:line="240" w:lineRule="auto"/>
        <w:ind w:right="94"/>
        <w:jc w:val="left"/>
        <w:rPr>
          <w:b w:val="0"/>
          <w:bCs w:val="0"/>
        </w:rPr>
      </w:pPr>
      <w:r>
        <w:rPr>
          <w:w w:val="95"/>
        </w:rPr>
        <w:t>立信会计师事务所（特殊普通合伙）</w:t>
        <w:tab/>
      </w:r>
      <w:r>
        <w:rPr/>
        <w:t>中国注册会计师：王一芳</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7"/>
          <w:szCs w:val="17"/>
        </w:rPr>
      </w:pPr>
    </w:p>
    <w:p>
      <w:pPr>
        <w:pStyle w:val="Heading5"/>
        <w:spacing w:line="240" w:lineRule="auto"/>
        <w:ind w:left="5820" w:right="94"/>
        <w:jc w:val="left"/>
        <w:rPr>
          <w:b w:val="0"/>
          <w:bCs w:val="0"/>
        </w:rPr>
      </w:pPr>
      <w:r>
        <w:rPr/>
        <w:t>中国注册会计师：侯文灏</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7"/>
          <w:szCs w:val="17"/>
        </w:rPr>
      </w:pPr>
    </w:p>
    <w:p>
      <w:pPr>
        <w:pStyle w:val="Heading5"/>
        <w:tabs>
          <w:tab w:pos="5868" w:val="left" w:leader="none"/>
        </w:tabs>
        <w:spacing w:line="240" w:lineRule="auto"/>
        <w:ind w:left="3518" w:right="94"/>
        <w:jc w:val="left"/>
        <w:rPr>
          <w:b w:val="0"/>
          <w:bCs w:val="0"/>
        </w:rPr>
      </w:pPr>
      <w:r>
        <w:rPr>
          <w:w w:val="95"/>
        </w:rPr>
        <w:t>中国·上海</w:t>
        <w:tab/>
      </w:r>
      <w:r>
        <w:rPr/>
        <w:t>二</w:t>
      </w:r>
      <w:r>
        <w:rPr>
          <w:rFonts w:ascii="宋体" w:hAnsi="宋体" w:cs="宋体" w:eastAsia="宋体" w:hint="default"/>
        </w:rPr>
        <w:t>O</w:t>
      </w:r>
      <w:r>
        <w:rPr/>
        <w:t>一三年四月二十四日</w:t>
      </w:r>
      <w:r>
        <w:rPr>
          <w:b w:val="0"/>
          <w:bCs w:val="0"/>
        </w:rPr>
      </w:r>
    </w:p>
    <w:p>
      <w:pPr>
        <w:spacing w:after="0" w:line="240" w:lineRule="auto"/>
        <w:jc w:val="left"/>
        <w:sectPr>
          <w:pgSz w:w="11910" w:h="16840"/>
          <w:pgMar w:header="852" w:footer="980" w:top="1340" w:bottom="1160" w:left="980" w:right="940"/>
        </w:sectPr>
      </w:pPr>
    </w:p>
    <w:p>
      <w:pPr>
        <w:pStyle w:val="Heading2"/>
        <w:spacing w:line="240" w:lineRule="auto" w:before="55"/>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6"/>
          <w:szCs w:val="26"/>
        </w:rPr>
      </w:pPr>
    </w:p>
    <w:p>
      <w:pPr>
        <w:pStyle w:val="BodyText"/>
        <w:tabs>
          <w:tab w:pos="8890" w:val="left" w:leader="none"/>
        </w:tabs>
        <w:spacing w:line="240" w:lineRule="auto"/>
        <w:ind w:right="0"/>
        <w:jc w:val="left"/>
      </w:pPr>
      <w:r>
        <w:rPr/>
        <w:t>编制单位：北京神州泰岳软件股份有限公司</w:t>
        <w:tab/>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1,376,172,702.71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1,366,601,707.17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1,507,900.00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18,323,009.00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714,213,558.83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576,890,099.24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37,860,788.27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29,625,008.11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5,714,446.72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7,530,699.72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105,353,266.75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99,879,942.36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395,378.39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2,241,218,041.67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2,098,850,465.60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396,446,741.75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316,242,141.11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180,362,188.92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184,443,651.12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337,281,080.45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326,479,453.93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19,948,464.33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4,704,754.05</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40" w:bottom="1160" w:left="980" w:right="980"/>
        </w:sect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60,861,714.20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60,483,986.10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252,764,848.33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252,764,848.33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489,811.17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897,377.29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21,891,540.42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21,283,569.67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5,689,596.37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5,689,596.37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1,275,735,985.94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1,172,989,377.97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3,516,954,027.61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3,271,839,843.57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64,048,420.28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106,824,830.59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80,858,212.40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86,272,484.09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88,313,399.71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81,992,205.67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-24,996,792.54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22,211,662.45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63,874,133.22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83,230,975.72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11,326,432.54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440" w:bottom="1160" w:left="980" w:right="980"/>
        </w:sect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283,423,805.61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380,532,158.52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8,516,542.51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5,504,118.58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640,262.48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640,262.48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11,404,103.86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34,377,215.94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20,560,908.85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40,521,597.00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303,984,714.46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421,053,755.52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383,383,700.00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379,200,000.00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1,562,530,490.56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1,521,705,055.99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102,225,038.61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79,132,439.37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1,144,270,378.06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18"/>
                <w:szCs w:val="18"/>
              </w:rPr>
            </w:pPr>
            <w:r>
              <w:rPr>
                <w:rFonts w:ascii="Times New Roman"/>
                <w:spacing w:val="-1"/>
                <w:sz w:val="18"/>
              </w:rPr>
              <w:t>852,094,072.95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-35,948.26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-60,800.74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3,192,373,658.97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2,832,070,767.57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20,595,654.18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18,715,320.48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3,212,969,313.15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2,850,786,088.05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2"/>
              <w:ind w:left="12"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3,516,954,027.61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3,271,839,843.57</w:t>
            </w:r>
          </w:p>
        </w:tc>
      </w:tr>
    </w:tbl>
    <w:p>
      <w:pPr>
        <w:pStyle w:val="BodyText"/>
        <w:tabs>
          <w:tab w:pos="3307" w:val="left" w:leader="none"/>
          <w:tab w:pos="7538" w:val="left" w:leader="none"/>
        </w:tabs>
        <w:spacing w:line="234" w:lineRule="exact"/>
        <w:ind w:right="0"/>
        <w:jc w:val="left"/>
      </w:pPr>
      <w:r>
        <w:rPr/>
        <w:t>法定代表人：王宁先生</w:t>
        <w:tab/>
      </w:r>
      <w:r>
        <w:rPr>
          <w:spacing w:val="-1"/>
        </w:rPr>
        <w:t>主管会计工作负责人：万能先生</w:t>
        <w:tab/>
      </w:r>
      <w:r>
        <w:rPr/>
        <w:t>会计机构负责人：林红女士</w:t>
      </w:r>
    </w:p>
    <w:p>
      <w:pPr>
        <w:spacing w:after="0" w:line="234" w:lineRule="exact"/>
        <w:jc w:val="left"/>
        <w:sectPr>
          <w:pgSz w:w="11910" w:h="16840"/>
          <w:pgMar w:header="852" w:footer="980" w:top="1440" w:bottom="1160" w:left="980" w:right="980"/>
        </w:sectPr>
      </w:pPr>
    </w:p>
    <w:p>
      <w:pPr>
        <w:spacing w:line="240" w:lineRule="auto" w:before="5"/>
        <w:rPr>
          <w:rFonts w:ascii="宋体" w:hAnsi="宋体" w:cs="宋体" w:eastAsia="宋体" w:hint="default"/>
          <w:sz w:val="26"/>
          <w:szCs w:val="26"/>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tabs>
          <w:tab w:pos="8799" w:val="left" w:leader="none"/>
        </w:tabs>
        <w:spacing w:line="240" w:lineRule="auto"/>
        <w:ind w:right="0"/>
        <w:jc w:val="left"/>
      </w:pPr>
      <w:r>
        <w:rPr/>
        <w:t>编制单位：北京神州泰岳软件股份有限公司</w:t>
        <w:tab/>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823,713,938.18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823,081,333.82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1,507,900.00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18,323,009.00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229,623,350.94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194,120,981.20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24,714,596.72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27,754,498.67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145,566,143.14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158,687,848.82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91,994,438.76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81,681,288.05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1,317,120,367.74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1,303,648,959.56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962,683,787.22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866,679,121.13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180,362,188.92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184,443,651.12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245,908,850.24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229,759,219.60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42,358,683.64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45,478,369.92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9,433,745.29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9,598,405.61</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40" w:bottom="1160" w:left="980" w:right="980"/>
        </w:sect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pacing w:val="-1"/>
                <w:sz w:val="18"/>
              </w:rPr>
              <w:t>1,440,747,255.31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1,335,958,767.38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2,757,867,623.05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2,639,607,726.94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pacing w:val="-1"/>
                <w:sz w:val="18"/>
              </w:rPr>
              <w:t>46,532,436.95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35,396,069.63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65,335,888.03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71,156,109.25</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pacing w:val="-1"/>
                <w:sz w:val="18"/>
              </w:rPr>
              <w:t>21,338,469.50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19,312,989.57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-8,887,268.00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3"/>
              <w:jc w:val="right"/>
              <w:rPr>
                <w:rFonts w:ascii="Times New Roman" w:hAnsi="Times New Roman" w:cs="Times New Roman" w:eastAsia="Times New Roman" w:hint="default"/>
                <w:sz w:val="18"/>
                <w:szCs w:val="18"/>
              </w:rPr>
            </w:pPr>
            <w:r>
              <w:rPr>
                <w:rFonts w:ascii="Times New Roman"/>
                <w:spacing w:val="-1"/>
                <w:sz w:val="18"/>
              </w:rPr>
              <w:t>11,180,529.35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pacing w:val="-1"/>
                <w:sz w:val="18"/>
              </w:rPr>
              <w:t>60,036,842.81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77,984,549.33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11,326,432.54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195,682,801.83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215,030,247.13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6,814,009.17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4,775,890.19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6,227,245.99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32,633,215.94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pacing w:val="-1"/>
                <w:sz w:val="18"/>
              </w:rPr>
              <w:t>13,041,255.16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37,409,106.13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208,724,056.99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252,439,353.26</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383,383,700.00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379,200,000.00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pacing w:val="-1"/>
                <w:sz w:val="18"/>
              </w:rPr>
              <w:t>1,556,513,432.57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1,515,887,932.55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102,225,038.61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79,132,439.37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440" w:bottom="1160" w:left="980" w:right="980"/>
        </w:sectPr>
      </w:pPr>
    </w:p>
    <w:p>
      <w:pPr>
        <w:spacing w:line="240" w:lineRule="auto" w:before="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4"/>
        <w:gridCol w:w="3303"/>
        <w:gridCol w:w="3303"/>
      </w:tblGrid>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507,021,394.88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412,948,001.76</w:t>
            </w: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2,549,143,566.06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2,387,168,373.68</w:t>
            </w: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2,757,867,623.05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2,639,607,726.94</w:t>
            </w:r>
          </w:p>
        </w:tc>
      </w:tr>
    </w:tbl>
    <w:p>
      <w:pPr>
        <w:pStyle w:val="BodyText"/>
        <w:tabs>
          <w:tab w:pos="3307" w:val="left" w:leader="none"/>
          <w:tab w:pos="7538" w:val="left" w:leader="none"/>
        </w:tabs>
        <w:spacing w:line="240" w:lineRule="auto" w:before="8"/>
        <w:ind w:right="0"/>
        <w:jc w:val="left"/>
      </w:pPr>
      <w:r>
        <w:rPr/>
        <w:t>法定代表人：王宁先生</w:t>
        <w:tab/>
      </w:r>
      <w:r>
        <w:rPr>
          <w:spacing w:val="-1"/>
        </w:rPr>
        <w:t>主管会计工作负责人：万能先生</w:t>
        <w:tab/>
      </w:r>
      <w:r>
        <w:rPr/>
        <w:t>会计机构负责人：林红女士</w:t>
      </w:r>
    </w:p>
    <w:p>
      <w:pPr>
        <w:spacing w:after="0" w:line="240" w:lineRule="auto"/>
        <w:jc w:val="left"/>
        <w:sectPr>
          <w:pgSz w:w="11910" w:h="16840"/>
          <w:pgMar w:header="852" w:footer="980" w:top="1340" w:bottom="1160" w:left="980" w:right="980"/>
        </w:sectPr>
      </w:pPr>
    </w:p>
    <w:p>
      <w:pPr>
        <w:spacing w:line="240" w:lineRule="auto" w:before="5"/>
        <w:rPr>
          <w:rFonts w:ascii="宋体" w:hAnsi="宋体" w:cs="宋体" w:eastAsia="宋体" w:hint="default"/>
          <w:sz w:val="26"/>
          <w:szCs w:val="26"/>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4"/>
        <w:rPr>
          <w:rFonts w:ascii="宋体" w:hAnsi="宋体" w:cs="宋体" w:eastAsia="宋体" w:hint="default"/>
          <w:b/>
          <w:bCs/>
          <w:sz w:val="26"/>
          <w:szCs w:val="26"/>
        </w:rPr>
      </w:pPr>
    </w:p>
    <w:p>
      <w:pPr>
        <w:pStyle w:val="BodyText"/>
        <w:tabs>
          <w:tab w:pos="8799" w:val="left" w:leader="none"/>
        </w:tabs>
        <w:spacing w:line="240" w:lineRule="auto"/>
        <w:ind w:right="0"/>
        <w:jc w:val="left"/>
      </w:pPr>
      <w:r>
        <w:rPr/>
        <w:t>编制单位：北京神州泰岳软件股份有限公司</w:t>
        <w:tab/>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1,409,512,910.02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1,157,258,089.53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1,409,512,910.02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1,157,258,089.53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1,009,793,181.09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827,552,456.52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495,686,394.02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376,951,092.02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12,307,811.31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14,081,764.99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84,736,920.43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76,572,761.22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429,853,567.31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371,270,061.90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-29,536,214.97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-28,361,777.71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16,744,702.99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17,038,554.10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10,273,998.67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29,819,673.99</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10,273,998.67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29,819,673.99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汇兑收</w:t>
            </w:r>
            <w:r>
              <w:rPr>
                <w:rFonts w:ascii="宋体" w:hAnsi="宋体" w:cs="宋体" w:eastAsia="宋体" w:hint="default"/>
                <w:spacing w:val="-10"/>
                <w:sz w:val="18"/>
                <w:szCs w:val="18"/>
              </w:rPr>
              <w:t>益</w:t>
            </w:r>
            <w:r>
              <w:rPr>
                <w:rFonts w:ascii="宋体" w:hAnsi="宋体" w:cs="宋体" w:eastAsia="宋体" w:hint="default"/>
                <w:sz w:val="18"/>
                <w:szCs w:val="18"/>
              </w:rPr>
              <w:t>（损失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409,993,727.60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359,525,307.00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35,412,646.55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25,039,598.35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301,896.39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375,819.64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160,391.26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242,916.19</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40" w:bottom="1160" w:left="980" w:right="980"/>
        </w:sectPr>
      </w:pPr>
    </w:p>
    <w:p>
      <w:pPr>
        <w:spacing w:line="240" w:lineRule="auto" w:before="2"/>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445,104,477.76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384,189,085.71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18,195,239.71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32,992,592.03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426,909,238.05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351,196,493.68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429,028,904.35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353,192,823.35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-2,119,666.30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-1,996,329.67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2,062,443.85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937,739.60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428,971,681.90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352,134,233.28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431,091,348.20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354,130,562.95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-2,119,666.30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-1,996,329.67</w:t>
            </w:r>
          </w:p>
        </w:tc>
      </w:tr>
    </w:tbl>
    <w:p>
      <w:pPr>
        <w:pStyle w:val="BodyText"/>
        <w:tabs>
          <w:tab w:pos="3307" w:val="left" w:leader="none"/>
          <w:tab w:pos="7538" w:val="left" w:leader="none"/>
        </w:tabs>
        <w:spacing w:line="240" w:lineRule="auto" w:before="8"/>
        <w:ind w:right="0"/>
        <w:jc w:val="left"/>
      </w:pPr>
      <w:r>
        <w:rPr/>
        <w:t>法定代表人：王宁先生</w:t>
        <w:tab/>
      </w:r>
      <w:r>
        <w:rPr>
          <w:spacing w:val="-1"/>
        </w:rPr>
        <w:t>主管会计工作负责人：万能先生</w:t>
        <w:tab/>
      </w:r>
      <w:r>
        <w:rPr/>
        <w:t>会计机构负责人：林红女士</w:t>
      </w:r>
    </w:p>
    <w:p>
      <w:pPr>
        <w:spacing w:after="0" w:line="240" w:lineRule="auto"/>
        <w:jc w:val="left"/>
        <w:sectPr>
          <w:pgSz w:w="11910" w:h="16840"/>
          <w:pgMar w:header="852" w:footer="980" w:top="1340" w:bottom="1160" w:left="980" w:right="980"/>
        </w:sectPr>
      </w:pPr>
    </w:p>
    <w:p>
      <w:pPr>
        <w:spacing w:line="240" w:lineRule="auto" w:before="5"/>
        <w:rPr>
          <w:rFonts w:ascii="宋体" w:hAnsi="宋体" w:cs="宋体" w:eastAsia="宋体" w:hint="default"/>
          <w:sz w:val="26"/>
          <w:szCs w:val="26"/>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tabs>
          <w:tab w:pos="8890" w:val="left" w:leader="none"/>
        </w:tabs>
        <w:spacing w:line="240" w:lineRule="auto"/>
        <w:ind w:right="0"/>
        <w:jc w:val="left"/>
      </w:pPr>
      <w:r>
        <w:rPr/>
        <w:t>编制单位：北京神州泰岳软件股份有限公司</w:t>
        <w:tab/>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550,215,165.45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425,312,982.92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231,961,474.23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184,814,631.75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9,128,975.11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11,880,109.79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44,418,089.70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34,664,508.01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144,500,579.99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126,866,227.96</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-22,639,490.25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-23,048,067.42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9,740,150.82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7,118,994.68</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82,273,998.67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234,819,673.99</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10,273,998.67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29,819,673.99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215,379,384.52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317,836,252.14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23,541,906.92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20,237,157.12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4,331.26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350,424.40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4,331.26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242,916.19</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238,916,960.18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337,722,984.86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7,990,967.82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11,407,419.66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230,925,992.36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326,315,565.20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2,037,591.37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998,540.34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232,963,583.73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327,314,105.54</w:t>
            </w:r>
          </w:p>
        </w:tc>
      </w:tr>
    </w:tbl>
    <w:p>
      <w:pPr>
        <w:pStyle w:val="BodyText"/>
        <w:tabs>
          <w:tab w:pos="3307" w:val="left" w:leader="none"/>
          <w:tab w:pos="7538" w:val="left" w:leader="none"/>
        </w:tabs>
        <w:spacing w:line="240" w:lineRule="auto" w:before="8"/>
        <w:ind w:right="0"/>
        <w:jc w:val="left"/>
      </w:pPr>
      <w:r>
        <w:rPr/>
        <w:t>法定代表人：王宁先生</w:t>
        <w:tab/>
      </w:r>
      <w:r>
        <w:rPr>
          <w:spacing w:val="-1"/>
        </w:rPr>
        <w:t>主管会计工作负责人：万能先生</w:t>
        <w:tab/>
      </w:r>
      <w:r>
        <w:rPr/>
        <w:t>会计机构负责人：林红女士</w:t>
      </w:r>
    </w:p>
    <w:p>
      <w:pPr>
        <w:spacing w:after="0" w:line="240" w:lineRule="auto"/>
        <w:jc w:val="left"/>
        <w:sectPr>
          <w:pgSz w:w="11910" w:h="16840"/>
          <w:pgMar w:header="852" w:footer="980" w:top="1340" w:bottom="1160" w:left="980" w:right="980"/>
        </w:sectPr>
      </w:pPr>
    </w:p>
    <w:p>
      <w:pPr>
        <w:spacing w:line="240" w:lineRule="auto" w:before="5"/>
        <w:rPr>
          <w:rFonts w:ascii="宋体" w:hAnsi="宋体" w:cs="宋体" w:eastAsia="宋体" w:hint="default"/>
          <w:sz w:val="26"/>
          <w:szCs w:val="26"/>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4"/>
        <w:rPr>
          <w:rFonts w:ascii="宋体" w:hAnsi="宋体" w:cs="宋体" w:eastAsia="宋体" w:hint="default"/>
          <w:b/>
          <w:bCs/>
          <w:sz w:val="26"/>
          <w:szCs w:val="26"/>
        </w:rPr>
      </w:pPr>
    </w:p>
    <w:p>
      <w:pPr>
        <w:pStyle w:val="BodyText"/>
        <w:tabs>
          <w:tab w:pos="8890" w:val="left" w:leader="none"/>
        </w:tabs>
        <w:spacing w:line="240" w:lineRule="auto"/>
        <w:ind w:right="0"/>
        <w:jc w:val="left"/>
      </w:pPr>
      <w:r>
        <w:rPr/>
        <w:t>编制单位：北京神州泰岳软件股份有限公司</w:t>
        <w:tab/>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1,377,195,632.35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954,188,292.65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28,459,441.36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22,253,899.64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51,605,964.29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58,794,880.49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1,457,261,038.00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1,035,237,072.78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491,663,941.91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289,132,612.09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481,056,582.68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347,076,222.68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120,613,782.91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71,092,855.45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134,882,755.89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113,674,825.51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1,228,217,063.39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820,976,515.73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229,043,974.61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214,260,557.05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52" w:footer="980" w:top="1340" w:bottom="1160" w:left="980" w:right="980"/>
        </w:sect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8,600,000.00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3"/>
              <w:jc w:val="right"/>
              <w:rPr>
                <w:rFonts w:ascii="Times New Roman" w:hAnsi="Times New Roman" w:cs="Times New Roman" w:eastAsia="Times New Roman" w:hint="default"/>
                <w:sz w:val="18"/>
                <w:szCs w:val="18"/>
              </w:rPr>
            </w:pPr>
            <w:r>
              <w:rPr>
                <w:rFonts w:ascii="Times New Roman"/>
                <w:spacing w:val="-1"/>
                <w:sz w:val="18"/>
              </w:rPr>
              <w:t>11,896,524.50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158,922.35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65,491.29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2"/>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right="40"/>
              <w:jc w:val="right"/>
              <w:rPr>
                <w:rFonts w:ascii="宋体" w:hAnsi="宋体" w:cs="宋体" w:eastAsia="宋体" w:hint="default"/>
                <w:sz w:val="18"/>
                <w:szCs w:val="18"/>
              </w:rPr>
            </w:pPr>
            <w:r>
              <w:rPr>
                <w:rFonts w:ascii="宋体" w:hAnsi="宋体" w:cs="宋体" w:eastAsia="宋体" w:hint="default"/>
                <w:spacing w:val="-1"/>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11,758,922.35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3"/>
              <w:jc w:val="right"/>
              <w:rPr>
                <w:rFonts w:ascii="Times New Roman" w:hAnsi="Times New Roman" w:cs="Times New Roman" w:eastAsia="Times New Roman" w:hint="default"/>
                <w:sz w:val="18"/>
                <w:szCs w:val="18"/>
              </w:rPr>
            </w:pPr>
            <w:r>
              <w:rPr>
                <w:rFonts w:ascii="Times New Roman"/>
                <w:spacing w:val="-1"/>
                <w:sz w:val="18"/>
              </w:rPr>
              <w:t>11,962,015.79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62,005,141.96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67,606,613.36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99,393,010.60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222,450,000.00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2"/>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165,185,999.85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161,398,152.56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455,242,613.21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-149,639,230.21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-443,280,597.42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41,527,789.00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3"/>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2"/>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3,268,052.75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12,266,700.00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44,795,841.75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23,266,700.00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10,100,000.00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2"/>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113,760,000.00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95,320,049.83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3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1,047,946.17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113,760,000.00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106,467,996.00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-68,964,158.25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-83,201,296.00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-1,537.86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10,439,048.29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-312,221,336.37</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440" w:bottom="1160" w:left="980" w:right="980"/>
        </w:sectPr>
      </w:pPr>
    </w:p>
    <w:p>
      <w:pPr>
        <w:spacing w:line="240" w:lineRule="auto" w:before="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1,361,363,099.85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1,673,584,436.22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1,371,802,148.14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1,361,363,099.85</w:t>
            </w:r>
          </w:p>
        </w:tc>
      </w:tr>
    </w:tbl>
    <w:p>
      <w:pPr>
        <w:pStyle w:val="BodyText"/>
        <w:tabs>
          <w:tab w:pos="3307" w:val="left" w:leader="none"/>
          <w:tab w:pos="7538" w:val="left" w:leader="none"/>
        </w:tabs>
        <w:spacing w:line="240" w:lineRule="auto" w:before="8"/>
        <w:ind w:right="0"/>
        <w:jc w:val="left"/>
      </w:pPr>
      <w:r>
        <w:rPr/>
        <w:t>法定代表人：王宁先生</w:t>
        <w:tab/>
      </w:r>
      <w:r>
        <w:rPr>
          <w:spacing w:val="-1"/>
        </w:rPr>
        <w:t>主管会计工作负责人：万能先生</w:t>
        <w:tab/>
      </w:r>
      <w:r>
        <w:rPr/>
        <w:t>会计机构负责人：林红女士</w:t>
      </w:r>
    </w:p>
    <w:p>
      <w:pPr>
        <w:spacing w:after="0" w:line="240" w:lineRule="auto"/>
        <w:jc w:val="left"/>
        <w:sectPr>
          <w:pgSz w:w="11910" w:h="16840"/>
          <w:pgMar w:header="852" w:footer="980" w:top="1340" w:bottom="1160" w:left="980" w:right="980"/>
        </w:sectPr>
      </w:pPr>
    </w:p>
    <w:p>
      <w:pPr>
        <w:spacing w:line="240" w:lineRule="auto" w:before="5"/>
        <w:rPr>
          <w:rFonts w:ascii="宋体" w:hAnsi="宋体" w:cs="宋体" w:eastAsia="宋体" w:hint="default"/>
          <w:sz w:val="26"/>
          <w:szCs w:val="26"/>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4"/>
        <w:rPr>
          <w:rFonts w:ascii="宋体" w:hAnsi="宋体" w:cs="宋体" w:eastAsia="宋体" w:hint="default"/>
          <w:b/>
          <w:bCs/>
          <w:sz w:val="26"/>
          <w:szCs w:val="26"/>
        </w:rPr>
      </w:pPr>
    </w:p>
    <w:p>
      <w:pPr>
        <w:pStyle w:val="BodyText"/>
        <w:tabs>
          <w:tab w:pos="8890" w:val="left" w:leader="none"/>
        </w:tabs>
        <w:spacing w:line="240" w:lineRule="auto"/>
        <w:ind w:right="0"/>
        <w:jc w:val="left"/>
      </w:pPr>
      <w:r>
        <w:rPr/>
        <w:t>编制单位：北京神州泰岳软件股份有限公司</w:t>
        <w:tab/>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564,585,005.38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411,876,889.79</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7,122,290.60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10,008,076.43</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170,028,981.39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204,467,680.52</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741,736,277.37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626,352,646.74</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255,315,734.82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219,175,152.34</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109,766,209.53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75,454,580.22</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57,128,416.62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37,198,373.73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182,299,011.20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245,141,083.99</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604,509,372.17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576,969,190.28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137,226,905.20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49,383,456.46</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216,896,524.50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130,285.15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55,290.00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75,130,285.15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216,951,814.50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31,099,364.39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51,005,774.86</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106,793,010.60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496,950,000.00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137,892,374.99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547,955,774.86</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-62,762,089.84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-331,003,960.36</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37,527,789.00</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40" w:bottom="1160" w:left="980" w:right="980"/>
        </w:sectPr>
      </w:pPr>
    </w:p>
    <w:p>
      <w:pPr>
        <w:spacing w:line="240" w:lineRule="auto" w:before="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3,085,301.26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12,266,700.00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40,613,090.26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12,266,700.00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113,760,000.00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94,800,000.00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570,763.72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113,760,000.00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95,370,763.72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-73,146,909.74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-83,104,063.72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1,317,905.62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-364,724,567.62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818,790,507.75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1,183,515,075.37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820,108,413.37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818,790,507.75</w:t>
            </w:r>
          </w:p>
        </w:tc>
      </w:tr>
    </w:tbl>
    <w:p>
      <w:pPr>
        <w:pStyle w:val="BodyText"/>
        <w:tabs>
          <w:tab w:pos="3307" w:val="left" w:leader="none"/>
          <w:tab w:pos="7538" w:val="left" w:leader="none"/>
        </w:tabs>
        <w:spacing w:line="240" w:lineRule="auto" w:before="8"/>
        <w:ind w:right="0"/>
        <w:jc w:val="left"/>
      </w:pPr>
      <w:r>
        <w:rPr/>
        <w:t>法定代表人：王宁先生</w:t>
        <w:tab/>
      </w:r>
      <w:r>
        <w:rPr>
          <w:spacing w:val="-1"/>
        </w:rPr>
        <w:t>主管会计工作负责人：万能先生</w:t>
        <w:tab/>
      </w:r>
      <w:r>
        <w:rPr/>
        <w:t>会计机构负责人：林红女士</w:t>
      </w:r>
    </w:p>
    <w:p>
      <w:pPr>
        <w:spacing w:after="0" w:line="240" w:lineRule="auto"/>
        <w:jc w:val="left"/>
        <w:sectPr>
          <w:pgSz w:w="11910" w:h="16840"/>
          <w:pgMar w:header="852" w:footer="980" w:top="1340" w:bottom="1160" w:left="980" w:right="980"/>
        </w:sectPr>
      </w:pPr>
    </w:p>
    <w:p>
      <w:pPr>
        <w:spacing w:line="240" w:lineRule="auto" w:before="11"/>
        <w:rPr>
          <w:rFonts w:ascii="宋体" w:hAnsi="宋体" w:cs="宋体" w:eastAsia="宋体" w:hint="default"/>
          <w:sz w:val="2"/>
          <w:szCs w:val="2"/>
        </w:rPr>
      </w:pPr>
    </w:p>
    <w:p>
      <w:pPr>
        <w:spacing w:line="20" w:lineRule="exact"/>
        <w:ind w:left="7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7"/>
          <w:szCs w:val="17"/>
        </w:rPr>
      </w:pPr>
    </w:p>
    <w:p>
      <w:pPr>
        <w:pStyle w:val="Heading3"/>
        <w:spacing w:line="240" w:lineRule="auto" w:before="36"/>
        <w:ind w:left="740"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740" w:right="0"/>
        <w:jc w:val="left"/>
      </w:pPr>
      <w:r>
        <w:rPr/>
        <w:t>编制单位：北京神州泰岳软件股份有限公司</w:t>
      </w:r>
    </w:p>
    <w:p>
      <w:pPr>
        <w:spacing w:line="240" w:lineRule="auto" w:before="10"/>
        <w:rPr>
          <w:rFonts w:ascii="宋体" w:hAnsi="宋体" w:cs="宋体" w:eastAsia="宋体" w:hint="default"/>
          <w:sz w:val="21"/>
          <w:szCs w:val="21"/>
        </w:rPr>
      </w:pPr>
    </w:p>
    <w:p>
      <w:pPr>
        <w:pStyle w:val="BodyText"/>
        <w:tabs>
          <w:tab w:pos="14071" w:val="left" w:leader="none"/>
        </w:tabs>
        <w:spacing w:line="240" w:lineRule="auto"/>
        <w:ind w:left="740" w:right="0"/>
        <w:jc w:val="left"/>
      </w:pPr>
      <w:r>
        <w:rPr/>
        <w:t>本期金额</w:t>
        <w:tab/>
      </w:r>
      <w:r>
        <w:rPr>
          <w:spacing w:val="-3"/>
        </w:rPr>
        <w:t>单位</w:t>
      </w:r>
      <w:r>
        <w:rPr>
          <w:spacing w:val="-85"/>
        </w:rPr>
        <w:t>：</w:t>
      </w:r>
      <w:r>
        <w:rPr/>
        <w:t>元</w:t>
      </w:r>
    </w:p>
    <w:p>
      <w:pPr>
        <w:spacing w:line="240" w:lineRule="auto" w:before="5"/>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3578"/>
        <w:gridCol w:w="1204"/>
        <w:gridCol w:w="1344"/>
        <w:gridCol w:w="1042"/>
        <w:gridCol w:w="1042"/>
        <w:gridCol w:w="1114"/>
        <w:gridCol w:w="1042"/>
        <w:gridCol w:w="1193"/>
        <w:gridCol w:w="1042"/>
        <w:gridCol w:w="1238"/>
        <w:gridCol w:w="1356"/>
      </w:tblGrid>
      <w:tr>
        <w:trPr>
          <w:trHeight w:val="324" w:hRule="exact"/>
        </w:trPr>
        <w:tc>
          <w:tcPr>
            <w:tcW w:w="3578" w:type="dxa"/>
            <w:vMerge w:val="restart"/>
            <w:tcBorders>
              <w:top w:val="single" w:sz="4" w:space="0" w:color="000000"/>
              <w:left w:val="single" w:sz="4" w:space="0" w:color="000000"/>
              <w:right w:val="single" w:sz="4" w:space="0" w:color="000000"/>
            </w:tcBorders>
            <w:shd w:val="clear" w:color="auto" w:fill="D2D2D2"/>
          </w:tcPr>
          <w:p>
            <w:pPr/>
          </w:p>
        </w:tc>
        <w:tc>
          <w:tcPr>
            <w:tcW w:w="11616"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20" w:hRule="exact"/>
        </w:trPr>
        <w:tc>
          <w:tcPr>
            <w:tcW w:w="3578" w:type="dxa"/>
            <w:vMerge/>
            <w:tcBorders>
              <w:left w:val="single" w:sz="4" w:space="0" w:color="000000"/>
              <w:bottom w:val="nil" w:sz="6" w:space="0" w:color="auto"/>
              <w:right w:val="single" w:sz="4" w:space="0" w:color="000000"/>
            </w:tcBorders>
            <w:shd w:val="clear" w:color="auto" w:fill="D2D2D2"/>
          </w:tcPr>
          <w:p>
            <w:pPr/>
          </w:p>
        </w:tc>
        <w:tc>
          <w:tcPr>
            <w:tcW w:w="9022" w:type="dxa"/>
            <w:gridSpan w:val="8"/>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38" w:type="dxa"/>
            <w:vMerge w:val="restart"/>
            <w:tcBorders>
              <w:top w:val="single" w:sz="4" w:space="0" w:color="000000"/>
              <w:left w:val="single" w:sz="4" w:space="0" w:color="000000"/>
              <w:right w:val="single" w:sz="4" w:space="0" w:color="000000"/>
            </w:tcBorders>
            <w:shd w:val="clear" w:color="auto" w:fill="D2D2D2"/>
          </w:tcPr>
          <w:p>
            <w:pPr/>
          </w:p>
        </w:tc>
        <w:tc>
          <w:tcPr>
            <w:tcW w:w="1356" w:type="dxa"/>
            <w:vMerge w:val="restart"/>
            <w:tcBorders>
              <w:top w:val="single" w:sz="4" w:space="0" w:color="000000"/>
              <w:left w:val="single" w:sz="4" w:space="0" w:color="000000"/>
              <w:right w:val="single" w:sz="4" w:space="0" w:color="000000"/>
            </w:tcBorders>
            <w:shd w:val="clear" w:color="auto" w:fill="D2D2D2"/>
          </w:tcPr>
          <w:p>
            <w:pPr/>
          </w:p>
        </w:tc>
      </w:tr>
      <w:tr>
        <w:trPr>
          <w:trHeight w:val="197" w:hRule="exact"/>
        </w:trPr>
        <w:tc>
          <w:tcPr>
            <w:tcW w:w="35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022" w:type="dxa"/>
            <w:gridSpan w:val="8"/>
            <w:vMerge/>
            <w:tcBorders>
              <w:left w:val="single" w:sz="4" w:space="0" w:color="000000"/>
              <w:bottom w:val="single" w:sz="4" w:space="0" w:color="000000"/>
              <w:right w:val="single" w:sz="4" w:space="0" w:color="000000"/>
            </w:tcBorders>
            <w:shd w:val="clear" w:color="auto" w:fill="D2D2D2"/>
          </w:tcPr>
          <w:p>
            <w:pPr/>
          </w:p>
        </w:tc>
        <w:tc>
          <w:tcPr>
            <w:tcW w:w="1238" w:type="dxa"/>
            <w:vMerge/>
            <w:tcBorders>
              <w:left w:val="single" w:sz="4" w:space="0" w:color="000000"/>
              <w:bottom w:val="nil" w:sz="6" w:space="0" w:color="auto"/>
              <w:right w:val="single" w:sz="4" w:space="0" w:color="000000"/>
            </w:tcBorders>
            <w:shd w:val="clear" w:color="auto" w:fill="D2D2D2"/>
          </w:tcPr>
          <w:p>
            <w:pPr/>
          </w:p>
        </w:tc>
        <w:tc>
          <w:tcPr>
            <w:tcW w:w="1356" w:type="dxa"/>
            <w:vMerge/>
            <w:tcBorders>
              <w:left w:val="single" w:sz="4" w:space="0" w:color="000000"/>
              <w:bottom w:val="nil" w:sz="6" w:space="0" w:color="auto"/>
              <w:right w:val="single" w:sz="4" w:space="0" w:color="000000"/>
            </w:tcBorders>
            <w:shd w:val="clear" w:color="auto" w:fill="D2D2D2"/>
          </w:tcPr>
          <w:p>
            <w:pPr/>
          </w:p>
        </w:tc>
      </w:tr>
      <w:tr>
        <w:trPr>
          <w:trHeight w:val="123" w:hRule="exact"/>
        </w:trPr>
        <w:tc>
          <w:tcPr>
            <w:tcW w:w="3578" w:type="dxa"/>
            <w:vMerge/>
            <w:tcBorders>
              <w:left w:val="single" w:sz="4" w:space="0" w:color="000000"/>
              <w:bottom w:val="nil" w:sz="6" w:space="0" w:color="auto"/>
              <w:right w:val="single" w:sz="4" w:space="0" w:color="000000"/>
            </w:tcBorders>
            <w:shd w:val="clear" w:color="auto" w:fill="D2D2D2"/>
          </w:tcPr>
          <w:p>
            <w:pPr/>
          </w:p>
        </w:tc>
        <w:tc>
          <w:tcPr>
            <w:tcW w:w="1204"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8"/>
              <w:ind w:left="332" w:right="51" w:hanging="272"/>
              <w:jc w:val="left"/>
              <w:rPr>
                <w:rFonts w:ascii="宋体" w:hAnsi="宋体" w:cs="宋体" w:eastAsia="宋体" w:hint="default"/>
                <w:sz w:val="18"/>
                <w:szCs w:val="18"/>
              </w:rPr>
            </w:pPr>
            <w:r>
              <w:rPr>
                <w:rFonts w:ascii="宋体" w:hAnsi="宋体" w:cs="宋体" w:eastAsia="宋体" w:hint="default"/>
                <w:sz w:val="18"/>
                <w:szCs w:val="18"/>
              </w:rPr>
              <w:t>实收资本（或 股本）</w:t>
            </w:r>
          </w:p>
        </w:tc>
        <w:tc>
          <w:tcPr>
            <w:tcW w:w="1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2"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8"/>
              <w:ind w:left="424" w:right="65" w:hanging="360"/>
              <w:jc w:val="left"/>
              <w:rPr>
                <w:rFonts w:ascii="宋体" w:hAnsi="宋体" w:cs="宋体" w:eastAsia="宋体" w:hint="default"/>
                <w:sz w:val="18"/>
                <w:szCs w:val="18"/>
              </w:rPr>
            </w:pPr>
            <w:r>
              <w:rPr>
                <w:rFonts w:ascii="宋体" w:hAnsi="宋体" w:cs="宋体" w:eastAsia="宋体" w:hint="default"/>
                <w:sz w:val="18"/>
                <w:szCs w:val="18"/>
              </w:rPr>
              <w:t>一般风险准 备</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38" w:type="dxa"/>
            <w:vMerge w:val="restart"/>
            <w:tcBorders>
              <w:top w:val="nil" w:sz="6" w:space="0" w:color="auto"/>
              <w:left w:val="single" w:sz="22" w:space="0" w:color="D2D2D2"/>
              <w:right w:val="single" w:sz="22" w:space="0" w:color="D2D2D2"/>
            </w:tcBorders>
          </w:tcPr>
          <w:p>
            <w:pPr>
              <w:pStyle w:val="TableParagraph"/>
              <w:tabs>
                <w:tab w:pos="1181" w:val="left" w:leader="none"/>
              </w:tabs>
              <w:spacing w:line="211"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5"/>
                <w:sz w:val="18"/>
                <w:szCs w:val="18"/>
                <w:shd w:fill="D2D2D2" w:color="auto" w:val="clear"/>
              </w:rPr>
              <w:t> </w:t>
            </w:r>
            <w:r>
              <w:rPr>
                <w:rFonts w:ascii="宋体" w:hAnsi="宋体" w:cs="宋体" w:eastAsia="宋体" w:hint="default"/>
                <w:sz w:val="18"/>
                <w:szCs w:val="18"/>
                <w:shd w:fill="D2D2D2" w:color="auto" w:val="clear"/>
              </w:rPr>
              <w:t>少数股东权益</w:t>
              <w:tab/>
            </w:r>
            <w:r>
              <w:rPr>
                <w:rFonts w:ascii="宋体" w:hAnsi="宋体" w:cs="宋体" w:eastAsia="宋体" w:hint="default"/>
                <w:sz w:val="18"/>
                <w:szCs w:val="18"/>
              </w:rPr>
            </w:r>
          </w:p>
        </w:tc>
        <w:tc>
          <w:tcPr>
            <w:tcW w:w="1356" w:type="dxa"/>
            <w:vMerge w:val="restart"/>
            <w:tcBorders>
              <w:top w:val="nil" w:sz="6" w:space="0" w:color="auto"/>
              <w:left w:val="single" w:sz="22" w:space="0" w:color="D2D2D2"/>
              <w:right w:val="single" w:sz="13" w:space="0" w:color="D2D2D2"/>
            </w:tcBorders>
          </w:tcPr>
          <w:p>
            <w:pPr>
              <w:pStyle w:val="TableParagraph"/>
              <w:tabs>
                <w:tab w:pos="1299" w:val="left" w:leader="none"/>
              </w:tabs>
              <w:spacing w:line="211"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26"/>
                <w:sz w:val="18"/>
                <w:szCs w:val="18"/>
                <w:shd w:fill="D2D2D2" w:color="auto" w:val="clear"/>
              </w:rPr>
              <w:t> </w:t>
            </w:r>
            <w:r>
              <w:rPr>
                <w:rFonts w:ascii="宋体" w:hAnsi="宋体" w:cs="宋体" w:eastAsia="宋体" w:hint="default"/>
                <w:sz w:val="18"/>
                <w:szCs w:val="18"/>
                <w:shd w:fill="D2D2D2" w:color="auto" w:val="clear"/>
              </w:rPr>
              <w:t>所有者权益合计</w:t>
              <w:tab/>
            </w:r>
            <w:r>
              <w:rPr>
                <w:rFonts w:ascii="宋体" w:hAnsi="宋体" w:cs="宋体" w:eastAsia="宋体" w:hint="default"/>
                <w:sz w:val="18"/>
                <w:szCs w:val="18"/>
              </w:rPr>
            </w:r>
          </w:p>
        </w:tc>
      </w:tr>
      <w:tr>
        <w:trPr>
          <w:trHeight w:val="154" w:hRule="exact"/>
        </w:trPr>
        <w:tc>
          <w:tcPr>
            <w:tcW w:w="3578" w:type="dxa"/>
            <w:vMerge w:val="restart"/>
            <w:tcBorders>
              <w:top w:val="nil" w:sz="6" w:space="0" w:color="auto"/>
              <w:left w:val="single" w:sz="4" w:space="0" w:color="000000"/>
              <w:right w:val="single" w:sz="4" w:space="0" w:color="000000"/>
            </w:tcBorders>
            <w:shd w:val="clear" w:color="auto" w:fill="D2D2D2"/>
          </w:tcPr>
          <w:p>
            <w:pPr/>
          </w:p>
        </w:tc>
        <w:tc>
          <w:tcPr>
            <w:tcW w:w="1204" w:type="dxa"/>
            <w:vMerge/>
            <w:tcBorders>
              <w:left w:val="single" w:sz="4" w:space="0" w:color="000000"/>
              <w:right w:val="single" w:sz="4" w:space="0" w:color="000000"/>
            </w:tcBorders>
            <w:shd w:val="clear" w:color="auto" w:fill="D2D2D2"/>
          </w:tcPr>
          <w:p>
            <w:pPr/>
          </w:p>
        </w:tc>
        <w:tc>
          <w:tcPr>
            <w:tcW w:w="1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6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5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42"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3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38" w:type="dxa"/>
            <w:vMerge/>
            <w:tcBorders>
              <w:left w:val="single" w:sz="22" w:space="0" w:color="D2D2D2"/>
              <w:bottom w:val="nil" w:sz="6" w:space="0" w:color="auto"/>
              <w:right w:val="single" w:sz="22" w:space="0" w:color="D2D2D2"/>
            </w:tcBorders>
          </w:tcPr>
          <w:p>
            <w:pPr/>
          </w:p>
        </w:tc>
        <w:tc>
          <w:tcPr>
            <w:tcW w:w="1356" w:type="dxa"/>
            <w:vMerge/>
            <w:tcBorders>
              <w:left w:val="single" w:sz="22" w:space="0" w:color="D2D2D2"/>
              <w:bottom w:val="nil" w:sz="6" w:space="0" w:color="auto"/>
              <w:right w:val="single" w:sz="13" w:space="0" w:color="D2D2D2"/>
            </w:tcBorders>
          </w:tcPr>
          <w:p>
            <w:pPr/>
          </w:p>
        </w:tc>
      </w:tr>
      <w:tr>
        <w:trPr>
          <w:trHeight w:val="283" w:hRule="exact"/>
        </w:trPr>
        <w:tc>
          <w:tcPr>
            <w:tcW w:w="3578"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4" w:space="0" w:color="000000"/>
              <w:bottom w:val="single" w:sz="4" w:space="0" w:color="000000"/>
              <w:right w:val="single" w:sz="4" w:space="0" w:color="000000"/>
            </w:tcBorders>
            <w:shd w:val="clear" w:color="auto" w:fill="D2D2D2"/>
          </w:tcPr>
          <w:p>
            <w:pPr/>
          </w:p>
        </w:tc>
        <w:tc>
          <w:tcPr>
            <w:tcW w:w="1344" w:type="dxa"/>
            <w:vMerge/>
            <w:tcBorders>
              <w:left w:val="single" w:sz="4" w:space="0" w:color="000000"/>
              <w:bottom w:val="single" w:sz="4" w:space="0" w:color="000000"/>
              <w:right w:val="single" w:sz="4" w:space="0" w:color="000000"/>
            </w:tcBorders>
            <w:shd w:val="clear" w:color="auto" w:fill="D2D2D2"/>
          </w:tcPr>
          <w:p>
            <w:pPr/>
          </w:p>
        </w:tc>
        <w:tc>
          <w:tcPr>
            <w:tcW w:w="1042" w:type="dxa"/>
            <w:vMerge/>
            <w:tcBorders>
              <w:left w:val="single" w:sz="4" w:space="0" w:color="000000"/>
              <w:bottom w:val="single" w:sz="4" w:space="0" w:color="000000"/>
              <w:right w:val="single" w:sz="4" w:space="0" w:color="000000"/>
            </w:tcBorders>
            <w:shd w:val="clear" w:color="auto" w:fill="D2D2D2"/>
          </w:tcPr>
          <w:p>
            <w:pPr/>
          </w:p>
        </w:tc>
        <w:tc>
          <w:tcPr>
            <w:tcW w:w="1042" w:type="dxa"/>
            <w:vMerge/>
            <w:tcBorders>
              <w:left w:val="single" w:sz="4" w:space="0" w:color="000000"/>
              <w:bottom w:val="single" w:sz="4" w:space="0" w:color="000000"/>
              <w:right w:val="single" w:sz="4" w:space="0" w:color="000000"/>
            </w:tcBorders>
            <w:shd w:val="clear" w:color="auto" w:fill="D2D2D2"/>
          </w:tcPr>
          <w:p>
            <w:pPr/>
          </w:p>
        </w:tc>
        <w:tc>
          <w:tcPr>
            <w:tcW w:w="1114" w:type="dxa"/>
            <w:vMerge/>
            <w:tcBorders>
              <w:left w:val="single" w:sz="4" w:space="0" w:color="000000"/>
              <w:bottom w:val="single" w:sz="4" w:space="0" w:color="000000"/>
              <w:right w:val="single" w:sz="4" w:space="0" w:color="000000"/>
            </w:tcBorders>
            <w:shd w:val="clear" w:color="auto" w:fill="D2D2D2"/>
          </w:tcPr>
          <w:p>
            <w:pPr/>
          </w:p>
        </w:tc>
        <w:tc>
          <w:tcPr>
            <w:tcW w:w="1042"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042" w:type="dxa"/>
            <w:vMerge/>
            <w:tcBorders>
              <w:left w:val="single" w:sz="4" w:space="0" w:color="000000"/>
              <w:bottom w:val="single" w:sz="4" w:space="0" w:color="000000"/>
              <w:right w:val="single" w:sz="4" w:space="0" w:color="000000"/>
            </w:tcBorders>
            <w:shd w:val="clear" w:color="auto" w:fill="D2D2D2"/>
          </w:tcPr>
          <w:p>
            <w:pPr/>
          </w:p>
        </w:tc>
        <w:tc>
          <w:tcPr>
            <w:tcW w:w="12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4" w:hRule="exact"/>
        </w:trPr>
        <w:tc>
          <w:tcPr>
            <w:tcW w:w="3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379,200,000.00</w:t>
            </w:r>
          </w:p>
        </w:tc>
        <w:tc>
          <w:tcPr>
            <w:tcW w:w="1344" w:type="dxa"/>
            <w:tcBorders>
              <w:top w:val="single" w:sz="50" w:space="0" w:color="D2D2D2"/>
              <w:left w:val="single" w:sz="4" w:space="0" w:color="000000"/>
              <w:bottom w:val="single" w:sz="4" w:space="0" w:color="000000"/>
              <w:right w:val="single" w:sz="4" w:space="0" w:color="000000"/>
            </w:tcBorders>
          </w:tcPr>
          <w:p>
            <w:pPr>
              <w:pStyle w:val="TableParagraph"/>
              <w:spacing w:line="197" w:lineRule="exact"/>
              <w:ind w:right="19"/>
              <w:jc w:val="right"/>
              <w:rPr>
                <w:rFonts w:ascii="Times New Roman" w:hAnsi="Times New Roman" w:cs="Times New Roman" w:eastAsia="Times New Roman" w:hint="default"/>
                <w:sz w:val="18"/>
                <w:szCs w:val="18"/>
              </w:rPr>
            </w:pPr>
            <w:r>
              <w:rPr>
                <w:rFonts w:ascii="Times New Roman"/>
                <w:spacing w:val="-1"/>
                <w:sz w:val="18"/>
              </w:rPr>
              <w:t>1,521,705,055.99</w:t>
            </w:r>
          </w:p>
        </w:tc>
        <w:tc>
          <w:tcPr>
            <w:tcW w:w="1042" w:type="dxa"/>
            <w:tcBorders>
              <w:top w:val="single" w:sz="50" w:space="0" w:color="D2D2D2"/>
              <w:left w:val="single" w:sz="4" w:space="0" w:color="000000"/>
              <w:bottom w:val="single" w:sz="4" w:space="0" w:color="000000"/>
              <w:right w:val="single" w:sz="4" w:space="0" w:color="000000"/>
            </w:tcBorders>
          </w:tcPr>
          <w:p>
            <w:pPr/>
          </w:p>
        </w:tc>
        <w:tc>
          <w:tcPr>
            <w:tcW w:w="1042" w:type="dxa"/>
            <w:tcBorders>
              <w:top w:val="single" w:sz="50" w:space="0" w:color="D2D2D2"/>
              <w:left w:val="single" w:sz="4" w:space="0" w:color="000000"/>
              <w:bottom w:val="single" w:sz="4" w:space="0" w:color="000000"/>
              <w:right w:val="single" w:sz="4" w:space="0" w:color="000000"/>
            </w:tcBorders>
          </w:tcPr>
          <w:p>
            <w:pPr/>
          </w:p>
        </w:tc>
        <w:tc>
          <w:tcPr>
            <w:tcW w:w="1114" w:type="dxa"/>
            <w:tcBorders>
              <w:top w:val="single" w:sz="50" w:space="0" w:color="D2D2D2"/>
              <w:left w:val="single" w:sz="4" w:space="0" w:color="000000"/>
              <w:bottom w:val="single" w:sz="4" w:space="0" w:color="000000"/>
              <w:right w:val="single" w:sz="4" w:space="0" w:color="000000"/>
            </w:tcBorders>
          </w:tcPr>
          <w:p>
            <w:pPr>
              <w:pStyle w:val="TableParagraph"/>
              <w:spacing w:line="197" w:lineRule="exact"/>
              <w:ind w:right="19"/>
              <w:jc w:val="right"/>
              <w:rPr>
                <w:rFonts w:ascii="Times New Roman" w:hAnsi="Times New Roman" w:cs="Times New Roman" w:eastAsia="Times New Roman" w:hint="default"/>
                <w:sz w:val="18"/>
                <w:szCs w:val="18"/>
              </w:rPr>
            </w:pPr>
            <w:r>
              <w:rPr>
                <w:rFonts w:ascii="Times New Roman"/>
                <w:spacing w:val="-1"/>
                <w:sz w:val="18"/>
              </w:rPr>
              <w:t>79,382,285.49</w:t>
            </w:r>
          </w:p>
        </w:tc>
        <w:tc>
          <w:tcPr>
            <w:tcW w:w="104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50" w:space="0" w:color="D2D2D2"/>
              <w:left w:val="single" w:sz="4" w:space="0" w:color="000000"/>
              <w:bottom w:val="single" w:sz="4" w:space="0" w:color="000000"/>
              <w:right w:val="single" w:sz="4" w:space="0" w:color="000000"/>
            </w:tcBorders>
          </w:tcPr>
          <w:p>
            <w:pPr>
              <w:pStyle w:val="TableParagraph"/>
              <w:spacing w:line="197" w:lineRule="exact"/>
              <w:ind w:right="22"/>
              <w:jc w:val="right"/>
              <w:rPr>
                <w:rFonts w:ascii="Times New Roman" w:hAnsi="Times New Roman" w:cs="Times New Roman" w:eastAsia="Times New Roman" w:hint="default"/>
                <w:sz w:val="18"/>
                <w:szCs w:val="18"/>
              </w:rPr>
            </w:pPr>
            <w:r>
              <w:rPr>
                <w:rFonts w:ascii="Times New Roman"/>
                <w:spacing w:val="-1"/>
                <w:sz w:val="18"/>
              </w:rPr>
              <w:t>854,342,688.07</w:t>
            </w:r>
          </w:p>
        </w:tc>
        <w:tc>
          <w:tcPr>
            <w:tcW w:w="1042" w:type="dxa"/>
            <w:tcBorders>
              <w:top w:val="single" w:sz="50" w:space="0" w:color="D2D2D2"/>
              <w:left w:val="single" w:sz="4" w:space="0" w:color="000000"/>
              <w:bottom w:val="single" w:sz="4" w:space="0" w:color="000000"/>
              <w:right w:val="single" w:sz="4" w:space="0" w:color="000000"/>
            </w:tcBorders>
          </w:tcPr>
          <w:p>
            <w:pPr>
              <w:pStyle w:val="TableParagraph"/>
              <w:spacing w:line="197" w:lineRule="exact"/>
              <w:ind w:right="21"/>
              <w:jc w:val="right"/>
              <w:rPr>
                <w:rFonts w:ascii="Times New Roman" w:hAnsi="Times New Roman" w:cs="Times New Roman" w:eastAsia="Times New Roman" w:hint="default"/>
                <w:sz w:val="18"/>
                <w:szCs w:val="18"/>
              </w:rPr>
            </w:pPr>
            <w:r>
              <w:rPr>
                <w:rFonts w:ascii="Times New Roman"/>
                <w:spacing w:val="-1"/>
                <w:sz w:val="18"/>
              </w:rPr>
              <w:t>-60,800.74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18,715,320.48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2,853,284,549.29</w:t>
            </w:r>
          </w:p>
        </w:tc>
      </w:tr>
      <w:tr>
        <w:trPr>
          <w:trHeight w:val="324" w:hRule="exact"/>
        </w:trPr>
        <w:tc>
          <w:tcPr>
            <w:tcW w:w="3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04" w:type="dxa"/>
            <w:tcBorders>
              <w:top w:val="single" w:sz="4" w:space="0" w:color="000000"/>
              <w:left w:val="single" w:sz="9" w:space="0" w:color="D2D2D2"/>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04" w:type="dxa"/>
            <w:tcBorders>
              <w:top w:val="single" w:sz="4" w:space="0" w:color="000000"/>
              <w:left w:val="single" w:sz="9" w:space="0" w:color="D2D2D2"/>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4" w:type="dxa"/>
            <w:tcBorders>
              <w:top w:val="single" w:sz="4" w:space="0" w:color="000000"/>
              <w:left w:val="single" w:sz="9" w:space="0" w:color="D2D2D2"/>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-249,846.12</w:t>
            </w:r>
          </w:p>
        </w:tc>
        <w:tc>
          <w:tcPr>
            <w:tcW w:w="104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-2,248,615.12</w:t>
            </w:r>
          </w:p>
        </w:tc>
        <w:tc>
          <w:tcPr>
            <w:tcW w:w="104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-2,498,461.24</w:t>
            </w:r>
          </w:p>
        </w:tc>
      </w:tr>
      <w:tr>
        <w:trPr>
          <w:trHeight w:val="324" w:hRule="exact"/>
        </w:trPr>
        <w:tc>
          <w:tcPr>
            <w:tcW w:w="3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379,200,000.00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1,521,705,055.99</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79,132,439.37</w:t>
            </w:r>
          </w:p>
        </w:tc>
        <w:tc>
          <w:tcPr>
            <w:tcW w:w="104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852,094,072.95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-60,800.74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18,715,320.48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2,850,786,088.05</w:t>
            </w:r>
          </w:p>
        </w:tc>
      </w:tr>
      <w:tr>
        <w:trPr>
          <w:trHeight w:val="324" w:hRule="exact"/>
        </w:trPr>
        <w:tc>
          <w:tcPr>
            <w:tcW w:w="3578"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8"/>
              <w:ind w:left="24" w:right="-47"/>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204" w:type="dxa"/>
            <w:tcBorders>
              <w:top w:val="single" w:sz="4" w:space="0" w:color="000000"/>
              <w:left w:val="single" w:sz="22" w:space="0" w:color="FFFFFF"/>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4,183,700.00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40,825,434.57</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23,092,599.24</w:t>
            </w:r>
          </w:p>
        </w:tc>
        <w:tc>
          <w:tcPr>
            <w:tcW w:w="104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292,176,305.11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24,852.48</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1,880,333.70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362,183,225.10</w:t>
            </w:r>
          </w:p>
        </w:tc>
      </w:tr>
      <w:tr>
        <w:trPr>
          <w:trHeight w:val="324" w:hRule="exact"/>
        </w:trPr>
        <w:tc>
          <w:tcPr>
            <w:tcW w:w="3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04" w:type="dxa"/>
            <w:tcBorders>
              <w:top w:val="single" w:sz="4" w:space="0" w:color="000000"/>
              <w:left w:val="single" w:sz="9" w:space="0" w:color="D2D2D2"/>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429,028,904.35</w:t>
            </w:r>
          </w:p>
        </w:tc>
        <w:tc>
          <w:tcPr>
            <w:tcW w:w="104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-2,119,666.30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426,909,238.05</w:t>
            </w:r>
          </w:p>
        </w:tc>
      </w:tr>
      <w:tr>
        <w:trPr>
          <w:trHeight w:val="322" w:hRule="exact"/>
        </w:trPr>
        <w:tc>
          <w:tcPr>
            <w:tcW w:w="3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04" w:type="dxa"/>
            <w:tcBorders>
              <w:top w:val="single" w:sz="4" w:space="0" w:color="000000"/>
              <w:left w:val="single" w:sz="9" w:space="0" w:color="D2D2D2"/>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2,037,591.37</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24,852.48</w:t>
            </w:r>
          </w:p>
        </w:tc>
        <w:tc>
          <w:tcPr>
            <w:tcW w:w="123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2,062,443.85</w:t>
            </w:r>
          </w:p>
        </w:tc>
      </w:tr>
      <w:tr>
        <w:trPr>
          <w:trHeight w:val="324" w:hRule="exact"/>
        </w:trPr>
        <w:tc>
          <w:tcPr>
            <w:tcW w:w="3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204" w:type="dxa"/>
            <w:tcBorders>
              <w:top w:val="single" w:sz="4" w:space="0" w:color="000000"/>
              <w:left w:val="single" w:sz="9" w:space="0" w:color="D2D2D2"/>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2,037,591.37</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429,028,904.35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24,852.48</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-2,119,666.30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428,971,681.90</w:t>
            </w:r>
          </w:p>
        </w:tc>
      </w:tr>
      <w:tr>
        <w:trPr>
          <w:trHeight w:val="324" w:hRule="exact"/>
        </w:trPr>
        <w:tc>
          <w:tcPr>
            <w:tcW w:w="3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2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4,183,700.00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38,787,843.20</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46,971,543.20</w:t>
            </w:r>
          </w:p>
        </w:tc>
      </w:tr>
      <w:tr>
        <w:trPr>
          <w:trHeight w:val="324" w:hRule="exact"/>
        </w:trPr>
        <w:tc>
          <w:tcPr>
            <w:tcW w:w="3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2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4,183,700.00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33,344,089.00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41,527,789.00</w:t>
            </w:r>
          </w:p>
        </w:tc>
      </w:tr>
      <w:tr>
        <w:trPr>
          <w:trHeight w:val="324" w:hRule="exact"/>
        </w:trPr>
        <w:tc>
          <w:tcPr>
            <w:tcW w:w="3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204" w:type="dxa"/>
            <w:tcBorders>
              <w:top w:val="single" w:sz="4" w:space="0" w:color="000000"/>
              <w:left w:val="single" w:sz="9" w:space="0" w:color="D2D2D2"/>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5,443,754.20</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5,443,754.20</w:t>
            </w:r>
          </w:p>
        </w:tc>
      </w:tr>
      <w:tr>
        <w:trPr>
          <w:trHeight w:val="322" w:hRule="exact"/>
        </w:trPr>
        <w:tc>
          <w:tcPr>
            <w:tcW w:w="3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04" w:type="dxa"/>
            <w:tcBorders>
              <w:top w:val="single" w:sz="4" w:space="0" w:color="000000"/>
              <w:left w:val="single" w:sz="9" w:space="0" w:color="D2D2D2"/>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96" w:hRule="exact"/>
        </w:trPr>
        <w:tc>
          <w:tcPr>
            <w:tcW w:w="35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4" w:type="dxa"/>
            <w:vMerge w:val="restart"/>
            <w:tcBorders>
              <w:top w:val="single" w:sz="4" w:space="0" w:color="000000"/>
              <w:left w:val="single" w:sz="9" w:space="0" w:color="D2D2D2"/>
              <w:right w:val="single" w:sz="4" w:space="0" w:color="000000"/>
            </w:tcBorders>
          </w:tcPr>
          <w:p>
            <w:pPr/>
          </w:p>
        </w:tc>
        <w:tc>
          <w:tcPr>
            <w:tcW w:w="1344" w:type="dxa"/>
            <w:vMerge w:val="restart"/>
            <w:tcBorders>
              <w:top w:val="single" w:sz="4" w:space="0" w:color="000000"/>
              <w:left w:val="single" w:sz="4" w:space="0" w:color="000000"/>
              <w:right w:val="single" w:sz="4" w:space="0" w:color="000000"/>
            </w:tcBorders>
          </w:tcPr>
          <w:p>
            <w:pPr/>
          </w:p>
        </w:tc>
        <w:tc>
          <w:tcPr>
            <w:tcW w:w="1042" w:type="dxa"/>
            <w:vMerge w:val="restart"/>
            <w:tcBorders>
              <w:top w:val="single" w:sz="4" w:space="0" w:color="000000"/>
              <w:left w:val="single" w:sz="4" w:space="0" w:color="000000"/>
              <w:right w:val="single" w:sz="4" w:space="0" w:color="000000"/>
            </w:tcBorders>
          </w:tcPr>
          <w:p>
            <w:pPr/>
          </w:p>
        </w:tc>
        <w:tc>
          <w:tcPr>
            <w:tcW w:w="1042" w:type="dxa"/>
            <w:vMerge w:val="restart"/>
            <w:tcBorders>
              <w:top w:val="single" w:sz="4" w:space="0" w:color="000000"/>
              <w:left w:val="single" w:sz="4" w:space="0" w:color="000000"/>
              <w:right w:val="single" w:sz="4" w:space="0" w:color="000000"/>
            </w:tcBorders>
          </w:tcPr>
          <w:p>
            <w:pPr/>
          </w:p>
        </w:tc>
        <w:tc>
          <w:tcPr>
            <w:tcW w:w="1114" w:type="dxa"/>
            <w:vMerge w:val="restart"/>
            <w:tcBorders>
              <w:top w:val="single" w:sz="4" w:space="0" w:color="000000"/>
              <w:left w:val="single" w:sz="4" w:space="0" w:color="000000"/>
              <w:right w:val="single" w:sz="4" w:space="0" w:color="000000"/>
            </w:tcBorders>
          </w:tcPr>
          <w:p>
            <w:pPr>
              <w:pStyle w:val="TableParagraph"/>
              <w:spacing w:line="240" w:lineRule="auto" w:before="139"/>
              <w:ind w:left="47" w:right="0"/>
              <w:jc w:val="left"/>
              <w:rPr>
                <w:rFonts w:ascii="Times New Roman" w:hAnsi="Times New Roman" w:cs="Times New Roman" w:eastAsia="Times New Roman" w:hint="default"/>
                <w:sz w:val="18"/>
                <w:szCs w:val="18"/>
              </w:rPr>
            </w:pPr>
            <w:r>
              <w:rPr>
                <w:rFonts w:ascii="Times New Roman"/>
                <w:sz w:val="18"/>
              </w:rPr>
              <w:t>23,092,599.24</w:t>
            </w:r>
          </w:p>
        </w:tc>
        <w:tc>
          <w:tcPr>
            <w:tcW w:w="1042" w:type="dxa"/>
            <w:vMerge w:val="restart"/>
            <w:tcBorders>
              <w:top w:val="single" w:sz="4" w:space="0" w:color="000000"/>
              <w:left w:val="single" w:sz="4" w:space="0" w:color="000000"/>
              <w:right w:val="single" w:sz="4" w:space="0" w:color="000000"/>
            </w:tcBorders>
          </w:tcPr>
          <w:p>
            <w:pP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-136,852,599.2</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w:t>
            </w:r>
          </w:p>
        </w:tc>
        <w:tc>
          <w:tcPr>
            <w:tcW w:w="1042" w:type="dxa"/>
            <w:vMerge w:val="restart"/>
            <w:tcBorders>
              <w:top w:val="single" w:sz="4" w:space="0" w:color="000000"/>
              <w:left w:val="single" w:sz="4" w:space="0" w:color="000000"/>
              <w:right w:val="single" w:sz="4" w:space="0" w:color="000000"/>
            </w:tcBorders>
          </w:tcPr>
          <w:p>
            <w:pPr/>
          </w:p>
        </w:tc>
        <w:tc>
          <w:tcPr>
            <w:tcW w:w="1238" w:type="dxa"/>
            <w:vMerge w:val="restart"/>
            <w:tcBorders>
              <w:top w:val="single" w:sz="4" w:space="0" w:color="000000"/>
              <w:left w:val="single" w:sz="4" w:space="0" w:color="000000"/>
              <w:right w:val="single" w:sz="4" w:space="0" w:color="000000"/>
            </w:tcBorders>
          </w:tcPr>
          <w:p>
            <w:pPr/>
          </w:p>
        </w:tc>
        <w:tc>
          <w:tcPr>
            <w:tcW w:w="1356" w:type="dxa"/>
            <w:vMerge w:val="restart"/>
            <w:tcBorders>
              <w:top w:val="single" w:sz="4" w:space="0" w:color="000000"/>
              <w:left w:val="single" w:sz="4" w:space="0" w:color="000000"/>
              <w:right w:val="single" w:sz="4" w:space="0" w:color="000000"/>
            </w:tcBorders>
          </w:tcPr>
          <w:p>
            <w:pPr>
              <w:pStyle w:val="TableParagraph"/>
              <w:spacing w:line="240" w:lineRule="auto" w:before="139"/>
              <w:ind w:left="143" w:right="0"/>
              <w:jc w:val="left"/>
              <w:rPr>
                <w:rFonts w:ascii="Times New Roman" w:hAnsi="Times New Roman" w:cs="Times New Roman" w:eastAsia="Times New Roman" w:hint="default"/>
                <w:sz w:val="18"/>
                <w:szCs w:val="18"/>
              </w:rPr>
            </w:pPr>
            <w:r>
              <w:rPr>
                <w:rFonts w:ascii="Times New Roman"/>
                <w:sz w:val="18"/>
              </w:rPr>
              <w:t>-113,760,000.00</w:t>
            </w:r>
          </w:p>
        </w:tc>
      </w:tr>
      <w:tr>
        <w:trPr>
          <w:trHeight w:val="408" w:hRule="exact"/>
        </w:trPr>
        <w:tc>
          <w:tcPr>
            <w:tcW w:w="357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04" w:type="dxa"/>
            <w:vMerge/>
            <w:tcBorders>
              <w:left w:val="single" w:sz="9" w:space="0" w:color="D2D2D2"/>
              <w:bottom w:val="single" w:sz="4" w:space="0" w:color="000000"/>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c>
          <w:tcPr>
            <w:tcW w:w="1042" w:type="dxa"/>
            <w:vMerge/>
            <w:tcBorders>
              <w:left w:val="single" w:sz="4" w:space="0" w:color="000000"/>
              <w:bottom w:val="single" w:sz="4" w:space="0" w:color="000000"/>
              <w:right w:val="single" w:sz="4" w:space="0" w:color="000000"/>
            </w:tcBorders>
          </w:tcPr>
          <w:p>
            <w:pPr/>
          </w:p>
        </w:tc>
        <w:tc>
          <w:tcPr>
            <w:tcW w:w="1042" w:type="dxa"/>
            <w:vMerge/>
            <w:tcBorders>
              <w:left w:val="single" w:sz="4" w:space="0" w:color="000000"/>
              <w:bottom w:val="single" w:sz="4" w:space="0" w:color="000000"/>
              <w:right w:val="single" w:sz="4" w:space="0" w:color="000000"/>
            </w:tcBorders>
          </w:tcPr>
          <w:p>
            <w:pPr/>
          </w:p>
        </w:tc>
        <w:tc>
          <w:tcPr>
            <w:tcW w:w="1114" w:type="dxa"/>
            <w:vMerge/>
            <w:tcBorders>
              <w:left w:val="single" w:sz="4" w:space="0" w:color="000000"/>
              <w:bottom w:val="single" w:sz="4" w:space="0" w:color="000000"/>
              <w:right w:val="single" w:sz="4" w:space="0" w:color="000000"/>
            </w:tcBorders>
          </w:tcPr>
          <w:p>
            <w:pPr/>
          </w:p>
        </w:tc>
        <w:tc>
          <w:tcPr>
            <w:tcW w:w="1042"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42" w:type="dxa"/>
            <w:vMerge/>
            <w:tcBorders>
              <w:left w:val="single" w:sz="4" w:space="0" w:color="000000"/>
              <w:bottom w:val="single" w:sz="4" w:space="0" w:color="000000"/>
              <w:right w:val="single" w:sz="4" w:space="0" w:color="000000"/>
            </w:tcBorders>
          </w:tcPr>
          <w:p>
            <w:pPr/>
          </w:p>
        </w:tc>
        <w:tc>
          <w:tcPr>
            <w:tcW w:w="1238" w:type="dxa"/>
            <w:vMerge/>
            <w:tcBorders>
              <w:left w:val="single" w:sz="4" w:space="0" w:color="000000"/>
              <w:bottom w:val="single" w:sz="4" w:space="0" w:color="000000"/>
              <w:right w:val="single" w:sz="4" w:space="0" w:color="000000"/>
            </w:tcBorders>
          </w:tcPr>
          <w:p>
            <w:pPr/>
          </w:p>
        </w:tc>
        <w:tc>
          <w:tcPr>
            <w:tcW w:w="1356" w:type="dxa"/>
            <w:vMerge/>
            <w:tcBorders>
              <w:left w:val="single" w:sz="4" w:space="0" w:color="000000"/>
              <w:bottom w:val="single" w:sz="4" w:space="0" w:color="000000"/>
              <w:right w:val="single" w:sz="4" w:space="0" w:color="000000"/>
            </w:tcBorders>
          </w:tcPr>
          <w:p>
            <w:pPr/>
          </w:p>
        </w:tc>
      </w:tr>
      <w:tr>
        <w:trPr>
          <w:trHeight w:val="218" w:hRule="exact"/>
        </w:trPr>
        <w:tc>
          <w:tcPr>
            <w:tcW w:w="35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4" w:type="dxa"/>
            <w:vMerge w:val="restart"/>
            <w:tcBorders>
              <w:top w:val="single" w:sz="4" w:space="0" w:color="000000"/>
              <w:left w:val="single" w:sz="9" w:space="0" w:color="D2D2D2"/>
              <w:right w:val="single" w:sz="4" w:space="0" w:color="000000"/>
            </w:tcBorders>
          </w:tcPr>
          <w:p>
            <w:pPr/>
          </w:p>
        </w:tc>
        <w:tc>
          <w:tcPr>
            <w:tcW w:w="1344" w:type="dxa"/>
            <w:vMerge w:val="restart"/>
            <w:tcBorders>
              <w:top w:val="single" w:sz="4" w:space="0" w:color="000000"/>
              <w:left w:val="single" w:sz="4" w:space="0" w:color="000000"/>
              <w:right w:val="single" w:sz="4" w:space="0" w:color="000000"/>
            </w:tcBorders>
          </w:tcPr>
          <w:p>
            <w:pPr/>
          </w:p>
        </w:tc>
        <w:tc>
          <w:tcPr>
            <w:tcW w:w="1042" w:type="dxa"/>
            <w:vMerge w:val="restart"/>
            <w:tcBorders>
              <w:top w:val="single" w:sz="4" w:space="0" w:color="000000"/>
              <w:left w:val="single" w:sz="4" w:space="0" w:color="000000"/>
              <w:right w:val="single" w:sz="4" w:space="0" w:color="000000"/>
            </w:tcBorders>
          </w:tcPr>
          <w:p>
            <w:pPr/>
          </w:p>
        </w:tc>
        <w:tc>
          <w:tcPr>
            <w:tcW w:w="1042" w:type="dxa"/>
            <w:vMerge w:val="restart"/>
            <w:tcBorders>
              <w:top w:val="single" w:sz="4" w:space="0" w:color="000000"/>
              <w:left w:val="single" w:sz="4" w:space="0" w:color="000000"/>
              <w:right w:val="single" w:sz="4" w:space="0" w:color="000000"/>
            </w:tcBorders>
          </w:tcPr>
          <w:p>
            <w:pPr/>
          </w:p>
        </w:tc>
        <w:tc>
          <w:tcPr>
            <w:tcW w:w="111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23,092,599.24</w:t>
            </w:r>
          </w:p>
        </w:tc>
        <w:tc>
          <w:tcPr>
            <w:tcW w:w="1042" w:type="dxa"/>
            <w:vMerge w:val="restart"/>
            <w:tcBorders>
              <w:top w:val="single" w:sz="4" w:space="0" w:color="000000"/>
              <w:left w:val="single" w:sz="4" w:space="0" w:color="000000"/>
              <w:right w:val="single" w:sz="4" w:space="0" w:color="000000"/>
            </w:tcBorders>
          </w:tcPr>
          <w:p>
            <w:pP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-23,092,599.24</w:t>
            </w:r>
          </w:p>
        </w:tc>
        <w:tc>
          <w:tcPr>
            <w:tcW w:w="1042" w:type="dxa"/>
            <w:vMerge w:val="restart"/>
            <w:tcBorders>
              <w:top w:val="single" w:sz="4" w:space="0" w:color="000000"/>
              <w:left w:val="single" w:sz="4" w:space="0" w:color="000000"/>
              <w:right w:val="single" w:sz="4" w:space="0" w:color="000000"/>
            </w:tcBorders>
          </w:tcPr>
          <w:p>
            <w:pPr/>
          </w:p>
        </w:tc>
        <w:tc>
          <w:tcPr>
            <w:tcW w:w="1238" w:type="dxa"/>
            <w:vMerge w:val="restart"/>
            <w:tcBorders>
              <w:top w:val="single" w:sz="4" w:space="0" w:color="000000"/>
              <w:left w:val="single" w:sz="4" w:space="0" w:color="000000"/>
              <w:right w:val="single" w:sz="4" w:space="0" w:color="000000"/>
            </w:tcBorders>
          </w:tcPr>
          <w:p>
            <w:pPr/>
          </w:p>
        </w:tc>
        <w:tc>
          <w:tcPr>
            <w:tcW w:w="1356" w:type="dxa"/>
            <w:vMerge w:val="restart"/>
            <w:tcBorders>
              <w:top w:val="single" w:sz="4" w:space="0" w:color="000000"/>
              <w:left w:val="single" w:sz="4" w:space="0" w:color="000000"/>
              <w:right w:val="single" w:sz="4" w:space="0" w:color="000000"/>
            </w:tcBorders>
          </w:tcPr>
          <w:p>
            <w:pPr/>
          </w:p>
        </w:tc>
      </w:tr>
      <w:tr>
        <w:trPr>
          <w:trHeight w:val="312" w:hRule="exact"/>
        </w:trPr>
        <w:tc>
          <w:tcPr>
            <w:tcW w:w="35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04" w:type="dxa"/>
            <w:vMerge/>
            <w:tcBorders>
              <w:left w:val="single" w:sz="9" w:space="0" w:color="D2D2D2"/>
              <w:right w:val="single" w:sz="4" w:space="0" w:color="000000"/>
            </w:tcBorders>
          </w:tcPr>
          <w:p>
            <w:pPr/>
          </w:p>
        </w:tc>
        <w:tc>
          <w:tcPr>
            <w:tcW w:w="1344" w:type="dxa"/>
            <w:vMerge/>
            <w:tcBorders>
              <w:left w:val="single" w:sz="4" w:space="0" w:color="000000"/>
              <w:right w:val="single" w:sz="4" w:space="0" w:color="000000"/>
            </w:tcBorders>
          </w:tcPr>
          <w:p>
            <w:pPr/>
          </w:p>
        </w:tc>
        <w:tc>
          <w:tcPr>
            <w:tcW w:w="1042" w:type="dxa"/>
            <w:vMerge/>
            <w:tcBorders>
              <w:left w:val="single" w:sz="4" w:space="0" w:color="000000"/>
              <w:right w:val="single" w:sz="4" w:space="0" w:color="000000"/>
            </w:tcBorders>
          </w:tcPr>
          <w:p>
            <w:pPr/>
          </w:p>
        </w:tc>
        <w:tc>
          <w:tcPr>
            <w:tcW w:w="1042" w:type="dxa"/>
            <w:vMerge/>
            <w:tcBorders>
              <w:left w:val="single" w:sz="4" w:space="0" w:color="000000"/>
              <w:right w:val="single" w:sz="4" w:space="0" w:color="000000"/>
            </w:tcBorders>
          </w:tcPr>
          <w:p>
            <w:pPr/>
          </w:p>
        </w:tc>
        <w:tc>
          <w:tcPr>
            <w:tcW w:w="1114" w:type="dxa"/>
            <w:vMerge/>
            <w:tcBorders>
              <w:left w:val="single" w:sz="4" w:space="0" w:color="000000"/>
              <w:right w:val="single" w:sz="4" w:space="0" w:color="000000"/>
            </w:tcBorders>
          </w:tcPr>
          <w:p>
            <w:pPr/>
          </w:p>
        </w:tc>
        <w:tc>
          <w:tcPr>
            <w:tcW w:w="1042"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42" w:type="dxa"/>
            <w:vMerge/>
            <w:tcBorders>
              <w:left w:val="single" w:sz="4" w:space="0" w:color="000000"/>
              <w:right w:val="single" w:sz="4" w:space="0" w:color="000000"/>
            </w:tcBorders>
          </w:tcPr>
          <w:p>
            <w:pPr/>
          </w:p>
        </w:tc>
        <w:tc>
          <w:tcPr>
            <w:tcW w:w="1238" w:type="dxa"/>
            <w:vMerge/>
            <w:tcBorders>
              <w:left w:val="single" w:sz="4" w:space="0" w:color="000000"/>
              <w:right w:val="single" w:sz="4" w:space="0" w:color="000000"/>
            </w:tcBorders>
          </w:tcPr>
          <w:p>
            <w:pPr/>
          </w:p>
        </w:tc>
        <w:tc>
          <w:tcPr>
            <w:tcW w:w="1356" w:type="dxa"/>
            <w:vMerge/>
            <w:tcBorders>
              <w:left w:val="single" w:sz="4" w:space="0" w:color="000000"/>
              <w:right w:val="single" w:sz="4" w:space="0" w:color="000000"/>
            </w:tcBorders>
          </w:tcPr>
          <w:p>
            <w:pPr/>
          </w:p>
        </w:tc>
      </w:tr>
      <w:tr>
        <w:trPr>
          <w:trHeight w:val="263" w:hRule="exact"/>
        </w:trPr>
        <w:tc>
          <w:tcPr>
            <w:tcW w:w="35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4" w:type="dxa"/>
            <w:vMerge/>
            <w:tcBorders>
              <w:left w:val="single" w:sz="9" w:space="0" w:color="D2D2D2"/>
              <w:bottom w:val="single" w:sz="4" w:space="0" w:color="000000"/>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c>
          <w:tcPr>
            <w:tcW w:w="1042" w:type="dxa"/>
            <w:vMerge/>
            <w:tcBorders>
              <w:left w:val="single" w:sz="4" w:space="0" w:color="000000"/>
              <w:bottom w:val="single" w:sz="4" w:space="0" w:color="000000"/>
              <w:right w:val="single" w:sz="4" w:space="0" w:color="000000"/>
            </w:tcBorders>
          </w:tcPr>
          <w:p>
            <w:pPr/>
          </w:p>
        </w:tc>
        <w:tc>
          <w:tcPr>
            <w:tcW w:w="1042" w:type="dxa"/>
            <w:vMerge/>
            <w:tcBorders>
              <w:left w:val="single" w:sz="4" w:space="0" w:color="000000"/>
              <w:bottom w:val="single" w:sz="4" w:space="0" w:color="000000"/>
              <w:right w:val="single" w:sz="4" w:space="0" w:color="000000"/>
            </w:tcBorders>
          </w:tcPr>
          <w:p>
            <w:pPr/>
          </w:p>
        </w:tc>
        <w:tc>
          <w:tcPr>
            <w:tcW w:w="1114" w:type="dxa"/>
            <w:vMerge/>
            <w:tcBorders>
              <w:left w:val="single" w:sz="4" w:space="0" w:color="000000"/>
              <w:bottom w:val="single" w:sz="4" w:space="0" w:color="000000"/>
              <w:right w:val="single" w:sz="4" w:space="0" w:color="000000"/>
            </w:tcBorders>
          </w:tcPr>
          <w:p>
            <w:pPr/>
          </w:p>
        </w:tc>
        <w:tc>
          <w:tcPr>
            <w:tcW w:w="1042"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42" w:type="dxa"/>
            <w:vMerge/>
            <w:tcBorders>
              <w:left w:val="single" w:sz="4" w:space="0" w:color="000000"/>
              <w:bottom w:val="single" w:sz="4" w:space="0" w:color="000000"/>
              <w:right w:val="single" w:sz="4" w:space="0" w:color="000000"/>
            </w:tcBorders>
          </w:tcPr>
          <w:p>
            <w:pPr/>
          </w:p>
        </w:tc>
        <w:tc>
          <w:tcPr>
            <w:tcW w:w="1238" w:type="dxa"/>
            <w:vMerge/>
            <w:tcBorders>
              <w:left w:val="single" w:sz="4" w:space="0" w:color="000000"/>
              <w:bottom w:val="single" w:sz="4" w:space="0" w:color="000000"/>
              <w:right w:val="single" w:sz="4" w:space="0" w:color="000000"/>
            </w:tcBorders>
          </w:tcPr>
          <w:p>
            <w:pPr/>
          </w:p>
        </w:tc>
        <w:tc>
          <w:tcPr>
            <w:tcW w:w="1356" w:type="dxa"/>
            <w:vMerge/>
            <w:tcBorders>
              <w:left w:val="single" w:sz="4" w:space="0" w:color="000000"/>
              <w:bottom w:val="single" w:sz="4" w:space="0" w:color="000000"/>
              <w:right w:val="single" w:sz="4" w:space="0" w:color="000000"/>
            </w:tcBorders>
          </w:tcPr>
          <w:p>
            <w:pPr/>
          </w:p>
        </w:tc>
      </w:tr>
      <w:tr>
        <w:trPr>
          <w:trHeight w:val="448" w:hRule="exact"/>
        </w:trPr>
        <w:tc>
          <w:tcPr>
            <w:tcW w:w="3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04" w:type="dxa"/>
            <w:tcBorders>
              <w:top w:val="single" w:sz="4" w:space="0" w:color="000000"/>
              <w:left w:val="single" w:sz="9" w:space="0" w:color="D2D2D2"/>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3"/>
          <w:footerReference w:type="default" r:id="rId24"/>
          <w:pgSz w:w="16840" w:h="11910" w:orient="landscape"/>
          <w:pgMar w:header="852" w:footer="980" w:top="1280" w:bottom="1160" w:left="700" w:right="680"/>
          <w:pgNumType w:start="93"/>
        </w:sectPr>
      </w:pPr>
    </w:p>
    <w:tbl>
      <w:tblPr>
        <w:tblW w:w="0" w:type="auto"/>
        <w:jc w:val="left"/>
        <w:tblInd w:w="118" w:type="dxa"/>
        <w:tblLayout w:type="fixed"/>
        <w:tblCellMar>
          <w:top w:w="0" w:type="dxa"/>
          <w:left w:w="0" w:type="dxa"/>
          <w:bottom w:w="0" w:type="dxa"/>
          <w:right w:w="0" w:type="dxa"/>
        </w:tblCellMar>
        <w:tblLook w:val="01E0"/>
      </w:tblPr>
      <w:tblGrid>
        <w:gridCol w:w="3588"/>
        <w:gridCol w:w="1193"/>
        <w:gridCol w:w="1344"/>
        <w:gridCol w:w="1042"/>
        <w:gridCol w:w="1042"/>
        <w:gridCol w:w="1114"/>
        <w:gridCol w:w="1042"/>
        <w:gridCol w:w="1193"/>
        <w:gridCol w:w="1042"/>
        <w:gridCol w:w="1238"/>
        <w:gridCol w:w="1356"/>
      </w:tblGrid>
      <w:tr>
        <w:trPr>
          <w:trHeight w:val="852" w:hRule="exact"/>
        </w:trPr>
        <w:tc>
          <w:tcPr>
            <w:tcW w:w="358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193" w:type="dxa"/>
            <w:tcBorders>
              <w:top w:val="single" w:sz="10" w:space="0" w:color="000000"/>
              <w:left w:val="single" w:sz="4" w:space="0" w:color="000000"/>
              <w:bottom w:val="single" w:sz="4" w:space="0" w:color="000000"/>
              <w:right w:val="single" w:sz="4" w:space="0" w:color="000000"/>
            </w:tcBorders>
          </w:tcPr>
          <w:p>
            <w:pPr/>
          </w:p>
        </w:tc>
        <w:tc>
          <w:tcPr>
            <w:tcW w:w="1344" w:type="dxa"/>
            <w:tcBorders>
              <w:top w:val="single" w:sz="10" w:space="0" w:color="000000"/>
              <w:left w:val="single" w:sz="4" w:space="0" w:color="000000"/>
              <w:bottom w:val="single" w:sz="4" w:space="0" w:color="000000"/>
              <w:right w:val="single" w:sz="4" w:space="0" w:color="000000"/>
            </w:tcBorders>
          </w:tcPr>
          <w:p>
            <w:pPr/>
          </w:p>
        </w:tc>
        <w:tc>
          <w:tcPr>
            <w:tcW w:w="1042" w:type="dxa"/>
            <w:tcBorders>
              <w:top w:val="single" w:sz="10" w:space="0" w:color="000000"/>
              <w:left w:val="single" w:sz="4" w:space="0" w:color="000000"/>
              <w:bottom w:val="single" w:sz="4" w:space="0" w:color="000000"/>
              <w:right w:val="single" w:sz="4" w:space="0" w:color="000000"/>
            </w:tcBorders>
          </w:tcPr>
          <w:p>
            <w:pPr/>
          </w:p>
        </w:tc>
        <w:tc>
          <w:tcPr>
            <w:tcW w:w="1042" w:type="dxa"/>
            <w:tcBorders>
              <w:top w:val="single" w:sz="10" w:space="0" w:color="000000"/>
              <w:left w:val="single" w:sz="4" w:space="0" w:color="000000"/>
              <w:bottom w:val="single" w:sz="4" w:space="0" w:color="000000"/>
              <w:right w:val="single" w:sz="4" w:space="0" w:color="000000"/>
            </w:tcBorders>
          </w:tcPr>
          <w:p>
            <w:pPr/>
          </w:p>
        </w:tc>
        <w:tc>
          <w:tcPr>
            <w:tcW w:w="1114" w:type="dxa"/>
            <w:tcBorders>
              <w:top w:val="single" w:sz="10" w:space="0" w:color="000000"/>
              <w:left w:val="single" w:sz="4" w:space="0" w:color="000000"/>
              <w:bottom w:val="single" w:sz="4" w:space="0" w:color="000000"/>
              <w:right w:val="single" w:sz="4" w:space="0" w:color="000000"/>
            </w:tcBorders>
          </w:tcPr>
          <w:p>
            <w:pPr/>
          </w:p>
        </w:tc>
        <w:tc>
          <w:tcPr>
            <w:tcW w:w="1042" w:type="dxa"/>
            <w:tcBorders>
              <w:top w:val="single" w:sz="10" w:space="0" w:color="000000"/>
              <w:left w:val="single" w:sz="4" w:space="0" w:color="000000"/>
              <w:bottom w:val="single" w:sz="4" w:space="0" w:color="000000"/>
              <w:right w:val="single" w:sz="4" w:space="0" w:color="000000"/>
            </w:tcBorders>
          </w:tcPr>
          <w:p>
            <w:pPr/>
          </w:p>
        </w:tc>
        <w:tc>
          <w:tcPr>
            <w:tcW w:w="119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-113,760,000.0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1042" w:type="dxa"/>
            <w:tcBorders>
              <w:top w:val="single" w:sz="10" w:space="0" w:color="000000"/>
              <w:left w:val="single" w:sz="4" w:space="0" w:color="000000"/>
              <w:bottom w:val="single" w:sz="4" w:space="0" w:color="000000"/>
              <w:right w:val="single" w:sz="4" w:space="0" w:color="000000"/>
            </w:tcBorders>
          </w:tcPr>
          <w:p>
            <w:pPr/>
          </w:p>
        </w:tc>
        <w:tc>
          <w:tcPr>
            <w:tcW w:w="1238" w:type="dxa"/>
            <w:tcBorders>
              <w:top w:val="single" w:sz="10" w:space="0" w:color="000000"/>
              <w:left w:val="single" w:sz="4" w:space="0" w:color="000000"/>
              <w:bottom w:val="single" w:sz="4" w:space="0" w:color="000000"/>
              <w:right w:val="single" w:sz="4" w:space="0" w:color="000000"/>
            </w:tcBorders>
          </w:tcPr>
          <w:p>
            <w:pPr/>
          </w:p>
        </w:tc>
        <w:tc>
          <w:tcPr>
            <w:tcW w:w="135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-113,760,000.00</w:t>
            </w:r>
          </w:p>
        </w:tc>
      </w:tr>
      <w:tr>
        <w:trPr>
          <w:trHeight w:val="492" w:hRule="exact"/>
        </w:trPr>
        <w:tc>
          <w:tcPr>
            <w:tcW w:w="3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3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841" w:hRule="exact"/>
        </w:trPr>
        <w:tc>
          <w:tcPr>
            <w:tcW w:w="3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840" w:hRule="exact"/>
        </w:trPr>
        <w:tc>
          <w:tcPr>
            <w:tcW w:w="358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93" w:type="dxa"/>
            <w:tcBorders>
              <w:top w:val="single" w:sz="4" w:space="0" w:color="000000"/>
              <w:left w:val="single" w:sz="4" w:space="0" w:color="000000"/>
              <w:bottom w:val="single" w:sz="4" w:space="0" w:color="FFFFFF"/>
              <w:right w:val="single" w:sz="4" w:space="0" w:color="000000"/>
            </w:tcBorders>
          </w:tcPr>
          <w:p>
            <w:pPr/>
          </w:p>
        </w:tc>
        <w:tc>
          <w:tcPr>
            <w:tcW w:w="1344" w:type="dxa"/>
            <w:tcBorders>
              <w:top w:val="single" w:sz="4" w:space="0" w:color="000000"/>
              <w:left w:val="single" w:sz="4" w:space="0" w:color="000000"/>
              <w:bottom w:val="single" w:sz="4" w:space="0" w:color="FFFFFF"/>
              <w:right w:val="single" w:sz="4" w:space="0" w:color="000000"/>
            </w:tcBorders>
          </w:tcPr>
          <w:p>
            <w:pPr/>
          </w:p>
        </w:tc>
        <w:tc>
          <w:tcPr>
            <w:tcW w:w="1042" w:type="dxa"/>
            <w:tcBorders>
              <w:top w:val="single" w:sz="4" w:space="0" w:color="000000"/>
              <w:left w:val="single" w:sz="4" w:space="0" w:color="000000"/>
              <w:bottom w:val="single" w:sz="4" w:space="0" w:color="FFFFFF"/>
              <w:right w:val="single" w:sz="4" w:space="0" w:color="000000"/>
            </w:tcBorders>
          </w:tcPr>
          <w:p>
            <w:pPr/>
          </w:p>
        </w:tc>
        <w:tc>
          <w:tcPr>
            <w:tcW w:w="1042" w:type="dxa"/>
            <w:tcBorders>
              <w:top w:val="single" w:sz="4" w:space="0" w:color="000000"/>
              <w:left w:val="single" w:sz="4" w:space="0" w:color="000000"/>
              <w:bottom w:val="single" w:sz="4" w:space="0" w:color="FFFFFF"/>
              <w:right w:val="single" w:sz="4" w:space="0" w:color="000000"/>
            </w:tcBorders>
          </w:tcPr>
          <w:p>
            <w:pPr/>
          </w:p>
        </w:tc>
        <w:tc>
          <w:tcPr>
            <w:tcW w:w="1114" w:type="dxa"/>
            <w:tcBorders>
              <w:top w:val="single" w:sz="4" w:space="0" w:color="000000"/>
              <w:left w:val="single" w:sz="4" w:space="0" w:color="000000"/>
              <w:bottom w:val="single" w:sz="4" w:space="0" w:color="FFFFFF"/>
              <w:right w:val="single" w:sz="4" w:space="0" w:color="000000"/>
            </w:tcBorders>
          </w:tcPr>
          <w:p>
            <w:pPr/>
          </w:p>
        </w:tc>
        <w:tc>
          <w:tcPr>
            <w:tcW w:w="1042" w:type="dxa"/>
            <w:tcBorders>
              <w:top w:val="single" w:sz="4" w:space="0" w:color="000000"/>
              <w:left w:val="single" w:sz="4" w:space="0" w:color="000000"/>
              <w:bottom w:val="single" w:sz="4" w:space="0" w:color="FFFFFF"/>
              <w:right w:val="single" w:sz="4" w:space="0" w:color="000000"/>
            </w:tcBorders>
          </w:tcPr>
          <w:p>
            <w:pPr/>
          </w:p>
        </w:tc>
        <w:tc>
          <w:tcPr>
            <w:tcW w:w="1193" w:type="dxa"/>
            <w:tcBorders>
              <w:top w:val="single" w:sz="4" w:space="0" w:color="000000"/>
              <w:left w:val="single" w:sz="4" w:space="0" w:color="000000"/>
              <w:bottom w:val="single" w:sz="4" w:space="0" w:color="FFFFFF"/>
              <w:right w:val="single" w:sz="4" w:space="0" w:color="000000"/>
            </w:tcBorders>
          </w:tcPr>
          <w:p>
            <w:pPr/>
          </w:p>
        </w:tc>
        <w:tc>
          <w:tcPr>
            <w:tcW w:w="1042" w:type="dxa"/>
            <w:tcBorders>
              <w:top w:val="single" w:sz="4" w:space="0" w:color="000000"/>
              <w:left w:val="single" w:sz="4" w:space="0" w:color="000000"/>
              <w:bottom w:val="single" w:sz="4" w:space="0" w:color="FFFFFF"/>
              <w:right w:val="single" w:sz="4" w:space="0" w:color="000000"/>
            </w:tcBorders>
          </w:tcPr>
          <w:p>
            <w:pPr/>
          </w:p>
        </w:tc>
        <w:tc>
          <w:tcPr>
            <w:tcW w:w="1238" w:type="dxa"/>
            <w:tcBorders>
              <w:top w:val="single" w:sz="4" w:space="0" w:color="000000"/>
              <w:left w:val="single" w:sz="4" w:space="0" w:color="000000"/>
              <w:bottom w:val="single" w:sz="4" w:space="0" w:color="FFFFFF"/>
              <w:right w:val="single" w:sz="4" w:space="0" w:color="000000"/>
            </w:tcBorders>
          </w:tcPr>
          <w:p>
            <w:pPr/>
          </w:p>
        </w:tc>
        <w:tc>
          <w:tcPr>
            <w:tcW w:w="1356" w:type="dxa"/>
            <w:tcBorders>
              <w:top w:val="single" w:sz="4" w:space="0" w:color="000000"/>
              <w:left w:val="single" w:sz="4" w:space="0" w:color="000000"/>
              <w:bottom w:val="single" w:sz="4" w:space="0" w:color="FFFFFF"/>
              <w:right w:val="single" w:sz="4" w:space="0" w:color="000000"/>
            </w:tcBorders>
          </w:tcPr>
          <w:p>
            <w:pPr/>
          </w:p>
        </w:tc>
      </w:tr>
      <w:tr>
        <w:trPr>
          <w:trHeight w:val="468" w:hRule="exact"/>
        </w:trPr>
        <w:tc>
          <w:tcPr>
            <w:tcW w:w="358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7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93" w:type="dxa"/>
            <w:tcBorders>
              <w:top w:val="single" w:sz="4" w:space="0" w:color="FFFFFF"/>
              <w:left w:val="single" w:sz="4" w:space="0" w:color="000000"/>
              <w:bottom w:val="single" w:sz="4" w:space="0" w:color="FFFFFF"/>
              <w:right w:val="single" w:sz="4" w:space="0" w:color="000000"/>
            </w:tcBorders>
          </w:tcPr>
          <w:p>
            <w:pPr/>
          </w:p>
        </w:tc>
        <w:tc>
          <w:tcPr>
            <w:tcW w:w="1344" w:type="dxa"/>
            <w:tcBorders>
              <w:top w:val="single" w:sz="4" w:space="0" w:color="FFFFFF"/>
              <w:left w:val="single" w:sz="4" w:space="0" w:color="000000"/>
              <w:bottom w:val="single" w:sz="4" w:space="0" w:color="FFFFFF"/>
              <w:right w:val="single" w:sz="4" w:space="0" w:color="000000"/>
            </w:tcBorders>
          </w:tcPr>
          <w:p>
            <w:pPr/>
          </w:p>
        </w:tc>
        <w:tc>
          <w:tcPr>
            <w:tcW w:w="1042" w:type="dxa"/>
            <w:tcBorders>
              <w:top w:val="single" w:sz="4" w:space="0" w:color="FFFFFF"/>
              <w:left w:val="single" w:sz="4" w:space="0" w:color="000000"/>
              <w:bottom w:val="single" w:sz="4" w:space="0" w:color="FFFFFF"/>
              <w:right w:val="single" w:sz="4" w:space="0" w:color="000000"/>
            </w:tcBorders>
          </w:tcPr>
          <w:p>
            <w:pPr/>
          </w:p>
        </w:tc>
        <w:tc>
          <w:tcPr>
            <w:tcW w:w="1042" w:type="dxa"/>
            <w:tcBorders>
              <w:top w:val="single" w:sz="4" w:space="0" w:color="FFFFFF"/>
              <w:left w:val="single" w:sz="4" w:space="0" w:color="000000"/>
              <w:bottom w:val="single" w:sz="4" w:space="0" w:color="FFFFFF"/>
              <w:right w:val="single" w:sz="4" w:space="0" w:color="000000"/>
            </w:tcBorders>
          </w:tcPr>
          <w:p>
            <w:pPr/>
          </w:p>
        </w:tc>
        <w:tc>
          <w:tcPr>
            <w:tcW w:w="1114" w:type="dxa"/>
            <w:tcBorders>
              <w:top w:val="single" w:sz="4" w:space="0" w:color="FFFFFF"/>
              <w:left w:val="single" w:sz="4" w:space="0" w:color="000000"/>
              <w:bottom w:val="single" w:sz="4" w:space="0" w:color="FFFFFF"/>
              <w:right w:val="single" w:sz="4" w:space="0" w:color="000000"/>
            </w:tcBorders>
          </w:tcPr>
          <w:p>
            <w:pPr/>
          </w:p>
        </w:tc>
        <w:tc>
          <w:tcPr>
            <w:tcW w:w="1042" w:type="dxa"/>
            <w:tcBorders>
              <w:top w:val="single" w:sz="4" w:space="0" w:color="FFFFFF"/>
              <w:left w:val="single" w:sz="4" w:space="0" w:color="000000"/>
              <w:bottom w:val="single" w:sz="4" w:space="0" w:color="FFFFFF"/>
              <w:right w:val="single" w:sz="4" w:space="0" w:color="000000"/>
            </w:tcBorders>
          </w:tcPr>
          <w:p>
            <w:pPr/>
          </w:p>
        </w:tc>
        <w:tc>
          <w:tcPr>
            <w:tcW w:w="1193" w:type="dxa"/>
            <w:tcBorders>
              <w:top w:val="single" w:sz="4" w:space="0" w:color="FFFFFF"/>
              <w:left w:val="single" w:sz="4" w:space="0" w:color="000000"/>
              <w:bottom w:val="single" w:sz="4" w:space="0" w:color="FFFFFF"/>
              <w:right w:val="single" w:sz="4" w:space="0" w:color="000000"/>
            </w:tcBorders>
          </w:tcPr>
          <w:p>
            <w:pPr/>
          </w:p>
        </w:tc>
        <w:tc>
          <w:tcPr>
            <w:tcW w:w="1042" w:type="dxa"/>
            <w:tcBorders>
              <w:top w:val="single" w:sz="4" w:space="0" w:color="FFFFFF"/>
              <w:left w:val="single" w:sz="4" w:space="0" w:color="000000"/>
              <w:bottom w:val="single" w:sz="4" w:space="0" w:color="FFFFFF"/>
              <w:right w:val="single" w:sz="4" w:space="0" w:color="000000"/>
            </w:tcBorders>
          </w:tcPr>
          <w:p>
            <w:pPr/>
          </w:p>
        </w:tc>
        <w:tc>
          <w:tcPr>
            <w:tcW w:w="1238" w:type="dxa"/>
            <w:tcBorders>
              <w:top w:val="single" w:sz="4" w:space="0" w:color="FFFFFF"/>
              <w:left w:val="single" w:sz="4" w:space="0" w:color="000000"/>
              <w:bottom w:val="single" w:sz="4" w:space="0" w:color="FFFFFF"/>
              <w:right w:val="single" w:sz="4" w:space="0" w:color="000000"/>
            </w:tcBorders>
          </w:tcPr>
          <w:p>
            <w:pPr/>
          </w:p>
        </w:tc>
        <w:tc>
          <w:tcPr>
            <w:tcW w:w="1356" w:type="dxa"/>
            <w:tcBorders>
              <w:top w:val="single" w:sz="4" w:space="0" w:color="FFFFFF"/>
              <w:left w:val="single" w:sz="4" w:space="0" w:color="000000"/>
              <w:bottom w:val="single" w:sz="4" w:space="0" w:color="FFFFFF"/>
              <w:right w:val="single" w:sz="4" w:space="0" w:color="000000"/>
            </w:tcBorders>
          </w:tcPr>
          <w:p>
            <w:pPr/>
          </w:p>
        </w:tc>
      </w:tr>
      <w:tr>
        <w:trPr>
          <w:trHeight w:val="470" w:hRule="exact"/>
        </w:trPr>
        <w:tc>
          <w:tcPr>
            <w:tcW w:w="358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FFFFFF"/>
              <w:left w:val="single" w:sz="4" w:space="0" w:color="000000"/>
              <w:bottom w:val="single" w:sz="4" w:space="0" w:color="000000"/>
              <w:right w:val="single" w:sz="4" w:space="0" w:color="000000"/>
            </w:tcBorders>
          </w:tcPr>
          <w:p>
            <w:pPr/>
          </w:p>
        </w:tc>
        <w:tc>
          <w:tcPr>
            <w:tcW w:w="1344" w:type="dxa"/>
            <w:tcBorders>
              <w:top w:val="single" w:sz="4" w:space="0" w:color="FFFFFF"/>
              <w:left w:val="single" w:sz="4" w:space="0" w:color="000000"/>
              <w:bottom w:val="single" w:sz="4" w:space="0" w:color="000000"/>
              <w:right w:val="single" w:sz="4" w:space="0" w:color="000000"/>
            </w:tcBorders>
          </w:tcPr>
          <w:p>
            <w:pPr/>
          </w:p>
        </w:tc>
        <w:tc>
          <w:tcPr>
            <w:tcW w:w="1042" w:type="dxa"/>
            <w:tcBorders>
              <w:top w:val="single" w:sz="4" w:space="0" w:color="FFFFFF"/>
              <w:left w:val="single" w:sz="4" w:space="0" w:color="000000"/>
              <w:bottom w:val="single" w:sz="4" w:space="0" w:color="000000"/>
              <w:right w:val="single" w:sz="4" w:space="0" w:color="000000"/>
            </w:tcBorders>
          </w:tcPr>
          <w:p>
            <w:pPr/>
          </w:p>
        </w:tc>
        <w:tc>
          <w:tcPr>
            <w:tcW w:w="1042" w:type="dxa"/>
            <w:tcBorders>
              <w:top w:val="single" w:sz="4" w:space="0" w:color="FFFFFF"/>
              <w:left w:val="single" w:sz="4" w:space="0" w:color="000000"/>
              <w:bottom w:val="single" w:sz="4" w:space="0" w:color="000000"/>
              <w:right w:val="single" w:sz="4" w:space="0" w:color="000000"/>
            </w:tcBorders>
          </w:tcPr>
          <w:p>
            <w:pPr/>
          </w:p>
        </w:tc>
        <w:tc>
          <w:tcPr>
            <w:tcW w:w="1114" w:type="dxa"/>
            <w:tcBorders>
              <w:top w:val="single" w:sz="4" w:space="0" w:color="FFFFFF"/>
              <w:left w:val="single" w:sz="4" w:space="0" w:color="000000"/>
              <w:bottom w:val="single" w:sz="4" w:space="0" w:color="000000"/>
              <w:right w:val="single" w:sz="4" w:space="0" w:color="000000"/>
            </w:tcBorders>
          </w:tcPr>
          <w:p>
            <w:pPr/>
          </w:p>
        </w:tc>
        <w:tc>
          <w:tcPr>
            <w:tcW w:w="1042" w:type="dxa"/>
            <w:tcBorders>
              <w:top w:val="single" w:sz="4" w:space="0" w:color="FFFFFF"/>
              <w:left w:val="single" w:sz="4" w:space="0" w:color="000000"/>
              <w:bottom w:val="single" w:sz="4" w:space="0" w:color="000000"/>
              <w:right w:val="single" w:sz="4" w:space="0" w:color="000000"/>
            </w:tcBorders>
          </w:tcPr>
          <w:p>
            <w:pPr/>
          </w:p>
        </w:tc>
        <w:tc>
          <w:tcPr>
            <w:tcW w:w="1193" w:type="dxa"/>
            <w:tcBorders>
              <w:top w:val="single" w:sz="4" w:space="0" w:color="FFFFFF"/>
              <w:left w:val="single" w:sz="4" w:space="0" w:color="000000"/>
              <w:bottom w:val="single" w:sz="4" w:space="0" w:color="000000"/>
              <w:right w:val="single" w:sz="4" w:space="0" w:color="000000"/>
            </w:tcBorders>
          </w:tcPr>
          <w:p>
            <w:pPr/>
          </w:p>
        </w:tc>
        <w:tc>
          <w:tcPr>
            <w:tcW w:w="1042" w:type="dxa"/>
            <w:tcBorders>
              <w:top w:val="single" w:sz="4" w:space="0" w:color="FFFFFF"/>
              <w:left w:val="single" w:sz="4" w:space="0" w:color="000000"/>
              <w:bottom w:val="single" w:sz="4" w:space="0" w:color="000000"/>
              <w:right w:val="single" w:sz="4" w:space="0" w:color="000000"/>
            </w:tcBorders>
          </w:tcPr>
          <w:p>
            <w:pPr/>
          </w:p>
        </w:tc>
        <w:tc>
          <w:tcPr>
            <w:tcW w:w="1238" w:type="dxa"/>
            <w:tcBorders>
              <w:top w:val="single" w:sz="4" w:space="0" w:color="FFFFFF"/>
              <w:left w:val="single" w:sz="4" w:space="0" w:color="000000"/>
              <w:bottom w:val="single" w:sz="4" w:space="0" w:color="000000"/>
              <w:right w:val="single" w:sz="4" w:space="0" w:color="000000"/>
            </w:tcBorders>
          </w:tcPr>
          <w:p>
            <w:pPr/>
          </w:p>
        </w:tc>
        <w:tc>
          <w:tcPr>
            <w:tcW w:w="1356" w:type="dxa"/>
            <w:tcBorders>
              <w:top w:val="single" w:sz="4" w:space="0" w:color="FFFFFF"/>
              <w:left w:val="single" w:sz="4" w:space="0" w:color="000000"/>
              <w:bottom w:val="single" w:sz="4" w:space="0" w:color="000000"/>
              <w:right w:val="single" w:sz="4" w:space="0" w:color="000000"/>
            </w:tcBorders>
          </w:tcPr>
          <w:p>
            <w:pPr/>
          </w:p>
        </w:tc>
      </w:tr>
      <w:tr>
        <w:trPr>
          <w:trHeight w:val="494" w:hRule="exact"/>
        </w:trPr>
        <w:tc>
          <w:tcPr>
            <w:tcW w:w="3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3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94" w:hRule="exact"/>
        </w:trPr>
        <w:tc>
          <w:tcPr>
            <w:tcW w:w="358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93" w:type="dxa"/>
            <w:tcBorders>
              <w:top w:val="single" w:sz="4" w:space="0" w:color="000000"/>
              <w:left w:val="single" w:sz="4" w:space="0" w:color="000000"/>
              <w:bottom w:val="single" w:sz="4" w:space="0" w:color="FFFFFF"/>
              <w:right w:val="single" w:sz="4" w:space="0" w:color="000000"/>
            </w:tcBorders>
          </w:tcPr>
          <w:p>
            <w:pPr/>
          </w:p>
        </w:tc>
        <w:tc>
          <w:tcPr>
            <w:tcW w:w="1344" w:type="dxa"/>
            <w:tcBorders>
              <w:top w:val="single" w:sz="4" w:space="0" w:color="000000"/>
              <w:left w:val="single" w:sz="4" w:space="0" w:color="000000"/>
              <w:bottom w:val="single" w:sz="4" w:space="0" w:color="FFFFFF"/>
              <w:right w:val="single" w:sz="4" w:space="0" w:color="000000"/>
            </w:tcBorders>
          </w:tcPr>
          <w:p>
            <w:pPr/>
          </w:p>
        </w:tc>
        <w:tc>
          <w:tcPr>
            <w:tcW w:w="1042" w:type="dxa"/>
            <w:tcBorders>
              <w:top w:val="single" w:sz="4" w:space="0" w:color="000000"/>
              <w:left w:val="single" w:sz="4" w:space="0" w:color="000000"/>
              <w:bottom w:val="single" w:sz="4" w:space="0" w:color="FFFFFF"/>
              <w:right w:val="single" w:sz="4" w:space="0" w:color="000000"/>
            </w:tcBorders>
          </w:tcPr>
          <w:p>
            <w:pPr/>
          </w:p>
        </w:tc>
        <w:tc>
          <w:tcPr>
            <w:tcW w:w="1042" w:type="dxa"/>
            <w:tcBorders>
              <w:top w:val="single" w:sz="4" w:space="0" w:color="000000"/>
              <w:left w:val="single" w:sz="4" w:space="0" w:color="000000"/>
              <w:bottom w:val="single" w:sz="4" w:space="0" w:color="FFFFFF"/>
              <w:right w:val="single" w:sz="4" w:space="0" w:color="000000"/>
            </w:tcBorders>
          </w:tcPr>
          <w:p>
            <w:pPr/>
          </w:p>
        </w:tc>
        <w:tc>
          <w:tcPr>
            <w:tcW w:w="1114" w:type="dxa"/>
            <w:tcBorders>
              <w:top w:val="single" w:sz="4" w:space="0" w:color="000000"/>
              <w:left w:val="single" w:sz="4" w:space="0" w:color="000000"/>
              <w:bottom w:val="single" w:sz="4" w:space="0" w:color="FFFFFF"/>
              <w:right w:val="single" w:sz="4" w:space="0" w:color="000000"/>
            </w:tcBorders>
          </w:tcPr>
          <w:p>
            <w:pPr/>
          </w:p>
        </w:tc>
        <w:tc>
          <w:tcPr>
            <w:tcW w:w="1042" w:type="dxa"/>
            <w:tcBorders>
              <w:top w:val="single" w:sz="4" w:space="0" w:color="000000"/>
              <w:left w:val="single" w:sz="4" w:space="0" w:color="000000"/>
              <w:bottom w:val="single" w:sz="4" w:space="0" w:color="FFFFFF"/>
              <w:right w:val="single" w:sz="4" w:space="0" w:color="000000"/>
            </w:tcBorders>
          </w:tcPr>
          <w:p>
            <w:pPr/>
          </w:p>
        </w:tc>
        <w:tc>
          <w:tcPr>
            <w:tcW w:w="1193" w:type="dxa"/>
            <w:tcBorders>
              <w:top w:val="single" w:sz="4" w:space="0" w:color="000000"/>
              <w:left w:val="single" w:sz="4" w:space="0" w:color="000000"/>
              <w:bottom w:val="single" w:sz="4" w:space="0" w:color="FFFFFF"/>
              <w:right w:val="single" w:sz="4" w:space="0" w:color="000000"/>
            </w:tcBorders>
          </w:tcPr>
          <w:p>
            <w:pPr/>
          </w:p>
        </w:tc>
        <w:tc>
          <w:tcPr>
            <w:tcW w:w="1042" w:type="dxa"/>
            <w:tcBorders>
              <w:top w:val="single" w:sz="4" w:space="0" w:color="000000"/>
              <w:left w:val="single" w:sz="4" w:space="0" w:color="000000"/>
              <w:bottom w:val="single" w:sz="4" w:space="0" w:color="FFFFFF"/>
              <w:right w:val="single" w:sz="4" w:space="0" w:color="000000"/>
            </w:tcBorders>
          </w:tcPr>
          <w:p>
            <w:pPr/>
          </w:p>
        </w:tc>
        <w:tc>
          <w:tcPr>
            <w:tcW w:w="1238" w:type="dxa"/>
            <w:tcBorders>
              <w:top w:val="single" w:sz="4" w:space="0" w:color="000000"/>
              <w:left w:val="single" w:sz="4" w:space="0" w:color="000000"/>
              <w:bottom w:val="single" w:sz="4" w:space="0" w:color="FFFFFF"/>
              <w:right w:val="single" w:sz="4" w:space="0" w:color="000000"/>
            </w:tcBorders>
          </w:tcPr>
          <w:p>
            <w:pPr/>
          </w:p>
        </w:tc>
        <w:tc>
          <w:tcPr>
            <w:tcW w:w="1356" w:type="dxa"/>
            <w:tcBorders>
              <w:top w:val="single" w:sz="4" w:space="0" w:color="000000"/>
              <w:left w:val="single" w:sz="4" w:space="0" w:color="000000"/>
              <w:bottom w:val="single" w:sz="4" w:space="0" w:color="FFFFFF"/>
              <w:right w:val="single" w:sz="4" w:space="0" w:color="000000"/>
            </w:tcBorders>
          </w:tcPr>
          <w:p>
            <w:pPr/>
          </w:p>
        </w:tc>
      </w:tr>
      <w:tr>
        <w:trPr>
          <w:trHeight w:val="468" w:hRule="exact"/>
        </w:trPr>
        <w:tc>
          <w:tcPr>
            <w:tcW w:w="358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75"/>
              <w:ind w:left="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193" w:type="dxa"/>
            <w:tcBorders>
              <w:top w:val="single" w:sz="4" w:space="0" w:color="FFFFFF"/>
              <w:left w:val="single" w:sz="4" w:space="0" w:color="000000"/>
              <w:bottom w:val="single" w:sz="4" w:space="0" w:color="000000"/>
              <w:right w:val="single" w:sz="4" w:space="0" w:color="000000"/>
            </w:tcBorders>
          </w:tcPr>
          <w:p>
            <w:pPr/>
          </w:p>
        </w:tc>
        <w:tc>
          <w:tcPr>
            <w:tcW w:w="1344" w:type="dxa"/>
            <w:tcBorders>
              <w:top w:val="single" w:sz="4" w:space="0" w:color="FFFFFF"/>
              <w:left w:val="single" w:sz="4" w:space="0" w:color="000000"/>
              <w:bottom w:val="single" w:sz="4" w:space="0" w:color="000000"/>
              <w:right w:val="single" w:sz="4" w:space="0" w:color="000000"/>
            </w:tcBorders>
          </w:tcPr>
          <w:p>
            <w:pPr/>
          </w:p>
        </w:tc>
        <w:tc>
          <w:tcPr>
            <w:tcW w:w="1042" w:type="dxa"/>
            <w:tcBorders>
              <w:top w:val="single" w:sz="4" w:space="0" w:color="FFFFFF"/>
              <w:left w:val="single" w:sz="4" w:space="0" w:color="000000"/>
              <w:bottom w:val="single" w:sz="4" w:space="0" w:color="000000"/>
              <w:right w:val="single" w:sz="4" w:space="0" w:color="000000"/>
            </w:tcBorders>
          </w:tcPr>
          <w:p>
            <w:pPr/>
          </w:p>
        </w:tc>
        <w:tc>
          <w:tcPr>
            <w:tcW w:w="1042" w:type="dxa"/>
            <w:tcBorders>
              <w:top w:val="single" w:sz="4" w:space="0" w:color="FFFFFF"/>
              <w:left w:val="single" w:sz="4" w:space="0" w:color="000000"/>
              <w:bottom w:val="single" w:sz="4" w:space="0" w:color="000000"/>
              <w:right w:val="single" w:sz="4" w:space="0" w:color="000000"/>
            </w:tcBorders>
          </w:tcPr>
          <w:p>
            <w:pPr/>
          </w:p>
        </w:tc>
        <w:tc>
          <w:tcPr>
            <w:tcW w:w="1114" w:type="dxa"/>
            <w:tcBorders>
              <w:top w:val="single" w:sz="4" w:space="0" w:color="FFFFFF"/>
              <w:left w:val="single" w:sz="4" w:space="0" w:color="000000"/>
              <w:bottom w:val="single" w:sz="4" w:space="0" w:color="000000"/>
              <w:right w:val="single" w:sz="4" w:space="0" w:color="000000"/>
            </w:tcBorders>
          </w:tcPr>
          <w:p>
            <w:pPr/>
          </w:p>
        </w:tc>
        <w:tc>
          <w:tcPr>
            <w:tcW w:w="1042" w:type="dxa"/>
            <w:tcBorders>
              <w:top w:val="single" w:sz="4" w:space="0" w:color="FFFFFF"/>
              <w:left w:val="single" w:sz="4" w:space="0" w:color="000000"/>
              <w:bottom w:val="single" w:sz="4" w:space="0" w:color="000000"/>
              <w:right w:val="single" w:sz="4" w:space="0" w:color="000000"/>
            </w:tcBorders>
          </w:tcPr>
          <w:p>
            <w:pPr/>
          </w:p>
        </w:tc>
        <w:tc>
          <w:tcPr>
            <w:tcW w:w="1193" w:type="dxa"/>
            <w:tcBorders>
              <w:top w:val="single" w:sz="4" w:space="0" w:color="FFFFFF"/>
              <w:left w:val="single" w:sz="4" w:space="0" w:color="000000"/>
              <w:bottom w:val="single" w:sz="4" w:space="0" w:color="000000"/>
              <w:right w:val="single" w:sz="4" w:space="0" w:color="000000"/>
            </w:tcBorders>
          </w:tcPr>
          <w:p>
            <w:pPr/>
          </w:p>
        </w:tc>
        <w:tc>
          <w:tcPr>
            <w:tcW w:w="1042" w:type="dxa"/>
            <w:tcBorders>
              <w:top w:val="single" w:sz="4" w:space="0" w:color="FFFFFF"/>
              <w:left w:val="single" w:sz="4" w:space="0" w:color="000000"/>
              <w:bottom w:val="single" w:sz="4" w:space="0" w:color="000000"/>
              <w:right w:val="single" w:sz="4" w:space="0" w:color="000000"/>
            </w:tcBorders>
          </w:tcPr>
          <w:p>
            <w:pPr/>
          </w:p>
        </w:tc>
        <w:tc>
          <w:tcPr>
            <w:tcW w:w="1238" w:type="dxa"/>
            <w:tcBorders>
              <w:top w:val="single" w:sz="4" w:space="0" w:color="FFFFFF"/>
              <w:left w:val="single" w:sz="4" w:space="0" w:color="000000"/>
              <w:bottom w:val="single" w:sz="4" w:space="0" w:color="000000"/>
              <w:right w:val="single" w:sz="4" w:space="0" w:color="000000"/>
            </w:tcBorders>
          </w:tcPr>
          <w:p>
            <w:pPr/>
          </w:p>
        </w:tc>
        <w:tc>
          <w:tcPr>
            <w:tcW w:w="1356" w:type="dxa"/>
            <w:tcBorders>
              <w:top w:val="single" w:sz="4" w:space="0" w:color="FFFFFF"/>
              <w:left w:val="single" w:sz="4" w:space="0" w:color="000000"/>
              <w:bottom w:val="single" w:sz="4" w:space="0" w:color="000000"/>
              <w:right w:val="single" w:sz="4" w:space="0" w:color="000000"/>
            </w:tcBorders>
          </w:tcPr>
          <w:p>
            <w:pPr/>
          </w:p>
        </w:tc>
      </w:tr>
      <w:tr>
        <w:trPr>
          <w:trHeight w:val="794" w:hRule="exact"/>
        </w:trPr>
        <w:tc>
          <w:tcPr>
            <w:tcW w:w="3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383,383,700.00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1,562,530,490.56</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102,225,038.6</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1</w:t>
            </w:r>
          </w:p>
        </w:tc>
        <w:tc>
          <w:tcPr>
            <w:tcW w:w="104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1,144,270,378.</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-35,948.26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20,595,654.18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3,212,969,313.15</w:t>
            </w:r>
          </w:p>
        </w:tc>
      </w:tr>
    </w:tbl>
    <w:p>
      <w:pPr>
        <w:pStyle w:val="BodyText"/>
        <w:tabs>
          <w:tab w:pos="13891" w:val="left" w:leader="none"/>
        </w:tabs>
        <w:spacing w:line="240" w:lineRule="auto" w:before="3"/>
        <w:ind w:left="740" w:right="0"/>
        <w:jc w:val="left"/>
      </w:pPr>
      <w:r>
        <w:rPr/>
        <w:t>上年金额</w:t>
        <w:tab/>
        <w:t>单位：元</w:t>
      </w:r>
    </w:p>
    <w:p>
      <w:pPr>
        <w:spacing w:line="240" w:lineRule="auto" w:before="6"/>
        <w:rPr>
          <w:rFonts w:ascii="宋体" w:hAnsi="宋体" w:cs="宋体" w:eastAsia="宋体" w:hint="default"/>
          <w:sz w:val="5"/>
          <w:szCs w:val="5"/>
        </w:rPr>
      </w:pPr>
    </w:p>
    <w:tbl>
      <w:tblPr>
        <w:tblW w:w="0" w:type="auto"/>
        <w:jc w:val="left"/>
        <w:tblInd w:w="178" w:type="dxa"/>
        <w:tblLayout w:type="fixed"/>
        <w:tblCellMar>
          <w:top w:w="0" w:type="dxa"/>
          <w:left w:w="0" w:type="dxa"/>
          <w:bottom w:w="0" w:type="dxa"/>
          <w:right w:w="0" w:type="dxa"/>
        </w:tblCellMar>
        <w:tblLook w:val="01E0"/>
      </w:tblPr>
      <w:tblGrid>
        <w:gridCol w:w="3521"/>
        <w:gridCol w:w="1251"/>
        <w:gridCol w:w="1327"/>
        <w:gridCol w:w="1020"/>
        <w:gridCol w:w="1020"/>
        <w:gridCol w:w="1094"/>
        <w:gridCol w:w="1020"/>
        <w:gridCol w:w="1250"/>
        <w:gridCol w:w="1023"/>
        <w:gridCol w:w="1214"/>
        <w:gridCol w:w="1334"/>
      </w:tblGrid>
      <w:tr>
        <w:trPr>
          <w:trHeight w:val="460" w:hRule="exact"/>
        </w:trPr>
        <w:tc>
          <w:tcPr>
            <w:tcW w:w="35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55" w:type="dxa"/>
            <w:gridSpan w:val="10"/>
            <w:tcBorders>
              <w:top w:val="single" w:sz="4" w:space="0" w:color="000000"/>
              <w:left w:val="single" w:sz="4" w:space="0" w:color="000000"/>
              <w:bottom w:val="single" w:sz="26" w:space="0" w:color="FFFFFF"/>
              <w:right w:val="single" w:sz="4" w:space="0" w:color="000000"/>
            </w:tcBorders>
            <w:shd w:val="clear" w:color="auto" w:fill="D2D2D2"/>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6" w:hRule="exact"/>
        </w:trPr>
        <w:tc>
          <w:tcPr>
            <w:tcW w:w="3521" w:type="dxa"/>
            <w:vMerge/>
            <w:tcBorders>
              <w:left w:val="single" w:sz="4" w:space="0" w:color="000000"/>
              <w:right w:val="single" w:sz="4" w:space="0" w:color="000000"/>
            </w:tcBorders>
            <w:shd w:val="clear" w:color="auto" w:fill="D2D2D2"/>
          </w:tcPr>
          <w:p>
            <w:pPr/>
          </w:p>
        </w:tc>
        <w:tc>
          <w:tcPr>
            <w:tcW w:w="9006" w:type="dxa"/>
            <w:gridSpan w:val="8"/>
            <w:tcBorders>
              <w:top w:val="single" w:sz="26"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14" w:type="dxa"/>
            <w:vMerge w:val="restart"/>
            <w:tcBorders>
              <w:top w:val="single" w:sz="26" w:space="0" w:color="FFFFFF"/>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34" w:type="dxa"/>
            <w:vMerge w:val="restart"/>
            <w:tcBorders>
              <w:top w:val="single" w:sz="26" w:space="0" w:color="FFFFFF"/>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557" w:hRule="exact"/>
        </w:trPr>
        <w:tc>
          <w:tcPr>
            <w:tcW w:w="3521" w:type="dxa"/>
            <w:vMerge/>
            <w:tcBorders>
              <w:left w:val="single" w:sz="4" w:space="0" w:color="000000"/>
              <w:bottom w:val="single" w:sz="4" w:space="0" w:color="000000"/>
              <w:right w:val="single" w:sz="4" w:space="0" w:color="000000"/>
            </w:tcBorders>
            <w:shd w:val="clear" w:color="auto" w:fill="D2D2D2"/>
          </w:tcPr>
          <w:p>
            <w:pPr/>
          </w:p>
        </w:tc>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439" w:right="22" w:hanging="416"/>
              <w:jc w:val="left"/>
              <w:rPr>
                <w:rFonts w:ascii="宋体" w:hAnsi="宋体" w:cs="宋体" w:eastAsia="宋体" w:hint="default"/>
                <w:sz w:val="18"/>
                <w:szCs w:val="18"/>
              </w:rPr>
            </w:pPr>
            <w:r>
              <w:rPr>
                <w:rFonts w:ascii="宋体" w:hAnsi="宋体" w:cs="宋体" w:eastAsia="宋体" w:hint="default"/>
                <w:spacing w:val="-10"/>
                <w:sz w:val="18"/>
                <w:szCs w:val="18"/>
              </w:rPr>
              <w:t>实收资本（或股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29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5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14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1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415" w:right="53" w:hanging="360"/>
              <w:jc w:val="left"/>
              <w:rPr>
                <w:rFonts w:ascii="宋体" w:hAnsi="宋体" w:cs="宋体" w:eastAsia="宋体" w:hint="default"/>
                <w:sz w:val="18"/>
                <w:szCs w:val="18"/>
              </w:rPr>
            </w:pPr>
            <w:r>
              <w:rPr>
                <w:rFonts w:ascii="宋体" w:hAnsi="宋体" w:cs="宋体" w:eastAsia="宋体" w:hint="default"/>
                <w:sz w:val="18"/>
                <w:szCs w:val="18"/>
              </w:rPr>
              <w:t>一般风险准 备</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17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3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14" w:type="dxa"/>
            <w:vMerge/>
            <w:tcBorders>
              <w:left w:val="single" w:sz="4" w:space="0" w:color="000000"/>
              <w:bottom w:val="single" w:sz="4" w:space="0" w:color="000000"/>
              <w:right w:val="single" w:sz="4" w:space="0" w:color="000000"/>
            </w:tcBorders>
            <w:shd w:val="clear" w:color="auto" w:fill="D2D2D2"/>
          </w:tcPr>
          <w:p>
            <w:pPr/>
          </w:p>
        </w:tc>
        <w:tc>
          <w:tcPr>
            <w:tcW w:w="1334"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6840" w:h="11910" w:orient="landscape"/>
          <w:pgMar w:header="852" w:footer="980" w:top="1320" w:bottom="1160" w:left="700" w:right="700"/>
        </w:sectPr>
      </w:pPr>
    </w:p>
    <w:tbl>
      <w:tblPr>
        <w:tblW w:w="0" w:type="auto"/>
        <w:jc w:val="left"/>
        <w:tblInd w:w="118" w:type="dxa"/>
        <w:tblLayout w:type="fixed"/>
        <w:tblCellMar>
          <w:top w:w="0" w:type="dxa"/>
          <w:left w:w="0" w:type="dxa"/>
          <w:bottom w:w="0" w:type="dxa"/>
          <w:right w:w="0" w:type="dxa"/>
        </w:tblCellMar>
        <w:tblLook w:val="01E0"/>
      </w:tblPr>
      <w:tblGrid>
        <w:gridCol w:w="3521"/>
        <w:gridCol w:w="125"/>
        <w:gridCol w:w="1126"/>
        <w:gridCol w:w="1327"/>
        <w:gridCol w:w="1020"/>
        <w:gridCol w:w="1020"/>
        <w:gridCol w:w="1094"/>
        <w:gridCol w:w="1020"/>
        <w:gridCol w:w="1250"/>
        <w:gridCol w:w="1023"/>
        <w:gridCol w:w="1214"/>
        <w:gridCol w:w="1332"/>
      </w:tblGrid>
      <w:tr>
        <w:trPr>
          <w:trHeight w:val="444" w:hRule="exact"/>
        </w:trPr>
        <w:tc>
          <w:tcPr>
            <w:tcW w:w="3521"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51" w:type="dxa"/>
            <w:gridSpan w:val="2"/>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3"/>
              <w:ind w:left="91" w:right="0"/>
              <w:jc w:val="left"/>
              <w:rPr>
                <w:rFonts w:ascii="Times New Roman" w:hAnsi="Times New Roman" w:cs="Times New Roman" w:eastAsia="Times New Roman" w:hint="default"/>
                <w:sz w:val="18"/>
                <w:szCs w:val="18"/>
              </w:rPr>
            </w:pPr>
            <w:r>
              <w:rPr>
                <w:rFonts w:ascii="Times New Roman"/>
                <w:sz w:val="18"/>
              </w:rPr>
              <w:t>316,000,000.00</w:t>
            </w:r>
          </w:p>
        </w:tc>
        <w:tc>
          <w:tcPr>
            <w:tcW w:w="132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1,561,942,524.85</w:t>
            </w:r>
          </w:p>
        </w:tc>
        <w:tc>
          <w:tcPr>
            <w:tcW w:w="1020" w:type="dxa"/>
            <w:tcBorders>
              <w:top w:val="single" w:sz="10" w:space="0" w:color="000000"/>
              <w:left w:val="single" w:sz="4" w:space="0" w:color="000000"/>
              <w:bottom w:val="single" w:sz="4" w:space="0" w:color="000000"/>
              <w:right w:val="single" w:sz="4" w:space="0" w:color="000000"/>
            </w:tcBorders>
          </w:tcPr>
          <w:p>
            <w:pPr/>
          </w:p>
        </w:tc>
        <w:tc>
          <w:tcPr>
            <w:tcW w:w="1020" w:type="dxa"/>
            <w:tcBorders>
              <w:top w:val="single" w:sz="10" w:space="0" w:color="000000"/>
              <w:left w:val="single" w:sz="4" w:space="0" w:color="000000"/>
              <w:bottom w:val="single" w:sz="4" w:space="0" w:color="000000"/>
              <w:right w:val="single" w:sz="4" w:space="0" w:color="000000"/>
            </w:tcBorders>
          </w:tcPr>
          <w:p>
            <w:pPr/>
          </w:p>
        </w:tc>
        <w:tc>
          <w:tcPr>
            <w:tcW w:w="10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46,500,882.85</w:t>
            </w:r>
          </w:p>
        </w:tc>
        <w:tc>
          <w:tcPr>
            <w:tcW w:w="1020" w:type="dxa"/>
            <w:tcBorders>
              <w:top w:val="single" w:sz="10" w:space="0" w:color="000000"/>
              <w:left w:val="single" w:sz="4" w:space="0" w:color="000000"/>
              <w:bottom w:val="single" w:sz="4" w:space="0" w:color="000000"/>
              <w:right w:val="single" w:sz="4" w:space="0" w:color="000000"/>
            </w:tcBorders>
          </w:tcPr>
          <w:p>
            <w:pPr/>
          </w:p>
        </w:tc>
        <w:tc>
          <w:tcPr>
            <w:tcW w:w="125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3"/>
              <w:ind w:left="67" w:right="0"/>
              <w:jc w:val="center"/>
              <w:rPr>
                <w:rFonts w:ascii="Times New Roman" w:hAnsi="Times New Roman" w:cs="Times New Roman" w:eastAsia="Times New Roman" w:hint="default"/>
                <w:sz w:val="18"/>
                <w:szCs w:val="18"/>
              </w:rPr>
            </w:pPr>
            <w:r>
              <w:rPr>
                <w:rFonts w:ascii="Times New Roman"/>
                <w:sz w:val="18"/>
              </w:rPr>
              <w:t>626,332,806.12</w:t>
            </w:r>
          </w:p>
        </w:tc>
        <w:tc>
          <w:tcPr>
            <w:tcW w:w="1023" w:type="dxa"/>
            <w:tcBorders>
              <w:top w:val="single" w:sz="10" w:space="0" w:color="000000"/>
              <w:left w:val="single" w:sz="4" w:space="0" w:color="000000"/>
              <w:bottom w:val="single" w:sz="4" w:space="0" w:color="000000"/>
              <w:right w:val="single" w:sz="4" w:space="0" w:color="000000"/>
            </w:tcBorders>
          </w:tcPr>
          <w:p>
            <w:pPr/>
          </w:p>
        </w:tc>
        <w:tc>
          <w:tcPr>
            <w:tcW w:w="121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3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2,553,776,213.82</w:t>
            </w:r>
          </w:p>
        </w:tc>
      </w:tr>
      <w:tr>
        <w:trPr>
          <w:trHeight w:val="559" w:hRule="exact"/>
        </w:trPr>
        <w:tc>
          <w:tcPr>
            <w:tcW w:w="3521"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34" w:lineRule="exact" w:before="5"/>
              <w:ind w:left="384" w:right="0"/>
              <w:jc w:val="left"/>
              <w:rPr>
                <w:rFonts w:ascii="宋体" w:hAnsi="宋体" w:cs="宋体" w:eastAsia="宋体" w:hint="default"/>
                <w:sz w:val="18"/>
                <w:szCs w:val="18"/>
              </w:rPr>
            </w:pPr>
            <w:r>
              <w:rPr>
                <w:rFonts w:ascii="宋体" w:hAnsi="宋体" w:cs="宋体" w:eastAsia="宋体" w:hint="default"/>
                <w:sz w:val="18"/>
                <w:szCs w:val="18"/>
              </w:rPr>
              <w:t>加：同一控制下企业合并产生的追溯调</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整</w:t>
            </w:r>
          </w:p>
        </w:tc>
        <w:tc>
          <w:tcPr>
            <w:tcW w:w="1251" w:type="dxa"/>
            <w:gridSpan w:val="2"/>
            <w:tcBorders>
              <w:top w:val="single" w:sz="4" w:space="0" w:color="000000"/>
              <w:left w:val="single" w:sz="4" w:space="0" w:color="000000"/>
              <w:bottom w:val="single" w:sz="4" w:space="0" w:color="FFFFFF"/>
              <w:right w:val="single" w:sz="4" w:space="0" w:color="000000"/>
            </w:tcBorders>
          </w:tcPr>
          <w:p>
            <w:pPr/>
          </w:p>
        </w:tc>
        <w:tc>
          <w:tcPr>
            <w:tcW w:w="1327" w:type="dxa"/>
            <w:tcBorders>
              <w:top w:val="single" w:sz="4" w:space="0" w:color="000000"/>
              <w:left w:val="single" w:sz="4" w:space="0" w:color="000000"/>
              <w:bottom w:val="single" w:sz="4" w:space="0" w:color="FFFFFF"/>
              <w:right w:val="single" w:sz="4" w:space="0" w:color="000000"/>
            </w:tcBorders>
          </w:tcPr>
          <w:p>
            <w:pPr/>
          </w:p>
        </w:tc>
        <w:tc>
          <w:tcPr>
            <w:tcW w:w="1020" w:type="dxa"/>
            <w:tcBorders>
              <w:top w:val="single" w:sz="4" w:space="0" w:color="000000"/>
              <w:left w:val="single" w:sz="4" w:space="0" w:color="000000"/>
              <w:bottom w:val="single" w:sz="4" w:space="0" w:color="FFFFFF"/>
              <w:right w:val="single" w:sz="4" w:space="0" w:color="000000"/>
            </w:tcBorders>
          </w:tcPr>
          <w:p>
            <w:pPr/>
          </w:p>
        </w:tc>
        <w:tc>
          <w:tcPr>
            <w:tcW w:w="1020" w:type="dxa"/>
            <w:tcBorders>
              <w:top w:val="single" w:sz="4" w:space="0" w:color="000000"/>
              <w:left w:val="single" w:sz="4" w:space="0" w:color="000000"/>
              <w:bottom w:val="single" w:sz="4" w:space="0" w:color="FFFFFF"/>
              <w:right w:val="single" w:sz="4" w:space="0" w:color="000000"/>
            </w:tcBorders>
          </w:tcPr>
          <w:p>
            <w:pPr/>
          </w:p>
        </w:tc>
        <w:tc>
          <w:tcPr>
            <w:tcW w:w="1094" w:type="dxa"/>
            <w:tcBorders>
              <w:top w:val="single" w:sz="4" w:space="0" w:color="000000"/>
              <w:left w:val="single" w:sz="4" w:space="0" w:color="000000"/>
              <w:bottom w:val="single" w:sz="4" w:space="0" w:color="FFFFFF"/>
              <w:right w:val="single" w:sz="4" w:space="0" w:color="000000"/>
            </w:tcBorders>
          </w:tcPr>
          <w:p>
            <w:pPr/>
          </w:p>
        </w:tc>
        <w:tc>
          <w:tcPr>
            <w:tcW w:w="1020" w:type="dxa"/>
            <w:tcBorders>
              <w:top w:val="single" w:sz="4" w:space="0" w:color="000000"/>
              <w:left w:val="single" w:sz="4" w:space="0" w:color="000000"/>
              <w:bottom w:val="single" w:sz="4" w:space="0" w:color="FFFFFF"/>
              <w:right w:val="single" w:sz="4" w:space="0" w:color="000000"/>
            </w:tcBorders>
          </w:tcPr>
          <w:p>
            <w:pPr/>
          </w:p>
        </w:tc>
        <w:tc>
          <w:tcPr>
            <w:tcW w:w="1250" w:type="dxa"/>
            <w:tcBorders>
              <w:top w:val="single" w:sz="4" w:space="0" w:color="000000"/>
              <w:left w:val="single" w:sz="4" w:space="0" w:color="000000"/>
              <w:bottom w:val="single" w:sz="4" w:space="0" w:color="FFFFFF"/>
              <w:right w:val="single" w:sz="4" w:space="0" w:color="000000"/>
            </w:tcBorders>
          </w:tcPr>
          <w:p>
            <w:pPr/>
          </w:p>
        </w:tc>
        <w:tc>
          <w:tcPr>
            <w:tcW w:w="1023" w:type="dxa"/>
            <w:tcBorders>
              <w:top w:val="single" w:sz="4" w:space="0" w:color="000000"/>
              <w:left w:val="single" w:sz="4" w:space="0" w:color="000000"/>
              <w:bottom w:val="single" w:sz="4" w:space="0" w:color="FFFFFF"/>
              <w:right w:val="single" w:sz="4" w:space="0" w:color="000000"/>
            </w:tcBorders>
          </w:tcPr>
          <w:p>
            <w:pPr/>
          </w:p>
        </w:tc>
        <w:tc>
          <w:tcPr>
            <w:tcW w:w="1214" w:type="dxa"/>
            <w:tcBorders>
              <w:top w:val="single" w:sz="4" w:space="0" w:color="000000"/>
              <w:left w:val="single" w:sz="4" w:space="0" w:color="000000"/>
              <w:bottom w:val="single" w:sz="4" w:space="0" w:color="FFFFFF"/>
              <w:right w:val="single" w:sz="4" w:space="0" w:color="000000"/>
            </w:tcBorders>
          </w:tcPr>
          <w:p>
            <w:pPr/>
          </w:p>
        </w:tc>
        <w:tc>
          <w:tcPr>
            <w:tcW w:w="1332" w:type="dxa"/>
            <w:tcBorders>
              <w:top w:val="single" w:sz="4" w:space="0" w:color="000000"/>
              <w:left w:val="single" w:sz="4" w:space="0" w:color="000000"/>
              <w:bottom w:val="single" w:sz="4" w:space="0" w:color="FFFFFF"/>
              <w:right w:val="single" w:sz="4" w:space="0" w:color="000000"/>
            </w:tcBorders>
          </w:tcPr>
          <w:p>
            <w:pPr/>
          </w:p>
        </w:tc>
      </w:tr>
      <w:tr>
        <w:trPr>
          <w:trHeight w:val="432" w:hRule="exact"/>
        </w:trPr>
        <w:tc>
          <w:tcPr>
            <w:tcW w:w="3521"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51" w:type="dxa"/>
            <w:gridSpan w:val="2"/>
            <w:tcBorders>
              <w:top w:val="single" w:sz="4" w:space="0" w:color="FFFFFF"/>
              <w:left w:val="single" w:sz="4" w:space="0" w:color="000000"/>
              <w:bottom w:val="single" w:sz="4" w:space="0" w:color="FFFFFF"/>
              <w:right w:val="single" w:sz="4" w:space="0" w:color="000000"/>
            </w:tcBorders>
          </w:tcPr>
          <w:p>
            <w:pPr/>
          </w:p>
        </w:tc>
        <w:tc>
          <w:tcPr>
            <w:tcW w:w="1327" w:type="dxa"/>
            <w:tcBorders>
              <w:top w:val="single" w:sz="4" w:space="0" w:color="FFFFFF"/>
              <w:left w:val="single" w:sz="4" w:space="0" w:color="000000"/>
              <w:bottom w:val="single" w:sz="4" w:space="0" w:color="FFFFFF"/>
              <w:right w:val="single" w:sz="4" w:space="0" w:color="000000"/>
            </w:tcBorders>
          </w:tcPr>
          <w:p>
            <w:pPr/>
          </w:p>
        </w:tc>
        <w:tc>
          <w:tcPr>
            <w:tcW w:w="1020" w:type="dxa"/>
            <w:tcBorders>
              <w:top w:val="single" w:sz="4" w:space="0" w:color="FFFFFF"/>
              <w:left w:val="single" w:sz="4" w:space="0" w:color="000000"/>
              <w:bottom w:val="single" w:sz="4" w:space="0" w:color="FFFFFF"/>
              <w:right w:val="single" w:sz="4" w:space="0" w:color="000000"/>
            </w:tcBorders>
          </w:tcPr>
          <w:p>
            <w:pPr/>
          </w:p>
        </w:tc>
        <w:tc>
          <w:tcPr>
            <w:tcW w:w="1020" w:type="dxa"/>
            <w:tcBorders>
              <w:top w:val="single" w:sz="4" w:space="0" w:color="FFFFFF"/>
              <w:left w:val="single" w:sz="4" w:space="0" w:color="000000"/>
              <w:bottom w:val="single" w:sz="4" w:space="0" w:color="FFFFFF"/>
              <w:right w:val="single" w:sz="4" w:space="0" w:color="000000"/>
            </w:tcBorders>
          </w:tcPr>
          <w:p>
            <w:pPr/>
          </w:p>
        </w:tc>
        <w:tc>
          <w:tcPr>
            <w:tcW w:w="1094" w:type="dxa"/>
            <w:tcBorders>
              <w:top w:val="single" w:sz="4" w:space="0" w:color="FFFFFF"/>
              <w:left w:val="single" w:sz="4" w:space="0" w:color="000000"/>
              <w:bottom w:val="single" w:sz="4" w:space="0" w:color="FFFFFF"/>
              <w:right w:val="single" w:sz="4" w:space="0" w:color="000000"/>
            </w:tcBorders>
          </w:tcPr>
          <w:p>
            <w:pPr/>
          </w:p>
        </w:tc>
        <w:tc>
          <w:tcPr>
            <w:tcW w:w="1020" w:type="dxa"/>
            <w:tcBorders>
              <w:top w:val="single" w:sz="4" w:space="0" w:color="FFFFFF"/>
              <w:left w:val="single" w:sz="4" w:space="0" w:color="000000"/>
              <w:bottom w:val="single" w:sz="4" w:space="0" w:color="FFFFFF"/>
              <w:right w:val="single" w:sz="4" w:space="0" w:color="000000"/>
            </w:tcBorders>
          </w:tcPr>
          <w:p>
            <w:pPr/>
          </w:p>
        </w:tc>
        <w:tc>
          <w:tcPr>
            <w:tcW w:w="1250" w:type="dxa"/>
            <w:tcBorders>
              <w:top w:val="single" w:sz="4" w:space="0" w:color="FFFFFF"/>
              <w:left w:val="single" w:sz="4" w:space="0" w:color="000000"/>
              <w:bottom w:val="single" w:sz="4" w:space="0" w:color="FFFFFF"/>
              <w:right w:val="single" w:sz="4" w:space="0" w:color="000000"/>
            </w:tcBorders>
          </w:tcPr>
          <w:p>
            <w:pPr/>
          </w:p>
        </w:tc>
        <w:tc>
          <w:tcPr>
            <w:tcW w:w="1023" w:type="dxa"/>
            <w:tcBorders>
              <w:top w:val="single" w:sz="4" w:space="0" w:color="FFFFFF"/>
              <w:left w:val="single" w:sz="4" w:space="0" w:color="000000"/>
              <w:bottom w:val="single" w:sz="4" w:space="0" w:color="FFFFFF"/>
              <w:right w:val="single" w:sz="4" w:space="0" w:color="000000"/>
            </w:tcBorders>
          </w:tcPr>
          <w:p>
            <w:pPr/>
          </w:p>
        </w:tc>
        <w:tc>
          <w:tcPr>
            <w:tcW w:w="1214" w:type="dxa"/>
            <w:tcBorders>
              <w:top w:val="single" w:sz="4" w:space="0" w:color="FFFFFF"/>
              <w:left w:val="single" w:sz="4" w:space="0" w:color="000000"/>
              <w:bottom w:val="single" w:sz="4" w:space="0" w:color="FFFFFF"/>
              <w:right w:val="single" w:sz="4" w:space="0" w:color="000000"/>
            </w:tcBorders>
          </w:tcPr>
          <w:p>
            <w:pPr/>
          </w:p>
        </w:tc>
        <w:tc>
          <w:tcPr>
            <w:tcW w:w="1332" w:type="dxa"/>
            <w:tcBorders>
              <w:top w:val="single" w:sz="4" w:space="0" w:color="FFFFFF"/>
              <w:left w:val="single" w:sz="4" w:space="0" w:color="000000"/>
              <w:bottom w:val="single" w:sz="4" w:space="0" w:color="FFFFFF"/>
              <w:right w:val="single" w:sz="4" w:space="0" w:color="000000"/>
            </w:tcBorders>
          </w:tcPr>
          <w:p>
            <w:pPr/>
          </w:p>
        </w:tc>
      </w:tr>
      <w:tr>
        <w:trPr>
          <w:trHeight w:val="432" w:hRule="exact"/>
        </w:trPr>
        <w:tc>
          <w:tcPr>
            <w:tcW w:w="3521"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51" w:type="dxa"/>
            <w:gridSpan w:val="2"/>
            <w:tcBorders>
              <w:top w:val="single" w:sz="4" w:space="0" w:color="FFFFFF"/>
              <w:left w:val="single" w:sz="4" w:space="0" w:color="000000"/>
              <w:bottom w:val="single" w:sz="4" w:space="0" w:color="FFFFFF"/>
              <w:right w:val="single" w:sz="4" w:space="0" w:color="000000"/>
            </w:tcBorders>
          </w:tcPr>
          <w:p>
            <w:pPr/>
          </w:p>
        </w:tc>
        <w:tc>
          <w:tcPr>
            <w:tcW w:w="1327" w:type="dxa"/>
            <w:tcBorders>
              <w:top w:val="single" w:sz="4" w:space="0" w:color="FFFFFF"/>
              <w:left w:val="single" w:sz="4" w:space="0" w:color="000000"/>
              <w:bottom w:val="single" w:sz="4" w:space="0" w:color="FFFFFF"/>
              <w:right w:val="single" w:sz="4" w:space="0" w:color="000000"/>
            </w:tcBorders>
          </w:tcPr>
          <w:p>
            <w:pPr/>
          </w:p>
        </w:tc>
        <w:tc>
          <w:tcPr>
            <w:tcW w:w="1020" w:type="dxa"/>
            <w:tcBorders>
              <w:top w:val="single" w:sz="4" w:space="0" w:color="FFFFFF"/>
              <w:left w:val="single" w:sz="4" w:space="0" w:color="000000"/>
              <w:bottom w:val="single" w:sz="4" w:space="0" w:color="FFFFFF"/>
              <w:right w:val="single" w:sz="4" w:space="0" w:color="000000"/>
            </w:tcBorders>
          </w:tcPr>
          <w:p>
            <w:pPr/>
          </w:p>
        </w:tc>
        <w:tc>
          <w:tcPr>
            <w:tcW w:w="1020" w:type="dxa"/>
            <w:tcBorders>
              <w:top w:val="single" w:sz="4" w:space="0" w:color="FFFFFF"/>
              <w:left w:val="single" w:sz="4" w:space="0" w:color="000000"/>
              <w:bottom w:val="single" w:sz="4" w:space="0" w:color="FFFFFF"/>
              <w:right w:val="single" w:sz="4" w:space="0" w:color="000000"/>
            </w:tcBorders>
          </w:tcPr>
          <w:p>
            <w:pPr/>
          </w:p>
        </w:tc>
        <w:tc>
          <w:tcPr>
            <w:tcW w:w="1094" w:type="dxa"/>
            <w:tcBorders>
              <w:top w:val="single" w:sz="4" w:space="0" w:color="FFFFFF"/>
              <w:left w:val="single" w:sz="4" w:space="0" w:color="000000"/>
              <w:bottom w:val="single" w:sz="4" w:space="0" w:color="FFFFFF"/>
              <w:right w:val="single" w:sz="4" w:space="0" w:color="000000"/>
            </w:tcBorders>
          </w:tcPr>
          <w:p>
            <w:pPr/>
          </w:p>
        </w:tc>
        <w:tc>
          <w:tcPr>
            <w:tcW w:w="1020" w:type="dxa"/>
            <w:tcBorders>
              <w:top w:val="single" w:sz="4" w:space="0" w:color="FFFFFF"/>
              <w:left w:val="single" w:sz="4" w:space="0" w:color="000000"/>
              <w:bottom w:val="single" w:sz="4" w:space="0" w:color="FFFFFF"/>
              <w:right w:val="single" w:sz="4" w:space="0" w:color="000000"/>
            </w:tcBorders>
          </w:tcPr>
          <w:p>
            <w:pPr/>
          </w:p>
        </w:tc>
        <w:tc>
          <w:tcPr>
            <w:tcW w:w="1250" w:type="dxa"/>
            <w:tcBorders>
              <w:top w:val="single" w:sz="4" w:space="0" w:color="FFFFFF"/>
              <w:left w:val="single" w:sz="4" w:space="0" w:color="000000"/>
              <w:bottom w:val="single" w:sz="4" w:space="0" w:color="FFFFFF"/>
              <w:right w:val="single" w:sz="4" w:space="0" w:color="000000"/>
            </w:tcBorders>
          </w:tcPr>
          <w:p>
            <w:pPr/>
          </w:p>
        </w:tc>
        <w:tc>
          <w:tcPr>
            <w:tcW w:w="1023" w:type="dxa"/>
            <w:tcBorders>
              <w:top w:val="single" w:sz="4" w:space="0" w:color="FFFFFF"/>
              <w:left w:val="single" w:sz="4" w:space="0" w:color="000000"/>
              <w:bottom w:val="single" w:sz="4" w:space="0" w:color="FFFFFF"/>
              <w:right w:val="single" w:sz="4" w:space="0" w:color="000000"/>
            </w:tcBorders>
          </w:tcPr>
          <w:p>
            <w:pPr/>
          </w:p>
        </w:tc>
        <w:tc>
          <w:tcPr>
            <w:tcW w:w="1214" w:type="dxa"/>
            <w:tcBorders>
              <w:top w:val="single" w:sz="4" w:space="0" w:color="FFFFFF"/>
              <w:left w:val="single" w:sz="4" w:space="0" w:color="000000"/>
              <w:bottom w:val="single" w:sz="4" w:space="0" w:color="FFFFFF"/>
              <w:right w:val="single" w:sz="4" w:space="0" w:color="000000"/>
            </w:tcBorders>
          </w:tcPr>
          <w:p>
            <w:pPr/>
          </w:p>
        </w:tc>
        <w:tc>
          <w:tcPr>
            <w:tcW w:w="1332" w:type="dxa"/>
            <w:tcBorders>
              <w:top w:val="single" w:sz="4" w:space="0" w:color="FFFFFF"/>
              <w:left w:val="single" w:sz="4" w:space="0" w:color="000000"/>
              <w:bottom w:val="single" w:sz="4" w:space="0" w:color="FFFFFF"/>
              <w:right w:val="single" w:sz="4" w:space="0" w:color="000000"/>
            </w:tcBorders>
          </w:tcPr>
          <w:p>
            <w:pPr/>
          </w:p>
        </w:tc>
      </w:tr>
      <w:tr>
        <w:trPr>
          <w:trHeight w:val="434" w:hRule="exact"/>
        </w:trPr>
        <w:tc>
          <w:tcPr>
            <w:tcW w:w="3521"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51" w:type="dxa"/>
            <w:gridSpan w:val="2"/>
            <w:tcBorders>
              <w:top w:val="single" w:sz="4" w:space="0" w:color="FFFFFF"/>
              <w:left w:val="single" w:sz="4" w:space="0" w:color="000000"/>
              <w:bottom w:val="single" w:sz="4" w:space="0" w:color="FFFFFF"/>
              <w:right w:val="single" w:sz="4" w:space="0" w:color="000000"/>
            </w:tcBorders>
          </w:tcPr>
          <w:p>
            <w:pPr/>
          </w:p>
        </w:tc>
        <w:tc>
          <w:tcPr>
            <w:tcW w:w="1327" w:type="dxa"/>
            <w:tcBorders>
              <w:top w:val="single" w:sz="4" w:space="0" w:color="FFFFFF"/>
              <w:left w:val="single" w:sz="4" w:space="0" w:color="000000"/>
              <w:bottom w:val="single" w:sz="4" w:space="0" w:color="FFFFFF"/>
              <w:right w:val="single" w:sz="4" w:space="0" w:color="000000"/>
            </w:tcBorders>
          </w:tcPr>
          <w:p>
            <w:pPr/>
          </w:p>
        </w:tc>
        <w:tc>
          <w:tcPr>
            <w:tcW w:w="1020" w:type="dxa"/>
            <w:tcBorders>
              <w:top w:val="single" w:sz="4" w:space="0" w:color="FFFFFF"/>
              <w:left w:val="single" w:sz="4" w:space="0" w:color="000000"/>
              <w:bottom w:val="single" w:sz="4" w:space="0" w:color="FFFFFF"/>
              <w:right w:val="single" w:sz="4" w:space="0" w:color="000000"/>
            </w:tcBorders>
          </w:tcPr>
          <w:p>
            <w:pPr/>
          </w:p>
        </w:tc>
        <w:tc>
          <w:tcPr>
            <w:tcW w:w="1020" w:type="dxa"/>
            <w:tcBorders>
              <w:top w:val="single" w:sz="4" w:space="0" w:color="FFFFFF"/>
              <w:left w:val="single" w:sz="4" w:space="0" w:color="000000"/>
              <w:bottom w:val="single" w:sz="4" w:space="0" w:color="FFFFFF"/>
              <w:right w:val="single" w:sz="4" w:space="0" w:color="000000"/>
            </w:tcBorders>
          </w:tcPr>
          <w:p>
            <w:pPr/>
          </w:p>
        </w:tc>
        <w:tc>
          <w:tcPr>
            <w:tcW w:w="1094" w:type="dxa"/>
            <w:tcBorders>
              <w:top w:val="single" w:sz="4" w:space="0" w:color="FFFFFF"/>
              <w:left w:val="single" w:sz="4" w:space="0" w:color="000000"/>
              <w:bottom w:val="single" w:sz="4" w:space="0" w:color="FFFFFF"/>
              <w:right w:val="single" w:sz="4" w:space="0" w:color="000000"/>
            </w:tcBorders>
          </w:tcPr>
          <w:p>
            <w:pPr/>
          </w:p>
        </w:tc>
        <w:tc>
          <w:tcPr>
            <w:tcW w:w="1020" w:type="dxa"/>
            <w:tcBorders>
              <w:top w:val="single" w:sz="4" w:space="0" w:color="FFFFFF"/>
              <w:left w:val="single" w:sz="4" w:space="0" w:color="000000"/>
              <w:bottom w:val="single" w:sz="4" w:space="0" w:color="FFFFFF"/>
              <w:right w:val="single" w:sz="4" w:space="0" w:color="000000"/>
            </w:tcBorders>
          </w:tcPr>
          <w:p>
            <w:pPr/>
          </w:p>
        </w:tc>
        <w:tc>
          <w:tcPr>
            <w:tcW w:w="1250" w:type="dxa"/>
            <w:tcBorders>
              <w:top w:val="single" w:sz="4" w:space="0" w:color="FFFFFF"/>
              <w:left w:val="single" w:sz="4" w:space="0" w:color="000000"/>
              <w:bottom w:val="single" w:sz="4" w:space="0" w:color="FFFFFF"/>
              <w:right w:val="single" w:sz="4" w:space="0" w:color="000000"/>
            </w:tcBorders>
          </w:tcPr>
          <w:p>
            <w:pPr/>
          </w:p>
        </w:tc>
        <w:tc>
          <w:tcPr>
            <w:tcW w:w="1023" w:type="dxa"/>
            <w:tcBorders>
              <w:top w:val="single" w:sz="4" w:space="0" w:color="FFFFFF"/>
              <w:left w:val="single" w:sz="4" w:space="0" w:color="000000"/>
              <w:bottom w:val="single" w:sz="4" w:space="0" w:color="FFFFFF"/>
              <w:right w:val="single" w:sz="4" w:space="0" w:color="000000"/>
            </w:tcBorders>
          </w:tcPr>
          <w:p>
            <w:pPr/>
          </w:p>
        </w:tc>
        <w:tc>
          <w:tcPr>
            <w:tcW w:w="1214" w:type="dxa"/>
            <w:tcBorders>
              <w:top w:val="single" w:sz="4" w:space="0" w:color="FFFFFF"/>
              <w:left w:val="single" w:sz="4" w:space="0" w:color="000000"/>
              <w:bottom w:val="single" w:sz="4" w:space="0" w:color="FFFFFF"/>
              <w:right w:val="single" w:sz="4" w:space="0" w:color="000000"/>
            </w:tcBorders>
          </w:tcPr>
          <w:p>
            <w:pPr/>
          </w:p>
        </w:tc>
        <w:tc>
          <w:tcPr>
            <w:tcW w:w="1332" w:type="dxa"/>
            <w:tcBorders>
              <w:top w:val="single" w:sz="4" w:space="0" w:color="FFFFFF"/>
              <w:left w:val="single" w:sz="4" w:space="0" w:color="000000"/>
              <w:bottom w:val="single" w:sz="4" w:space="0" w:color="FFFFFF"/>
              <w:right w:val="single" w:sz="4" w:space="0" w:color="000000"/>
            </w:tcBorders>
          </w:tcPr>
          <w:p>
            <w:pPr/>
          </w:p>
        </w:tc>
      </w:tr>
      <w:tr>
        <w:trPr>
          <w:trHeight w:val="433" w:hRule="exact"/>
        </w:trPr>
        <w:tc>
          <w:tcPr>
            <w:tcW w:w="3521"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51" w:type="dxa"/>
            <w:gridSpan w:val="2"/>
            <w:tcBorders>
              <w:top w:val="single" w:sz="4" w:space="0" w:color="FFFFFF"/>
              <w:left w:val="single" w:sz="4" w:space="0" w:color="000000"/>
              <w:bottom w:val="single" w:sz="4" w:space="0" w:color="FFFFFF"/>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316,000,000.00</w:t>
            </w:r>
          </w:p>
        </w:tc>
        <w:tc>
          <w:tcPr>
            <w:tcW w:w="1327"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1,561,942,524.85</w:t>
            </w:r>
          </w:p>
        </w:tc>
        <w:tc>
          <w:tcPr>
            <w:tcW w:w="1020" w:type="dxa"/>
            <w:tcBorders>
              <w:top w:val="single" w:sz="4" w:space="0" w:color="FFFFFF"/>
              <w:left w:val="single" w:sz="4" w:space="0" w:color="000000"/>
              <w:bottom w:val="single" w:sz="4" w:space="0" w:color="FFFFFF"/>
              <w:right w:val="single" w:sz="4" w:space="0" w:color="000000"/>
            </w:tcBorders>
          </w:tcPr>
          <w:p>
            <w:pPr/>
          </w:p>
        </w:tc>
        <w:tc>
          <w:tcPr>
            <w:tcW w:w="1020" w:type="dxa"/>
            <w:tcBorders>
              <w:top w:val="single" w:sz="4" w:space="0" w:color="FFFFFF"/>
              <w:left w:val="single" w:sz="4" w:space="0" w:color="000000"/>
              <w:bottom w:val="single" w:sz="4" w:space="0" w:color="FFFFFF"/>
              <w:right w:val="single" w:sz="4" w:space="0" w:color="000000"/>
            </w:tcBorders>
          </w:tcPr>
          <w:p>
            <w:pPr/>
          </w:p>
        </w:tc>
        <w:tc>
          <w:tcPr>
            <w:tcW w:w="10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46,500,882.85</w:t>
            </w:r>
          </w:p>
        </w:tc>
        <w:tc>
          <w:tcPr>
            <w:tcW w:w="1020" w:type="dxa"/>
            <w:tcBorders>
              <w:top w:val="single" w:sz="4" w:space="0" w:color="FFFFFF"/>
              <w:left w:val="single" w:sz="4" w:space="0" w:color="000000"/>
              <w:bottom w:val="single" w:sz="4" w:space="0" w:color="FFFFFF"/>
              <w:right w:val="single" w:sz="4" w:space="0" w:color="000000"/>
            </w:tcBorders>
          </w:tcPr>
          <w:p>
            <w:pPr/>
          </w:p>
        </w:tc>
        <w:tc>
          <w:tcPr>
            <w:tcW w:w="125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6"/>
              <w:ind w:left="67" w:right="0"/>
              <w:jc w:val="center"/>
              <w:rPr>
                <w:rFonts w:ascii="Times New Roman" w:hAnsi="Times New Roman" w:cs="Times New Roman" w:eastAsia="Times New Roman" w:hint="default"/>
                <w:sz w:val="18"/>
                <w:szCs w:val="18"/>
              </w:rPr>
            </w:pPr>
            <w:r>
              <w:rPr>
                <w:rFonts w:ascii="Times New Roman"/>
                <w:sz w:val="18"/>
              </w:rPr>
              <w:t>626,332,806.12</w:t>
            </w:r>
          </w:p>
        </w:tc>
        <w:tc>
          <w:tcPr>
            <w:tcW w:w="1023" w:type="dxa"/>
            <w:tcBorders>
              <w:top w:val="single" w:sz="4" w:space="0" w:color="FFFFFF"/>
              <w:left w:val="single" w:sz="4" w:space="0" w:color="000000"/>
              <w:bottom w:val="single" w:sz="4" w:space="0" w:color="FFFFFF"/>
              <w:right w:val="single" w:sz="4" w:space="0" w:color="000000"/>
            </w:tcBorders>
          </w:tcPr>
          <w:p>
            <w:pPr/>
          </w:p>
        </w:tc>
        <w:tc>
          <w:tcPr>
            <w:tcW w:w="121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3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2,553,776,213.82</w:t>
            </w:r>
          </w:p>
        </w:tc>
      </w:tr>
      <w:tr>
        <w:trPr>
          <w:trHeight w:val="434" w:hRule="exact"/>
        </w:trPr>
        <w:tc>
          <w:tcPr>
            <w:tcW w:w="3521"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w:t>
            </w:r>
            <w:r>
              <w:rPr>
                <w:rFonts w:ascii="宋体" w:hAnsi="宋体" w:cs="宋体" w:eastAsia="宋体" w:hint="default"/>
                <w:spacing w:val="-13"/>
                <w:sz w:val="18"/>
                <w:szCs w:val="18"/>
              </w:rPr>
              <w:t>、</w:t>
            </w:r>
            <w:r>
              <w:rPr>
                <w:rFonts w:ascii="宋体" w:hAnsi="宋体" w:cs="宋体" w:eastAsia="宋体" w:hint="default"/>
                <w:sz w:val="18"/>
                <w:szCs w:val="18"/>
              </w:rPr>
              <w:t>本期增减变动金</w:t>
            </w:r>
            <w:r>
              <w:rPr>
                <w:rFonts w:ascii="宋体" w:hAnsi="宋体" w:cs="宋体" w:eastAsia="宋体" w:hint="default"/>
                <w:spacing w:val="-13"/>
                <w:sz w:val="18"/>
                <w:szCs w:val="18"/>
              </w:rPr>
              <w:t>额</w:t>
            </w:r>
            <w:r>
              <w:rPr>
                <w:rFonts w:ascii="宋体" w:hAnsi="宋体" w:cs="宋体" w:eastAsia="宋体" w:hint="default"/>
                <w:sz w:val="18"/>
                <w:szCs w:val="18"/>
              </w:rPr>
              <w:t>（减少以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w w:val="158"/>
                <w:sz w:val="18"/>
                <w:szCs w:val="18"/>
              </w:rPr>
              <w:t>‖</w:t>
            </w:r>
            <w:r>
              <w:rPr>
                <w:rFonts w:ascii="Times New Roman" w:hAnsi="Times New Roman" w:cs="Times New Roman" w:eastAsia="Times New Roman" w:hint="default"/>
                <w:sz w:val="18"/>
                <w:szCs w:val="18"/>
              </w:rPr>
            </w:r>
          </w:p>
        </w:tc>
        <w:tc>
          <w:tcPr>
            <w:tcW w:w="125" w:type="dxa"/>
            <w:tcBorders>
              <w:top w:val="single" w:sz="4" w:space="0" w:color="FFFFFF"/>
              <w:left w:val="single" w:sz="4" w:space="0" w:color="000000"/>
              <w:bottom w:val="single" w:sz="4" w:space="0" w:color="FFFFFF"/>
              <w:right w:val="nil" w:sz="6" w:space="0" w:color="auto"/>
            </w:tcBorders>
          </w:tcPr>
          <w:p>
            <w:pPr/>
          </w:p>
        </w:tc>
        <w:tc>
          <w:tcPr>
            <w:tcW w:w="1126" w:type="dxa"/>
            <w:tcBorders>
              <w:top w:val="single" w:sz="4" w:space="0" w:color="FFFFFF"/>
              <w:left w:val="nil" w:sz="6" w:space="0" w:color="auto"/>
              <w:bottom w:val="single" w:sz="4" w:space="0" w:color="FFFFFF"/>
              <w:right w:val="single" w:sz="4" w:space="0" w:color="000000"/>
            </w:tcBorders>
          </w:tcPr>
          <w:p>
            <w:pPr>
              <w:pStyle w:val="TableParagraph"/>
              <w:spacing w:line="240" w:lineRule="auto" w:before="98"/>
              <w:ind w:left="62" w:right="0"/>
              <w:jc w:val="left"/>
              <w:rPr>
                <w:rFonts w:ascii="Times New Roman" w:hAnsi="Times New Roman" w:cs="Times New Roman" w:eastAsia="Times New Roman" w:hint="default"/>
                <w:sz w:val="18"/>
                <w:szCs w:val="18"/>
              </w:rPr>
            </w:pPr>
            <w:r>
              <w:rPr>
                <w:rFonts w:ascii="Times New Roman"/>
                <w:sz w:val="18"/>
              </w:rPr>
              <w:t>63,200,000.00</w:t>
            </w:r>
          </w:p>
        </w:tc>
        <w:tc>
          <w:tcPr>
            <w:tcW w:w="1327"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-40,237,468.86</w:t>
            </w:r>
          </w:p>
        </w:tc>
        <w:tc>
          <w:tcPr>
            <w:tcW w:w="1020" w:type="dxa"/>
            <w:tcBorders>
              <w:top w:val="single" w:sz="4" w:space="0" w:color="FFFFFF"/>
              <w:left w:val="single" w:sz="4" w:space="0" w:color="000000"/>
              <w:bottom w:val="single" w:sz="4" w:space="0" w:color="FFFFFF"/>
              <w:right w:val="single" w:sz="4" w:space="0" w:color="000000"/>
            </w:tcBorders>
          </w:tcPr>
          <w:p>
            <w:pPr/>
          </w:p>
        </w:tc>
        <w:tc>
          <w:tcPr>
            <w:tcW w:w="1020" w:type="dxa"/>
            <w:tcBorders>
              <w:top w:val="single" w:sz="4" w:space="0" w:color="FFFFFF"/>
              <w:left w:val="single" w:sz="4" w:space="0" w:color="000000"/>
              <w:bottom w:val="single" w:sz="4" w:space="0" w:color="FFFFFF"/>
              <w:right w:val="single" w:sz="4" w:space="0" w:color="000000"/>
            </w:tcBorders>
          </w:tcPr>
          <w:p>
            <w:pPr/>
          </w:p>
        </w:tc>
        <w:tc>
          <w:tcPr>
            <w:tcW w:w="10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8"/>
              <w:ind w:left="2" w:right="0"/>
              <w:jc w:val="center"/>
              <w:rPr>
                <w:rFonts w:ascii="Times New Roman" w:hAnsi="Times New Roman" w:cs="Times New Roman" w:eastAsia="Times New Roman" w:hint="default"/>
                <w:sz w:val="18"/>
                <w:szCs w:val="18"/>
              </w:rPr>
            </w:pPr>
            <w:r>
              <w:rPr>
                <w:rFonts w:ascii="Times New Roman"/>
                <w:sz w:val="18"/>
              </w:rPr>
              <w:t>32,631,556.52</w:t>
            </w:r>
          </w:p>
        </w:tc>
        <w:tc>
          <w:tcPr>
            <w:tcW w:w="1020" w:type="dxa"/>
            <w:tcBorders>
              <w:top w:val="single" w:sz="4" w:space="0" w:color="FFFFFF"/>
              <w:left w:val="single" w:sz="4" w:space="0" w:color="000000"/>
              <w:bottom w:val="single" w:sz="4" w:space="0" w:color="FFFFFF"/>
              <w:right w:val="single" w:sz="4" w:space="0" w:color="000000"/>
            </w:tcBorders>
          </w:tcPr>
          <w:p>
            <w:pPr/>
          </w:p>
        </w:tc>
        <w:tc>
          <w:tcPr>
            <w:tcW w:w="125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8"/>
              <w:ind w:left="67" w:right="0"/>
              <w:jc w:val="center"/>
              <w:rPr>
                <w:rFonts w:ascii="Times New Roman" w:hAnsi="Times New Roman" w:cs="Times New Roman" w:eastAsia="Times New Roman" w:hint="default"/>
                <w:sz w:val="18"/>
                <w:szCs w:val="18"/>
              </w:rPr>
            </w:pPr>
            <w:r>
              <w:rPr>
                <w:rFonts w:ascii="Times New Roman"/>
                <w:sz w:val="18"/>
              </w:rPr>
              <w:t>225,761,266.83</w:t>
            </w:r>
          </w:p>
        </w:tc>
        <w:tc>
          <w:tcPr>
            <w:tcW w:w="1023"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-60,800.74</w:t>
            </w:r>
          </w:p>
        </w:tc>
        <w:tc>
          <w:tcPr>
            <w:tcW w:w="121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15,715,320.48</w:t>
            </w:r>
          </w:p>
        </w:tc>
        <w:tc>
          <w:tcPr>
            <w:tcW w:w="133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297,009,874.23</w:t>
            </w:r>
          </w:p>
        </w:tc>
      </w:tr>
      <w:tr>
        <w:trPr>
          <w:trHeight w:val="432" w:hRule="exact"/>
        </w:trPr>
        <w:tc>
          <w:tcPr>
            <w:tcW w:w="3521"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51" w:type="dxa"/>
            <w:gridSpan w:val="2"/>
            <w:tcBorders>
              <w:top w:val="single" w:sz="4" w:space="0" w:color="FFFFFF"/>
              <w:left w:val="single" w:sz="4" w:space="0" w:color="000000"/>
              <w:bottom w:val="single" w:sz="4" w:space="0" w:color="FFFFFF"/>
              <w:right w:val="single" w:sz="4" w:space="0" w:color="000000"/>
            </w:tcBorders>
          </w:tcPr>
          <w:p>
            <w:pPr/>
          </w:p>
        </w:tc>
        <w:tc>
          <w:tcPr>
            <w:tcW w:w="1327" w:type="dxa"/>
            <w:tcBorders>
              <w:top w:val="single" w:sz="4" w:space="0" w:color="FFFFFF"/>
              <w:left w:val="single" w:sz="4" w:space="0" w:color="000000"/>
              <w:bottom w:val="single" w:sz="4" w:space="0" w:color="FFFFFF"/>
              <w:right w:val="single" w:sz="4" w:space="0" w:color="000000"/>
            </w:tcBorders>
          </w:tcPr>
          <w:p>
            <w:pPr/>
          </w:p>
        </w:tc>
        <w:tc>
          <w:tcPr>
            <w:tcW w:w="1020" w:type="dxa"/>
            <w:tcBorders>
              <w:top w:val="single" w:sz="4" w:space="0" w:color="FFFFFF"/>
              <w:left w:val="single" w:sz="4" w:space="0" w:color="000000"/>
              <w:bottom w:val="single" w:sz="4" w:space="0" w:color="FFFFFF"/>
              <w:right w:val="single" w:sz="4" w:space="0" w:color="000000"/>
            </w:tcBorders>
          </w:tcPr>
          <w:p>
            <w:pPr/>
          </w:p>
        </w:tc>
        <w:tc>
          <w:tcPr>
            <w:tcW w:w="1020" w:type="dxa"/>
            <w:tcBorders>
              <w:top w:val="single" w:sz="4" w:space="0" w:color="FFFFFF"/>
              <w:left w:val="single" w:sz="4" w:space="0" w:color="000000"/>
              <w:bottom w:val="single" w:sz="4" w:space="0" w:color="FFFFFF"/>
              <w:right w:val="single" w:sz="4" w:space="0" w:color="000000"/>
            </w:tcBorders>
          </w:tcPr>
          <w:p>
            <w:pPr/>
          </w:p>
        </w:tc>
        <w:tc>
          <w:tcPr>
            <w:tcW w:w="1094" w:type="dxa"/>
            <w:tcBorders>
              <w:top w:val="single" w:sz="4" w:space="0" w:color="FFFFFF"/>
              <w:left w:val="single" w:sz="4" w:space="0" w:color="000000"/>
              <w:bottom w:val="single" w:sz="4" w:space="0" w:color="FFFFFF"/>
              <w:right w:val="single" w:sz="4" w:space="0" w:color="000000"/>
            </w:tcBorders>
          </w:tcPr>
          <w:p>
            <w:pPr/>
          </w:p>
        </w:tc>
        <w:tc>
          <w:tcPr>
            <w:tcW w:w="1020" w:type="dxa"/>
            <w:tcBorders>
              <w:top w:val="single" w:sz="4" w:space="0" w:color="FFFFFF"/>
              <w:left w:val="single" w:sz="4" w:space="0" w:color="000000"/>
              <w:bottom w:val="single" w:sz="4" w:space="0" w:color="FFFFFF"/>
              <w:right w:val="single" w:sz="4" w:space="0" w:color="000000"/>
            </w:tcBorders>
          </w:tcPr>
          <w:p>
            <w:pPr/>
          </w:p>
        </w:tc>
        <w:tc>
          <w:tcPr>
            <w:tcW w:w="125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6"/>
              <w:ind w:left="67" w:right="0"/>
              <w:jc w:val="center"/>
              <w:rPr>
                <w:rFonts w:ascii="Times New Roman" w:hAnsi="Times New Roman" w:cs="Times New Roman" w:eastAsia="Times New Roman" w:hint="default"/>
                <w:sz w:val="18"/>
                <w:szCs w:val="18"/>
              </w:rPr>
            </w:pPr>
            <w:r>
              <w:rPr>
                <w:rFonts w:ascii="Times New Roman"/>
                <w:sz w:val="18"/>
              </w:rPr>
              <w:t>353,192,823.35</w:t>
            </w:r>
          </w:p>
        </w:tc>
        <w:tc>
          <w:tcPr>
            <w:tcW w:w="1023" w:type="dxa"/>
            <w:tcBorders>
              <w:top w:val="single" w:sz="4" w:space="0" w:color="FFFFFF"/>
              <w:left w:val="single" w:sz="4" w:space="0" w:color="000000"/>
              <w:bottom w:val="single" w:sz="4" w:space="0" w:color="FFFFFF"/>
              <w:right w:val="single" w:sz="4" w:space="0" w:color="000000"/>
            </w:tcBorders>
          </w:tcPr>
          <w:p>
            <w:pPr/>
          </w:p>
        </w:tc>
        <w:tc>
          <w:tcPr>
            <w:tcW w:w="121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-1,996,329.67</w:t>
            </w:r>
          </w:p>
        </w:tc>
        <w:tc>
          <w:tcPr>
            <w:tcW w:w="133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351,196,493.68</w:t>
            </w:r>
          </w:p>
        </w:tc>
      </w:tr>
      <w:tr>
        <w:trPr>
          <w:trHeight w:val="432" w:hRule="exact"/>
        </w:trPr>
        <w:tc>
          <w:tcPr>
            <w:tcW w:w="3521"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51" w:type="dxa"/>
            <w:gridSpan w:val="2"/>
            <w:tcBorders>
              <w:top w:val="single" w:sz="4" w:space="0" w:color="FFFFFF"/>
              <w:left w:val="single" w:sz="4" w:space="0" w:color="000000"/>
              <w:bottom w:val="single" w:sz="4" w:space="0" w:color="FFFFFF"/>
              <w:right w:val="single" w:sz="4" w:space="0" w:color="000000"/>
            </w:tcBorders>
          </w:tcPr>
          <w:p>
            <w:pPr/>
          </w:p>
        </w:tc>
        <w:tc>
          <w:tcPr>
            <w:tcW w:w="1327"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998,540.34</w:t>
            </w:r>
          </w:p>
        </w:tc>
        <w:tc>
          <w:tcPr>
            <w:tcW w:w="1020" w:type="dxa"/>
            <w:tcBorders>
              <w:top w:val="single" w:sz="4" w:space="0" w:color="FFFFFF"/>
              <w:left w:val="single" w:sz="4" w:space="0" w:color="000000"/>
              <w:bottom w:val="single" w:sz="4" w:space="0" w:color="FFFFFF"/>
              <w:right w:val="single" w:sz="4" w:space="0" w:color="000000"/>
            </w:tcBorders>
          </w:tcPr>
          <w:p>
            <w:pPr/>
          </w:p>
        </w:tc>
        <w:tc>
          <w:tcPr>
            <w:tcW w:w="1020" w:type="dxa"/>
            <w:tcBorders>
              <w:top w:val="single" w:sz="4" w:space="0" w:color="FFFFFF"/>
              <w:left w:val="single" w:sz="4" w:space="0" w:color="000000"/>
              <w:bottom w:val="single" w:sz="4" w:space="0" w:color="FFFFFF"/>
              <w:right w:val="single" w:sz="4" w:space="0" w:color="000000"/>
            </w:tcBorders>
          </w:tcPr>
          <w:p>
            <w:pPr/>
          </w:p>
        </w:tc>
        <w:tc>
          <w:tcPr>
            <w:tcW w:w="1094" w:type="dxa"/>
            <w:tcBorders>
              <w:top w:val="single" w:sz="4" w:space="0" w:color="FFFFFF"/>
              <w:left w:val="single" w:sz="4" w:space="0" w:color="000000"/>
              <w:bottom w:val="single" w:sz="4" w:space="0" w:color="FFFFFF"/>
              <w:right w:val="single" w:sz="4" w:space="0" w:color="000000"/>
            </w:tcBorders>
          </w:tcPr>
          <w:p>
            <w:pPr/>
          </w:p>
        </w:tc>
        <w:tc>
          <w:tcPr>
            <w:tcW w:w="1020" w:type="dxa"/>
            <w:tcBorders>
              <w:top w:val="single" w:sz="4" w:space="0" w:color="FFFFFF"/>
              <w:left w:val="single" w:sz="4" w:space="0" w:color="000000"/>
              <w:bottom w:val="single" w:sz="4" w:space="0" w:color="FFFFFF"/>
              <w:right w:val="single" w:sz="4" w:space="0" w:color="000000"/>
            </w:tcBorders>
          </w:tcPr>
          <w:p>
            <w:pPr/>
          </w:p>
        </w:tc>
        <w:tc>
          <w:tcPr>
            <w:tcW w:w="1250" w:type="dxa"/>
            <w:tcBorders>
              <w:top w:val="single" w:sz="4" w:space="0" w:color="FFFFFF"/>
              <w:left w:val="single" w:sz="4" w:space="0" w:color="000000"/>
              <w:bottom w:val="single" w:sz="4" w:space="0" w:color="FFFFFF"/>
              <w:right w:val="single" w:sz="4" w:space="0" w:color="000000"/>
            </w:tcBorders>
          </w:tcPr>
          <w:p>
            <w:pPr/>
          </w:p>
        </w:tc>
        <w:tc>
          <w:tcPr>
            <w:tcW w:w="1023"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-60,800.74</w:t>
            </w:r>
          </w:p>
        </w:tc>
        <w:tc>
          <w:tcPr>
            <w:tcW w:w="1214" w:type="dxa"/>
            <w:tcBorders>
              <w:top w:val="single" w:sz="4" w:space="0" w:color="FFFFFF"/>
              <w:left w:val="single" w:sz="4" w:space="0" w:color="000000"/>
              <w:bottom w:val="single" w:sz="4" w:space="0" w:color="FFFFFF"/>
              <w:right w:val="single" w:sz="4" w:space="0" w:color="000000"/>
            </w:tcBorders>
          </w:tcPr>
          <w:p>
            <w:pPr/>
          </w:p>
        </w:tc>
        <w:tc>
          <w:tcPr>
            <w:tcW w:w="133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937,739.60</w:t>
            </w:r>
          </w:p>
        </w:tc>
      </w:tr>
      <w:tr>
        <w:trPr>
          <w:trHeight w:val="434" w:hRule="exact"/>
        </w:trPr>
        <w:tc>
          <w:tcPr>
            <w:tcW w:w="3521"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251" w:type="dxa"/>
            <w:gridSpan w:val="2"/>
            <w:tcBorders>
              <w:top w:val="single" w:sz="4" w:space="0" w:color="FFFFFF"/>
              <w:left w:val="single" w:sz="4" w:space="0" w:color="000000"/>
              <w:bottom w:val="single" w:sz="4" w:space="0" w:color="FFFFFF"/>
              <w:right w:val="single" w:sz="4" w:space="0" w:color="000000"/>
            </w:tcBorders>
          </w:tcPr>
          <w:p>
            <w:pPr/>
          </w:p>
        </w:tc>
        <w:tc>
          <w:tcPr>
            <w:tcW w:w="1327"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998,540.34</w:t>
            </w:r>
          </w:p>
        </w:tc>
        <w:tc>
          <w:tcPr>
            <w:tcW w:w="1020" w:type="dxa"/>
            <w:tcBorders>
              <w:top w:val="single" w:sz="4" w:space="0" w:color="FFFFFF"/>
              <w:left w:val="single" w:sz="4" w:space="0" w:color="000000"/>
              <w:bottom w:val="single" w:sz="4" w:space="0" w:color="FFFFFF"/>
              <w:right w:val="single" w:sz="4" w:space="0" w:color="000000"/>
            </w:tcBorders>
          </w:tcPr>
          <w:p>
            <w:pPr/>
          </w:p>
        </w:tc>
        <w:tc>
          <w:tcPr>
            <w:tcW w:w="1020" w:type="dxa"/>
            <w:tcBorders>
              <w:top w:val="single" w:sz="4" w:space="0" w:color="FFFFFF"/>
              <w:left w:val="single" w:sz="4" w:space="0" w:color="000000"/>
              <w:bottom w:val="single" w:sz="4" w:space="0" w:color="FFFFFF"/>
              <w:right w:val="single" w:sz="4" w:space="0" w:color="000000"/>
            </w:tcBorders>
          </w:tcPr>
          <w:p>
            <w:pPr/>
          </w:p>
        </w:tc>
        <w:tc>
          <w:tcPr>
            <w:tcW w:w="1094" w:type="dxa"/>
            <w:tcBorders>
              <w:top w:val="single" w:sz="4" w:space="0" w:color="FFFFFF"/>
              <w:left w:val="single" w:sz="4" w:space="0" w:color="000000"/>
              <w:bottom w:val="single" w:sz="4" w:space="0" w:color="FFFFFF"/>
              <w:right w:val="single" w:sz="4" w:space="0" w:color="000000"/>
            </w:tcBorders>
          </w:tcPr>
          <w:p>
            <w:pPr/>
          </w:p>
        </w:tc>
        <w:tc>
          <w:tcPr>
            <w:tcW w:w="1020" w:type="dxa"/>
            <w:tcBorders>
              <w:top w:val="single" w:sz="4" w:space="0" w:color="FFFFFF"/>
              <w:left w:val="single" w:sz="4" w:space="0" w:color="000000"/>
              <w:bottom w:val="single" w:sz="4" w:space="0" w:color="FFFFFF"/>
              <w:right w:val="single" w:sz="4" w:space="0" w:color="000000"/>
            </w:tcBorders>
          </w:tcPr>
          <w:p>
            <w:pPr/>
          </w:p>
        </w:tc>
        <w:tc>
          <w:tcPr>
            <w:tcW w:w="125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8"/>
              <w:ind w:left="67" w:right="0"/>
              <w:jc w:val="center"/>
              <w:rPr>
                <w:rFonts w:ascii="Times New Roman" w:hAnsi="Times New Roman" w:cs="Times New Roman" w:eastAsia="Times New Roman" w:hint="default"/>
                <w:sz w:val="18"/>
                <w:szCs w:val="18"/>
              </w:rPr>
            </w:pPr>
            <w:r>
              <w:rPr>
                <w:rFonts w:ascii="Times New Roman"/>
                <w:sz w:val="18"/>
              </w:rPr>
              <w:t>353,192,823.35</w:t>
            </w:r>
          </w:p>
        </w:tc>
        <w:tc>
          <w:tcPr>
            <w:tcW w:w="1023"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-60,800.74</w:t>
            </w:r>
          </w:p>
        </w:tc>
        <w:tc>
          <w:tcPr>
            <w:tcW w:w="121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-1,996,329.67</w:t>
            </w:r>
          </w:p>
        </w:tc>
        <w:tc>
          <w:tcPr>
            <w:tcW w:w="133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352,134,233.28</w:t>
            </w:r>
          </w:p>
        </w:tc>
      </w:tr>
      <w:tr>
        <w:trPr>
          <w:trHeight w:val="432" w:hRule="exact"/>
        </w:trPr>
        <w:tc>
          <w:tcPr>
            <w:tcW w:w="3521"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251" w:type="dxa"/>
            <w:gridSpan w:val="2"/>
            <w:tcBorders>
              <w:top w:val="single" w:sz="4" w:space="0" w:color="FFFFFF"/>
              <w:left w:val="single" w:sz="4" w:space="0" w:color="000000"/>
              <w:bottom w:val="single" w:sz="4" w:space="0" w:color="FFFFFF"/>
              <w:right w:val="single" w:sz="4" w:space="0" w:color="000000"/>
            </w:tcBorders>
          </w:tcPr>
          <w:p>
            <w:pPr/>
          </w:p>
        </w:tc>
        <w:tc>
          <w:tcPr>
            <w:tcW w:w="1327"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21,963,990.80</w:t>
            </w:r>
          </w:p>
        </w:tc>
        <w:tc>
          <w:tcPr>
            <w:tcW w:w="1020" w:type="dxa"/>
            <w:tcBorders>
              <w:top w:val="single" w:sz="4" w:space="0" w:color="FFFFFF"/>
              <w:left w:val="single" w:sz="4" w:space="0" w:color="000000"/>
              <w:bottom w:val="single" w:sz="4" w:space="0" w:color="FFFFFF"/>
              <w:right w:val="single" w:sz="4" w:space="0" w:color="000000"/>
            </w:tcBorders>
          </w:tcPr>
          <w:p>
            <w:pPr/>
          </w:p>
        </w:tc>
        <w:tc>
          <w:tcPr>
            <w:tcW w:w="1020" w:type="dxa"/>
            <w:tcBorders>
              <w:top w:val="single" w:sz="4" w:space="0" w:color="FFFFFF"/>
              <w:left w:val="single" w:sz="4" w:space="0" w:color="000000"/>
              <w:bottom w:val="single" w:sz="4" w:space="0" w:color="FFFFFF"/>
              <w:right w:val="single" w:sz="4" w:space="0" w:color="000000"/>
            </w:tcBorders>
          </w:tcPr>
          <w:p>
            <w:pPr/>
          </w:p>
        </w:tc>
        <w:tc>
          <w:tcPr>
            <w:tcW w:w="1094" w:type="dxa"/>
            <w:tcBorders>
              <w:top w:val="single" w:sz="4" w:space="0" w:color="FFFFFF"/>
              <w:left w:val="single" w:sz="4" w:space="0" w:color="000000"/>
              <w:bottom w:val="single" w:sz="4" w:space="0" w:color="FFFFFF"/>
              <w:right w:val="single" w:sz="4" w:space="0" w:color="000000"/>
            </w:tcBorders>
          </w:tcPr>
          <w:p>
            <w:pPr/>
          </w:p>
        </w:tc>
        <w:tc>
          <w:tcPr>
            <w:tcW w:w="1020" w:type="dxa"/>
            <w:tcBorders>
              <w:top w:val="single" w:sz="4" w:space="0" w:color="FFFFFF"/>
              <w:left w:val="single" w:sz="4" w:space="0" w:color="000000"/>
              <w:bottom w:val="single" w:sz="4" w:space="0" w:color="FFFFFF"/>
              <w:right w:val="single" w:sz="4" w:space="0" w:color="000000"/>
            </w:tcBorders>
          </w:tcPr>
          <w:p>
            <w:pPr/>
          </w:p>
        </w:tc>
        <w:tc>
          <w:tcPr>
            <w:tcW w:w="1250" w:type="dxa"/>
            <w:tcBorders>
              <w:top w:val="single" w:sz="4" w:space="0" w:color="FFFFFF"/>
              <w:left w:val="single" w:sz="4" w:space="0" w:color="000000"/>
              <w:bottom w:val="single" w:sz="4" w:space="0" w:color="FFFFFF"/>
              <w:right w:val="single" w:sz="4" w:space="0" w:color="000000"/>
            </w:tcBorders>
          </w:tcPr>
          <w:p>
            <w:pPr/>
          </w:p>
        </w:tc>
        <w:tc>
          <w:tcPr>
            <w:tcW w:w="1023" w:type="dxa"/>
            <w:tcBorders>
              <w:top w:val="single" w:sz="4" w:space="0" w:color="FFFFFF"/>
              <w:left w:val="single" w:sz="4" w:space="0" w:color="000000"/>
              <w:bottom w:val="single" w:sz="4" w:space="0" w:color="FFFFFF"/>
              <w:right w:val="single" w:sz="4" w:space="0" w:color="000000"/>
            </w:tcBorders>
          </w:tcPr>
          <w:p>
            <w:pPr/>
          </w:p>
        </w:tc>
        <w:tc>
          <w:tcPr>
            <w:tcW w:w="121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17,711,650.15</w:t>
            </w:r>
          </w:p>
        </w:tc>
        <w:tc>
          <w:tcPr>
            <w:tcW w:w="133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39,675,640.95</w:t>
            </w:r>
          </w:p>
        </w:tc>
      </w:tr>
      <w:tr>
        <w:trPr>
          <w:trHeight w:val="435" w:hRule="exact"/>
        </w:trPr>
        <w:tc>
          <w:tcPr>
            <w:tcW w:w="3521"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251" w:type="dxa"/>
            <w:gridSpan w:val="2"/>
            <w:tcBorders>
              <w:top w:val="single" w:sz="4" w:space="0" w:color="FFFFFF"/>
              <w:left w:val="single" w:sz="4" w:space="0" w:color="000000"/>
              <w:bottom w:val="single" w:sz="4" w:space="0" w:color="FFFFFF"/>
              <w:right w:val="single" w:sz="4" w:space="0" w:color="000000"/>
            </w:tcBorders>
          </w:tcPr>
          <w:p>
            <w:pPr/>
          </w:p>
        </w:tc>
        <w:tc>
          <w:tcPr>
            <w:tcW w:w="1327" w:type="dxa"/>
            <w:tcBorders>
              <w:top w:val="single" w:sz="4" w:space="0" w:color="FFFFFF"/>
              <w:left w:val="single" w:sz="4" w:space="0" w:color="000000"/>
              <w:bottom w:val="single" w:sz="4" w:space="0" w:color="FFFFFF"/>
              <w:right w:val="single" w:sz="4" w:space="0" w:color="000000"/>
            </w:tcBorders>
          </w:tcPr>
          <w:p>
            <w:pPr/>
          </w:p>
        </w:tc>
        <w:tc>
          <w:tcPr>
            <w:tcW w:w="1020" w:type="dxa"/>
            <w:tcBorders>
              <w:top w:val="single" w:sz="4" w:space="0" w:color="FFFFFF"/>
              <w:left w:val="single" w:sz="4" w:space="0" w:color="000000"/>
              <w:bottom w:val="single" w:sz="4" w:space="0" w:color="FFFFFF"/>
              <w:right w:val="single" w:sz="4" w:space="0" w:color="000000"/>
            </w:tcBorders>
          </w:tcPr>
          <w:p>
            <w:pPr/>
          </w:p>
        </w:tc>
        <w:tc>
          <w:tcPr>
            <w:tcW w:w="1020" w:type="dxa"/>
            <w:tcBorders>
              <w:top w:val="single" w:sz="4" w:space="0" w:color="FFFFFF"/>
              <w:left w:val="single" w:sz="4" w:space="0" w:color="000000"/>
              <w:bottom w:val="single" w:sz="4" w:space="0" w:color="FFFFFF"/>
              <w:right w:val="single" w:sz="4" w:space="0" w:color="000000"/>
            </w:tcBorders>
          </w:tcPr>
          <w:p>
            <w:pPr/>
          </w:p>
        </w:tc>
        <w:tc>
          <w:tcPr>
            <w:tcW w:w="1094" w:type="dxa"/>
            <w:tcBorders>
              <w:top w:val="single" w:sz="4" w:space="0" w:color="FFFFFF"/>
              <w:left w:val="single" w:sz="4" w:space="0" w:color="000000"/>
              <w:bottom w:val="single" w:sz="4" w:space="0" w:color="FFFFFF"/>
              <w:right w:val="single" w:sz="4" w:space="0" w:color="000000"/>
            </w:tcBorders>
          </w:tcPr>
          <w:p>
            <w:pPr/>
          </w:p>
        </w:tc>
        <w:tc>
          <w:tcPr>
            <w:tcW w:w="1020" w:type="dxa"/>
            <w:tcBorders>
              <w:top w:val="single" w:sz="4" w:space="0" w:color="FFFFFF"/>
              <w:left w:val="single" w:sz="4" w:space="0" w:color="000000"/>
              <w:bottom w:val="single" w:sz="4" w:space="0" w:color="FFFFFF"/>
              <w:right w:val="single" w:sz="4" w:space="0" w:color="000000"/>
            </w:tcBorders>
          </w:tcPr>
          <w:p>
            <w:pPr/>
          </w:p>
        </w:tc>
        <w:tc>
          <w:tcPr>
            <w:tcW w:w="1250" w:type="dxa"/>
            <w:tcBorders>
              <w:top w:val="single" w:sz="4" w:space="0" w:color="FFFFFF"/>
              <w:left w:val="single" w:sz="4" w:space="0" w:color="000000"/>
              <w:bottom w:val="single" w:sz="4" w:space="0" w:color="FFFFFF"/>
              <w:right w:val="single" w:sz="4" w:space="0" w:color="000000"/>
            </w:tcBorders>
          </w:tcPr>
          <w:p>
            <w:pPr/>
          </w:p>
        </w:tc>
        <w:tc>
          <w:tcPr>
            <w:tcW w:w="1023" w:type="dxa"/>
            <w:tcBorders>
              <w:top w:val="single" w:sz="4" w:space="0" w:color="FFFFFF"/>
              <w:left w:val="single" w:sz="4" w:space="0" w:color="000000"/>
              <w:bottom w:val="single" w:sz="4" w:space="0" w:color="FFFFFF"/>
              <w:right w:val="single" w:sz="4" w:space="0" w:color="000000"/>
            </w:tcBorders>
          </w:tcPr>
          <w:p>
            <w:pPr/>
          </w:p>
        </w:tc>
        <w:tc>
          <w:tcPr>
            <w:tcW w:w="121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17,711,650.15</w:t>
            </w:r>
          </w:p>
        </w:tc>
        <w:tc>
          <w:tcPr>
            <w:tcW w:w="133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17,711,650.15</w:t>
            </w:r>
          </w:p>
        </w:tc>
      </w:tr>
      <w:tr>
        <w:trPr>
          <w:trHeight w:val="432" w:hRule="exact"/>
        </w:trPr>
        <w:tc>
          <w:tcPr>
            <w:tcW w:w="3521"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251" w:type="dxa"/>
            <w:gridSpan w:val="2"/>
            <w:tcBorders>
              <w:top w:val="single" w:sz="4" w:space="0" w:color="FFFFFF"/>
              <w:left w:val="single" w:sz="4" w:space="0" w:color="000000"/>
              <w:bottom w:val="single" w:sz="4" w:space="0" w:color="FFFFFF"/>
              <w:right w:val="single" w:sz="4" w:space="0" w:color="000000"/>
            </w:tcBorders>
          </w:tcPr>
          <w:p>
            <w:pPr/>
          </w:p>
        </w:tc>
        <w:tc>
          <w:tcPr>
            <w:tcW w:w="1327"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21,963,990.80</w:t>
            </w:r>
          </w:p>
        </w:tc>
        <w:tc>
          <w:tcPr>
            <w:tcW w:w="1020" w:type="dxa"/>
            <w:tcBorders>
              <w:top w:val="single" w:sz="4" w:space="0" w:color="FFFFFF"/>
              <w:left w:val="single" w:sz="4" w:space="0" w:color="000000"/>
              <w:bottom w:val="single" w:sz="4" w:space="0" w:color="FFFFFF"/>
              <w:right w:val="single" w:sz="4" w:space="0" w:color="000000"/>
            </w:tcBorders>
          </w:tcPr>
          <w:p>
            <w:pPr/>
          </w:p>
        </w:tc>
        <w:tc>
          <w:tcPr>
            <w:tcW w:w="1020" w:type="dxa"/>
            <w:tcBorders>
              <w:top w:val="single" w:sz="4" w:space="0" w:color="FFFFFF"/>
              <w:left w:val="single" w:sz="4" w:space="0" w:color="000000"/>
              <w:bottom w:val="single" w:sz="4" w:space="0" w:color="FFFFFF"/>
              <w:right w:val="single" w:sz="4" w:space="0" w:color="000000"/>
            </w:tcBorders>
          </w:tcPr>
          <w:p>
            <w:pPr/>
          </w:p>
        </w:tc>
        <w:tc>
          <w:tcPr>
            <w:tcW w:w="1094" w:type="dxa"/>
            <w:tcBorders>
              <w:top w:val="single" w:sz="4" w:space="0" w:color="FFFFFF"/>
              <w:left w:val="single" w:sz="4" w:space="0" w:color="000000"/>
              <w:bottom w:val="single" w:sz="4" w:space="0" w:color="FFFFFF"/>
              <w:right w:val="single" w:sz="4" w:space="0" w:color="000000"/>
            </w:tcBorders>
          </w:tcPr>
          <w:p>
            <w:pPr/>
          </w:p>
        </w:tc>
        <w:tc>
          <w:tcPr>
            <w:tcW w:w="1020" w:type="dxa"/>
            <w:tcBorders>
              <w:top w:val="single" w:sz="4" w:space="0" w:color="FFFFFF"/>
              <w:left w:val="single" w:sz="4" w:space="0" w:color="000000"/>
              <w:bottom w:val="single" w:sz="4" w:space="0" w:color="FFFFFF"/>
              <w:right w:val="single" w:sz="4" w:space="0" w:color="000000"/>
            </w:tcBorders>
          </w:tcPr>
          <w:p>
            <w:pPr/>
          </w:p>
        </w:tc>
        <w:tc>
          <w:tcPr>
            <w:tcW w:w="1250" w:type="dxa"/>
            <w:tcBorders>
              <w:top w:val="single" w:sz="4" w:space="0" w:color="FFFFFF"/>
              <w:left w:val="single" w:sz="4" w:space="0" w:color="000000"/>
              <w:bottom w:val="single" w:sz="4" w:space="0" w:color="FFFFFF"/>
              <w:right w:val="single" w:sz="4" w:space="0" w:color="000000"/>
            </w:tcBorders>
          </w:tcPr>
          <w:p>
            <w:pPr/>
          </w:p>
        </w:tc>
        <w:tc>
          <w:tcPr>
            <w:tcW w:w="1023" w:type="dxa"/>
            <w:tcBorders>
              <w:top w:val="single" w:sz="4" w:space="0" w:color="FFFFFF"/>
              <w:left w:val="single" w:sz="4" w:space="0" w:color="000000"/>
              <w:bottom w:val="single" w:sz="4" w:space="0" w:color="FFFFFF"/>
              <w:right w:val="single" w:sz="4" w:space="0" w:color="000000"/>
            </w:tcBorders>
          </w:tcPr>
          <w:p>
            <w:pPr/>
          </w:p>
        </w:tc>
        <w:tc>
          <w:tcPr>
            <w:tcW w:w="1214" w:type="dxa"/>
            <w:tcBorders>
              <w:top w:val="single" w:sz="4" w:space="0" w:color="FFFFFF"/>
              <w:left w:val="single" w:sz="4" w:space="0" w:color="000000"/>
              <w:bottom w:val="single" w:sz="4" w:space="0" w:color="FFFFFF"/>
              <w:right w:val="single" w:sz="4" w:space="0" w:color="000000"/>
            </w:tcBorders>
          </w:tcPr>
          <w:p>
            <w:pPr/>
          </w:p>
        </w:tc>
        <w:tc>
          <w:tcPr>
            <w:tcW w:w="133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21,963,990.80</w:t>
            </w:r>
          </w:p>
        </w:tc>
      </w:tr>
      <w:tr>
        <w:trPr>
          <w:trHeight w:val="434" w:hRule="exact"/>
        </w:trPr>
        <w:tc>
          <w:tcPr>
            <w:tcW w:w="3521"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51" w:type="dxa"/>
            <w:gridSpan w:val="2"/>
            <w:tcBorders>
              <w:top w:val="single" w:sz="4" w:space="0" w:color="FFFFFF"/>
              <w:left w:val="single" w:sz="4" w:space="0" w:color="000000"/>
              <w:bottom w:val="single" w:sz="4" w:space="0" w:color="FFFFFF"/>
              <w:right w:val="single" w:sz="4" w:space="0" w:color="000000"/>
            </w:tcBorders>
          </w:tcPr>
          <w:p>
            <w:pPr/>
          </w:p>
        </w:tc>
        <w:tc>
          <w:tcPr>
            <w:tcW w:w="1327" w:type="dxa"/>
            <w:tcBorders>
              <w:top w:val="single" w:sz="4" w:space="0" w:color="FFFFFF"/>
              <w:left w:val="single" w:sz="4" w:space="0" w:color="000000"/>
              <w:bottom w:val="single" w:sz="4" w:space="0" w:color="FFFFFF"/>
              <w:right w:val="single" w:sz="4" w:space="0" w:color="000000"/>
            </w:tcBorders>
          </w:tcPr>
          <w:p>
            <w:pPr/>
          </w:p>
        </w:tc>
        <w:tc>
          <w:tcPr>
            <w:tcW w:w="1020" w:type="dxa"/>
            <w:tcBorders>
              <w:top w:val="single" w:sz="4" w:space="0" w:color="FFFFFF"/>
              <w:left w:val="single" w:sz="4" w:space="0" w:color="000000"/>
              <w:bottom w:val="single" w:sz="4" w:space="0" w:color="FFFFFF"/>
              <w:right w:val="single" w:sz="4" w:space="0" w:color="000000"/>
            </w:tcBorders>
          </w:tcPr>
          <w:p>
            <w:pPr/>
          </w:p>
        </w:tc>
        <w:tc>
          <w:tcPr>
            <w:tcW w:w="1020" w:type="dxa"/>
            <w:tcBorders>
              <w:top w:val="single" w:sz="4" w:space="0" w:color="FFFFFF"/>
              <w:left w:val="single" w:sz="4" w:space="0" w:color="000000"/>
              <w:bottom w:val="single" w:sz="4" w:space="0" w:color="FFFFFF"/>
              <w:right w:val="single" w:sz="4" w:space="0" w:color="000000"/>
            </w:tcBorders>
          </w:tcPr>
          <w:p>
            <w:pPr/>
          </w:p>
        </w:tc>
        <w:tc>
          <w:tcPr>
            <w:tcW w:w="1094" w:type="dxa"/>
            <w:tcBorders>
              <w:top w:val="single" w:sz="4" w:space="0" w:color="FFFFFF"/>
              <w:left w:val="single" w:sz="4" w:space="0" w:color="000000"/>
              <w:bottom w:val="single" w:sz="4" w:space="0" w:color="FFFFFF"/>
              <w:right w:val="single" w:sz="4" w:space="0" w:color="000000"/>
            </w:tcBorders>
          </w:tcPr>
          <w:p>
            <w:pPr/>
          </w:p>
        </w:tc>
        <w:tc>
          <w:tcPr>
            <w:tcW w:w="1020" w:type="dxa"/>
            <w:tcBorders>
              <w:top w:val="single" w:sz="4" w:space="0" w:color="FFFFFF"/>
              <w:left w:val="single" w:sz="4" w:space="0" w:color="000000"/>
              <w:bottom w:val="single" w:sz="4" w:space="0" w:color="FFFFFF"/>
              <w:right w:val="single" w:sz="4" w:space="0" w:color="000000"/>
            </w:tcBorders>
          </w:tcPr>
          <w:p>
            <w:pPr/>
          </w:p>
        </w:tc>
        <w:tc>
          <w:tcPr>
            <w:tcW w:w="1250" w:type="dxa"/>
            <w:tcBorders>
              <w:top w:val="single" w:sz="4" w:space="0" w:color="FFFFFF"/>
              <w:left w:val="single" w:sz="4" w:space="0" w:color="000000"/>
              <w:bottom w:val="single" w:sz="4" w:space="0" w:color="FFFFFF"/>
              <w:right w:val="single" w:sz="4" w:space="0" w:color="000000"/>
            </w:tcBorders>
          </w:tcPr>
          <w:p>
            <w:pPr/>
          </w:p>
        </w:tc>
        <w:tc>
          <w:tcPr>
            <w:tcW w:w="1023" w:type="dxa"/>
            <w:tcBorders>
              <w:top w:val="single" w:sz="4" w:space="0" w:color="FFFFFF"/>
              <w:left w:val="single" w:sz="4" w:space="0" w:color="000000"/>
              <w:bottom w:val="single" w:sz="4" w:space="0" w:color="FFFFFF"/>
              <w:right w:val="single" w:sz="4" w:space="0" w:color="000000"/>
            </w:tcBorders>
          </w:tcPr>
          <w:p>
            <w:pPr/>
          </w:p>
        </w:tc>
        <w:tc>
          <w:tcPr>
            <w:tcW w:w="1214" w:type="dxa"/>
            <w:tcBorders>
              <w:top w:val="single" w:sz="4" w:space="0" w:color="FFFFFF"/>
              <w:left w:val="single" w:sz="4" w:space="0" w:color="000000"/>
              <w:bottom w:val="single" w:sz="4" w:space="0" w:color="FFFFFF"/>
              <w:right w:val="single" w:sz="4" w:space="0" w:color="000000"/>
            </w:tcBorders>
          </w:tcPr>
          <w:p>
            <w:pPr/>
          </w:p>
        </w:tc>
        <w:tc>
          <w:tcPr>
            <w:tcW w:w="1332" w:type="dxa"/>
            <w:tcBorders>
              <w:top w:val="single" w:sz="4" w:space="0" w:color="FFFFFF"/>
              <w:left w:val="single" w:sz="4" w:space="0" w:color="000000"/>
              <w:bottom w:val="single" w:sz="4" w:space="0" w:color="FFFFFF"/>
              <w:right w:val="single" w:sz="4" w:space="0" w:color="000000"/>
            </w:tcBorders>
          </w:tcPr>
          <w:p>
            <w:pPr/>
          </w:p>
        </w:tc>
      </w:tr>
      <w:tr>
        <w:trPr>
          <w:trHeight w:val="432" w:hRule="exact"/>
        </w:trPr>
        <w:tc>
          <w:tcPr>
            <w:tcW w:w="3521"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51" w:type="dxa"/>
            <w:gridSpan w:val="2"/>
            <w:tcBorders>
              <w:top w:val="single" w:sz="4" w:space="0" w:color="FFFFFF"/>
              <w:left w:val="single" w:sz="4" w:space="0" w:color="000000"/>
              <w:bottom w:val="single" w:sz="4" w:space="0" w:color="FFFFFF"/>
              <w:right w:val="single" w:sz="4" w:space="0" w:color="000000"/>
            </w:tcBorders>
          </w:tcPr>
          <w:p>
            <w:pPr/>
          </w:p>
        </w:tc>
        <w:tc>
          <w:tcPr>
            <w:tcW w:w="1327" w:type="dxa"/>
            <w:tcBorders>
              <w:top w:val="single" w:sz="4" w:space="0" w:color="FFFFFF"/>
              <w:left w:val="single" w:sz="4" w:space="0" w:color="000000"/>
              <w:bottom w:val="single" w:sz="4" w:space="0" w:color="FFFFFF"/>
              <w:right w:val="single" w:sz="4" w:space="0" w:color="000000"/>
            </w:tcBorders>
          </w:tcPr>
          <w:p>
            <w:pPr/>
          </w:p>
        </w:tc>
        <w:tc>
          <w:tcPr>
            <w:tcW w:w="1020" w:type="dxa"/>
            <w:tcBorders>
              <w:top w:val="single" w:sz="4" w:space="0" w:color="FFFFFF"/>
              <w:left w:val="single" w:sz="4" w:space="0" w:color="000000"/>
              <w:bottom w:val="single" w:sz="4" w:space="0" w:color="FFFFFF"/>
              <w:right w:val="single" w:sz="4" w:space="0" w:color="000000"/>
            </w:tcBorders>
          </w:tcPr>
          <w:p>
            <w:pPr/>
          </w:p>
        </w:tc>
        <w:tc>
          <w:tcPr>
            <w:tcW w:w="1020" w:type="dxa"/>
            <w:tcBorders>
              <w:top w:val="single" w:sz="4" w:space="0" w:color="FFFFFF"/>
              <w:left w:val="single" w:sz="4" w:space="0" w:color="000000"/>
              <w:bottom w:val="single" w:sz="4" w:space="0" w:color="FFFFFF"/>
              <w:right w:val="single" w:sz="4" w:space="0" w:color="000000"/>
            </w:tcBorders>
          </w:tcPr>
          <w:p>
            <w:pPr/>
          </w:p>
        </w:tc>
        <w:tc>
          <w:tcPr>
            <w:tcW w:w="10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32,631,556.52</w:t>
            </w:r>
          </w:p>
        </w:tc>
        <w:tc>
          <w:tcPr>
            <w:tcW w:w="1020" w:type="dxa"/>
            <w:tcBorders>
              <w:top w:val="single" w:sz="4" w:space="0" w:color="FFFFFF"/>
              <w:left w:val="single" w:sz="4" w:space="0" w:color="000000"/>
              <w:bottom w:val="single" w:sz="4" w:space="0" w:color="FFFFFF"/>
              <w:right w:val="single" w:sz="4" w:space="0" w:color="000000"/>
            </w:tcBorders>
          </w:tcPr>
          <w:p>
            <w:pPr/>
          </w:p>
        </w:tc>
        <w:tc>
          <w:tcPr>
            <w:tcW w:w="125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z w:val="18"/>
              </w:rPr>
              <w:t>-127,431,556.52</w:t>
            </w:r>
          </w:p>
        </w:tc>
        <w:tc>
          <w:tcPr>
            <w:tcW w:w="1023" w:type="dxa"/>
            <w:tcBorders>
              <w:top w:val="single" w:sz="4" w:space="0" w:color="FFFFFF"/>
              <w:left w:val="single" w:sz="4" w:space="0" w:color="000000"/>
              <w:bottom w:val="single" w:sz="4" w:space="0" w:color="FFFFFF"/>
              <w:right w:val="single" w:sz="4" w:space="0" w:color="000000"/>
            </w:tcBorders>
          </w:tcPr>
          <w:p>
            <w:pPr/>
          </w:p>
        </w:tc>
        <w:tc>
          <w:tcPr>
            <w:tcW w:w="1214" w:type="dxa"/>
            <w:tcBorders>
              <w:top w:val="single" w:sz="4" w:space="0" w:color="FFFFFF"/>
              <w:left w:val="single" w:sz="4" w:space="0" w:color="000000"/>
              <w:bottom w:val="single" w:sz="4" w:space="0" w:color="FFFFFF"/>
              <w:right w:val="single" w:sz="4" w:space="0" w:color="000000"/>
            </w:tcBorders>
          </w:tcPr>
          <w:p>
            <w:pPr/>
          </w:p>
        </w:tc>
        <w:tc>
          <w:tcPr>
            <w:tcW w:w="133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-94,800,000.00</w:t>
            </w:r>
          </w:p>
        </w:tc>
      </w:tr>
      <w:tr>
        <w:trPr>
          <w:trHeight w:val="432" w:hRule="exact"/>
        </w:trPr>
        <w:tc>
          <w:tcPr>
            <w:tcW w:w="3521"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51" w:type="dxa"/>
            <w:gridSpan w:val="2"/>
            <w:tcBorders>
              <w:top w:val="single" w:sz="4" w:space="0" w:color="FFFFFF"/>
              <w:left w:val="single" w:sz="4" w:space="0" w:color="000000"/>
              <w:bottom w:val="single" w:sz="4" w:space="0" w:color="000000"/>
              <w:right w:val="single" w:sz="4" w:space="0" w:color="000000"/>
            </w:tcBorders>
          </w:tcPr>
          <w:p>
            <w:pPr/>
          </w:p>
        </w:tc>
        <w:tc>
          <w:tcPr>
            <w:tcW w:w="1327" w:type="dxa"/>
            <w:tcBorders>
              <w:top w:val="single" w:sz="4" w:space="0" w:color="FFFFFF"/>
              <w:left w:val="single" w:sz="4" w:space="0" w:color="000000"/>
              <w:bottom w:val="single" w:sz="4" w:space="0" w:color="000000"/>
              <w:right w:val="single" w:sz="4" w:space="0" w:color="000000"/>
            </w:tcBorders>
          </w:tcPr>
          <w:p>
            <w:pPr/>
          </w:p>
        </w:tc>
        <w:tc>
          <w:tcPr>
            <w:tcW w:w="1020" w:type="dxa"/>
            <w:tcBorders>
              <w:top w:val="single" w:sz="4" w:space="0" w:color="FFFFFF"/>
              <w:left w:val="single" w:sz="4" w:space="0" w:color="000000"/>
              <w:bottom w:val="single" w:sz="4" w:space="0" w:color="000000"/>
              <w:right w:val="single" w:sz="4" w:space="0" w:color="000000"/>
            </w:tcBorders>
          </w:tcPr>
          <w:p>
            <w:pPr/>
          </w:p>
        </w:tc>
        <w:tc>
          <w:tcPr>
            <w:tcW w:w="1020" w:type="dxa"/>
            <w:tcBorders>
              <w:top w:val="single" w:sz="4" w:space="0" w:color="FFFFFF"/>
              <w:left w:val="single" w:sz="4" w:space="0" w:color="000000"/>
              <w:bottom w:val="single" w:sz="4" w:space="0" w:color="000000"/>
              <w:right w:val="single" w:sz="4" w:space="0" w:color="000000"/>
            </w:tcBorders>
          </w:tcPr>
          <w:p>
            <w:pPr/>
          </w:p>
        </w:tc>
        <w:tc>
          <w:tcPr>
            <w:tcW w:w="109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32,631,556.52</w:t>
            </w:r>
          </w:p>
        </w:tc>
        <w:tc>
          <w:tcPr>
            <w:tcW w:w="1020" w:type="dxa"/>
            <w:tcBorders>
              <w:top w:val="single" w:sz="4" w:space="0" w:color="FFFFFF"/>
              <w:left w:val="single" w:sz="4" w:space="0" w:color="000000"/>
              <w:bottom w:val="single" w:sz="4" w:space="0" w:color="000000"/>
              <w:right w:val="single" w:sz="4" w:space="0" w:color="000000"/>
            </w:tcBorders>
          </w:tcPr>
          <w:p>
            <w:pPr/>
          </w:p>
        </w:tc>
        <w:tc>
          <w:tcPr>
            <w:tcW w:w="125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6"/>
              <w:ind w:left="98" w:right="0"/>
              <w:jc w:val="center"/>
              <w:rPr>
                <w:rFonts w:ascii="Times New Roman" w:hAnsi="Times New Roman" w:cs="Times New Roman" w:eastAsia="Times New Roman" w:hint="default"/>
                <w:sz w:val="18"/>
                <w:szCs w:val="18"/>
              </w:rPr>
            </w:pPr>
            <w:r>
              <w:rPr>
                <w:rFonts w:ascii="Times New Roman"/>
                <w:sz w:val="18"/>
              </w:rPr>
              <w:t>-32,631,556.52</w:t>
            </w:r>
          </w:p>
        </w:tc>
        <w:tc>
          <w:tcPr>
            <w:tcW w:w="1023" w:type="dxa"/>
            <w:tcBorders>
              <w:top w:val="single" w:sz="4" w:space="0" w:color="FFFFFF"/>
              <w:left w:val="single" w:sz="4" w:space="0" w:color="000000"/>
              <w:bottom w:val="single" w:sz="4" w:space="0" w:color="000000"/>
              <w:right w:val="single" w:sz="4" w:space="0" w:color="000000"/>
            </w:tcBorders>
          </w:tcPr>
          <w:p>
            <w:pPr/>
          </w:p>
        </w:tc>
        <w:tc>
          <w:tcPr>
            <w:tcW w:w="1214" w:type="dxa"/>
            <w:tcBorders>
              <w:top w:val="single" w:sz="4" w:space="0" w:color="FFFFFF"/>
              <w:left w:val="single" w:sz="4" w:space="0" w:color="000000"/>
              <w:bottom w:val="single" w:sz="4" w:space="0" w:color="000000"/>
              <w:right w:val="single" w:sz="4" w:space="0" w:color="000000"/>
            </w:tcBorders>
          </w:tcPr>
          <w:p>
            <w:pPr/>
          </w:p>
        </w:tc>
        <w:tc>
          <w:tcPr>
            <w:tcW w:w="1332" w:type="dxa"/>
            <w:tcBorders>
              <w:top w:val="single" w:sz="4" w:space="0" w:color="FFFFFF"/>
              <w:left w:val="single" w:sz="4" w:space="0" w:color="000000"/>
              <w:bottom w:val="single" w:sz="4" w:space="0" w:color="000000"/>
              <w:right w:val="single" w:sz="4" w:space="0" w:color="000000"/>
            </w:tcBorders>
          </w:tcPr>
          <w:p>
            <w:pPr/>
          </w:p>
        </w:tc>
      </w:tr>
      <w:tr>
        <w:trPr>
          <w:trHeight w:val="893" w:hRule="exact"/>
        </w:trPr>
        <w:tc>
          <w:tcPr>
            <w:tcW w:w="3521"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51" w:type="dxa"/>
            <w:gridSpan w:val="2"/>
            <w:tcBorders>
              <w:top w:val="single" w:sz="4" w:space="0" w:color="000000"/>
              <w:left w:val="single" w:sz="4" w:space="0" w:color="000000"/>
              <w:bottom w:val="single" w:sz="4" w:space="0" w:color="FFFFFF"/>
              <w:right w:val="single" w:sz="4" w:space="0" w:color="000000"/>
            </w:tcBorders>
          </w:tcPr>
          <w:p>
            <w:pPr/>
          </w:p>
        </w:tc>
        <w:tc>
          <w:tcPr>
            <w:tcW w:w="1327" w:type="dxa"/>
            <w:tcBorders>
              <w:top w:val="single" w:sz="4" w:space="0" w:color="000000"/>
              <w:left w:val="single" w:sz="4" w:space="0" w:color="000000"/>
              <w:bottom w:val="single" w:sz="4" w:space="0" w:color="FFFFFF"/>
              <w:right w:val="single" w:sz="4" w:space="0" w:color="000000"/>
            </w:tcBorders>
          </w:tcPr>
          <w:p>
            <w:pPr/>
          </w:p>
        </w:tc>
        <w:tc>
          <w:tcPr>
            <w:tcW w:w="1020" w:type="dxa"/>
            <w:tcBorders>
              <w:top w:val="single" w:sz="4" w:space="0" w:color="000000"/>
              <w:left w:val="single" w:sz="4" w:space="0" w:color="000000"/>
              <w:bottom w:val="single" w:sz="4" w:space="0" w:color="FFFFFF"/>
              <w:right w:val="single" w:sz="4" w:space="0" w:color="000000"/>
            </w:tcBorders>
          </w:tcPr>
          <w:p>
            <w:pPr/>
          </w:p>
        </w:tc>
        <w:tc>
          <w:tcPr>
            <w:tcW w:w="1020" w:type="dxa"/>
            <w:tcBorders>
              <w:top w:val="single" w:sz="4" w:space="0" w:color="000000"/>
              <w:left w:val="single" w:sz="4" w:space="0" w:color="000000"/>
              <w:bottom w:val="single" w:sz="4" w:space="0" w:color="FFFFFF"/>
              <w:right w:val="single" w:sz="4" w:space="0" w:color="000000"/>
            </w:tcBorders>
          </w:tcPr>
          <w:p>
            <w:pPr/>
          </w:p>
        </w:tc>
        <w:tc>
          <w:tcPr>
            <w:tcW w:w="1094" w:type="dxa"/>
            <w:tcBorders>
              <w:top w:val="single" w:sz="4" w:space="0" w:color="000000"/>
              <w:left w:val="single" w:sz="4" w:space="0" w:color="000000"/>
              <w:bottom w:val="single" w:sz="4" w:space="0" w:color="FFFFFF"/>
              <w:right w:val="single" w:sz="4" w:space="0" w:color="000000"/>
            </w:tcBorders>
          </w:tcPr>
          <w:p>
            <w:pPr/>
          </w:p>
        </w:tc>
        <w:tc>
          <w:tcPr>
            <w:tcW w:w="1020" w:type="dxa"/>
            <w:tcBorders>
              <w:top w:val="single" w:sz="4" w:space="0" w:color="000000"/>
              <w:left w:val="single" w:sz="4" w:space="0" w:color="000000"/>
              <w:bottom w:val="single" w:sz="4" w:space="0" w:color="FFFFFF"/>
              <w:right w:val="single" w:sz="4" w:space="0" w:color="000000"/>
            </w:tcBorders>
          </w:tcPr>
          <w:p>
            <w:pPr/>
          </w:p>
        </w:tc>
        <w:tc>
          <w:tcPr>
            <w:tcW w:w="1250" w:type="dxa"/>
            <w:tcBorders>
              <w:top w:val="single" w:sz="4" w:space="0" w:color="000000"/>
              <w:left w:val="single" w:sz="4" w:space="0" w:color="000000"/>
              <w:bottom w:val="single" w:sz="4" w:space="0" w:color="FFFFFF"/>
              <w:right w:val="single" w:sz="4" w:space="0" w:color="000000"/>
            </w:tcBorders>
          </w:tcPr>
          <w:p>
            <w:pPr/>
          </w:p>
        </w:tc>
        <w:tc>
          <w:tcPr>
            <w:tcW w:w="1023" w:type="dxa"/>
            <w:tcBorders>
              <w:top w:val="single" w:sz="4" w:space="0" w:color="000000"/>
              <w:left w:val="single" w:sz="4" w:space="0" w:color="000000"/>
              <w:bottom w:val="single" w:sz="4" w:space="0" w:color="FFFFFF"/>
              <w:right w:val="single" w:sz="4" w:space="0" w:color="000000"/>
            </w:tcBorders>
          </w:tcPr>
          <w:p>
            <w:pPr/>
          </w:p>
        </w:tc>
        <w:tc>
          <w:tcPr>
            <w:tcW w:w="1214" w:type="dxa"/>
            <w:tcBorders>
              <w:top w:val="single" w:sz="4" w:space="0" w:color="000000"/>
              <w:left w:val="single" w:sz="4" w:space="0" w:color="000000"/>
              <w:bottom w:val="single" w:sz="4" w:space="0" w:color="FFFFFF"/>
              <w:right w:val="single" w:sz="4" w:space="0" w:color="000000"/>
            </w:tcBorders>
          </w:tcPr>
          <w:p>
            <w:pPr/>
          </w:p>
        </w:tc>
        <w:tc>
          <w:tcPr>
            <w:tcW w:w="1332" w:type="dxa"/>
            <w:tcBorders>
              <w:top w:val="single" w:sz="4" w:space="0" w:color="000000"/>
              <w:left w:val="single" w:sz="4" w:space="0" w:color="000000"/>
              <w:bottom w:val="single" w:sz="4" w:space="0" w:color="FFFFFF"/>
              <w:right w:val="single" w:sz="4" w:space="0" w:color="000000"/>
            </w:tcBorders>
          </w:tcPr>
          <w:p>
            <w:pPr/>
          </w:p>
        </w:tc>
      </w:tr>
      <w:tr>
        <w:trPr>
          <w:trHeight w:val="434" w:hRule="exact"/>
        </w:trPr>
        <w:tc>
          <w:tcPr>
            <w:tcW w:w="3521"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51" w:type="dxa"/>
            <w:gridSpan w:val="2"/>
            <w:tcBorders>
              <w:top w:val="single" w:sz="4" w:space="0" w:color="FFFFFF"/>
              <w:left w:val="single" w:sz="4" w:space="0" w:color="000000"/>
              <w:bottom w:val="single" w:sz="4" w:space="0" w:color="000000"/>
              <w:right w:val="single" w:sz="4" w:space="0" w:color="000000"/>
            </w:tcBorders>
          </w:tcPr>
          <w:p>
            <w:pPr/>
          </w:p>
        </w:tc>
        <w:tc>
          <w:tcPr>
            <w:tcW w:w="1327" w:type="dxa"/>
            <w:tcBorders>
              <w:top w:val="single" w:sz="4" w:space="0" w:color="FFFFFF"/>
              <w:left w:val="single" w:sz="4" w:space="0" w:color="000000"/>
              <w:bottom w:val="single" w:sz="4" w:space="0" w:color="000000"/>
              <w:right w:val="single" w:sz="4" w:space="0" w:color="000000"/>
            </w:tcBorders>
          </w:tcPr>
          <w:p>
            <w:pPr/>
          </w:p>
        </w:tc>
        <w:tc>
          <w:tcPr>
            <w:tcW w:w="1020" w:type="dxa"/>
            <w:tcBorders>
              <w:top w:val="single" w:sz="4" w:space="0" w:color="FFFFFF"/>
              <w:left w:val="single" w:sz="4" w:space="0" w:color="000000"/>
              <w:bottom w:val="single" w:sz="4" w:space="0" w:color="000000"/>
              <w:right w:val="single" w:sz="4" w:space="0" w:color="000000"/>
            </w:tcBorders>
          </w:tcPr>
          <w:p>
            <w:pPr/>
          </w:p>
        </w:tc>
        <w:tc>
          <w:tcPr>
            <w:tcW w:w="1020" w:type="dxa"/>
            <w:tcBorders>
              <w:top w:val="single" w:sz="4" w:space="0" w:color="FFFFFF"/>
              <w:left w:val="single" w:sz="4" w:space="0" w:color="000000"/>
              <w:bottom w:val="single" w:sz="4" w:space="0" w:color="000000"/>
              <w:right w:val="single" w:sz="4" w:space="0" w:color="000000"/>
            </w:tcBorders>
          </w:tcPr>
          <w:p>
            <w:pPr/>
          </w:p>
        </w:tc>
        <w:tc>
          <w:tcPr>
            <w:tcW w:w="1094" w:type="dxa"/>
            <w:tcBorders>
              <w:top w:val="single" w:sz="4" w:space="0" w:color="FFFFFF"/>
              <w:left w:val="single" w:sz="4" w:space="0" w:color="000000"/>
              <w:bottom w:val="single" w:sz="4" w:space="0" w:color="000000"/>
              <w:right w:val="single" w:sz="4" w:space="0" w:color="000000"/>
            </w:tcBorders>
          </w:tcPr>
          <w:p>
            <w:pPr/>
          </w:p>
        </w:tc>
        <w:tc>
          <w:tcPr>
            <w:tcW w:w="1020" w:type="dxa"/>
            <w:tcBorders>
              <w:top w:val="single" w:sz="4" w:space="0" w:color="FFFFFF"/>
              <w:left w:val="single" w:sz="4" w:space="0" w:color="000000"/>
              <w:bottom w:val="single" w:sz="4" w:space="0" w:color="000000"/>
              <w:right w:val="single" w:sz="4" w:space="0" w:color="000000"/>
            </w:tcBorders>
          </w:tcPr>
          <w:p>
            <w:pPr/>
          </w:p>
        </w:tc>
        <w:tc>
          <w:tcPr>
            <w:tcW w:w="125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8"/>
              <w:ind w:left="98" w:right="0"/>
              <w:jc w:val="center"/>
              <w:rPr>
                <w:rFonts w:ascii="Times New Roman" w:hAnsi="Times New Roman" w:cs="Times New Roman" w:eastAsia="Times New Roman" w:hint="default"/>
                <w:sz w:val="18"/>
                <w:szCs w:val="18"/>
              </w:rPr>
            </w:pPr>
            <w:r>
              <w:rPr>
                <w:rFonts w:ascii="Times New Roman"/>
                <w:sz w:val="18"/>
              </w:rPr>
              <w:t>-94,800,000.00</w:t>
            </w:r>
          </w:p>
        </w:tc>
        <w:tc>
          <w:tcPr>
            <w:tcW w:w="1023" w:type="dxa"/>
            <w:tcBorders>
              <w:top w:val="single" w:sz="4" w:space="0" w:color="FFFFFF"/>
              <w:left w:val="single" w:sz="4" w:space="0" w:color="000000"/>
              <w:bottom w:val="single" w:sz="4" w:space="0" w:color="000000"/>
              <w:right w:val="single" w:sz="4" w:space="0" w:color="000000"/>
            </w:tcBorders>
          </w:tcPr>
          <w:p>
            <w:pPr/>
          </w:p>
        </w:tc>
        <w:tc>
          <w:tcPr>
            <w:tcW w:w="1214" w:type="dxa"/>
            <w:tcBorders>
              <w:top w:val="single" w:sz="4" w:space="0" w:color="FFFFFF"/>
              <w:left w:val="single" w:sz="4" w:space="0" w:color="000000"/>
              <w:bottom w:val="single" w:sz="4" w:space="0" w:color="000000"/>
              <w:right w:val="single" w:sz="4" w:space="0" w:color="000000"/>
            </w:tcBorders>
          </w:tcPr>
          <w:p>
            <w:pPr/>
          </w:p>
        </w:tc>
        <w:tc>
          <w:tcPr>
            <w:tcW w:w="133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-94,800,000.00</w:t>
            </w:r>
          </w:p>
        </w:tc>
      </w:tr>
      <w:tr>
        <w:trPr>
          <w:trHeight w:val="893"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1" w:type="dxa"/>
            <w:gridSpan w:val="2"/>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bl>
    <w:p>
      <w:pPr>
        <w:rPr>
          <w:sz w:val="2"/>
          <w:szCs w:val="2"/>
        </w:rPr>
      </w:pPr>
      <w:r>
        <w:rPr/>
        <w:pict>
          <v:shape style="position:absolute;margin-left:187.339996pt;margin-top:207.410004pt;width:94pt;height:14.3pt;mso-position-horizontal-relative:page;mso-position-vertical-relative:page;z-index:-946504" type="#_x0000_t202" filled="false" stroked="false">
            <v:textbox inset="0,0,0,0">
              <w:txbxContent>
                <w:p>
                  <w:pPr>
                    <w:pStyle w:val="BodyText"/>
                    <w:spacing w:line="229" w:lineRule="exact"/>
                    <w:ind w:left="0" w:right="0"/>
                    <w:jc w:val="left"/>
                  </w:pPr>
                  <w:r>
                    <w:rPr/>
                    <w:t>号填列）</w:t>
                  </w:r>
                </w:p>
              </w:txbxContent>
            </v:textbox>
            <w10:wrap type="none"/>
          </v:shape>
        </w:pict>
      </w:r>
      <w:r>
        <w:rPr/>
        <w:pict>
          <v:group style="position:absolute;margin-left:220.580002pt;margin-top:206.87001pt;width:60.75pt;height:15.4pt;mso-position-horizontal-relative:page;mso-position-vertical-relative:page;z-index:-946480" coordorigin="4412,4137" coordsize="1215,308">
            <v:group style="position:absolute;left:4422;top:4148;width:2;height:286" coordorigin="4422,4148" coordsize="2,286">
              <v:shape style="position:absolute;left:4422;top:4148;width:2;height:286" coordorigin="4422,4148" coordsize="0,286" path="m4422,4148l4422,4434e" filled="false" stroked="true" strokeweight="1.08pt" strokecolor="#ffffff">
                <v:path arrowok="t"/>
              </v:shape>
            </v:group>
            <v:group style="position:absolute;left:4433;top:4148;width:1194;height:286" coordorigin="4433,4148" coordsize="1194,286">
              <v:shape style="position:absolute;left:4433;top:4148;width:1194;height:286" coordorigin="4433,4148" coordsize="1194,286" path="m4433,4434l5626,4434,5626,4148,4433,4148,4433,4434xe" filled="true" fillcolor="#ffffff" stroked="false">
                <v:path arrowok="t"/>
                <v:fill type="solid"/>
              </v:shape>
            </v:group>
            <w10:wrap type="none"/>
          </v:group>
        </w:pict>
      </w:r>
    </w:p>
    <w:p>
      <w:pPr>
        <w:spacing w:after="0"/>
        <w:rPr>
          <w:sz w:val="2"/>
          <w:szCs w:val="2"/>
        </w:rPr>
        <w:sectPr>
          <w:pgSz w:w="16840" w:h="11910" w:orient="landscape"/>
          <w:pgMar w:header="852" w:footer="980" w:top="1320" w:bottom="1160" w:left="760" w:right="760"/>
        </w:sectPr>
      </w:pPr>
    </w:p>
    <w:tbl>
      <w:tblPr>
        <w:tblW w:w="0" w:type="auto"/>
        <w:jc w:val="left"/>
        <w:tblInd w:w="118" w:type="dxa"/>
        <w:tblLayout w:type="fixed"/>
        <w:tblCellMar>
          <w:top w:w="0" w:type="dxa"/>
          <w:left w:w="0" w:type="dxa"/>
          <w:bottom w:w="0" w:type="dxa"/>
          <w:right w:w="0" w:type="dxa"/>
        </w:tblCellMar>
        <w:tblLook w:val="01E0"/>
      </w:tblPr>
      <w:tblGrid>
        <w:gridCol w:w="3521"/>
        <w:gridCol w:w="1251"/>
        <w:gridCol w:w="1327"/>
        <w:gridCol w:w="1020"/>
        <w:gridCol w:w="1020"/>
        <w:gridCol w:w="1094"/>
        <w:gridCol w:w="1020"/>
        <w:gridCol w:w="1250"/>
        <w:gridCol w:w="1023"/>
        <w:gridCol w:w="1214"/>
        <w:gridCol w:w="1332"/>
      </w:tblGrid>
      <w:tr>
        <w:trPr>
          <w:trHeight w:val="1478" w:hRule="exact"/>
        </w:trPr>
        <w:tc>
          <w:tcPr>
            <w:tcW w:w="3521"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25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63,200,000.00</w:t>
            </w:r>
          </w:p>
        </w:tc>
        <w:tc>
          <w:tcPr>
            <w:tcW w:w="132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-63,200,000.00</w:t>
            </w:r>
          </w:p>
        </w:tc>
        <w:tc>
          <w:tcPr>
            <w:tcW w:w="1020" w:type="dxa"/>
            <w:tcBorders>
              <w:top w:val="single" w:sz="10" w:space="0" w:color="000000"/>
              <w:left w:val="single" w:sz="4" w:space="0" w:color="000000"/>
              <w:bottom w:val="single" w:sz="4" w:space="0" w:color="000000"/>
              <w:right w:val="single" w:sz="4" w:space="0" w:color="000000"/>
            </w:tcBorders>
          </w:tcPr>
          <w:p>
            <w:pPr/>
          </w:p>
        </w:tc>
        <w:tc>
          <w:tcPr>
            <w:tcW w:w="1020" w:type="dxa"/>
            <w:tcBorders>
              <w:top w:val="single" w:sz="10" w:space="0" w:color="000000"/>
              <w:left w:val="single" w:sz="4" w:space="0" w:color="000000"/>
              <w:bottom w:val="single" w:sz="4" w:space="0" w:color="000000"/>
              <w:right w:val="single" w:sz="4" w:space="0" w:color="000000"/>
            </w:tcBorders>
          </w:tcPr>
          <w:p>
            <w:pPr/>
          </w:p>
        </w:tc>
        <w:tc>
          <w:tcPr>
            <w:tcW w:w="1094" w:type="dxa"/>
            <w:tcBorders>
              <w:top w:val="single" w:sz="10" w:space="0" w:color="000000"/>
              <w:left w:val="single" w:sz="4" w:space="0" w:color="000000"/>
              <w:bottom w:val="single" w:sz="4" w:space="0" w:color="000000"/>
              <w:right w:val="single" w:sz="4" w:space="0" w:color="000000"/>
            </w:tcBorders>
          </w:tcPr>
          <w:p>
            <w:pPr/>
          </w:p>
        </w:tc>
        <w:tc>
          <w:tcPr>
            <w:tcW w:w="1020" w:type="dxa"/>
            <w:tcBorders>
              <w:top w:val="single" w:sz="10" w:space="0" w:color="000000"/>
              <w:left w:val="single" w:sz="4" w:space="0" w:color="000000"/>
              <w:bottom w:val="single" w:sz="4" w:space="0" w:color="000000"/>
              <w:right w:val="single" w:sz="4" w:space="0" w:color="000000"/>
            </w:tcBorders>
          </w:tcPr>
          <w:p>
            <w:pPr/>
          </w:p>
        </w:tc>
        <w:tc>
          <w:tcPr>
            <w:tcW w:w="1250" w:type="dxa"/>
            <w:tcBorders>
              <w:top w:val="single" w:sz="10" w:space="0" w:color="000000"/>
              <w:left w:val="single" w:sz="4" w:space="0" w:color="000000"/>
              <w:bottom w:val="single" w:sz="4" w:space="0" w:color="000000"/>
              <w:right w:val="single" w:sz="4" w:space="0" w:color="000000"/>
            </w:tcBorders>
          </w:tcPr>
          <w:p>
            <w:pPr/>
          </w:p>
        </w:tc>
        <w:tc>
          <w:tcPr>
            <w:tcW w:w="1023" w:type="dxa"/>
            <w:tcBorders>
              <w:top w:val="single" w:sz="10" w:space="0" w:color="000000"/>
              <w:left w:val="single" w:sz="4" w:space="0" w:color="000000"/>
              <w:bottom w:val="single" w:sz="4" w:space="0" w:color="000000"/>
              <w:right w:val="single" w:sz="4" w:space="0" w:color="000000"/>
            </w:tcBorders>
          </w:tcPr>
          <w:p>
            <w:pPr/>
          </w:p>
        </w:tc>
        <w:tc>
          <w:tcPr>
            <w:tcW w:w="1214" w:type="dxa"/>
            <w:tcBorders>
              <w:top w:val="single" w:sz="10" w:space="0" w:color="000000"/>
              <w:left w:val="single" w:sz="4" w:space="0" w:color="000000"/>
              <w:bottom w:val="single" w:sz="4" w:space="0" w:color="000000"/>
              <w:right w:val="single" w:sz="4" w:space="0" w:color="000000"/>
            </w:tcBorders>
          </w:tcPr>
          <w:p>
            <w:pPr/>
          </w:p>
        </w:tc>
        <w:tc>
          <w:tcPr>
            <w:tcW w:w="1332" w:type="dxa"/>
            <w:tcBorders>
              <w:top w:val="single" w:sz="10" w:space="0" w:color="000000"/>
              <w:left w:val="single" w:sz="4" w:space="0" w:color="000000"/>
              <w:bottom w:val="single" w:sz="4" w:space="0" w:color="000000"/>
              <w:right w:val="single" w:sz="4" w:space="0" w:color="000000"/>
            </w:tcBorders>
          </w:tcPr>
          <w:p>
            <w:pPr/>
          </w:p>
        </w:tc>
      </w:tr>
      <w:tr>
        <w:trPr>
          <w:trHeight w:val="1601"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63,200,000.00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-63,200,000.00</w:t>
            </w:r>
          </w:p>
        </w:tc>
        <w:tc>
          <w:tcPr>
            <w:tcW w:w="102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1601"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5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893"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5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938"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936"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5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939"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5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893"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5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2" w:footer="980" w:top="1320" w:bottom="1160" w:left="760" w:right="760"/>
        </w:sectPr>
      </w:pPr>
    </w:p>
    <w:p>
      <w:pPr>
        <w:spacing w:line="240" w:lineRule="auto" w:before="6"/>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521"/>
        <w:gridCol w:w="1251"/>
        <w:gridCol w:w="1327"/>
        <w:gridCol w:w="1020"/>
        <w:gridCol w:w="1020"/>
        <w:gridCol w:w="1094"/>
        <w:gridCol w:w="1020"/>
        <w:gridCol w:w="1250"/>
        <w:gridCol w:w="1023"/>
        <w:gridCol w:w="1214"/>
        <w:gridCol w:w="1332"/>
      </w:tblGrid>
      <w:tr>
        <w:trPr>
          <w:trHeight w:val="950" w:hRule="exact"/>
        </w:trPr>
        <w:tc>
          <w:tcPr>
            <w:tcW w:w="3521"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51" w:type="dxa"/>
            <w:tcBorders>
              <w:top w:val="single" w:sz="10" w:space="0" w:color="000000"/>
              <w:left w:val="single" w:sz="4" w:space="0" w:color="000000"/>
              <w:bottom w:val="single" w:sz="4" w:space="0" w:color="000000"/>
              <w:right w:val="single" w:sz="4" w:space="0" w:color="000000"/>
            </w:tcBorders>
          </w:tcPr>
          <w:p>
            <w:pPr/>
          </w:p>
        </w:tc>
        <w:tc>
          <w:tcPr>
            <w:tcW w:w="1327" w:type="dxa"/>
            <w:tcBorders>
              <w:top w:val="single" w:sz="10" w:space="0" w:color="000000"/>
              <w:left w:val="single" w:sz="4" w:space="0" w:color="000000"/>
              <w:bottom w:val="single" w:sz="4" w:space="0" w:color="000000"/>
              <w:right w:val="single" w:sz="4" w:space="0" w:color="000000"/>
            </w:tcBorders>
          </w:tcPr>
          <w:p>
            <w:pPr/>
          </w:p>
        </w:tc>
        <w:tc>
          <w:tcPr>
            <w:tcW w:w="1020" w:type="dxa"/>
            <w:tcBorders>
              <w:top w:val="single" w:sz="10" w:space="0" w:color="000000"/>
              <w:left w:val="single" w:sz="4" w:space="0" w:color="000000"/>
              <w:bottom w:val="single" w:sz="4" w:space="0" w:color="000000"/>
              <w:right w:val="single" w:sz="4" w:space="0" w:color="000000"/>
            </w:tcBorders>
          </w:tcPr>
          <w:p>
            <w:pPr/>
          </w:p>
        </w:tc>
        <w:tc>
          <w:tcPr>
            <w:tcW w:w="1020" w:type="dxa"/>
            <w:tcBorders>
              <w:top w:val="single" w:sz="10" w:space="0" w:color="000000"/>
              <w:left w:val="single" w:sz="4" w:space="0" w:color="000000"/>
              <w:bottom w:val="single" w:sz="4" w:space="0" w:color="000000"/>
              <w:right w:val="single" w:sz="4" w:space="0" w:color="000000"/>
            </w:tcBorders>
          </w:tcPr>
          <w:p>
            <w:pPr/>
          </w:p>
        </w:tc>
        <w:tc>
          <w:tcPr>
            <w:tcW w:w="1094" w:type="dxa"/>
            <w:tcBorders>
              <w:top w:val="single" w:sz="10" w:space="0" w:color="000000"/>
              <w:left w:val="single" w:sz="4" w:space="0" w:color="000000"/>
              <w:bottom w:val="single" w:sz="4" w:space="0" w:color="000000"/>
              <w:right w:val="single" w:sz="4" w:space="0" w:color="000000"/>
            </w:tcBorders>
          </w:tcPr>
          <w:p>
            <w:pPr/>
          </w:p>
        </w:tc>
        <w:tc>
          <w:tcPr>
            <w:tcW w:w="1020" w:type="dxa"/>
            <w:tcBorders>
              <w:top w:val="single" w:sz="10" w:space="0" w:color="000000"/>
              <w:left w:val="single" w:sz="4" w:space="0" w:color="000000"/>
              <w:bottom w:val="single" w:sz="4" w:space="0" w:color="000000"/>
              <w:right w:val="single" w:sz="4" w:space="0" w:color="000000"/>
            </w:tcBorders>
          </w:tcPr>
          <w:p>
            <w:pPr/>
          </w:p>
        </w:tc>
        <w:tc>
          <w:tcPr>
            <w:tcW w:w="1250" w:type="dxa"/>
            <w:tcBorders>
              <w:top w:val="single" w:sz="10" w:space="0" w:color="000000"/>
              <w:left w:val="single" w:sz="4" w:space="0" w:color="000000"/>
              <w:bottom w:val="single" w:sz="4" w:space="0" w:color="000000"/>
              <w:right w:val="single" w:sz="4" w:space="0" w:color="000000"/>
            </w:tcBorders>
          </w:tcPr>
          <w:p>
            <w:pPr/>
          </w:p>
        </w:tc>
        <w:tc>
          <w:tcPr>
            <w:tcW w:w="1023" w:type="dxa"/>
            <w:tcBorders>
              <w:top w:val="single" w:sz="10" w:space="0" w:color="000000"/>
              <w:left w:val="single" w:sz="4" w:space="0" w:color="000000"/>
              <w:bottom w:val="single" w:sz="4" w:space="0" w:color="000000"/>
              <w:right w:val="single" w:sz="4" w:space="0" w:color="000000"/>
            </w:tcBorders>
          </w:tcPr>
          <w:p>
            <w:pPr/>
          </w:p>
        </w:tc>
        <w:tc>
          <w:tcPr>
            <w:tcW w:w="1214" w:type="dxa"/>
            <w:tcBorders>
              <w:top w:val="single" w:sz="10" w:space="0" w:color="000000"/>
              <w:left w:val="single" w:sz="4" w:space="0" w:color="000000"/>
              <w:bottom w:val="single" w:sz="4" w:space="0" w:color="000000"/>
              <w:right w:val="single" w:sz="4" w:space="0" w:color="000000"/>
            </w:tcBorders>
          </w:tcPr>
          <w:p>
            <w:pPr/>
          </w:p>
        </w:tc>
        <w:tc>
          <w:tcPr>
            <w:tcW w:w="1332" w:type="dxa"/>
            <w:tcBorders>
              <w:top w:val="single" w:sz="10" w:space="0" w:color="000000"/>
              <w:left w:val="single" w:sz="4" w:space="0" w:color="000000"/>
              <w:bottom w:val="single" w:sz="4" w:space="0" w:color="000000"/>
              <w:right w:val="single" w:sz="4" w:space="0" w:color="000000"/>
            </w:tcBorders>
          </w:tcPr>
          <w:p>
            <w:pPr/>
          </w:p>
        </w:tc>
      </w:tr>
      <w:tr>
        <w:trPr>
          <w:trHeight w:val="1466"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91" w:right="0"/>
              <w:jc w:val="left"/>
              <w:rPr>
                <w:rFonts w:ascii="Times New Roman" w:hAnsi="Times New Roman" w:cs="Times New Roman" w:eastAsia="Times New Roman" w:hint="default"/>
                <w:sz w:val="18"/>
                <w:szCs w:val="18"/>
              </w:rPr>
            </w:pPr>
            <w:r>
              <w:rPr>
                <w:rFonts w:ascii="Times New Roman"/>
                <w:sz w:val="18"/>
              </w:rPr>
              <w:t>379,200,000.00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33" w:right="0"/>
              <w:jc w:val="left"/>
              <w:rPr>
                <w:rFonts w:ascii="Times New Roman" w:hAnsi="Times New Roman" w:cs="Times New Roman" w:eastAsia="Times New Roman" w:hint="default"/>
                <w:sz w:val="18"/>
                <w:szCs w:val="18"/>
              </w:rPr>
            </w:pPr>
            <w:r>
              <w:rPr>
                <w:rFonts w:ascii="Times New Roman"/>
                <w:sz w:val="18"/>
              </w:rPr>
              <w:t>1,521,705,055.99</w:t>
            </w:r>
          </w:p>
        </w:tc>
        <w:tc>
          <w:tcPr>
            <w:tcW w:w="102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6" w:right="0"/>
              <w:jc w:val="left"/>
              <w:rPr>
                <w:rFonts w:ascii="Times New Roman" w:hAnsi="Times New Roman" w:cs="Times New Roman" w:eastAsia="Times New Roman" w:hint="default"/>
                <w:sz w:val="18"/>
                <w:szCs w:val="18"/>
              </w:rPr>
            </w:pPr>
            <w:r>
              <w:rPr>
                <w:rFonts w:ascii="Times New Roman"/>
                <w:sz w:val="18"/>
              </w:rPr>
              <w:t>79,132,439.37</w:t>
            </w:r>
          </w:p>
        </w:tc>
        <w:tc>
          <w:tcPr>
            <w:tcW w:w="102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91" w:right="0"/>
              <w:jc w:val="left"/>
              <w:rPr>
                <w:rFonts w:ascii="Times New Roman" w:hAnsi="Times New Roman" w:cs="Times New Roman" w:eastAsia="Times New Roman" w:hint="default"/>
                <w:sz w:val="18"/>
                <w:szCs w:val="18"/>
              </w:rPr>
            </w:pPr>
            <w:r>
              <w:rPr>
                <w:rFonts w:ascii="Times New Roman"/>
                <w:sz w:val="18"/>
              </w:rPr>
              <w:t>852,094,072.95</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09" w:right="0"/>
              <w:jc w:val="left"/>
              <w:rPr>
                <w:rFonts w:ascii="Times New Roman" w:hAnsi="Times New Roman" w:cs="Times New Roman" w:eastAsia="Times New Roman" w:hint="default"/>
                <w:sz w:val="18"/>
                <w:szCs w:val="18"/>
              </w:rPr>
            </w:pPr>
            <w:r>
              <w:rPr>
                <w:rFonts w:ascii="Times New Roman"/>
                <w:sz w:val="18"/>
              </w:rPr>
              <w:t>-60,800.74</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46" w:right="0"/>
              <w:jc w:val="left"/>
              <w:rPr>
                <w:rFonts w:ascii="Times New Roman" w:hAnsi="Times New Roman" w:cs="Times New Roman" w:eastAsia="Times New Roman" w:hint="default"/>
                <w:sz w:val="18"/>
                <w:szCs w:val="18"/>
              </w:rPr>
            </w:pPr>
            <w:r>
              <w:rPr>
                <w:rFonts w:ascii="Times New Roman"/>
                <w:sz w:val="18"/>
              </w:rPr>
              <w:t>18,715,320.48</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38" w:right="0"/>
              <w:jc w:val="left"/>
              <w:rPr>
                <w:rFonts w:ascii="Times New Roman" w:hAnsi="Times New Roman" w:cs="Times New Roman" w:eastAsia="Times New Roman" w:hint="default"/>
                <w:sz w:val="18"/>
                <w:szCs w:val="18"/>
              </w:rPr>
            </w:pPr>
            <w:r>
              <w:rPr>
                <w:rFonts w:ascii="Times New Roman"/>
                <w:sz w:val="18"/>
              </w:rPr>
              <w:t>2,850,786,088.05</w:t>
            </w:r>
          </w:p>
        </w:tc>
      </w:tr>
    </w:tbl>
    <w:p>
      <w:pPr>
        <w:pStyle w:val="BodyText"/>
        <w:tabs>
          <w:tab w:pos="6265" w:val="left" w:leader="none"/>
          <w:tab w:pos="12389" w:val="left" w:leader="none"/>
        </w:tabs>
        <w:spacing w:line="206" w:lineRule="exact"/>
        <w:ind w:left="680" w:right="0"/>
        <w:jc w:val="left"/>
      </w:pPr>
      <w:r>
        <w:rPr/>
        <w:t>法定代表人：王宁先生</w:t>
        <w:tab/>
      </w:r>
      <w:r>
        <w:rPr>
          <w:spacing w:val="-1"/>
        </w:rPr>
        <w:t>主管会计工作负责人：万能先生</w:t>
        <w:tab/>
        <w:t>会计机构负责人：林红女士</w:t>
      </w:r>
    </w:p>
    <w:p>
      <w:pPr>
        <w:spacing w:after="0" w:line="206" w:lineRule="exact"/>
        <w:jc w:val="left"/>
        <w:sectPr>
          <w:pgSz w:w="16840" w:h="11910" w:orient="landscape"/>
          <w:pgMar w:header="852" w:footer="980" w:top="1280" w:bottom="1160" w:left="760" w:right="760"/>
        </w:sectPr>
      </w:pPr>
    </w:p>
    <w:p>
      <w:pPr>
        <w:spacing w:line="240" w:lineRule="auto" w:before="11"/>
        <w:rPr>
          <w:rFonts w:ascii="宋体" w:hAnsi="宋体" w:cs="宋体" w:eastAsia="宋体" w:hint="default"/>
          <w:sz w:val="2"/>
          <w:szCs w:val="2"/>
        </w:rPr>
      </w:pPr>
      <w:r>
        <w:rPr/>
        <w:pict>
          <v:shape style="position:absolute;margin-left:212.300003pt;margin-top:276.77002pt;width:95.45pt;height:14.4pt;mso-position-horizontal-relative:page;mso-position-vertical-relative:page;z-index:-946432" type="#_x0000_t202" filled="false" stroked="false">
            <v:textbox inset="0,0,0,0">
              <w:txbxContent>
                <w:p>
                  <w:pPr>
                    <w:pStyle w:val="BodyText"/>
                    <w:spacing w:line="232" w:lineRule="exact"/>
                    <w:ind w:left="0" w:right="0"/>
                    <w:jc w:val="left"/>
                  </w:pPr>
                  <w:r>
                    <w:rPr/>
                    <w:t>号填列）</w:t>
                  </w:r>
                </w:p>
              </w:txbxContent>
            </v:textbox>
            <w10:wrap type="none"/>
          </v:shape>
        </w:pict>
      </w:r>
      <w:r>
        <w:rPr/>
        <w:pict>
          <v:group style="position:absolute;margin-left:245.899994pt;margin-top:276.230011pt;width:61.85pt;height:15.5pt;mso-position-horizontal-relative:page;mso-position-vertical-relative:page;z-index:-946408" coordorigin="4918,5525" coordsize="1237,310">
            <v:group style="position:absolute;left:4929;top:5535;width:2;height:288" coordorigin="4929,5535" coordsize="2,288">
              <v:shape style="position:absolute;left:4929;top:5535;width:2;height:288" coordorigin="4929,5535" coordsize="0,288" path="m4929,5535l4929,5823e" filled="false" stroked="true" strokeweight="1.08pt" strokecolor="#ffffff">
                <v:path arrowok="t"/>
              </v:shape>
            </v:group>
            <v:group style="position:absolute;left:4940;top:5535;width:1215;height:288" coordorigin="4940,5535" coordsize="1215,288">
              <v:shape style="position:absolute;left:4940;top:5535;width:1215;height:288" coordorigin="4940,5535" coordsize="1215,288" path="m4940,5823l6154,5823,6154,5535,4940,5535,4940,5823xe" filled="true" fillcolor="#ffffff" stroked="false">
                <v:path arrowok="t"/>
                <v:fill type="solid"/>
              </v:shape>
            </v:group>
            <w10:wrap type="none"/>
          </v:group>
        </w:pict>
      </w:r>
    </w:p>
    <w:p>
      <w:pPr>
        <w:spacing w:line="20" w:lineRule="exact"/>
        <w:ind w:left="16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7"/>
          <w:szCs w:val="17"/>
        </w:rPr>
      </w:pPr>
    </w:p>
    <w:p>
      <w:pPr>
        <w:pStyle w:val="Heading3"/>
        <w:spacing w:line="240" w:lineRule="auto" w:before="36"/>
        <w:ind w:left="200"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200" w:right="0"/>
        <w:jc w:val="left"/>
      </w:pPr>
      <w:r>
        <w:rPr/>
        <w:t>编制单位：北京神州泰岳软件股份有限公司</w:t>
      </w:r>
    </w:p>
    <w:p>
      <w:pPr>
        <w:spacing w:line="240" w:lineRule="auto" w:before="10"/>
        <w:rPr>
          <w:rFonts w:ascii="宋体" w:hAnsi="宋体" w:cs="宋体" w:eastAsia="宋体" w:hint="default"/>
          <w:sz w:val="21"/>
          <w:szCs w:val="21"/>
        </w:rPr>
      </w:pPr>
    </w:p>
    <w:p>
      <w:pPr>
        <w:pStyle w:val="BodyText"/>
        <w:tabs>
          <w:tab w:pos="9028" w:val="left" w:leader="none"/>
        </w:tabs>
        <w:spacing w:line="240" w:lineRule="auto"/>
        <w:ind w:left="200" w:right="0"/>
        <w:jc w:val="left"/>
      </w:pPr>
      <w:r>
        <w:rPr/>
        <w:t>本期金额</w:t>
        <w:tab/>
        <w:t>单位：元</w:t>
      </w: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555"/>
        <w:gridCol w:w="1270"/>
        <w:gridCol w:w="1495"/>
        <w:gridCol w:w="1270"/>
        <w:gridCol w:w="1272"/>
        <w:gridCol w:w="1361"/>
        <w:gridCol w:w="1273"/>
        <w:gridCol w:w="1270"/>
        <w:gridCol w:w="1356"/>
      </w:tblGrid>
      <w:tr>
        <w:trPr>
          <w:trHeight w:val="382" w:hRule="exact"/>
        </w:trPr>
        <w:tc>
          <w:tcPr>
            <w:tcW w:w="355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6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216" w:hRule="exact"/>
        </w:trPr>
        <w:tc>
          <w:tcPr>
            <w:tcW w:w="35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0" w:type="dxa"/>
            <w:vMerge w:val="restart"/>
            <w:tcBorders>
              <w:top w:val="single" w:sz="4" w:space="0" w:color="000000"/>
              <w:left w:val="single" w:sz="4" w:space="0" w:color="000000"/>
              <w:right w:val="single" w:sz="4" w:space="0" w:color="000000"/>
            </w:tcBorders>
            <w:shd w:val="clear" w:color="auto" w:fill="D2D2D2"/>
          </w:tcPr>
          <w:p>
            <w:pPr>
              <w:pStyle w:val="TableParagraph"/>
              <w:spacing w:line="185" w:lineRule="exact"/>
              <w:ind w:right="0"/>
              <w:jc w:val="center"/>
              <w:rPr>
                <w:rFonts w:ascii="宋体" w:hAnsi="宋体" w:cs="宋体" w:eastAsia="宋体" w:hint="default"/>
                <w:sz w:val="18"/>
                <w:szCs w:val="18"/>
              </w:rPr>
            </w:pPr>
            <w:r>
              <w:rPr>
                <w:rFonts w:ascii="宋体" w:hAnsi="宋体" w:cs="宋体" w:eastAsia="宋体" w:hint="default"/>
                <w:spacing w:val="-7"/>
                <w:sz w:val="18"/>
                <w:szCs w:val="18"/>
              </w:rPr>
              <w:t>实收资本（或股</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本）</w:t>
            </w:r>
          </w:p>
        </w:tc>
        <w:tc>
          <w:tcPr>
            <w:tcW w:w="14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18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2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3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31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9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2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17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4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25" w:hRule="exact"/>
        </w:trPr>
        <w:tc>
          <w:tcPr>
            <w:tcW w:w="355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0" w:type="dxa"/>
            <w:vMerge/>
            <w:tcBorders>
              <w:left w:val="single" w:sz="4" w:space="0" w:color="000000"/>
              <w:bottom w:val="single" w:sz="4" w:space="0" w:color="000000"/>
              <w:right w:val="single" w:sz="4" w:space="0" w:color="000000"/>
            </w:tcBorders>
            <w:shd w:val="clear" w:color="auto" w:fill="D2D2D2"/>
          </w:tcPr>
          <w:p>
            <w:pPr/>
          </w:p>
        </w:tc>
        <w:tc>
          <w:tcPr>
            <w:tcW w:w="1495" w:type="dxa"/>
            <w:vMerge/>
            <w:tcBorders>
              <w:left w:val="single" w:sz="4" w:space="0" w:color="000000"/>
              <w:bottom w:val="single" w:sz="4" w:space="0" w:color="000000"/>
              <w:right w:val="single" w:sz="4" w:space="0" w:color="000000"/>
            </w:tcBorders>
            <w:shd w:val="clear" w:color="auto" w:fill="D2D2D2"/>
          </w:tcPr>
          <w:p>
            <w:pPr/>
          </w:p>
        </w:tc>
        <w:tc>
          <w:tcPr>
            <w:tcW w:w="1270" w:type="dxa"/>
            <w:vMerge/>
            <w:tcBorders>
              <w:left w:val="single" w:sz="4" w:space="0" w:color="000000"/>
              <w:bottom w:val="single" w:sz="4" w:space="0" w:color="000000"/>
              <w:right w:val="single" w:sz="4" w:space="0" w:color="000000"/>
            </w:tcBorders>
            <w:shd w:val="clear" w:color="auto" w:fill="D2D2D2"/>
          </w:tcPr>
          <w:p>
            <w:pPr/>
          </w:p>
        </w:tc>
        <w:tc>
          <w:tcPr>
            <w:tcW w:w="1272" w:type="dxa"/>
            <w:vMerge/>
            <w:tcBorders>
              <w:left w:val="single" w:sz="4" w:space="0" w:color="000000"/>
              <w:bottom w:val="single" w:sz="4" w:space="0" w:color="000000"/>
              <w:right w:val="single" w:sz="4" w:space="0" w:color="000000"/>
            </w:tcBorders>
            <w:shd w:val="clear" w:color="auto" w:fill="D2D2D2"/>
          </w:tcPr>
          <w:p>
            <w:pPr/>
          </w:p>
        </w:tc>
        <w:tc>
          <w:tcPr>
            <w:tcW w:w="1361" w:type="dxa"/>
            <w:vMerge/>
            <w:tcBorders>
              <w:left w:val="single" w:sz="4" w:space="0" w:color="000000"/>
              <w:bottom w:val="single" w:sz="4" w:space="0" w:color="000000"/>
              <w:right w:val="single" w:sz="4" w:space="0" w:color="000000"/>
            </w:tcBorders>
            <w:shd w:val="clear" w:color="auto" w:fill="D2D2D2"/>
          </w:tcPr>
          <w:p>
            <w:pPr/>
          </w:p>
        </w:tc>
        <w:tc>
          <w:tcPr>
            <w:tcW w:w="1273" w:type="dxa"/>
            <w:vMerge/>
            <w:tcBorders>
              <w:left w:val="single" w:sz="4" w:space="0" w:color="000000"/>
              <w:bottom w:val="single" w:sz="4" w:space="0" w:color="000000"/>
              <w:right w:val="single" w:sz="4" w:space="0" w:color="000000"/>
            </w:tcBorders>
            <w:shd w:val="clear" w:color="auto" w:fill="D2D2D2"/>
          </w:tcPr>
          <w:p>
            <w:pPr/>
          </w:p>
        </w:tc>
        <w:tc>
          <w:tcPr>
            <w:tcW w:w="1270" w:type="dxa"/>
            <w:vMerge/>
            <w:tcBorders>
              <w:left w:val="single" w:sz="4" w:space="0" w:color="000000"/>
              <w:bottom w:val="single" w:sz="4" w:space="0" w:color="000000"/>
              <w:right w:val="single" w:sz="4" w:space="0" w:color="000000"/>
            </w:tcBorders>
            <w:shd w:val="clear" w:color="auto" w:fill="D2D2D2"/>
          </w:tcPr>
          <w:p>
            <w:pPr/>
          </w:p>
        </w:tc>
        <w:tc>
          <w:tcPr>
            <w:tcW w:w="1356" w:type="dxa"/>
            <w:vMerge/>
            <w:tcBorders>
              <w:left w:val="single" w:sz="4" w:space="0" w:color="000000"/>
              <w:bottom w:val="single" w:sz="4" w:space="0" w:color="000000"/>
              <w:right w:val="single" w:sz="4" w:space="0" w:color="000000"/>
            </w:tcBorders>
            <w:shd w:val="clear" w:color="auto" w:fill="D2D2D2"/>
          </w:tcPr>
          <w:p>
            <w:pPr/>
          </w:p>
        </w:tc>
      </w:tr>
      <w:tr>
        <w:trPr>
          <w:trHeight w:val="381"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70" w:type="dxa"/>
            <w:tcBorders>
              <w:top w:val="single" w:sz="4" w:space="0" w:color="000000"/>
              <w:left w:val="single" w:sz="22" w:space="0" w:color="D2D2D2"/>
              <w:bottom w:val="single" w:sz="4" w:space="0" w:color="000000"/>
              <w:right w:val="single" w:sz="10" w:space="0" w:color="D2D2D2"/>
            </w:tcBorders>
          </w:tcPr>
          <w:p>
            <w:pPr>
              <w:pStyle w:val="TableParagraph"/>
              <w:spacing w:line="240" w:lineRule="auto" w:before="104"/>
              <w:ind w:right="15"/>
              <w:jc w:val="right"/>
              <w:rPr>
                <w:rFonts w:ascii="Times New Roman" w:hAnsi="Times New Roman" w:cs="Times New Roman" w:eastAsia="Times New Roman" w:hint="default"/>
                <w:sz w:val="18"/>
                <w:szCs w:val="18"/>
              </w:rPr>
            </w:pPr>
            <w:r>
              <w:rPr>
                <w:rFonts w:ascii="Times New Roman"/>
                <w:spacing w:val="-1"/>
                <w:sz w:val="18"/>
              </w:rPr>
              <w:t>379,200,000.00</w:t>
            </w:r>
          </w:p>
        </w:tc>
        <w:tc>
          <w:tcPr>
            <w:tcW w:w="1495" w:type="dxa"/>
            <w:tcBorders>
              <w:top w:val="single" w:sz="51" w:space="0" w:color="D2D2D2"/>
              <w:left w:val="single" w:sz="10"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1,515,887,932.55</w:t>
            </w:r>
          </w:p>
        </w:tc>
        <w:tc>
          <w:tcPr>
            <w:tcW w:w="1270" w:type="dxa"/>
            <w:tcBorders>
              <w:top w:val="single" w:sz="51" w:space="0" w:color="D2D2D2"/>
              <w:left w:val="single" w:sz="4" w:space="0" w:color="000000"/>
              <w:bottom w:val="single" w:sz="4" w:space="0" w:color="000000"/>
              <w:right w:val="single" w:sz="4" w:space="0" w:color="000000"/>
            </w:tcBorders>
          </w:tcPr>
          <w:p>
            <w:pPr/>
          </w:p>
        </w:tc>
        <w:tc>
          <w:tcPr>
            <w:tcW w:w="1272" w:type="dxa"/>
            <w:tcBorders>
              <w:top w:val="single" w:sz="51" w:space="0" w:color="D2D2D2"/>
              <w:left w:val="single" w:sz="4" w:space="0" w:color="000000"/>
              <w:bottom w:val="single" w:sz="4" w:space="0" w:color="000000"/>
              <w:right w:val="single" w:sz="4" w:space="0" w:color="000000"/>
            </w:tcBorders>
          </w:tcPr>
          <w:p>
            <w:pPr/>
          </w:p>
        </w:tc>
        <w:tc>
          <w:tcPr>
            <w:tcW w:w="1361"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79,382,285.49</w:t>
            </w:r>
          </w:p>
        </w:tc>
        <w:tc>
          <w:tcPr>
            <w:tcW w:w="1273" w:type="dxa"/>
            <w:tcBorders>
              <w:top w:val="single" w:sz="51" w:space="0" w:color="D2D2D2"/>
              <w:left w:val="single" w:sz="4" w:space="0" w:color="000000"/>
              <w:bottom w:val="single" w:sz="4" w:space="0" w:color="000000"/>
              <w:right w:val="single" w:sz="4" w:space="0" w:color="000000"/>
            </w:tcBorders>
          </w:tcPr>
          <w:p>
            <w:pPr/>
          </w:p>
        </w:tc>
        <w:tc>
          <w:tcPr>
            <w:tcW w:w="1270"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45"/>
              <w:ind w:left="86" w:right="0"/>
              <w:jc w:val="center"/>
              <w:rPr>
                <w:rFonts w:ascii="Times New Roman" w:hAnsi="Times New Roman" w:cs="Times New Roman" w:eastAsia="Times New Roman" w:hint="default"/>
                <w:sz w:val="18"/>
                <w:szCs w:val="18"/>
              </w:rPr>
            </w:pPr>
            <w:r>
              <w:rPr>
                <w:rFonts w:ascii="Times New Roman"/>
                <w:sz w:val="18"/>
              </w:rPr>
              <w:t>415,196,616.88</w:t>
            </w:r>
          </w:p>
        </w:tc>
        <w:tc>
          <w:tcPr>
            <w:tcW w:w="1356"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2,389,666,834.92</w:t>
            </w:r>
          </w:p>
        </w:tc>
      </w:tr>
      <w:tr>
        <w:trPr>
          <w:trHeight w:val="324"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0" w:type="dxa"/>
            <w:tcBorders>
              <w:top w:val="single" w:sz="4" w:space="0" w:color="000000"/>
              <w:left w:val="single" w:sz="10" w:space="0" w:color="D2D2D2"/>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0" w:type="dxa"/>
            <w:tcBorders>
              <w:top w:val="single" w:sz="4" w:space="0" w:color="000000"/>
              <w:left w:val="single" w:sz="10" w:space="0" w:color="D2D2D2"/>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0" w:type="dxa"/>
            <w:tcBorders>
              <w:top w:val="single" w:sz="4" w:space="0" w:color="000000"/>
              <w:left w:val="single" w:sz="10" w:space="0" w:color="D2D2D2"/>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-249,846.12</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06" w:right="0"/>
              <w:jc w:val="center"/>
              <w:rPr>
                <w:rFonts w:ascii="Times New Roman" w:hAnsi="Times New Roman" w:cs="Times New Roman" w:eastAsia="Times New Roman" w:hint="default"/>
                <w:sz w:val="18"/>
                <w:szCs w:val="18"/>
              </w:rPr>
            </w:pPr>
            <w:r>
              <w:rPr>
                <w:rFonts w:ascii="Times New Roman"/>
                <w:sz w:val="18"/>
              </w:rPr>
              <w:t>-2,248,615.12</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-2,498,461.24</w:t>
            </w:r>
          </w:p>
        </w:tc>
      </w:tr>
      <w:tr>
        <w:trPr>
          <w:trHeight w:val="322"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7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379,200,000.00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1,515,887,932.55</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79,132,439.37</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6" w:right="0"/>
              <w:jc w:val="center"/>
              <w:rPr>
                <w:rFonts w:ascii="Times New Roman" w:hAnsi="Times New Roman" w:cs="Times New Roman" w:eastAsia="Times New Roman" w:hint="default"/>
                <w:sz w:val="18"/>
                <w:szCs w:val="18"/>
              </w:rPr>
            </w:pPr>
            <w:r>
              <w:rPr>
                <w:rFonts w:ascii="Times New Roman"/>
                <w:sz w:val="18"/>
              </w:rPr>
              <w:t>412,948,001.76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2,387,168,373.68</w:t>
            </w:r>
          </w:p>
        </w:tc>
      </w:tr>
      <w:tr>
        <w:trPr>
          <w:trHeight w:val="324"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w w:val="158"/>
                <w:sz w:val="18"/>
                <w:szCs w:val="18"/>
              </w:rPr>
              <w:t>‖</w:t>
            </w:r>
            <w:r>
              <w:rPr>
                <w:rFonts w:ascii="Times New Roman" w:hAnsi="Times New Roman" w:cs="Times New Roman" w:eastAsia="Times New Roman" w:hint="default"/>
                <w:sz w:val="18"/>
                <w:szCs w:val="18"/>
              </w:rPr>
            </w:r>
          </w:p>
        </w:tc>
        <w:tc>
          <w:tcPr>
            <w:tcW w:w="127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4,183,700.00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40,625,500.02</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23,092,599.24</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77" w:right="0"/>
              <w:jc w:val="center"/>
              <w:rPr>
                <w:rFonts w:ascii="Times New Roman" w:hAnsi="Times New Roman" w:cs="Times New Roman" w:eastAsia="Times New Roman" w:hint="default"/>
                <w:sz w:val="18"/>
                <w:szCs w:val="18"/>
              </w:rPr>
            </w:pPr>
            <w:r>
              <w:rPr>
                <w:rFonts w:ascii="Times New Roman"/>
                <w:sz w:val="18"/>
              </w:rPr>
              <w:t>94,073,393.12</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161,975,192.38</w:t>
            </w:r>
          </w:p>
        </w:tc>
      </w:tr>
      <w:tr>
        <w:trPr>
          <w:trHeight w:val="368"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70" w:type="dxa"/>
            <w:tcBorders>
              <w:top w:val="single" w:sz="4" w:space="0" w:color="000000"/>
              <w:left w:val="single" w:sz="10" w:space="0" w:color="D2D2D2"/>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86" w:right="0"/>
              <w:jc w:val="center"/>
              <w:rPr>
                <w:rFonts w:ascii="Times New Roman" w:hAnsi="Times New Roman" w:cs="Times New Roman" w:eastAsia="Times New Roman" w:hint="default"/>
                <w:sz w:val="18"/>
                <w:szCs w:val="18"/>
              </w:rPr>
            </w:pPr>
            <w:r>
              <w:rPr>
                <w:rFonts w:ascii="Times New Roman"/>
                <w:sz w:val="18"/>
              </w:rPr>
              <w:t>230,925,992.36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230,925,992.36</w:t>
            </w:r>
          </w:p>
        </w:tc>
      </w:tr>
      <w:tr>
        <w:trPr>
          <w:trHeight w:val="448"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70" w:type="dxa"/>
            <w:tcBorders>
              <w:top w:val="single" w:sz="4" w:space="0" w:color="000000"/>
              <w:left w:val="single" w:sz="10" w:space="0" w:color="D2D2D2"/>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2,037,591.37</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2,037,591.37</w:t>
            </w:r>
          </w:p>
        </w:tc>
      </w:tr>
      <w:tr>
        <w:trPr>
          <w:trHeight w:val="368"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270" w:type="dxa"/>
            <w:tcBorders>
              <w:top w:val="single" w:sz="4" w:space="0" w:color="000000"/>
              <w:left w:val="single" w:sz="10" w:space="0" w:color="D2D2D2"/>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2,037,591.37</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86" w:right="0"/>
              <w:jc w:val="center"/>
              <w:rPr>
                <w:rFonts w:ascii="Times New Roman" w:hAnsi="Times New Roman" w:cs="Times New Roman" w:eastAsia="Times New Roman" w:hint="default"/>
                <w:sz w:val="18"/>
                <w:szCs w:val="18"/>
              </w:rPr>
            </w:pPr>
            <w:r>
              <w:rPr>
                <w:rFonts w:ascii="Times New Roman"/>
                <w:sz w:val="18"/>
              </w:rPr>
              <w:t>230,925,992.36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232,963,583.73</w:t>
            </w:r>
          </w:p>
        </w:tc>
      </w:tr>
      <w:tr>
        <w:trPr>
          <w:trHeight w:val="492"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27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7"/>
              <w:ind w:right="22"/>
              <w:jc w:val="right"/>
              <w:rPr>
                <w:rFonts w:ascii="Times New Roman" w:hAnsi="Times New Roman" w:cs="Times New Roman" w:eastAsia="Times New Roman" w:hint="default"/>
                <w:sz w:val="18"/>
                <w:szCs w:val="18"/>
              </w:rPr>
            </w:pPr>
            <w:r>
              <w:rPr>
                <w:rFonts w:ascii="Times New Roman"/>
                <w:spacing w:val="-1"/>
                <w:sz w:val="18"/>
              </w:rPr>
              <w:t>4,183,700.00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pacing w:val="-1"/>
                <w:sz w:val="18"/>
              </w:rPr>
              <w:t>38,587,908.65</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pacing w:val="-1"/>
                <w:sz w:val="18"/>
              </w:rPr>
              <w:t>42,771,608.65</w:t>
            </w:r>
          </w:p>
        </w:tc>
      </w:tr>
      <w:tr>
        <w:trPr>
          <w:trHeight w:val="448"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27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7"/>
              <w:ind w:right="22"/>
              <w:jc w:val="right"/>
              <w:rPr>
                <w:rFonts w:ascii="Times New Roman" w:hAnsi="Times New Roman" w:cs="Times New Roman" w:eastAsia="Times New Roman" w:hint="default"/>
                <w:sz w:val="18"/>
                <w:szCs w:val="18"/>
              </w:rPr>
            </w:pPr>
            <w:r>
              <w:rPr>
                <w:rFonts w:ascii="Times New Roman"/>
                <w:spacing w:val="-1"/>
                <w:sz w:val="18"/>
              </w:rPr>
              <w:t>4,183,700.00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pacing w:val="-1"/>
                <w:sz w:val="18"/>
              </w:rPr>
              <w:t>33,344,089.00</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pacing w:val="-1"/>
                <w:sz w:val="18"/>
              </w:rPr>
              <w:t>37,527,789.00</w:t>
            </w:r>
          </w:p>
        </w:tc>
      </w:tr>
      <w:tr>
        <w:trPr>
          <w:trHeight w:val="118" w:hRule="exact"/>
        </w:trPr>
        <w:tc>
          <w:tcPr>
            <w:tcW w:w="355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0" w:type="dxa"/>
            <w:vMerge w:val="restart"/>
            <w:tcBorders>
              <w:top w:val="single" w:sz="4" w:space="0" w:color="000000"/>
              <w:left w:val="single" w:sz="10" w:space="0" w:color="D2D2D2"/>
              <w:right w:val="single" w:sz="4" w:space="0" w:color="000000"/>
            </w:tcBorders>
          </w:tcPr>
          <w:p>
            <w:pPr/>
          </w:p>
        </w:tc>
        <w:tc>
          <w:tcPr>
            <w:tcW w:w="1495" w:type="dxa"/>
            <w:vMerge w:val="restart"/>
            <w:tcBorders>
              <w:top w:val="single" w:sz="4" w:space="0" w:color="000000"/>
              <w:left w:val="single" w:sz="4" w:space="0" w:color="000000"/>
              <w:right w:val="single" w:sz="4" w:space="0" w:color="000000"/>
            </w:tcBorders>
          </w:tcPr>
          <w:p>
            <w:pPr>
              <w:pStyle w:val="TableParagraph"/>
              <w:spacing w:line="240" w:lineRule="auto" w:before="160"/>
              <w:ind w:left="518" w:right="0"/>
              <w:jc w:val="left"/>
              <w:rPr>
                <w:rFonts w:ascii="Times New Roman" w:hAnsi="Times New Roman" w:cs="Times New Roman" w:eastAsia="Times New Roman" w:hint="default"/>
                <w:sz w:val="18"/>
                <w:szCs w:val="18"/>
              </w:rPr>
            </w:pPr>
            <w:r>
              <w:rPr>
                <w:rFonts w:ascii="Times New Roman"/>
                <w:sz w:val="18"/>
              </w:rPr>
              <w:t>5,443,754.20</w:t>
            </w:r>
          </w:p>
        </w:tc>
        <w:tc>
          <w:tcPr>
            <w:tcW w:w="1270" w:type="dxa"/>
            <w:vMerge w:val="restart"/>
            <w:tcBorders>
              <w:top w:val="single" w:sz="4" w:space="0" w:color="000000"/>
              <w:left w:val="single" w:sz="4" w:space="0" w:color="000000"/>
              <w:right w:val="single" w:sz="4" w:space="0" w:color="000000"/>
            </w:tcBorders>
          </w:tcPr>
          <w:p>
            <w:pPr/>
          </w:p>
        </w:tc>
        <w:tc>
          <w:tcPr>
            <w:tcW w:w="1272" w:type="dxa"/>
            <w:vMerge w:val="restart"/>
            <w:tcBorders>
              <w:top w:val="single" w:sz="4" w:space="0" w:color="000000"/>
              <w:left w:val="single" w:sz="4" w:space="0" w:color="000000"/>
              <w:right w:val="single" w:sz="4" w:space="0" w:color="000000"/>
            </w:tcBorders>
          </w:tcPr>
          <w:p>
            <w:pPr/>
          </w:p>
        </w:tc>
        <w:tc>
          <w:tcPr>
            <w:tcW w:w="1361" w:type="dxa"/>
            <w:vMerge w:val="restart"/>
            <w:tcBorders>
              <w:top w:val="single" w:sz="4" w:space="0" w:color="000000"/>
              <w:left w:val="single" w:sz="4" w:space="0" w:color="000000"/>
              <w:right w:val="single" w:sz="4" w:space="0" w:color="000000"/>
            </w:tcBorders>
          </w:tcPr>
          <w:p>
            <w:pPr/>
          </w:p>
        </w:tc>
        <w:tc>
          <w:tcPr>
            <w:tcW w:w="1273"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c>
          <w:tcPr>
            <w:tcW w:w="1356" w:type="dxa"/>
            <w:vMerge w:val="restart"/>
            <w:tcBorders>
              <w:top w:val="single" w:sz="4" w:space="0" w:color="000000"/>
              <w:left w:val="single" w:sz="4" w:space="0" w:color="000000"/>
              <w:right w:val="single" w:sz="4" w:space="0" w:color="000000"/>
            </w:tcBorders>
          </w:tcPr>
          <w:p>
            <w:pPr>
              <w:pStyle w:val="TableParagraph"/>
              <w:spacing w:line="240" w:lineRule="auto" w:before="160"/>
              <w:ind w:left="379" w:right="0"/>
              <w:jc w:val="left"/>
              <w:rPr>
                <w:rFonts w:ascii="Times New Roman" w:hAnsi="Times New Roman" w:cs="Times New Roman" w:eastAsia="Times New Roman" w:hint="default"/>
                <w:sz w:val="18"/>
                <w:szCs w:val="18"/>
              </w:rPr>
            </w:pPr>
            <w:r>
              <w:rPr>
                <w:rFonts w:ascii="Times New Roman"/>
                <w:sz w:val="18"/>
              </w:rPr>
              <w:t>5,443,754.20</w:t>
            </w:r>
          </w:p>
        </w:tc>
      </w:tr>
      <w:tr>
        <w:trPr>
          <w:trHeight w:val="434" w:hRule="exact"/>
        </w:trPr>
        <w:tc>
          <w:tcPr>
            <w:tcW w:w="355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270" w:type="dxa"/>
            <w:vMerge/>
            <w:tcBorders>
              <w:left w:val="single" w:sz="10" w:space="0" w:color="D2D2D2"/>
              <w:bottom w:val="single" w:sz="4" w:space="0" w:color="000000"/>
              <w:right w:val="single" w:sz="4" w:space="0" w:color="000000"/>
            </w:tcBorders>
          </w:tcPr>
          <w:p>
            <w:pPr/>
          </w:p>
        </w:tc>
        <w:tc>
          <w:tcPr>
            <w:tcW w:w="1495"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361" w:type="dxa"/>
            <w:vMerge/>
            <w:tcBorders>
              <w:left w:val="single" w:sz="4" w:space="0" w:color="000000"/>
              <w:bottom w:val="single" w:sz="4" w:space="0" w:color="000000"/>
              <w:right w:val="single" w:sz="4" w:space="0" w:color="000000"/>
            </w:tcBorders>
          </w:tcPr>
          <w:p>
            <w:pPr/>
          </w:p>
        </w:tc>
        <w:tc>
          <w:tcPr>
            <w:tcW w:w="1273"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c>
          <w:tcPr>
            <w:tcW w:w="1356" w:type="dxa"/>
            <w:vMerge/>
            <w:tcBorders>
              <w:left w:val="single" w:sz="4" w:space="0" w:color="000000"/>
              <w:bottom w:val="single" w:sz="4" w:space="0" w:color="000000"/>
              <w:right w:val="single" w:sz="4" w:space="0" w:color="000000"/>
            </w:tcBorders>
          </w:tcPr>
          <w:p>
            <w:pPr/>
          </w:p>
        </w:tc>
      </w:tr>
      <w:tr>
        <w:trPr>
          <w:trHeight w:val="96" w:hRule="exact"/>
        </w:trPr>
        <w:tc>
          <w:tcPr>
            <w:tcW w:w="355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0" w:type="dxa"/>
            <w:vMerge w:val="restart"/>
            <w:tcBorders>
              <w:top w:val="single" w:sz="4" w:space="0" w:color="000000"/>
              <w:left w:val="single" w:sz="10" w:space="0" w:color="D2D2D2"/>
              <w:right w:val="single" w:sz="4" w:space="0" w:color="000000"/>
            </w:tcBorders>
          </w:tcPr>
          <w:p>
            <w:pPr/>
          </w:p>
        </w:tc>
        <w:tc>
          <w:tcPr>
            <w:tcW w:w="1495" w:type="dxa"/>
            <w:vMerge w:val="restart"/>
            <w:tcBorders>
              <w:top w:val="single" w:sz="4" w:space="0" w:color="000000"/>
              <w:left w:val="single" w:sz="4" w:space="0" w:color="000000"/>
              <w:right w:val="single" w:sz="4" w:space="0" w:color="000000"/>
            </w:tcBorders>
          </w:tcPr>
          <w:p>
            <w:pPr>
              <w:pStyle w:val="TableParagraph"/>
              <w:spacing w:line="240" w:lineRule="auto" w:before="139"/>
              <w:ind w:left="592" w:right="0"/>
              <w:jc w:val="left"/>
              <w:rPr>
                <w:rFonts w:ascii="Times New Roman" w:hAnsi="Times New Roman" w:cs="Times New Roman" w:eastAsia="Times New Roman" w:hint="default"/>
                <w:sz w:val="18"/>
                <w:szCs w:val="18"/>
              </w:rPr>
            </w:pPr>
            <w:r>
              <w:rPr>
                <w:rFonts w:ascii="Times New Roman"/>
                <w:sz w:val="18"/>
              </w:rPr>
              <w:t>-199,934.55</w:t>
            </w:r>
          </w:p>
        </w:tc>
        <w:tc>
          <w:tcPr>
            <w:tcW w:w="1270" w:type="dxa"/>
            <w:vMerge w:val="restart"/>
            <w:tcBorders>
              <w:top w:val="single" w:sz="4" w:space="0" w:color="000000"/>
              <w:left w:val="single" w:sz="4" w:space="0" w:color="000000"/>
              <w:right w:val="single" w:sz="4" w:space="0" w:color="000000"/>
            </w:tcBorders>
          </w:tcPr>
          <w:p>
            <w:pPr/>
          </w:p>
        </w:tc>
        <w:tc>
          <w:tcPr>
            <w:tcW w:w="1272" w:type="dxa"/>
            <w:vMerge w:val="restart"/>
            <w:tcBorders>
              <w:top w:val="single" w:sz="4" w:space="0" w:color="000000"/>
              <w:left w:val="single" w:sz="4" w:space="0" w:color="000000"/>
              <w:right w:val="single" w:sz="4" w:space="0" w:color="000000"/>
            </w:tcBorders>
          </w:tcPr>
          <w:p>
            <w:pPr/>
          </w:p>
        </w:tc>
        <w:tc>
          <w:tcPr>
            <w:tcW w:w="1361" w:type="dxa"/>
            <w:vMerge w:val="restart"/>
            <w:tcBorders>
              <w:top w:val="single" w:sz="4" w:space="0" w:color="000000"/>
              <w:left w:val="single" w:sz="4" w:space="0" w:color="000000"/>
              <w:right w:val="single" w:sz="4" w:space="0" w:color="000000"/>
            </w:tcBorders>
          </w:tcPr>
          <w:p>
            <w:pPr/>
          </w:p>
        </w:tc>
        <w:tc>
          <w:tcPr>
            <w:tcW w:w="1273"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c>
          <w:tcPr>
            <w:tcW w:w="1356" w:type="dxa"/>
            <w:vMerge w:val="restart"/>
            <w:tcBorders>
              <w:top w:val="single" w:sz="4" w:space="0" w:color="000000"/>
              <w:left w:val="single" w:sz="4" w:space="0" w:color="000000"/>
              <w:right w:val="single" w:sz="4" w:space="0" w:color="000000"/>
            </w:tcBorders>
          </w:tcPr>
          <w:p>
            <w:pPr>
              <w:pStyle w:val="TableParagraph"/>
              <w:spacing w:line="240" w:lineRule="auto" w:before="139"/>
              <w:ind w:left="453" w:right="0"/>
              <w:jc w:val="left"/>
              <w:rPr>
                <w:rFonts w:ascii="Times New Roman" w:hAnsi="Times New Roman" w:cs="Times New Roman" w:eastAsia="Times New Roman" w:hint="default"/>
                <w:sz w:val="18"/>
                <w:szCs w:val="18"/>
              </w:rPr>
            </w:pPr>
            <w:r>
              <w:rPr>
                <w:rFonts w:ascii="Times New Roman"/>
                <w:sz w:val="18"/>
              </w:rPr>
              <w:t>-199,934.55</w:t>
            </w:r>
          </w:p>
        </w:tc>
      </w:tr>
      <w:tr>
        <w:trPr>
          <w:trHeight w:val="411" w:hRule="exact"/>
        </w:trPr>
        <w:tc>
          <w:tcPr>
            <w:tcW w:w="355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70" w:type="dxa"/>
            <w:vMerge/>
            <w:tcBorders>
              <w:left w:val="single" w:sz="10" w:space="0" w:color="D2D2D2"/>
              <w:bottom w:val="single" w:sz="4" w:space="0" w:color="000000"/>
              <w:right w:val="single" w:sz="4" w:space="0" w:color="000000"/>
            </w:tcBorders>
          </w:tcPr>
          <w:p>
            <w:pPr/>
          </w:p>
        </w:tc>
        <w:tc>
          <w:tcPr>
            <w:tcW w:w="1495"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361" w:type="dxa"/>
            <w:vMerge/>
            <w:tcBorders>
              <w:left w:val="single" w:sz="4" w:space="0" w:color="000000"/>
              <w:bottom w:val="single" w:sz="4" w:space="0" w:color="000000"/>
              <w:right w:val="single" w:sz="4" w:space="0" w:color="000000"/>
            </w:tcBorders>
          </w:tcPr>
          <w:p>
            <w:pPr/>
          </w:p>
        </w:tc>
        <w:tc>
          <w:tcPr>
            <w:tcW w:w="1273"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c>
          <w:tcPr>
            <w:tcW w:w="1356" w:type="dxa"/>
            <w:vMerge/>
            <w:tcBorders>
              <w:left w:val="single" w:sz="4" w:space="0" w:color="000000"/>
              <w:bottom w:val="single" w:sz="4" w:space="0" w:color="000000"/>
              <w:right w:val="single" w:sz="4" w:space="0" w:color="000000"/>
            </w:tcBorders>
          </w:tcPr>
          <w:p>
            <w:pPr/>
          </w:p>
        </w:tc>
      </w:tr>
      <w:tr>
        <w:trPr>
          <w:trHeight w:val="96" w:hRule="exact"/>
        </w:trPr>
        <w:tc>
          <w:tcPr>
            <w:tcW w:w="355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0" w:type="dxa"/>
            <w:vMerge w:val="restart"/>
            <w:tcBorders>
              <w:top w:val="single" w:sz="4" w:space="0" w:color="000000"/>
              <w:left w:val="single" w:sz="10" w:space="0" w:color="D2D2D2"/>
              <w:right w:val="single" w:sz="4" w:space="0" w:color="000000"/>
            </w:tcBorders>
          </w:tcPr>
          <w:p>
            <w:pPr/>
          </w:p>
        </w:tc>
        <w:tc>
          <w:tcPr>
            <w:tcW w:w="1495"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c>
          <w:tcPr>
            <w:tcW w:w="1272" w:type="dxa"/>
            <w:vMerge w:val="restart"/>
            <w:tcBorders>
              <w:top w:val="single" w:sz="4" w:space="0" w:color="000000"/>
              <w:left w:val="single" w:sz="4" w:space="0" w:color="000000"/>
              <w:right w:val="single" w:sz="4" w:space="0" w:color="000000"/>
            </w:tcBorders>
          </w:tcPr>
          <w:p>
            <w:pPr/>
          </w:p>
        </w:tc>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39"/>
              <w:ind w:left="295" w:right="0"/>
              <w:jc w:val="left"/>
              <w:rPr>
                <w:rFonts w:ascii="Times New Roman" w:hAnsi="Times New Roman" w:cs="Times New Roman" w:eastAsia="Times New Roman" w:hint="default"/>
                <w:sz w:val="18"/>
                <w:szCs w:val="18"/>
              </w:rPr>
            </w:pPr>
            <w:r>
              <w:rPr>
                <w:rFonts w:ascii="Times New Roman"/>
                <w:sz w:val="18"/>
              </w:rPr>
              <w:t>23,092,599.24</w:t>
            </w:r>
          </w:p>
        </w:tc>
        <w:tc>
          <w:tcPr>
            <w:tcW w:w="1273"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139"/>
              <w:ind w:left="50" w:right="0"/>
              <w:jc w:val="left"/>
              <w:rPr>
                <w:rFonts w:ascii="Times New Roman" w:hAnsi="Times New Roman" w:cs="Times New Roman" w:eastAsia="Times New Roman" w:hint="default"/>
                <w:sz w:val="18"/>
                <w:szCs w:val="18"/>
              </w:rPr>
            </w:pPr>
            <w:r>
              <w:rPr>
                <w:rFonts w:ascii="Times New Roman"/>
                <w:sz w:val="18"/>
              </w:rPr>
              <w:t>-136,852,599.24</w:t>
            </w:r>
          </w:p>
        </w:tc>
        <w:tc>
          <w:tcPr>
            <w:tcW w:w="1356" w:type="dxa"/>
            <w:vMerge w:val="restart"/>
            <w:tcBorders>
              <w:top w:val="single" w:sz="4" w:space="0" w:color="000000"/>
              <w:left w:val="single" w:sz="4" w:space="0" w:color="000000"/>
              <w:right w:val="single" w:sz="4" w:space="0" w:color="000000"/>
            </w:tcBorders>
          </w:tcPr>
          <w:p>
            <w:pPr>
              <w:pStyle w:val="TableParagraph"/>
              <w:spacing w:line="240" w:lineRule="auto" w:before="139"/>
              <w:ind w:left="146" w:right="0"/>
              <w:jc w:val="left"/>
              <w:rPr>
                <w:rFonts w:ascii="Times New Roman" w:hAnsi="Times New Roman" w:cs="Times New Roman" w:eastAsia="Times New Roman" w:hint="default"/>
                <w:sz w:val="18"/>
                <w:szCs w:val="18"/>
              </w:rPr>
            </w:pPr>
            <w:r>
              <w:rPr>
                <w:rFonts w:ascii="Times New Roman"/>
                <w:sz w:val="18"/>
              </w:rPr>
              <w:t>-113,760,000.00</w:t>
            </w:r>
          </w:p>
        </w:tc>
      </w:tr>
      <w:tr>
        <w:trPr>
          <w:trHeight w:val="455" w:hRule="exact"/>
        </w:trPr>
        <w:tc>
          <w:tcPr>
            <w:tcW w:w="355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70" w:type="dxa"/>
            <w:vMerge/>
            <w:tcBorders>
              <w:left w:val="single" w:sz="10" w:space="0" w:color="D2D2D2"/>
              <w:bottom w:val="single" w:sz="4" w:space="0" w:color="000000"/>
              <w:right w:val="single" w:sz="4" w:space="0" w:color="000000"/>
            </w:tcBorders>
          </w:tcPr>
          <w:p>
            <w:pPr/>
          </w:p>
        </w:tc>
        <w:tc>
          <w:tcPr>
            <w:tcW w:w="1495"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361" w:type="dxa"/>
            <w:vMerge/>
            <w:tcBorders>
              <w:left w:val="single" w:sz="4" w:space="0" w:color="000000"/>
              <w:bottom w:val="single" w:sz="4" w:space="0" w:color="000000"/>
              <w:right w:val="single" w:sz="4" w:space="0" w:color="000000"/>
            </w:tcBorders>
          </w:tcPr>
          <w:p>
            <w:pPr/>
          </w:p>
        </w:tc>
        <w:tc>
          <w:tcPr>
            <w:tcW w:w="1273"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c>
          <w:tcPr>
            <w:tcW w:w="1356" w:type="dxa"/>
            <w:vMerge/>
            <w:tcBorders>
              <w:left w:val="single" w:sz="4" w:space="0" w:color="000000"/>
              <w:bottom w:val="single" w:sz="4" w:space="0" w:color="000000"/>
              <w:right w:val="single" w:sz="4" w:space="0" w:color="000000"/>
            </w:tcBorders>
          </w:tcPr>
          <w:p>
            <w:pPr/>
          </w:p>
        </w:tc>
      </w:tr>
      <w:tr>
        <w:trPr>
          <w:trHeight w:val="448"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70" w:type="dxa"/>
            <w:tcBorders>
              <w:top w:val="single" w:sz="4" w:space="0" w:color="000000"/>
              <w:left w:val="single" w:sz="10" w:space="0" w:color="D2D2D2"/>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pacing w:val="-1"/>
                <w:sz w:val="18"/>
              </w:rPr>
              <w:t>23,092,599.24</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7" w:right="0"/>
              <w:jc w:val="center"/>
              <w:rPr>
                <w:rFonts w:ascii="Times New Roman" w:hAnsi="Times New Roman" w:cs="Times New Roman" w:eastAsia="Times New Roman" w:hint="default"/>
                <w:sz w:val="18"/>
                <w:szCs w:val="18"/>
              </w:rPr>
            </w:pPr>
            <w:r>
              <w:rPr>
                <w:rFonts w:ascii="Times New Roman"/>
                <w:sz w:val="18"/>
              </w:rPr>
              <w:t>-23,092,599.24</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70" w:type="dxa"/>
            <w:tcBorders>
              <w:top w:val="single" w:sz="4" w:space="0" w:color="000000"/>
              <w:left w:val="single" w:sz="10" w:space="0" w:color="D2D2D2"/>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2" w:footer="980" w:top="1280" w:bottom="1160" w:left="1240" w:right="1240"/>
        </w:sectPr>
      </w:pPr>
    </w:p>
    <w:p>
      <w:pPr>
        <w:spacing w:line="240" w:lineRule="auto" w:before="6"/>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555"/>
        <w:gridCol w:w="1270"/>
        <w:gridCol w:w="1495"/>
        <w:gridCol w:w="1270"/>
        <w:gridCol w:w="1272"/>
        <w:gridCol w:w="1361"/>
        <w:gridCol w:w="1273"/>
        <w:gridCol w:w="1270"/>
        <w:gridCol w:w="1356"/>
      </w:tblGrid>
      <w:tr>
        <w:trPr>
          <w:trHeight w:val="518" w:hRule="exact"/>
        </w:trPr>
        <w:tc>
          <w:tcPr>
            <w:tcW w:w="355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70" w:type="dxa"/>
            <w:tcBorders>
              <w:top w:val="single" w:sz="10" w:space="0" w:color="000000"/>
              <w:left w:val="single" w:sz="4" w:space="0" w:color="000000"/>
              <w:bottom w:val="single" w:sz="4" w:space="0" w:color="000000"/>
              <w:right w:val="single" w:sz="4" w:space="0" w:color="000000"/>
            </w:tcBorders>
          </w:tcPr>
          <w:p>
            <w:pPr/>
          </w:p>
        </w:tc>
        <w:tc>
          <w:tcPr>
            <w:tcW w:w="1495" w:type="dxa"/>
            <w:tcBorders>
              <w:top w:val="single" w:sz="10" w:space="0" w:color="000000"/>
              <w:left w:val="single" w:sz="4" w:space="0" w:color="000000"/>
              <w:bottom w:val="single" w:sz="4" w:space="0" w:color="000000"/>
              <w:right w:val="single" w:sz="4" w:space="0" w:color="000000"/>
            </w:tcBorders>
          </w:tcPr>
          <w:p>
            <w:pPr/>
          </w:p>
        </w:tc>
        <w:tc>
          <w:tcPr>
            <w:tcW w:w="1270" w:type="dxa"/>
            <w:tcBorders>
              <w:top w:val="single" w:sz="10" w:space="0" w:color="000000"/>
              <w:left w:val="single" w:sz="4" w:space="0" w:color="000000"/>
              <w:bottom w:val="single" w:sz="4" w:space="0" w:color="000000"/>
              <w:right w:val="single" w:sz="4" w:space="0" w:color="000000"/>
            </w:tcBorders>
          </w:tcPr>
          <w:p>
            <w:pPr/>
          </w:p>
        </w:tc>
        <w:tc>
          <w:tcPr>
            <w:tcW w:w="1272" w:type="dxa"/>
            <w:tcBorders>
              <w:top w:val="single" w:sz="10" w:space="0" w:color="000000"/>
              <w:left w:val="single" w:sz="4" w:space="0" w:color="000000"/>
              <w:bottom w:val="single" w:sz="4" w:space="0" w:color="000000"/>
              <w:right w:val="single" w:sz="4" w:space="0" w:color="000000"/>
            </w:tcBorders>
          </w:tcPr>
          <w:p>
            <w:pPr/>
          </w:p>
        </w:tc>
        <w:tc>
          <w:tcPr>
            <w:tcW w:w="1361" w:type="dxa"/>
            <w:tcBorders>
              <w:top w:val="single" w:sz="10" w:space="0" w:color="000000"/>
              <w:left w:val="single" w:sz="4" w:space="0" w:color="000000"/>
              <w:bottom w:val="single" w:sz="4" w:space="0" w:color="000000"/>
              <w:right w:val="single" w:sz="4" w:space="0" w:color="000000"/>
            </w:tcBorders>
          </w:tcPr>
          <w:p>
            <w:pPr/>
          </w:p>
        </w:tc>
        <w:tc>
          <w:tcPr>
            <w:tcW w:w="1273" w:type="dxa"/>
            <w:tcBorders>
              <w:top w:val="single" w:sz="10" w:space="0" w:color="000000"/>
              <w:left w:val="single" w:sz="4" w:space="0" w:color="000000"/>
              <w:bottom w:val="single" w:sz="4" w:space="0" w:color="000000"/>
              <w:right w:val="single" w:sz="4" w:space="0" w:color="000000"/>
            </w:tcBorders>
          </w:tcPr>
          <w:p>
            <w:pPr/>
          </w:p>
        </w:tc>
        <w:tc>
          <w:tcPr>
            <w:tcW w:w="127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-113,760,000.00</w:t>
            </w:r>
          </w:p>
        </w:tc>
        <w:tc>
          <w:tcPr>
            <w:tcW w:w="135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44"/>
              <w:ind w:left="124" w:right="0"/>
              <w:jc w:val="center"/>
              <w:rPr>
                <w:rFonts w:ascii="Times New Roman" w:hAnsi="Times New Roman" w:cs="Times New Roman" w:eastAsia="Times New Roman" w:hint="default"/>
                <w:sz w:val="18"/>
                <w:szCs w:val="18"/>
              </w:rPr>
            </w:pPr>
            <w:r>
              <w:rPr>
                <w:rFonts w:ascii="Times New Roman"/>
                <w:sz w:val="18"/>
              </w:rPr>
              <w:t>-113,760,000.00</w:t>
            </w:r>
          </w:p>
        </w:tc>
      </w:tr>
      <w:tr>
        <w:trPr>
          <w:trHeight w:val="324"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10" w:right="0"/>
              <w:jc w:val="left"/>
              <w:rPr>
                <w:rFonts w:ascii="Times New Roman" w:hAnsi="Times New Roman" w:cs="Times New Roman" w:eastAsia="Times New Roman" w:hint="default"/>
                <w:sz w:val="18"/>
                <w:szCs w:val="18"/>
              </w:rPr>
            </w:pPr>
            <w:r>
              <w:rPr>
                <w:rFonts w:ascii="Times New Roman"/>
                <w:sz w:val="18"/>
              </w:rPr>
              <w:t>383,383,700.00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03" w:right="0"/>
              <w:jc w:val="left"/>
              <w:rPr>
                <w:rFonts w:ascii="Times New Roman" w:hAnsi="Times New Roman" w:cs="Times New Roman" w:eastAsia="Times New Roman" w:hint="default"/>
                <w:sz w:val="18"/>
                <w:szCs w:val="18"/>
              </w:rPr>
            </w:pPr>
            <w:r>
              <w:rPr>
                <w:rFonts w:ascii="Times New Roman"/>
                <w:sz w:val="18"/>
              </w:rPr>
              <w:t>1,556,513,432.57</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03" w:right="0"/>
              <w:jc w:val="left"/>
              <w:rPr>
                <w:rFonts w:ascii="Times New Roman" w:hAnsi="Times New Roman" w:cs="Times New Roman" w:eastAsia="Times New Roman" w:hint="default"/>
                <w:sz w:val="18"/>
                <w:szCs w:val="18"/>
              </w:rPr>
            </w:pPr>
            <w:r>
              <w:rPr>
                <w:rFonts w:ascii="Times New Roman"/>
                <w:sz w:val="18"/>
              </w:rPr>
              <w:t>102,225,038.61</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spacing w:val="-1"/>
                <w:sz w:val="18"/>
              </w:rPr>
              <w:t>507,021,394.88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2" w:right="0"/>
              <w:jc w:val="center"/>
              <w:rPr>
                <w:rFonts w:ascii="Times New Roman" w:hAnsi="Times New Roman" w:cs="Times New Roman" w:eastAsia="Times New Roman" w:hint="default"/>
                <w:sz w:val="18"/>
                <w:szCs w:val="18"/>
              </w:rPr>
            </w:pPr>
            <w:r>
              <w:rPr>
                <w:rFonts w:ascii="Times New Roman"/>
                <w:sz w:val="18"/>
              </w:rPr>
              <w:t>2,549,143,566.06</w:t>
            </w:r>
          </w:p>
        </w:tc>
      </w:tr>
    </w:tbl>
    <w:p>
      <w:pPr>
        <w:pStyle w:val="BodyText"/>
        <w:tabs>
          <w:tab w:pos="13351" w:val="left" w:leader="none"/>
        </w:tabs>
        <w:spacing w:line="240" w:lineRule="auto" w:before="8"/>
        <w:ind w:left="200" w:right="0"/>
        <w:jc w:val="left"/>
      </w:pPr>
      <w:r>
        <w:rPr/>
        <w:t>上年金额</w:t>
        <w:tab/>
        <w:t>单位：元</w:t>
      </w:r>
    </w:p>
    <w:p>
      <w:pPr>
        <w:spacing w:line="240" w:lineRule="auto" w:before="4"/>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3672"/>
        <w:gridCol w:w="1301"/>
        <w:gridCol w:w="1303"/>
        <w:gridCol w:w="1301"/>
        <w:gridCol w:w="1301"/>
        <w:gridCol w:w="1298"/>
        <w:gridCol w:w="1301"/>
        <w:gridCol w:w="1301"/>
        <w:gridCol w:w="1298"/>
      </w:tblGrid>
      <w:tr>
        <w:trPr>
          <w:trHeight w:val="382" w:hRule="exact"/>
        </w:trPr>
        <w:tc>
          <w:tcPr>
            <w:tcW w:w="36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0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15" w:hRule="exact"/>
        </w:trPr>
        <w:tc>
          <w:tcPr>
            <w:tcW w:w="36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7"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01" w:type="dxa"/>
            <w:vMerge w:val="restart"/>
            <w:tcBorders>
              <w:top w:val="single" w:sz="4" w:space="0" w:color="000000"/>
              <w:left w:val="single" w:sz="4" w:space="0" w:color="000000"/>
              <w:right w:val="single" w:sz="4" w:space="0" w:color="000000"/>
            </w:tcBorders>
            <w:shd w:val="clear" w:color="auto" w:fill="D2D2D2"/>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sz w:val="18"/>
                <w:szCs w:val="18"/>
              </w:rPr>
              <w:t>实收资本（或股</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本）</w:t>
            </w:r>
          </w:p>
        </w:tc>
        <w:tc>
          <w:tcPr>
            <w:tcW w:w="13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28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9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28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2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9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98" w:type="dxa"/>
            <w:vMerge w:val="restart"/>
            <w:tcBorders>
              <w:top w:val="single" w:sz="4" w:space="0" w:color="000000"/>
              <w:left w:val="single" w:sz="4" w:space="0" w:color="000000"/>
              <w:right w:val="single" w:sz="4" w:space="0" w:color="000000"/>
            </w:tcBorders>
            <w:shd w:val="clear" w:color="auto" w:fill="D2D2D2"/>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sz w:val="18"/>
                <w:szCs w:val="18"/>
              </w:rPr>
              <w:t>所有者权益合</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283" w:hRule="exact"/>
        </w:trPr>
        <w:tc>
          <w:tcPr>
            <w:tcW w:w="36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01" w:type="dxa"/>
            <w:vMerge/>
            <w:tcBorders>
              <w:left w:val="single" w:sz="4" w:space="0" w:color="000000"/>
              <w:bottom w:val="single" w:sz="4" w:space="0" w:color="000000"/>
              <w:right w:val="single" w:sz="4" w:space="0" w:color="000000"/>
            </w:tcBorders>
            <w:shd w:val="clear" w:color="auto" w:fill="D2D2D2"/>
          </w:tcPr>
          <w:p>
            <w:pPr/>
          </w:p>
        </w:tc>
        <w:tc>
          <w:tcPr>
            <w:tcW w:w="1303" w:type="dxa"/>
            <w:vMerge/>
            <w:tcBorders>
              <w:left w:val="single" w:sz="4" w:space="0" w:color="000000"/>
              <w:bottom w:val="single" w:sz="4" w:space="0" w:color="000000"/>
              <w:right w:val="single" w:sz="4" w:space="0" w:color="000000"/>
            </w:tcBorders>
            <w:shd w:val="clear" w:color="auto" w:fill="D2D2D2"/>
          </w:tcPr>
          <w:p>
            <w:pPr/>
          </w:p>
        </w:tc>
        <w:tc>
          <w:tcPr>
            <w:tcW w:w="1301" w:type="dxa"/>
            <w:vMerge/>
            <w:tcBorders>
              <w:left w:val="single" w:sz="4" w:space="0" w:color="000000"/>
              <w:bottom w:val="single" w:sz="4" w:space="0" w:color="000000"/>
              <w:right w:val="single" w:sz="4" w:space="0" w:color="000000"/>
            </w:tcBorders>
            <w:shd w:val="clear" w:color="auto" w:fill="D2D2D2"/>
          </w:tcPr>
          <w:p>
            <w:pPr/>
          </w:p>
        </w:tc>
        <w:tc>
          <w:tcPr>
            <w:tcW w:w="1301" w:type="dxa"/>
            <w:vMerge/>
            <w:tcBorders>
              <w:left w:val="single" w:sz="4" w:space="0" w:color="000000"/>
              <w:bottom w:val="single" w:sz="4" w:space="0" w:color="000000"/>
              <w:right w:val="single" w:sz="4" w:space="0" w:color="000000"/>
            </w:tcBorders>
            <w:shd w:val="clear" w:color="auto" w:fill="D2D2D2"/>
          </w:tcPr>
          <w:p>
            <w:pPr/>
          </w:p>
        </w:tc>
        <w:tc>
          <w:tcPr>
            <w:tcW w:w="1298" w:type="dxa"/>
            <w:vMerge/>
            <w:tcBorders>
              <w:left w:val="single" w:sz="4" w:space="0" w:color="000000"/>
              <w:bottom w:val="single" w:sz="4" w:space="0" w:color="000000"/>
              <w:right w:val="single" w:sz="4" w:space="0" w:color="000000"/>
            </w:tcBorders>
            <w:shd w:val="clear" w:color="auto" w:fill="D2D2D2"/>
          </w:tcPr>
          <w:p>
            <w:pPr/>
          </w:p>
        </w:tc>
        <w:tc>
          <w:tcPr>
            <w:tcW w:w="1301" w:type="dxa"/>
            <w:vMerge/>
            <w:tcBorders>
              <w:left w:val="single" w:sz="4" w:space="0" w:color="000000"/>
              <w:bottom w:val="single" w:sz="4" w:space="0" w:color="000000"/>
              <w:right w:val="single" w:sz="4" w:space="0" w:color="000000"/>
            </w:tcBorders>
            <w:shd w:val="clear" w:color="auto" w:fill="D2D2D2"/>
          </w:tcPr>
          <w:p>
            <w:pPr/>
          </w:p>
        </w:tc>
        <w:tc>
          <w:tcPr>
            <w:tcW w:w="1301" w:type="dxa"/>
            <w:vMerge/>
            <w:tcBorders>
              <w:left w:val="single" w:sz="4" w:space="0" w:color="000000"/>
              <w:bottom w:val="single" w:sz="4" w:space="0" w:color="000000"/>
              <w:right w:val="single" w:sz="4" w:space="0" w:color="000000"/>
            </w:tcBorders>
            <w:shd w:val="clear" w:color="auto" w:fill="D2D2D2"/>
          </w:tcPr>
          <w:p>
            <w:pPr/>
          </w:p>
        </w:tc>
        <w:tc>
          <w:tcPr>
            <w:tcW w:w="1298" w:type="dxa"/>
            <w:vMerge/>
            <w:tcBorders>
              <w:left w:val="single" w:sz="4" w:space="0" w:color="000000"/>
              <w:bottom w:val="single" w:sz="4" w:space="0" w:color="000000"/>
              <w:right w:val="single" w:sz="4" w:space="0" w:color="000000"/>
            </w:tcBorders>
            <w:shd w:val="clear" w:color="auto" w:fill="D2D2D2"/>
          </w:tcPr>
          <w:p>
            <w:pPr/>
          </w:p>
        </w:tc>
      </w:tr>
      <w:tr>
        <w:trPr>
          <w:trHeight w:val="96" w:hRule="exact"/>
        </w:trPr>
        <w:tc>
          <w:tcPr>
            <w:tcW w:w="36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01" w:type="dxa"/>
            <w:vMerge w:val="restart"/>
            <w:tcBorders>
              <w:top w:val="single" w:sz="4" w:space="0" w:color="000000"/>
              <w:left w:val="single" w:sz="13" w:space="0" w:color="D2D2D2"/>
              <w:right w:val="single" w:sz="4" w:space="0" w:color="000000"/>
            </w:tcBorders>
          </w:tcPr>
          <w:p>
            <w:pPr>
              <w:pStyle w:val="TableParagraph"/>
              <w:spacing w:line="240" w:lineRule="auto" w:before="139"/>
              <w:ind w:left="129" w:right="0"/>
              <w:jc w:val="left"/>
              <w:rPr>
                <w:rFonts w:ascii="Times New Roman" w:hAnsi="Times New Roman" w:cs="Times New Roman" w:eastAsia="Times New Roman" w:hint="default"/>
                <w:sz w:val="18"/>
                <w:szCs w:val="18"/>
              </w:rPr>
            </w:pPr>
            <w:r>
              <w:rPr>
                <w:rFonts w:ascii="Times New Roman"/>
                <w:sz w:val="18"/>
              </w:rPr>
              <w:t>316,000,000.00</w:t>
            </w:r>
          </w:p>
        </w:tc>
        <w:tc>
          <w:tcPr>
            <w:tcW w:w="1303" w:type="dxa"/>
            <w:vMerge w:val="restart"/>
            <w:tcBorders>
              <w:top w:val="single" w:sz="50" w:space="0" w:color="D2D2D2"/>
              <w:left w:val="single" w:sz="4" w:space="0" w:color="000000"/>
              <w:right w:val="single" w:sz="4" w:space="0" w:color="000000"/>
            </w:tcBorders>
          </w:tcPr>
          <w:p>
            <w:pPr>
              <w:pStyle w:val="TableParagraph"/>
              <w:spacing w:line="183" w:lineRule="exact"/>
              <w:ind w:right="22"/>
              <w:jc w:val="right"/>
              <w:rPr>
                <w:rFonts w:ascii="Times New Roman" w:hAnsi="Times New Roman" w:cs="Times New Roman" w:eastAsia="Times New Roman" w:hint="default"/>
                <w:sz w:val="18"/>
                <w:szCs w:val="18"/>
              </w:rPr>
            </w:pPr>
            <w:r>
              <w:rPr>
                <w:rFonts w:ascii="Times New Roman"/>
                <w:spacing w:val="-1"/>
                <w:sz w:val="18"/>
              </w:rPr>
              <w:t>1,556,125,401.4</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1</w:t>
            </w:r>
          </w:p>
        </w:tc>
        <w:tc>
          <w:tcPr>
            <w:tcW w:w="1301" w:type="dxa"/>
            <w:vMerge w:val="restart"/>
            <w:tcBorders>
              <w:top w:val="single" w:sz="50" w:space="0" w:color="D2D2D2"/>
              <w:left w:val="single" w:sz="4" w:space="0" w:color="000000"/>
              <w:right w:val="single" w:sz="4" w:space="0" w:color="000000"/>
            </w:tcBorders>
          </w:tcPr>
          <w:p>
            <w:pPr/>
          </w:p>
        </w:tc>
        <w:tc>
          <w:tcPr>
            <w:tcW w:w="1301" w:type="dxa"/>
            <w:vMerge w:val="restart"/>
            <w:tcBorders>
              <w:top w:val="single" w:sz="50" w:space="0" w:color="D2D2D2"/>
              <w:left w:val="single" w:sz="4" w:space="0" w:color="000000"/>
              <w:right w:val="single" w:sz="4" w:space="0" w:color="000000"/>
            </w:tcBorders>
          </w:tcPr>
          <w:p>
            <w:pPr/>
          </w:p>
        </w:tc>
        <w:tc>
          <w:tcPr>
            <w:tcW w:w="1298" w:type="dxa"/>
            <w:vMerge w:val="restart"/>
            <w:tcBorders>
              <w:top w:val="single" w:sz="50" w:space="0" w:color="D2D2D2"/>
              <w:left w:val="single" w:sz="4" w:space="0" w:color="000000"/>
              <w:right w:val="single" w:sz="4" w:space="0" w:color="000000"/>
            </w:tcBorders>
          </w:tcPr>
          <w:p>
            <w:pPr>
              <w:pStyle w:val="TableParagraph"/>
              <w:spacing w:line="240" w:lineRule="auto" w:before="81"/>
              <w:ind w:left="230" w:right="0"/>
              <w:jc w:val="left"/>
              <w:rPr>
                <w:rFonts w:ascii="Times New Roman" w:hAnsi="Times New Roman" w:cs="Times New Roman" w:eastAsia="Times New Roman" w:hint="default"/>
                <w:sz w:val="18"/>
                <w:szCs w:val="18"/>
              </w:rPr>
            </w:pPr>
            <w:r>
              <w:rPr>
                <w:rFonts w:ascii="Times New Roman"/>
                <w:sz w:val="18"/>
              </w:rPr>
              <w:t>46,500,882.85</w:t>
            </w:r>
          </w:p>
        </w:tc>
        <w:tc>
          <w:tcPr>
            <w:tcW w:w="1301" w:type="dxa"/>
            <w:vMerge w:val="restart"/>
            <w:tcBorders>
              <w:top w:val="single" w:sz="50" w:space="0" w:color="D2D2D2"/>
              <w:left w:val="single" w:sz="4" w:space="0" w:color="000000"/>
              <w:right w:val="single" w:sz="4" w:space="0" w:color="000000"/>
            </w:tcBorders>
          </w:tcPr>
          <w:p>
            <w:pPr/>
          </w:p>
        </w:tc>
        <w:tc>
          <w:tcPr>
            <w:tcW w:w="1301" w:type="dxa"/>
            <w:vMerge w:val="restart"/>
            <w:tcBorders>
              <w:top w:val="single" w:sz="50" w:space="0" w:color="D2D2D2"/>
              <w:left w:val="single" w:sz="4" w:space="0" w:color="000000"/>
              <w:right w:val="single" w:sz="4" w:space="0" w:color="000000"/>
            </w:tcBorders>
          </w:tcPr>
          <w:p>
            <w:pPr>
              <w:pStyle w:val="TableParagraph"/>
              <w:spacing w:line="240" w:lineRule="auto" w:before="81"/>
              <w:ind w:left="141" w:right="0"/>
              <w:jc w:val="left"/>
              <w:rPr>
                <w:rFonts w:ascii="Times New Roman" w:hAnsi="Times New Roman" w:cs="Times New Roman" w:eastAsia="Times New Roman" w:hint="default"/>
                <w:sz w:val="18"/>
                <w:szCs w:val="18"/>
              </w:rPr>
            </w:pPr>
            <w:r>
              <w:rPr>
                <w:rFonts w:ascii="Times New Roman"/>
                <w:sz w:val="18"/>
              </w:rPr>
              <w:t>214,063,993.08</w:t>
            </w:r>
          </w:p>
        </w:tc>
        <w:tc>
          <w:tcPr>
            <w:tcW w:w="1298" w:type="dxa"/>
            <w:vMerge w:val="restart"/>
            <w:tcBorders>
              <w:top w:val="single" w:sz="4" w:space="0" w:color="000000"/>
              <w:left w:val="single" w:sz="4" w:space="0" w:color="000000"/>
              <w:right w:val="single" w:sz="4" w:space="0" w:color="000000"/>
            </w:tcBorders>
          </w:tcPr>
          <w:p>
            <w:pPr>
              <w:pStyle w:val="TableParagraph"/>
              <w:spacing w:line="207" w:lineRule="exact" w:before="33"/>
              <w:ind w:right="22"/>
              <w:jc w:val="right"/>
              <w:rPr>
                <w:rFonts w:ascii="Times New Roman" w:hAnsi="Times New Roman" w:cs="Times New Roman" w:eastAsia="Times New Roman" w:hint="default"/>
                <w:sz w:val="18"/>
                <w:szCs w:val="18"/>
              </w:rPr>
            </w:pPr>
            <w:r>
              <w:rPr>
                <w:rFonts w:ascii="Times New Roman"/>
                <w:spacing w:val="-1"/>
                <w:sz w:val="18"/>
              </w:rPr>
              <w:t>2,132,690,277.3</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4</w:t>
            </w:r>
          </w:p>
        </w:tc>
      </w:tr>
      <w:tr>
        <w:trPr>
          <w:trHeight w:val="408" w:hRule="exact"/>
        </w:trPr>
        <w:tc>
          <w:tcPr>
            <w:tcW w:w="367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01" w:type="dxa"/>
            <w:vMerge/>
            <w:tcBorders>
              <w:left w:val="single" w:sz="13" w:space="0" w:color="D2D2D2"/>
              <w:bottom w:val="single" w:sz="4" w:space="0" w:color="000000"/>
              <w:right w:val="single" w:sz="4" w:space="0" w:color="000000"/>
            </w:tcBorders>
          </w:tcPr>
          <w:p>
            <w:pPr/>
          </w:p>
        </w:tc>
        <w:tc>
          <w:tcPr>
            <w:tcW w:w="1303"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298"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298" w:type="dxa"/>
            <w:vMerge/>
            <w:tcBorders>
              <w:left w:val="single" w:sz="4" w:space="0" w:color="000000"/>
              <w:bottom w:val="single" w:sz="4" w:space="0" w:color="000000"/>
              <w:right w:val="single" w:sz="4" w:space="0" w:color="000000"/>
            </w:tcBorders>
          </w:tcPr>
          <w:p>
            <w:pPr/>
          </w:p>
        </w:tc>
      </w:tr>
      <w:tr>
        <w:trPr>
          <w:trHeight w:val="331" w:hRule="exact"/>
        </w:trPr>
        <w:tc>
          <w:tcPr>
            <w:tcW w:w="3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01" w:type="dxa"/>
            <w:tcBorders>
              <w:top w:val="single" w:sz="4" w:space="0" w:color="000000"/>
              <w:left w:val="single" w:sz="13" w:space="0" w:color="D2D2D2"/>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01" w:type="dxa"/>
            <w:tcBorders>
              <w:top w:val="single" w:sz="4" w:space="0" w:color="000000"/>
              <w:left w:val="single" w:sz="13" w:space="0" w:color="D2D2D2"/>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1" w:type="dxa"/>
            <w:tcBorders>
              <w:top w:val="single" w:sz="4" w:space="0" w:color="000000"/>
              <w:left w:val="single" w:sz="13" w:space="0" w:color="D2D2D2"/>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98" w:hRule="exact"/>
        </w:trPr>
        <w:tc>
          <w:tcPr>
            <w:tcW w:w="36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01" w:type="dxa"/>
            <w:vMerge w:val="restart"/>
            <w:tcBorders>
              <w:top w:val="single" w:sz="4" w:space="0" w:color="000000"/>
              <w:left w:val="single" w:sz="13" w:space="0" w:color="D2D2D2"/>
              <w:right w:val="single" w:sz="4" w:space="0" w:color="000000"/>
            </w:tcBorders>
          </w:tcPr>
          <w:p>
            <w:pPr>
              <w:pStyle w:val="TableParagraph"/>
              <w:spacing w:line="240" w:lineRule="auto" w:before="141"/>
              <w:ind w:left="129" w:right="0"/>
              <w:jc w:val="left"/>
              <w:rPr>
                <w:rFonts w:ascii="Times New Roman" w:hAnsi="Times New Roman" w:cs="Times New Roman" w:eastAsia="Times New Roman" w:hint="default"/>
                <w:sz w:val="18"/>
                <w:szCs w:val="18"/>
              </w:rPr>
            </w:pPr>
            <w:r>
              <w:rPr>
                <w:rFonts w:ascii="Times New Roman"/>
                <w:sz w:val="18"/>
              </w:rPr>
              <w:t>316,000,000.00</w:t>
            </w:r>
          </w:p>
        </w:tc>
        <w:tc>
          <w:tcPr>
            <w:tcW w:w="1303" w:type="dxa"/>
            <w:vMerge w:val="restart"/>
            <w:tcBorders>
              <w:top w:val="single" w:sz="4" w:space="0" w:color="000000"/>
              <w:left w:val="single" w:sz="4" w:space="0" w:color="000000"/>
              <w:right w:val="single" w:sz="4" w:space="0" w:color="000000"/>
            </w:tcBorders>
          </w:tcPr>
          <w:p>
            <w:pPr>
              <w:pStyle w:val="TableParagraph"/>
              <w:spacing w:line="205" w:lineRule="exact" w:before="38"/>
              <w:ind w:right="22"/>
              <w:jc w:val="right"/>
              <w:rPr>
                <w:rFonts w:ascii="Times New Roman" w:hAnsi="Times New Roman" w:cs="Times New Roman" w:eastAsia="Times New Roman" w:hint="default"/>
                <w:sz w:val="18"/>
                <w:szCs w:val="18"/>
              </w:rPr>
            </w:pPr>
            <w:r>
              <w:rPr>
                <w:rFonts w:ascii="Times New Roman"/>
                <w:spacing w:val="-1"/>
                <w:sz w:val="18"/>
              </w:rPr>
              <w:t>1,556,125,401.4</w:t>
            </w:r>
          </w:p>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1</w:t>
            </w:r>
          </w:p>
        </w:tc>
        <w:tc>
          <w:tcPr>
            <w:tcW w:w="1301" w:type="dxa"/>
            <w:vMerge w:val="restart"/>
            <w:tcBorders>
              <w:top w:val="single" w:sz="4" w:space="0" w:color="000000"/>
              <w:left w:val="single" w:sz="4" w:space="0" w:color="000000"/>
              <w:right w:val="single" w:sz="4" w:space="0" w:color="000000"/>
            </w:tcBorders>
          </w:tcPr>
          <w:p>
            <w:pPr/>
          </w:p>
        </w:tc>
        <w:tc>
          <w:tcPr>
            <w:tcW w:w="1301" w:type="dxa"/>
            <w:vMerge w:val="restart"/>
            <w:tcBorders>
              <w:top w:val="single" w:sz="4" w:space="0" w:color="000000"/>
              <w:left w:val="single" w:sz="4" w:space="0" w:color="000000"/>
              <w:right w:val="single" w:sz="4" w:space="0" w:color="000000"/>
            </w:tcBorders>
          </w:tcPr>
          <w:p>
            <w:pPr/>
          </w:p>
        </w:tc>
        <w:tc>
          <w:tcPr>
            <w:tcW w:w="1298" w:type="dxa"/>
            <w:vMerge w:val="restart"/>
            <w:tcBorders>
              <w:top w:val="single" w:sz="4" w:space="0" w:color="000000"/>
              <w:left w:val="single" w:sz="4" w:space="0" w:color="000000"/>
              <w:right w:val="single" w:sz="4" w:space="0" w:color="000000"/>
            </w:tcBorders>
          </w:tcPr>
          <w:p>
            <w:pPr>
              <w:pStyle w:val="TableParagraph"/>
              <w:spacing w:line="240" w:lineRule="auto" w:before="141"/>
              <w:ind w:left="230" w:right="0"/>
              <w:jc w:val="left"/>
              <w:rPr>
                <w:rFonts w:ascii="Times New Roman" w:hAnsi="Times New Roman" w:cs="Times New Roman" w:eastAsia="Times New Roman" w:hint="default"/>
                <w:sz w:val="18"/>
                <w:szCs w:val="18"/>
              </w:rPr>
            </w:pPr>
            <w:r>
              <w:rPr>
                <w:rFonts w:ascii="Times New Roman"/>
                <w:sz w:val="18"/>
              </w:rPr>
              <w:t>46,500,882.85</w:t>
            </w:r>
          </w:p>
        </w:tc>
        <w:tc>
          <w:tcPr>
            <w:tcW w:w="1301" w:type="dxa"/>
            <w:vMerge w:val="restart"/>
            <w:tcBorders>
              <w:top w:val="single" w:sz="4" w:space="0" w:color="000000"/>
              <w:left w:val="single" w:sz="4" w:space="0" w:color="000000"/>
              <w:right w:val="single" w:sz="4" w:space="0" w:color="000000"/>
            </w:tcBorders>
          </w:tcPr>
          <w:p>
            <w:pP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141"/>
              <w:ind w:left="141" w:right="0"/>
              <w:jc w:val="left"/>
              <w:rPr>
                <w:rFonts w:ascii="Times New Roman" w:hAnsi="Times New Roman" w:cs="Times New Roman" w:eastAsia="Times New Roman" w:hint="default"/>
                <w:sz w:val="18"/>
                <w:szCs w:val="18"/>
              </w:rPr>
            </w:pPr>
            <w:r>
              <w:rPr>
                <w:rFonts w:ascii="Times New Roman"/>
                <w:sz w:val="18"/>
              </w:rPr>
              <w:t>214,063,993.08</w:t>
            </w:r>
          </w:p>
        </w:tc>
        <w:tc>
          <w:tcPr>
            <w:tcW w:w="1298" w:type="dxa"/>
            <w:vMerge w:val="restart"/>
            <w:tcBorders>
              <w:top w:val="single" w:sz="4" w:space="0" w:color="000000"/>
              <w:left w:val="single" w:sz="4" w:space="0" w:color="000000"/>
              <w:right w:val="single" w:sz="4" w:space="0" w:color="000000"/>
            </w:tcBorders>
          </w:tcPr>
          <w:p>
            <w:pPr>
              <w:pStyle w:val="TableParagraph"/>
              <w:spacing w:line="205" w:lineRule="exact" w:before="38"/>
              <w:ind w:right="22"/>
              <w:jc w:val="right"/>
              <w:rPr>
                <w:rFonts w:ascii="Times New Roman" w:hAnsi="Times New Roman" w:cs="Times New Roman" w:eastAsia="Times New Roman" w:hint="default"/>
                <w:sz w:val="18"/>
                <w:szCs w:val="18"/>
              </w:rPr>
            </w:pPr>
            <w:r>
              <w:rPr>
                <w:rFonts w:ascii="Times New Roman"/>
                <w:spacing w:val="-1"/>
                <w:sz w:val="18"/>
              </w:rPr>
              <w:t>2,132,690,277.3</w:t>
            </w:r>
          </w:p>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4</w:t>
            </w:r>
          </w:p>
        </w:tc>
      </w:tr>
      <w:tr>
        <w:trPr>
          <w:trHeight w:val="413" w:hRule="exact"/>
        </w:trPr>
        <w:tc>
          <w:tcPr>
            <w:tcW w:w="367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01" w:type="dxa"/>
            <w:vMerge/>
            <w:tcBorders>
              <w:left w:val="single" w:sz="13" w:space="0" w:color="D2D2D2"/>
              <w:bottom w:val="single" w:sz="4" w:space="0" w:color="000000"/>
              <w:right w:val="single" w:sz="4" w:space="0" w:color="000000"/>
            </w:tcBorders>
          </w:tcPr>
          <w:p>
            <w:pPr/>
          </w:p>
        </w:tc>
        <w:tc>
          <w:tcPr>
            <w:tcW w:w="1303"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298"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298" w:type="dxa"/>
            <w:vMerge/>
            <w:tcBorders>
              <w:left w:val="single" w:sz="4" w:space="0" w:color="000000"/>
              <w:bottom w:val="single" w:sz="4" w:space="0" w:color="000000"/>
              <w:right w:val="single" w:sz="4" w:space="0" w:color="000000"/>
            </w:tcBorders>
          </w:tcPr>
          <w:p>
            <w:pPr/>
          </w:p>
        </w:tc>
      </w:tr>
      <w:tr>
        <w:trPr>
          <w:trHeight w:val="559" w:hRule="exact"/>
        </w:trPr>
        <w:tc>
          <w:tcPr>
            <w:tcW w:w="3672" w:type="dxa"/>
            <w:tcBorders>
              <w:top w:val="single" w:sz="89" w:space="0" w:color="D2D2D2"/>
              <w:left w:val="single" w:sz="13" w:space="0" w:color="D2D2D2"/>
              <w:bottom w:val="single" w:sz="88" w:space="0" w:color="D2D2D2"/>
              <w:right w:val="single" w:sz="13" w:space="0" w:color="D2D2D2"/>
            </w:tcBorders>
          </w:tcPr>
          <w:p>
            <w:pPr>
              <w:pStyle w:val="TableParagraph"/>
              <w:tabs>
                <w:tab w:pos="3626" w:val="left" w:leader="none"/>
              </w:tabs>
              <w:spacing w:line="240" w:lineRule="auto" w:before="2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45"/>
                <w:sz w:val="18"/>
                <w:szCs w:val="18"/>
                <w:shd w:fill="D2D2D2" w:color="auto" w:val="clear"/>
              </w:rPr>
              <w:t> </w:t>
            </w:r>
            <w:r>
              <w:rPr>
                <w:rFonts w:ascii="宋体" w:hAnsi="宋体" w:cs="宋体" w:eastAsia="宋体" w:hint="default"/>
                <w:sz w:val="18"/>
                <w:szCs w:val="18"/>
                <w:shd w:fill="D2D2D2" w:color="auto" w:val="clear"/>
              </w:rPr>
              <w:t>三、本期增减变动金额（减少以</w:t>
            </w:r>
            <w:r>
              <w:rPr>
                <w:rFonts w:ascii="Times New Roman" w:hAnsi="Times New Roman" w:cs="Times New Roman" w:eastAsia="Times New Roman" w:hint="default"/>
                <w:spacing w:val="-1"/>
                <w:w w:val="44"/>
                <w:sz w:val="18"/>
                <w:szCs w:val="18"/>
                <w:shd w:fill="D2D2D2" w:color="auto" w:val="clear"/>
              </w:rPr>
              <w:t>―</w:t>
            </w:r>
            <w:r>
              <w:rPr>
                <w:rFonts w:ascii="宋体" w:hAnsi="宋体" w:cs="宋体" w:eastAsia="宋体" w:hint="default"/>
                <w:sz w:val="18"/>
                <w:szCs w:val="18"/>
                <w:shd w:fill="D2D2D2" w:color="auto" w:val="clear"/>
              </w:rPr>
              <w:t>－</w:t>
            </w:r>
            <w:r>
              <w:rPr>
                <w:rFonts w:ascii="Times New Roman" w:hAnsi="Times New Roman" w:cs="Times New Roman" w:eastAsia="Times New Roman" w:hint="default"/>
                <w:spacing w:val="-1"/>
                <w:w w:val="158"/>
                <w:sz w:val="18"/>
                <w:szCs w:val="18"/>
                <w:shd w:fill="D2D2D2" w:color="auto" w:val="clear"/>
              </w:rPr>
              <w:t>‖</w:t>
            </w:r>
            <w:r>
              <w:rPr>
                <w:rFonts w:ascii="宋体" w:hAnsi="宋体" w:cs="宋体" w:eastAsia="宋体" w:hint="default"/>
                <w:sz w:val="18"/>
                <w:szCs w:val="18"/>
                <w:shd w:fill="D2D2D2" w:color="auto" w:val="clear"/>
              </w:rPr>
              <w:t>号填列）</w:t>
              <w:tab/>
            </w:r>
            <w:r>
              <w:rPr>
                <w:rFonts w:ascii="宋体" w:hAnsi="宋体" w:cs="宋体" w:eastAsia="宋体" w:hint="default"/>
                <w:sz w:val="18"/>
                <w:szCs w:val="18"/>
              </w:rPr>
            </w:r>
          </w:p>
        </w:tc>
        <w:tc>
          <w:tcPr>
            <w:tcW w:w="1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63,200,000.00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-40,237,468.86</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32,631,556.52</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198,884,008.68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254,478,096.34</w:t>
            </w:r>
          </w:p>
        </w:tc>
      </w:tr>
      <w:tr>
        <w:trPr>
          <w:trHeight w:val="98" w:hRule="exact"/>
        </w:trPr>
        <w:tc>
          <w:tcPr>
            <w:tcW w:w="36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01" w:type="dxa"/>
            <w:vMerge w:val="restart"/>
            <w:tcBorders>
              <w:top w:val="single" w:sz="4" w:space="0" w:color="000000"/>
              <w:left w:val="single" w:sz="13" w:space="0" w:color="D2D2D2"/>
              <w:right w:val="single" w:sz="4" w:space="0" w:color="000000"/>
            </w:tcBorders>
          </w:tcPr>
          <w:p>
            <w:pPr/>
          </w:p>
        </w:tc>
        <w:tc>
          <w:tcPr>
            <w:tcW w:w="1303" w:type="dxa"/>
            <w:vMerge w:val="restart"/>
            <w:tcBorders>
              <w:top w:val="single" w:sz="4" w:space="0" w:color="000000"/>
              <w:left w:val="single" w:sz="4" w:space="0" w:color="000000"/>
              <w:right w:val="single" w:sz="4" w:space="0" w:color="000000"/>
            </w:tcBorders>
          </w:tcPr>
          <w:p>
            <w:pPr/>
          </w:p>
        </w:tc>
        <w:tc>
          <w:tcPr>
            <w:tcW w:w="1301" w:type="dxa"/>
            <w:vMerge w:val="restart"/>
            <w:tcBorders>
              <w:top w:val="single" w:sz="4" w:space="0" w:color="000000"/>
              <w:left w:val="single" w:sz="4" w:space="0" w:color="000000"/>
              <w:right w:val="single" w:sz="4" w:space="0" w:color="000000"/>
            </w:tcBorders>
          </w:tcPr>
          <w:p>
            <w:pPr/>
          </w:p>
        </w:tc>
        <w:tc>
          <w:tcPr>
            <w:tcW w:w="1301" w:type="dxa"/>
            <w:vMerge w:val="restart"/>
            <w:tcBorders>
              <w:top w:val="single" w:sz="4" w:space="0" w:color="000000"/>
              <w:left w:val="single" w:sz="4" w:space="0" w:color="000000"/>
              <w:right w:val="single" w:sz="4" w:space="0" w:color="000000"/>
            </w:tcBorders>
          </w:tcPr>
          <w:p>
            <w:pPr/>
          </w:p>
        </w:tc>
        <w:tc>
          <w:tcPr>
            <w:tcW w:w="1298" w:type="dxa"/>
            <w:vMerge w:val="restart"/>
            <w:tcBorders>
              <w:top w:val="single" w:sz="4" w:space="0" w:color="000000"/>
              <w:left w:val="single" w:sz="4" w:space="0" w:color="000000"/>
              <w:right w:val="single" w:sz="4" w:space="0" w:color="000000"/>
            </w:tcBorders>
          </w:tcPr>
          <w:p>
            <w:pPr/>
          </w:p>
        </w:tc>
        <w:tc>
          <w:tcPr>
            <w:tcW w:w="1301" w:type="dxa"/>
            <w:vMerge w:val="restart"/>
            <w:tcBorders>
              <w:top w:val="single" w:sz="4" w:space="0" w:color="000000"/>
              <w:left w:val="single" w:sz="4" w:space="0" w:color="000000"/>
              <w:right w:val="single" w:sz="4" w:space="0" w:color="000000"/>
            </w:tcBorders>
          </w:tcPr>
          <w:p>
            <w:pP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141"/>
              <w:ind w:left="141" w:right="0"/>
              <w:jc w:val="left"/>
              <w:rPr>
                <w:rFonts w:ascii="Times New Roman" w:hAnsi="Times New Roman" w:cs="Times New Roman" w:eastAsia="Times New Roman" w:hint="default"/>
                <w:sz w:val="18"/>
                <w:szCs w:val="18"/>
              </w:rPr>
            </w:pPr>
            <w:r>
              <w:rPr>
                <w:rFonts w:ascii="Times New Roman"/>
                <w:sz w:val="18"/>
              </w:rPr>
              <w:t>326,315,565.20</w:t>
            </w:r>
          </w:p>
        </w:tc>
        <w:tc>
          <w:tcPr>
            <w:tcW w:w="1298" w:type="dxa"/>
            <w:vMerge w:val="restart"/>
            <w:tcBorders>
              <w:top w:val="single" w:sz="4" w:space="0" w:color="000000"/>
              <w:left w:val="single" w:sz="4" w:space="0" w:color="000000"/>
              <w:right w:val="single" w:sz="4" w:space="0" w:color="000000"/>
            </w:tcBorders>
          </w:tcPr>
          <w:p>
            <w:pPr>
              <w:pStyle w:val="TableParagraph"/>
              <w:spacing w:line="240" w:lineRule="auto" w:before="141"/>
              <w:ind w:left="139" w:right="0"/>
              <w:jc w:val="left"/>
              <w:rPr>
                <w:rFonts w:ascii="Times New Roman" w:hAnsi="Times New Roman" w:cs="Times New Roman" w:eastAsia="Times New Roman" w:hint="default"/>
                <w:sz w:val="18"/>
                <w:szCs w:val="18"/>
              </w:rPr>
            </w:pPr>
            <w:r>
              <w:rPr>
                <w:rFonts w:ascii="Times New Roman"/>
                <w:sz w:val="18"/>
              </w:rPr>
              <w:t>326,315,565.20</w:t>
            </w:r>
          </w:p>
        </w:tc>
      </w:tr>
      <w:tr>
        <w:trPr>
          <w:trHeight w:val="413" w:hRule="exact"/>
        </w:trPr>
        <w:tc>
          <w:tcPr>
            <w:tcW w:w="367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01" w:type="dxa"/>
            <w:vMerge/>
            <w:tcBorders>
              <w:left w:val="single" w:sz="13" w:space="0" w:color="D2D2D2"/>
              <w:bottom w:val="single" w:sz="4" w:space="0" w:color="000000"/>
              <w:right w:val="single" w:sz="4" w:space="0" w:color="000000"/>
            </w:tcBorders>
          </w:tcPr>
          <w:p>
            <w:pPr/>
          </w:p>
        </w:tc>
        <w:tc>
          <w:tcPr>
            <w:tcW w:w="1303"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298"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298" w:type="dxa"/>
            <w:vMerge/>
            <w:tcBorders>
              <w:left w:val="single" w:sz="4" w:space="0" w:color="000000"/>
              <w:bottom w:val="single" w:sz="4" w:space="0" w:color="000000"/>
              <w:right w:val="single" w:sz="4" w:space="0" w:color="000000"/>
            </w:tcBorders>
          </w:tcPr>
          <w:p>
            <w:pPr/>
          </w:p>
        </w:tc>
      </w:tr>
      <w:tr>
        <w:trPr>
          <w:trHeight w:val="324" w:hRule="exact"/>
        </w:trPr>
        <w:tc>
          <w:tcPr>
            <w:tcW w:w="3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01" w:type="dxa"/>
            <w:tcBorders>
              <w:top w:val="single" w:sz="4" w:space="0" w:color="000000"/>
              <w:left w:val="single" w:sz="13" w:space="0" w:color="D2D2D2"/>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998,540.34</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998,540.34</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52" w:footer="980" w:top="1280" w:bottom="1160" w:left="1240" w:right="1240"/>
        </w:sectPr>
      </w:pPr>
    </w:p>
    <w:tbl>
      <w:tblPr>
        <w:tblW w:w="0" w:type="auto"/>
        <w:jc w:val="left"/>
        <w:tblInd w:w="116" w:type="dxa"/>
        <w:tblLayout w:type="fixed"/>
        <w:tblCellMar>
          <w:top w:w="0" w:type="dxa"/>
          <w:left w:w="0" w:type="dxa"/>
          <w:bottom w:w="0" w:type="dxa"/>
          <w:right w:w="0" w:type="dxa"/>
        </w:tblCellMar>
        <w:tblLook w:val="01E0"/>
      </w:tblPr>
      <w:tblGrid>
        <w:gridCol w:w="3671"/>
        <w:gridCol w:w="1301"/>
        <w:gridCol w:w="1303"/>
        <w:gridCol w:w="1301"/>
        <w:gridCol w:w="1301"/>
        <w:gridCol w:w="1298"/>
        <w:gridCol w:w="1301"/>
        <w:gridCol w:w="1301"/>
        <w:gridCol w:w="1298"/>
      </w:tblGrid>
      <w:tr>
        <w:trPr>
          <w:trHeight w:val="523" w:hRule="exact"/>
        </w:trPr>
        <w:tc>
          <w:tcPr>
            <w:tcW w:w="3671"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01" w:type="dxa"/>
            <w:tcBorders>
              <w:top w:val="single" w:sz="10" w:space="0" w:color="000000"/>
              <w:left w:val="single" w:sz="4" w:space="0" w:color="000000"/>
              <w:bottom w:val="single" w:sz="4" w:space="0" w:color="000000"/>
              <w:right w:val="single" w:sz="4" w:space="0" w:color="000000"/>
            </w:tcBorders>
          </w:tcPr>
          <w:p>
            <w:pPr/>
          </w:p>
        </w:tc>
        <w:tc>
          <w:tcPr>
            <w:tcW w:w="130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Times New Roman" w:hAnsi="Times New Roman" w:cs="Times New Roman" w:eastAsia="Times New Roman" w:hint="default"/>
                <w:sz w:val="18"/>
                <w:szCs w:val="18"/>
              </w:rPr>
            </w:pPr>
            <w:r>
              <w:rPr>
                <w:rFonts w:ascii="Times New Roman"/>
                <w:spacing w:val="-1"/>
                <w:sz w:val="18"/>
              </w:rPr>
              <w:t>998,540.34</w:t>
            </w:r>
          </w:p>
        </w:tc>
        <w:tc>
          <w:tcPr>
            <w:tcW w:w="1301" w:type="dxa"/>
            <w:tcBorders>
              <w:top w:val="single" w:sz="10" w:space="0" w:color="000000"/>
              <w:left w:val="single" w:sz="4" w:space="0" w:color="000000"/>
              <w:bottom w:val="single" w:sz="4" w:space="0" w:color="000000"/>
              <w:right w:val="single" w:sz="4" w:space="0" w:color="000000"/>
            </w:tcBorders>
          </w:tcPr>
          <w:p>
            <w:pPr/>
          </w:p>
        </w:tc>
        <w:tc>
          <w:tcPr>
            <w:tcW w:w="1301" w:type="dxa"/>
            <w:tcBorders>
              <w:top w:val="single" w:sz="10" w:space="0" w:color="000000"/>
              <w:left w:val="single" w:sz="4" w:space="0" w:color="000000"/>
              <w:bottom w:val="single" w:sz="4" w:space="0" w:color="000000"/>
              <w:right w:val="single" w:sz="4" w:space="0" w:color="000000"/>
            </w:tcBorders>
          </w:tcPr>
          <w:p>
            <w:pPr/>
          </w:p>
        </w:tc>
        <w:tc>
          <w:tcPr>
            <w:tcW w:w="1298" w:type="dxa"/>
            <w:tcBorders>
              <w:top w:val="single" w:sz="10" w:space="0" w:color="000000"/>
              <w:left w:val="single" w:sz="4" w:space="0" w:color="000000"/>
              <w:bottom w:val="single" w:sz="4" w:space="0" w:color="000000"/>
              <w:right w:val="single" w:sz="4" w:space="0" w:color="000000"/>
            </w:tcBorders>
          </w:tcPr>
          <w:p>
            <w:pPr/>
          </w:p>
        </w:tc>
        <w:tc>
          <w:tcPr>
            <w:tcW w:w="1301" w:type="dxa"/>
            <w:tcBorders>
              <w:top w:val="single" w:sz="10" w:space="0" w:color="000000"/>
              <w:left w:val="single" w:sz="4" w:space="0" w:color="000000"/>
              <w:bottom w:val="single" w:sz="4" w:space="0" w:color="000000"/>
              <w:right w:val="single" w:sz="4" w:space="0" w:color="000000"/>
            </w:tcBorders>
          </w:tcPr>
          <w:p>
            <w:pPr/>
          </w:p>
        </w:tc>
        <w:tc>
          <w:tcPr>
            <w:tcW w:w="130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Times New Roman" w:hAnsi="Times New Roman" w:cs="Times New Roman" w:eastAsia="Times New Roman" w:hint="default"/>
                <w:sz w:val="18"/>
                <w:szCs w:val="18"/>
              </w:rPr>
            </w:pPr>
            <w:r>
              <w:rPr>
                <w:rFonts w:ascii="Times New Roman"/>
                <w:spacing w:val="-1"/>
                <w:sz w:val="18"/>
              </w:rPr>
              <w:t>326,315,565.20</w:t>
            </w:r>
          </w:p>
        </w:tc>
        <w:tc>
          <w:tcPr>
            <w:tcW w:w="129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Times New Roman" w:hAnsi="Times New Roman" w:cs="Times New Roman" w:eastAsia="Times New Roman" w:hint="default"/>
                <w:sz w:val="18"/>
                <w:szCs w:val="18"/>
              </w:rPr>
            </w:pPr>
            <w:r>
              <w:rPr>
                <w:rFonts w:ascii="Times New Roman"/>
                <w:spacing w:val="-1"/>
                <w:sz w:val="18"/>
              </w:rPr>
              <w:t>327,314,105.54</w:t>
            </w:r>
          </w:p>
        </w:tc>
      </w:tr>
      <w:tr>
        <w:trPr>
          <w:trHeight w:val="514"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21,963,990.80</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21,963,990.80</w:t>
            </w:r>
          </w:p>
        </w:tc>
      </w:tr>
      <w:tr>
        <w:trPr>
          <w:trHeight w:val="329"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2"/>
              <w:jc w:val="right"/>
              <w:rPr>
                <w:rFonts w:ascii="Times New Roman" w:hAnsi="Times New Roman" w:cs="Times New Roman" w:eastAsia="Times New Roman" w:hint="default"/>
                <w:sz w:val="18"/>
                <w:szCs w:val="18"/>
              </w:rPr>
            </w:pPr>
            <w:r>
              <w:rPr>
                <w:rFonts w:ascii="Times New Roman"/>
                <w:spacing w:val="-1"/>
                <w:sz w:val="18"/>
              </w:rPr>
              <w:t>21,963,990.80</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2"/>
              <w:jc w:val="right"/>
              <w:rPr>
                <w:rFonts w:ascii="Times New Roman" w:hAnsi="Times New Roman" w:cs="Times New Roman" w:eastAsia="Times New Roman" w:hint="default"/>
                <w:sz w:val="18"/>
                <w:szCs w:val="18"/>
              </w:rPr>
            </w:pPr>
            <w:r>
              <w:rPr>
                <w:rFonts w:ascii="Times New Roman"/>
                <w:spacing w:val="-1"/>
                <w:sz w:val="18"/>
              </w:rPr>
              <w:t>21,963,990.80</w:t>
            </w:r>
          </w:p>
        </w:tc>
      </w:tr>
      <w:tr>
        <w:trPr>
          <w:trHeight w:val="329"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514"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Times New Roman" w:hAnsi="Times New Roman" w:cs="Times New Roman" w:eastAsia="Times New Roman" w:hint="default"/>
                <w:sz w:val="18"/>
                <w:szCs w:val="18"/>
              </w:rPr>
            </w:pPr>
            <w:r>
              <w:rPr>
                <w:rFonts w:ascii="Times New Roman"/>
                <w:spacing w:val="-1"/>
                <w:sz w:val="18"/>
              </w:rPr>
              <w:t>32,631,556.52</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Times New Roman" w:hAnsi="Times New Roman" w:cs="Times New Roman" w:eastAsia="Times New Roman" w:hint="default"/>
                <w:sz w:val="18"/>
                <w:szCs w:val="18"/>
              </w:rPr>
            </w:pPr>
            <w:r>
              <w:rPr>
                <w:rFonts w:ascii="Times New Roman"/>
                <w:spacing w:val="-1"/>
                <w:sz w:val="18"/>
              </w:rPr>
              <w:t>-127,431,556.52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1"/>
              <w:jc w:val="right"/>
              <w:rPr>
                <w:rFonts w:ascii="Times New Roman" w:hAnsi="Times New Roman" w:cs="Times New Roman" w:eastAsia="Times New Roman" w:hint="default"/>
                <w:sz w:val="18"/>
                <w:szCs w:val="18"/>
              </w:rPr>
            </w:pPr>
            <w:r>
              <w:rPr>
                <w:rFonts w:ascii="Times New Roman"/>
                <w:spacing w:val="-1"/>
                <w:sz w:val="18"/>
              </w:rPr>
              <w:t>-94,800,000.00</w:t>
            </w:r>
          </w:p>
        </w:tc>
      </w:tr>
      <w:tr>
        <w:trPr>
          <w:trHeight w:val="511"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32,631,556.52</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-32,631,556.52</w:t>
            </w: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514"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-94,800,000.00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-94,800,000.00</w:t>
            </w:r>
          </w:p>
        </w:tc>
      </w:tr>
      <w:tr>
        <w:trPr>
          <w:trHeight w:val="329"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514"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63,200,000.00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-63,200,000.00</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63,200,000.00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-63,200,000.00</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514" w:hRule="exact"/>
        </w:trPr>
        <w:tc>
          <w:tcPr>
            <w:tcW w:w="3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379,200,000.00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22"/>
              <w:jc w:val="right"/>
              <w:rPr>
                <w:rFonts w:ascii="Times New Roman" w:hAnsi="Times New Roman" w:cs="Times New Roman" w:eastAsia="Times New Roman" w:hint="default"/>
                <w:sz w:val="18"/>
                <w:szCs w:val="18"/>
              </w:rPr>
            </w:pPr>
            <w:r>
              <w:rPr>
                <w:rFonts w:ascii="Times New Roman"/>
                <w:spacing w:val="-1"/>
                <w:sz w:val="18"/>
              </w:rPr>
              <w:t>1,515,887,932.5</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5</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79,132,439.37</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412,948,001.76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22"/>
              <w:jc w:val="right"/>
              <w:rPr>
                <w:rFonts w:ascii="Times New Roman" w:hAnsi="Times New Roman" w:cs="Times New Roman" w:eastAsia="Times New Roman" w:hint="default"/>
                <w:sz w:val="18"/>
                <w:szCs w:val="18"/>
              </w:rPr>
            </w:pPr>
            <w:r>
              <w:rPr>
                <w:rFonts w:ascii="Times New Roman"/>
                <w:spacing w:val="-1"/>
                <w:sz w:val="18"/>
              </w:rPr>
              <w:t>2,387,168,373.6</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8</w:t>
            </w:r>
          </w:p>
        </w:tc>
      </w:tr>
    </w:tbl>
    <w:p>
      <w:pPr>
        <w:pStyle w:val="BodyText"/>
        <w:tabs>
          <w:tab w:pos="5585" w:val="left" w:leader="none"/>
          <w:tab w:pos="11077" w:val="left" w:leader="none"/>
        </w:tabs>
        <w:spacing w:line="201" w:lineRule="exact"/>
        <w:ind w:left="180" w:right="0"/>
        <w:jc w:val="left"/>
      </w:pPr>
      <w:r>
        <w:rPr/>
        <w:t>法定代表人：王宁先生</w:t>
        <w:tab/>
      </w:r>
      <w:r>
        <w:rPr>
          <w:spacing w:val="-1"/>
        </w:rPr>
        <w:t>主管会计工作负责人：万能先生</w:t>
        <w:tab/>
        <w:t>会计机构负责人：林红女士</w:t>
      </w:r>
    </w:p>
    <w:p>
      <w:pPr>
        <w:spacing w:after="0" w:line="201" w:lineRule="exact"/>
        <w:jc w:val="left"/>
        <w:sectPr>
          <w:footerReference w:type="default" r:id="rId25"/>
          <w:pgSz w:w="16840" w:h="11910" w:orient="landscape"/>
          <w:pgMar w:footer="980" w:header="852" w:top="1320" w:bottom="1160" w:left="1260" w:right="12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26"/>
        <w:ind w:right="117"/>
        <w:jc w:val="left"/>
        <w:rPr>
          <w:b w:val="0"/>
          <w:bCs w:val="0"/>
        </w:rPr>
      </w:pPr>
      <w:r>
        <w:rPr/>
        <w:t>三、公司基本情况</w:t>
      </w:r>
      <w:r>
        <w:rPr>
          <w:b w:val="0"/>
          <w:bCs w:val="0"/>
        </w:rPr>
      </w:r>
    </w:p>
    <w:p>
      <w:pPr>
        <w:spacing w:line="240" w:lineRule="auto" w:before="5"/>
        <w:rPr>
          <w:rFonts w:ascii="宋体" w:hAnsi="宋体" w:cs="宋体" w:eastAsia="宋体" w:hint="default"/>
          <w:b/>
          <w:bCs/>
          <w:sz w:val="23"/>
          <w:szCs w:val="23"/>
        </w:rPr>
      </w:pPr>
    </w:p>
    <w:p>
      <w:pPr>
        <w:pStyle w:val="BodyText"/>
        <w:spacing w:line="357" w:lineRule="auto"/>
        <w:ind w:right="204"/>
        <w:jc w:val="left"/>
      </w:pPr>
      <w:r>
        <w:rPr/>
        <w:t>北京神州泰岳软件股份有限公司（以下简称“公司”或“本公司”）前身系北京神州泰岳软件有限公司，成立于</w:t>
      </w:r>
      <w:r>
        <w:rPr>
          <w:rFonts w:ascii="宋体" w:hAnsi="宋体" w:cs="宋体" w:eastAsia="宋体" w:hint="default"/>
        </w:rPr>
        <w:t>2001</w:t>
      </w:r>
      <w:r>
        <w:rPr/>
        <w:t>年</w:t>
      </w:r>
      <w:r>
        <w:rPr>
          <w:rFonts w:ascii="宋体" w:hAnsi="宋体" w:cs="宋体" w:eastAsia="宋体" w:hint="default"/>
        </w:rPr>
        <w:t>5</w:t>
      </w:r>
      <w:r>
        <w:rPr/>
        <w:t>月</w:t>
      </w:r>
      <w:r>
        <w:rPr>
          <w:spacing w:val="-85"/>
        </w:rPr>
        <w:t> </w:t>
      </w:r>
      <w:r>
        <w:rPr>
          <w:rFonts w:ascii="宋体" w:hAnsi="宋体" w:cs="宋体" w:eastAsia="宋体" w:hint="default"/>
        </w:rPr>
        <w:t>18</w:t>
      </w:r>
      <w:r>
        <w:rPr/>
        <w:t>日，成立时注册资本为人民币</w:t>
      </w:r>
      <w:r>
        <w:rPr>
          <w:rFonts w:ascii="宋体" w:hAnsi="宋体" w:cs="宋体" w:eastAsia="宋体" w:hint="default"/>
        </w:rPr>
        <w:t>1,000</w:t>
      </w:r>
      <w:r>
        <w:rPr/>
        <w:t>万元。</w:t>
      </w:r>
    </w:p>
    <w:p>
      <w:pPr>
        <w:pStyle w:val="BodyText"/>
        <w:spacing w:line="357" w:lineRule="auto" w:before="26"/>
        <w:ind w:right="117"/>
        <w:jc w:val="left"/>
      </w:pPr>
      <w:r>
        <w:rPr>
          <w:rFonts w:ascii="宋体" w:hAnsi="宋体" w:cs="宋体" w:eastAsia="宋体" w:hint="default"/>
        </w:rPr>
        <w:t>2002</w:t>
      </w:r>
      <w:r>
        <w:rPr/>
        <w:t>年</w:t>
      </w:r>
      <w:r>
        <w:rPr>
          <w:rFonts w:ascii="宋体" w:hAnsi="宋体" w:cs="宋体" w:eastAsia="宋体" w:hint="default"/>
        </w:rPr>
        <w:t>5</w:t>
      </w:r>
      <w:r>
        <w:rPr/>
        <w:t>月</w:t>
      </w:r>
      <w:r>
        <w:rPr>
          <w:rFonts w:ascii="宋体" w:hAnsi="宋体" w:cs="宋体" w:eastAsia="宋体" w:hint="default"/>
        </w:rPr>
        <w:t>1</w:t>
      </w:r>
      <w:r>
        <w:rPr/>
        <w:t>日，经股东会表决通过，以截至</w:t>
      </w:r>
      <w:r>
        <w:rPr>
          <w:rFonts w:ascii="宋体" w:hAnsi="宋体" w:cs="宋体" w:eastAsia="宋体" w:hint="default"/>
        </w:rPr>
        <w:t>2002</w:t>
      </w:r>
      <w:r>
        <w:rPr/>
        <w:t>年</w:t>
      </w:r>
      <w:r>
        <w:rPr>
          <w:rFonts w:ascii="宋体" w:hAnsi="宋体" w:cs="宋体" w:eastAsia="宋体" w:hint="default"/>
        </w:rPr>
        <w:t>4</w:t>
      </w:r>
      <w:r>
        <w:rPr/>
        <w:t>月</w:t>
      </w:r>
      <w:r>
        <w:rPr>
          <w:rFonts w:ascii="宋体" w:hAnsi="宋体" w:cs="宋体" w:eastAsia="宋体" w:hint="default"/>
        </w:rPr>
        <w:t>30</w:t>
      </w:r>
      <w:r>
        <w:rPr/>
        <w:t>日经审计的净资产为基数，按照</w:t>
      </w:r>
      <w:r>
        <w:rPr>
          <w:rFonts w:ascii="宋体" w:hAnsi="宋体" w:cs="宋体" w:eastAsia="宋体" w:hint="default"/>
        </w:rPr>
        <w:t>1</w:t>
      </w:r>
      <w:r>
        <w:rPr/>
        <w:t>：</w:t>
      </w:r>
      <w:r>
        <w:rPr>
          <w:rFonts w:ascii="宋体" w:hAnsi="宋体" w:cs="宋体" w:eastAsia="宋体" w:hint="default"/>
        </w:rPr>
        <w:t>1</w:t>
      </w:r>
      <w:r>
        <w:rPr/>
        <w:t>的比例折股，整体变更设立为 </w:t>
      </w:r>
      <w:r>
        <w:rPr>
          <w:spacing w:val="-2"/>
        </w:rPr>
        <w:t>股份有限公司。</w:t>
      </w:r>
      <w:r>
        <w:rPr>
          <w:rFonts w:ascii="宋体" w:hAnsi="宋体" w:cs="宋体" w:eastAsia="宋体" w:hint="default"/>
          <w:spacing w:val="-2"/>
        </w:rPr>
        <w:t>2002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27</w:t>
      </w:r>
      <w:r>
        <w:rPr>
          <w:spacing w:val="-2"/>
        </w:rPr>
        <w:t>日，北京市人民政府经济体制改革办公室出具京政体改股函【</w:t>
      </w:r>
      <w:r>
        <w:rPr>
          <w:rFonts w:ascii="宋体" w:hAnsi="宋体" w:cs="宋体" w:eastAsia="宋体" w:hint="default"/>
          <w:spacing w:val="-2"/>
        </w:rPr>
        <w:t>2002</w:t>
      </w:r>
      <w:r>
        <w:rPr>
          <w:spacing w:val="-2"/>
        </w:rPr>
        <w:t>】</w:t>
      </w:r>
      <w:r>
        <w:rPr>
          <w:rFonts w:ascii="宋体" w:hAnsi="宋体" w:cs="宋体" w:eastAsia="宋体" w:hint="default"/>
          <w:spacing w:val="-2"/>
        </w:rPr>
        <w:t>7</w:t>
      </w:r>
      <w:r>
        <w:rPr>
          <w:spacing w:val="-2"/>
        </w:rPr>
        <w:t>号文批准了公司的上述整</w:t>
      </w:r>
      <w:r>
        <w:rPr>
          <w:spacing w:val="-54"/>
        </w:rPr>
        <w:t> </w:t>
      </w:r>
      <w:r>
        <w:rPr>
          <w:spacing w:val="-2"/>
        </w:rPr>
        <w:t>体改制方案。</w:t>
      </w:r>
      <w:r>
        <w:rPr>
          <w:rFonts w:ascii="宋体" w:hAnsi="宋体" w:cs="宋体" w:eastAsia="宋体" w:hint="default"/>
          <w:spacing w:val="-2"/>
        </w:rPr>
        <w:t>2002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27</w:t>
      </w:r>
      <w:r>
        <w:rPr>
          <w:spacing w:val="-2"/>
        </w:rPr>
        <w:t>日，北京京都会计师事务所有限公司出具北京京都验字〔</w:t>
      </w:r>
      <w:r>
        <w:rPr>
          <w:rFonts w:ascii="宋体" w:hAnsi="宋体" w:cs="宋体" w:eastAsia="宋体" w:hint="default"/>
          <w:spacing w:val="-2"/>
        </w:rPr>
        <w:t>2002</w:t>
      </w:r>
      <w:r>
        <w:rPr>
          <w:spacing w:val="-2"/>
        </w:rPr>
        <w:t>〕第</w:t>
      </w:r>
      <w:r>
        <w:rPr>
          <w:rFonts w:ascii="宋体" w:hAnsi="宋体" w:cs="宋体" w:eastAsia="宋体" w:hint="default"/>
          <w:spacing w:val="-2"/>
        </w:rPr>
        <w:t>0025</w:t>
      </w:r>
      <w:r>
        <w:rPr>
          <w:spacing w:val="-2"/>
        </w:rPr>
        <w:t>号《验资报告》审验确认，</w:t>
      </w:r>
      <w:r>
        <w:rPr>
          <w:spacing w:val="-54"/>
        </w:rPr>
        <w:t> </w:t>
      </w:r>
      <w:r>
        <w:rPr>
          <w:spacing w:val="-54"/>
        </w:rPr>
      </w:r>
      <w:r>
        <w:rPr>
          <w:spacing w:val="12"/>
        </w:rPr>
        <w:t>公司注册资本人民币</w:t>
      </w:r>
      <w:r>
        <w:rPr>
          <w:spacing w:val="-73"/>
        </w:rPr>
        <w:t> </w:t>
      </w:r>
      <w:r>
        <w:rPr>
          <w:rFonts w:ascii="宋体" w:hAnsi="宋体" w:cs="宋体" w:eastAsia="宋体" w:hint="default"/>
        </w:rPr>
        <w:t>2,159.20</w:t>
      </w:r>
      <w:r>
        <w:rPr>
          <w:rFonts w:ascii="宋体" w:hAnsi="宋体" w:cs="宋体" w:eastAsia="宋体" w:hint="default"/>
          <w:spacing w:val="-73"/>
        </w:rPr>
        <w:t> </w:t>
      </w:r>
      <w:r>
        <w:rPr>
          <w:spacing w:val="11"/>
        </w:rPr>
        <w:t>万元已缴足。</w:t>
      </w:r>
      <w:r>
        <w:rPr>
          <w:spacing w:val="-74"/>
        </w:rPr>
        <w:t> </w:t>
      </w:r>
      <w:r>
        <w:rPr>
          <w:rFonts w:ascii="宋体" w:hAnsi="宋体" w:cs="宋体" w:eastAsia="宋体" w:hint="default"/>
          <w:spacing w:val="11"/>
        </w:rPr>
        <w:t>2002</w:t>
      </w:r>
      <w:r>
        <w:rPr>
          <w:spacing w:val="11"/>
        </w:rPr>
        <w:t>年</w:t>
      </w:r>
      <w:r>
        <w:rPr>
          <w:rFonts w:ascii="宋体" w:hAnsi="宋体" w:cs="宋体" w:eastAsia="宋体" w:hint="default"/>
          <w:spacing w:val="11"/>
        </w:rPr>
        <w:t>6</w:t>
      </w:r>
      <w:r>
        <w:rPr>
          <w:spacing w:val="11"/>
        </w:rPr>
        <w:t>月</w:t>
      </w:r>
      <w:r>
        <w:rPr>
          <w:rFonts w:ascii="宋体" w:hAnsi="宋体" w:cs="宋体" w:eastAsia="宋体" w:hint="default"/>
          <w:spacing w:val="11"/>
        </w:rPr>
        <w:t>3</w:t>
      </w:r>
      <w:r>
        <w:rPr>
          <w:spacing w:val="11"/>
        </w:rPr>
        <w:t>日，公司在北京市工商行政管理局注册登记并取得注册号为</w:t>
      </w:r>
      <w:r>
        <w:rPr>
          <w:spacing w:val="-78"/>
        </w:rPr>
        <w:t> </w:t>
      </w:r>
      <w:r>
        <w:rPr>
          <w:spacing w:val="-78"/>
        </w:rPr>
      </w:r>
      <w:r>
        <w:rPr>
          <w:rFonts w:ascii="宋体" w:hAnsi="宋体" w:cs="宋体" w:eastAsia="宋体" w:hint="default"/>
        </w:rPr>
        <w:t>1100001270093</w:t>
      </w:r>
      <w:r>
        <w:rPr/>
        <w:t>的《企业法人营业执照》。</w:t>
      </w:r>
    </w:p>
    <w:p>
      <w:pPr>
        <w:pStyle w:val="BodyText"/>
        <w:spacing w:line="357" w:lineRule="auto" w:before="26"/>
        <w:ind w:right="204"/>
        <w:jc w:val="left"/>
      </w:pPr>
      <w:r>
        <w:rPr/>
        <w:t>经历次股权转让和增资，至</w:t>
      </w:r>
      <w:r>
        <w:rPr>
          <w:rFonts w:ascii="宋体" w:hAnsi="宋体" w:cs="宋体" w:eastAsia="宋体" w:hint="default"/>
        </w:rPr>
        <w:t>2009</w:t>
      </w:r>
      <w:r>
        <w:rPr/>
        <w:t>年</w:t>
      </w:r>
      <w:r>
        <w:rPr>
          <w:rFonts w:ascii="宋体" w:hAnsi="宋体" w:cs="宋体" w:eastAsia="宋体" w:hint="default"/>
        </w:rPr>
        <w:t>6</w:t>
      </w:r>
      <w:r>
        <w:rPr/>
        <w:t>月</w:t>
      </w:r>
      <w:r>
        <w:rPr>
          <w:rFonts w:ascii="宋体" w:hAnsi="宋体" w:cs="宋体" w:eastAsia="宋体" w:hint="default"/>
        </w:rPr>
        <w:t>25</w:t>
      </w:r>
      <w:r>
        <w:rPr/>
        <w:t>日，公司注册资本为人民币</w:t>
      </w:r>
      <w:r>
        <w:rPr>
          <w:rFonts w:ascii="宋体" w:hAnsi="宋体" w:cs="宋体" w:eastAsia="宋体" w:hint="default"/>
        </w:rPr>
        <w:t>9,480</w:t>
      </w:r>
      <w:r>
        <w:rPr/>
        <w:t>万元。 </w:t>
      </w:r>
      <w:r>
        <w:rPr>
          <w:rFonts w:ascii="宋体" w:hAnsi="宋体" w:cs="宋体" w:eastAsia="宋体" w:hint="default"/>
        </w:rPr>
        <w:t>2009</w:t>
      </w:r>
      <w:r>
        <w:rPr/>
        <w:t>年</w:t>
      </w:r>
      <w:r>
        <w:rPr>
          <w:rFonts w:ascii="宋体" w:hAnsi="宋体" w:cs="宋体" w:eastAsia="宋体" w:hint="default"/>
        </w:rPr>
        <w:t>9</w:t>
      </w:r>
      <w:r>
        <w:rPr/>
        <w:t>月</w:t>
      </w:r>
      <w:r>
        <w:rPr>
          <w:rFonts w:ascii="宋体" w:hAnsi="宋体" w:cs="宋体" w:eastAsia="宋体" w:hint="default"/>
        </w:rPr>
        <w:t>20</w:t>
      </w:r>
      <w:r>
        <w:rPr/>
        <w:t>日，经中国证券监督管理委员会以“证监许可【</w:t>
      </w:r>
      <w:r>
        <w:rPr>
          <w:rFonts w:ascii="宋体" w:hAnsi="宋体" w:cs="宋体" w:eastAsia="宋体" w:hint="default"/>
        </w:rPr>
        <w:t>2009</w:t>
      </w:r>
      <w:r>
        <w:rPr/>
        <w:t>】</w:t>
      </w:r>
      <w:r>
        <w:rPr>
          <w:rFonts w:ascii="宋体" w:hAnsi="宋体" w:cs="宋体" w:eastAsia="宋体" w:hint="default"/>
        </w:rPr>
        <w:t>952</w:t>
      </w:r>
      <w:r>
        <w:rPr/>
        <w:t>号”文核准，向社会公众公开发行境内上市内资（</w:t>
      </w:r>
      <w:r>
        <w:rPr>
          <w:rFonts w:ascii="宋体" w:hAnsi="宋体" w:cs="宋体" w:eastAsia="宋体" w:hint="default"/>
        </w:rPr>
        <w:t>A </w:t>
      </w:r>
      <w:r>
        <w:rPr>
          <w:spacing w:val="-2"/>
        </w:rPr>
        <w:t>股）股票</w:t>
      </w:r>
      <w:r>
        <w:rPr>
          <w:rFonts w:ascii="宋体" w:hAnsi="宋体" w:cs="宋体" w:eastAsia="宋体" w:hint="default"/>
          <w:spacing w:val="-2"/>
        </w:rPr>
        <w:t>3,160</w:t>
      </w:r>
      <w:r>
        <w:rPr>
          <w:spacing w:val="-2"/>
        </w:rPr>
        <w:t>万股并在深圳交易所创业板上市交易。</w:t>
      </w:r>
      <w:r>
        <w:rPr>
          <w:rFonts w:ascii="宋体" w:hAnsi="宋体" w:cs="宋体" w:eastAsia="宋体" w:hint="default"/>
          <w:spacing w:val="-2"/>
        </w:rPr>
        <w:t>2009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4</w:t>
      </w:r>
      <w:r>
        <w:rPr>
          <w:spacing w:val="-2"/>
        </w:rPr>
        <w:t>日，由北京市工商行政管理局换发企业法人营业执照，注</w:t>
      </w:r>
      <w:r>
        <w:rPr>
          <w:spacing w:val="-57"/>
        </w:rPr>
        <w:t> </w:t>
      </w:r>
      <w:r>
        <w:rPr>
          <w:spacing w:val="-57"/>
        </w:rPr>
      </w:r>
      <w:r>
        <w:rPr/>
        <w:t>册号</w:t>
      </w:r>
      <w:r>
        <w:rPr>
          <w:rFonts w:ascii="宋体" w:hAnsi="宋体" w:cs="宋体" w:eastAsia="宋体" w:hint="default"/>
        </w:rPr>
        <w:t>110000002700930</w:t>
      </w:r>
      <w:r>
        <w:rPr/>
        <w:t>。</w:t>
      </w:r>
    </w:p>
    <w:p>
      <w:pPr>
        <w:pStyle w:val="BodyText"/>
        <w:spacing w:line="357" w:lineRule="auto" w:before="26"/>
        <w:ind w:right="117"/>
        <w:jc w:val="left"/>
      </w:pPr>
      <w:r>
        <w:rPr>
          <w:rFonts w:ascii="宋体" w:hAnsi="宋体" w:cs="宋体" w:eastAsia="宋体" w:hint="default"/>
          <w:spacing w:val="-2"/>
        </w:rPr>
        <w:t>2010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8</w:t>
      </w:r>
      <w:r>
        <w:rPr>
          <w:spacing w:val="-2"/>
        </w:rPr>
        <w:t>日，经公司</w:t>
      </w:r>
      <w:r>
        <w:rPr>
          <w:rFonts w:ascii="宋体" w:hAnsi="宋体" w:cs="宋体" w:eastAsia="宋体" w:hint="default"/>
          <w:spacing w:val="-2"/>
        </w:rPr>
        <w:t>2009</w:t>
      </w:r>
      <w:r>
        <w:rPr>
          <w:spacing w:val="-2"/>
        </w:rPr>
        <w:t>年度股东大会决议通过，以</w:t>
      </w:r>
      <w:r>
        <w:rPr>
          <w:rFonts w:ascii="宋体" w:hAnsi="宋体" w:cs="宋体" w:eastAsia="宋体" w:hint="default"/>
          <w:spacing w:val="-2"/>
        </w:rPr>
        <w:t>2009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日公司总股本</w:t>
      </w:r>
      <w:r>
        <w:rPr>
          <w:rFonts w:ascii="宋体" w:hAnsi="宋体" w:cs="宋体" w:eastAsia="宋体" w:hint="default"/>
          <w:spacing w:val="-2"/>
        </w:rPr>
        <w:t>12,640</w:t>
      </w:r>
      <w:r>
        <w:rPr>
          <w:spacing w:val="-2"/>
        </w:rPr>
        <w:t>万股为基数，以资本公积金向全体</w:t>
      </w:r>
      <w:r>
        <w:rPr>
          <w:spacing w:val="-49"/>
        </w:rPr>
        <w:t> </w:t>
      </w:r>
      <w:r>
        <w:rPr>
          <w:spacing w:val="-49"/>
        </w:rPr>
      </w:r>
      <w:r>
        <w:rPr/>
        <w:t>股东每</w:t>
      </w:r>
      <w:r>
        <w:rPr>
          <w:rFonts w:ascii="宋体" w:hAnsi="宋体" w:cs="宋体" w:eastAsia="宋体" w:hint="default"/>
        </w:rPr>
        <w:t>10</w:t>
      </w:r>
      <w:r>
        <w:rPr>
          <w:rFonts w:ascii="宋体" w:hAnsi="宋体" w:cs="宋体" w:eastAsia="宋体" w:hint="default"/>
          <w:spacing w:val="1"/>
        </w:rPr>
        <w:t> </w:t>
      </w:r>
      <w:r>
        <w:rPr/>
        <w:t>股转增</w:t>
      </w:r>
      <w:r>
        <w:rPr>
          <w:rFonts w:ascii="宋体" w:hAnsi="宋体" w:cs="宋体" w:eastAsia="宋体" w:hint="default"/>
        </w:rPr>
        <w:t>15</w:t>
      </w:r>
      <w:r>
        <w:rPr/>
        <w:t>股，合计转增股本</w:t>
      </w:r>
      <w:r>
        <w:rPr>
          <w:rFonts w:ascii="宋体" w:hAnsi="宋体" w:cs="宋体" w:eastAsia="宋体" w:hint="default"/>
        </w:rPr>
        <w:t>18,960</w:t>
      </w:r>
      <w:r>
        <w:rPr/>
        <w:t>万股。 </w:t>
      </w:r>
      <w:r>
        <w:rPr>
          <w:rFonts w:ascii="宋体" w:hAnsi="宋体" w:cs="宋体" w:eastAsia="宋体" w:hint="default"/>
          <w:spacing w:val="-2"/>
        </w:rPr>
        <w:t>2011</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8</w:t>
      </w:r>
      <w:r>
        <w:rPr>
          <w:spacing w:val="-2"/>
        </w:rPr>
        <w:t>日，经公司</w:t>
      </w:r>
      <w:r>
        <w:rPr>
          <w:rFonts w:ascii="宋体" w:hAnsi="宋体" w:cs="宋体" w:eastAsia="宋体" w:hint="default"/>
          <w:spacing w:val="-2"/>
        </w:rPr>
        <w:t>2010</w:t>
      </w:r>
      <w:r>
        <w:rPr>
          <w:spacing w:val="-2"/>
        </w:rPr>
        <w:t>年度股东大会决议通过，以</w:t>
      </w:r>
      <w:r>
        <w:rPr>
          <w:rFonts w:ascii="宋体" w:hAnsi="宋体" w:cs="宋体" w:eastAsia="宋体" w:hint="default"/>
          <w:spacing w:val="-2"/>
        </w:rPr>
        <w:t>2010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日公司总股本</w:t>
      </w:r>
      <w:r>
        <w:rPr>
          <w:rFonts w:ascii="宋体" w:hAnsi="宋体" w:cs="宋体" w:eastAsia="宋体" w:hint="default"/>
          <w:spacing w:val="-2"/>
        </w:rPr>
        <w:t>31,600</w:t>
      </w:r>
      <w:r>
        <w:rPr>
          <w:spacing w:val="-2"/>
        </w:rPr>
        <w:t>万股为基数，以资本公积金向全体</w:t>
      </w:r>
      <w:r>
        <w:rPr>
          <w:spacing w:val="-49"/>
        </w:rPr>
        <w:t> </w:t>
      </w:r>
      <w:r>
        <w:rPr>
          <w:spacing w:val="-49"/>
        </w:rPr>
      </w:r>
      <w:r>
        <w:rPr/>
        <w:t>股东每</w:t>
      </w:r>
      <w:r>
        <w:rPr>
          <w:rFonts w:ascii="宋体" w:hAnsi="宋体" w:cs="宋体" w:eastAsia="宋体" w:hint="default"/>
        </w:rPr>
        <w:t>10</w:t>
      </w:r>
      <w:r>
        <w:rPr>
          <w:rFonts w:ascii="宋体" w:hAnsi="宋体" w:cs="宋体" w:eastAsia="宋体" w:hint="default"/>
          <w:spacing w:val="1"/>
        </w:rPr>
        <w:t> </w:t>
      </w:r>
      <w:r>
        <w:rPr/>
        <w:t>股转增</w:t>
      </w:r>
      <w:r>
        <w:rPr>
          <w:rFonts w:ascii="宋体" w:hAnsi="宋体" w:cs="宋体" w:eastAsia="宋体" w:hint="default"/>
        </w:rPr>
        <w:t>2</w:t>
      </w:r>
      <w:r>
        <w:rPr/>
        <w:t>股，合计转增股本</w:t>
      </w:r>
      <w:r>
        <w:rPr>
          <w:rFonts w:ascii="宋体" w:hAnsi="宋体" w:cs="宋体" w:eastAsia="宋体" w:hint="default"/>
        </w:rPr>
        <w:t>6,320</w:t>
      </w:r>
      <w:r>
        <w:rPr/>
        <w:t>万股。 </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7</w:t>
      </w:r>
      <w:r>
        <w:rPr/>
        <w:t>日，公司</w:t>
      </w:r>
      <w:r>
        <w:rPr>
          <w:rFonts w:ascii="宋体" w:hAnsi="宋体" w:cs="宋体" w:eastAsia="宋体" w:hint="default"/>
        </w:rPr>
        <w:t>2012</w:t>
      </w:r>
      <w:r>
        <w:rPr/>
        <w:t>年第一次临时股东大会决议通过《北京神州泰岳软件股份有限公司股票期权与限制性股票激励计</w:t>
      </w:r>
      <w:r>
        <w:rPr>
          <w:spacing w:val="-13"/>
        </w:rPr>
        <w:t> </w:t>
      </w:r>
      <w:r>
        <w:rPr>
          <w:spacing w:val="-13"/>
        </w:rPr>
      </w:r>
      <w:r>
        <w:rPr>
          <w:spacing w:val="-2"/>
        </w:rPr>
        <w:t>划》，向</w:t>
      </w:r>
      <w:r>
        <w:rPr>
          <w:rFonts w:ascii="宋体" w:hAnsi="宋体" w:cs="宋体" w:eastAsia="宋体" w:hint="default"/>
          <w:spacing w:val="-2"/>
        </w:rPr>
        <w:t>185</w:t>
      </w:r>
      <w:r>
        <w:rPr>
          <w:spacing w:val="-2"/>
        </w:rPr>
        <w:t>名自然人发行限制性股票</w:t>
      </w:r>
      <w:r>
        <w:rPr>
          <w:rFonts w:ascii="宋体" w:hAnsi="宋体" w:cs="宋体" w:eastAsia="宋体" w:hint="default"/>
          <w:spacing w:val="-2"/>
        </w:rPr>
        <w:t>418.37</w:t>
      </w:r>
      <w:r>
        <w:rPr>
          <w:spacing w:val="-2"/>
        </w:rPr>
        <w:t>万股。</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5</w:t>
      </w:r>
      <w:r>
        <w:rPr>
          <w:spacing w:val="-2"/>
        </w:rPr>
        <w:t>日，由北京市工商行政管理局换发企业法人营业执照，注册</w:t>
      </w:r>
      <w:r>
        <w:rPr>
          <w:spacing w:val="-56"/>
        </w:rPr>
        <w:t> </w:t>
      </w:r>
      <w:r>
        <w:rPr>
          <w:spacing w:val="-56"/>
        </w:rPr>
      </w:r>
      <w:r>
        <w:rPr/>
        <w:t>号</w:t>
      </w:r>
      <w:r>
        <w:rPr>
          <w:rFonts w:ascii="宋体" w:hAnsi="宋体" w:cs="宋体" w:eastAsia="宋体" w:hint="default"/>
        </w:rPr>
        <w:t>110000002700930</w:t>
      </w:r>
      <w:r>
        <w:rPr/>
        <w:t>。</w:t>
      </w:r>
    </w:p>
    <w:p>
      <w:pPr>
        <w:pStyle w:val="BodyText"/>
        <w:spacing w:line="357" w:lineRule="auto" w:before="27"/>
        <w:ind w:right="117"/>
        <w:jc w:val="left"/>
      </w:pPr>
      <w:r>
        <w:rPr>
          <w:spacing w:val="-2"/>
        </w:rPr>
        <w:t>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日止，本公司累计的股本总数为</w:t>
      </w:r>
      <w:r>
        <w:rPr>
          <w:rFonts w:ascii="宋体" w:hAnsi="宋体" w:cs="宋体" w:eastAsia="宋体" w:hint="default"/>
          <w:spacing w:val="-2"/>
        </w:rPr>
        <w:t>38,338.37</w:t>
      </w:r>
      <w:r>
        <w:rPr>
          <w:spacing w:val="-2"/>
        </w:rPr>
        <w:t>万股，公司注册资本为人民币</w:t>
      </w:r>
      <w:r>
        <w:rPr>
          <w:rFonts w:ascii="宋体" w:hAnsi="宋体" w:cs="宋体" w:eastAsia="宋体" w:hint="default"/>
          <w:spacing w:val="-2"/>
        </w:rPr>
        <w:t>38,338.37</w:t>
      </w:r>
      <w:r>
        <w:rPr>
          <w:spacing w:val="-2"/>
        </w:rPr>
        <w:t>万元，业经立信会计师</w:t>
      </w:r>
      <w:r>
        <w:rPr>
          <w:spacing w:val="-48"/>
        </w:rPr>
        <w:t> </w:t>
      </w:r>
      <w:r>
        <w:rPr>
          <w:spacing w:val="-48"/>
        </w:rPr>
      </w:r>
      <w:r>
        <w:rPr/>
        <w:t>事务所（特殊普通合伙）验证，并出具信会师报字（</w:t>
      </w:r>
      <w:r>
        <w:rPr>
          <w:rFonts w:ascii="宋体" w:hAnsi="宋体" w:cs="宋体" w:eastAsia="宋体" w:hint="default"/>
        </w:rPr>
        <w:t>2012</w:t>
      </w:r>
      <w:r>
        <w:rPr/>
        <w:t>）第</w:t>
      </w:r>
      <w:r>
        <w:rPr>
          <w:rFonts w:ascii="宋体" w:hAnsi="宋体" w:cs="宋体" w:eastAsia="宋体" w:hint="default"/>
        </w:rPr>
        <w:t>114075</w:t>
      </w:r>
      <w:r>
        <w:rPr/>
        <w:t>号验资报告。</w:t>
      </w:r>
    </w:p>
    <w:p>
      <w:pPr>
        <w:pStyle w:val="BodyText"/>
        <w:spacing w:line="357" w:lineRule="auto" w:before="24"/>
        <w:ind w:right="117"/>
        <w:jc w:val="left"/>
      </w:pPr>
      <w:r>
        <w:rPr/>
        <w:t>本公司所处行业：计算机应用服务业。 </w:t>
      </w:r>
      <w:r>
        <w:rPr>
          <w:spacing w:val="-2"/>
        </w:rPr>
        <w:t>公司经营范围：计算机网络综合管理及网络系统集成技术开发、技术服务、技术转让、技术培训；电子信息技术咨询（中介</w:t>
      </w:r>
      <w:r>
        <w:rPr>
          <w:spacing w:val="-68"/>
        </w:rPr>
        <w:t> </w:t>
      </w:r>
      <w:r>
        <w:rPr>
          <w:spacing w:val="-68"/>
        </w:rPr>
      </w:r>
      <w:r>
        <w:rPr/>
        <w:t>除外）；销售计算机网络软硬件产品；电子信息技术系统工程设计；技术进出口、代理进出口、货物进出口。 </w:t>
      </w:r>
      <w:r>
        <w:rPr>
          <w:spacing w:val="-7"/>
        </w:rPr>
        <w:t>公司的主营业务为向国内电信、金融、能源等行业的大中型企业和政府部门提供</w:t>
      </w:r>
      <w:r>
        <w:rPr>
          <w:rFonts w:ascii="宋体" w:hAnsi="宋体" w:cs="宋体" w:eastAsia="宋体" w:hint="default"/>
          <w:spacing w:val="-7"/>
        </w:rPr>
        <w:t>IT</w:t>
      </w:r>
      <w:r>
        <w:rPr>
          <w:spacing w:val="-7"/>
        </w:rPr>
        <w:t>运维管理的整体解决方案，以及以“飞信”、</w:t>
      </w:r>
      <w:r>
        <w:rPr>
          <w:spacing w:val="-41"/>
        </w:rPr>
        <w:t> </w:t>
      </w:r>
      <w:r>
        <w:rPr>
          <w:spacing w:val="-41"/>
        </w:rPr>
      </w:r>
      <w:r>
        <w:rPr/>
        <w:t>“农信通”为代表的移动互联网开发及运维支撑服务业务。</w:t>
      </w:r>
    </w:p>
    <w:p>
      <w:pPr>
        <w:pStyle w:val="BodyText"/>
        <w:spacing w:line="357" w:lineRule="auto" w:before="26"/>
        <w:ind w:right="4164"/>
        <w:jc w:val="left"/>
      </w:pPr>
      <w:r>
        <w:rPr/>
        <w:t>公司法定代表人：王宁。 公司注册地址：北京市海淀区万泉庄路</w:t>
      </w:r>
      <w:r>
        <w:rPr>
          <w:rFonts w:ascii="宋体" w:hAnsi="宋体" w:cs="宋体" w:eastAsia="宋体" w:hint="default"/>
        </w:rPr>
        <w:t>28</w:t>
      </w:r>
      <w:r>
        <w:rPr/>
        <w:t>号万柳新贵大厦</w:t>
      </w:r>
      <w:r>
        <w:rPr>
          <w:rFonts w:ascii="宋体" w:hAnsi="宋体" w:cs="宋体" w:eastAsia="宋体" w:hint="default"/>
        </w:rPr>
        <w:t>A</w:t>
      </w:r>
      <w:r>
        <w:rPr/>
        <w:t>座</w:t>
      </w:r>
      <w:r>
        <w:rPr>
          <w:rFonts w:ascii="宋体" w:hAnsi="宋体" w:cs="宋体" w:eastAsia="宋体" w:hint="default"/>
        </w:rPr>
        <w:t>6</w:t>
      </w:r>
      <w:r>
        <w:rPr/>
        <w:t>层</w:t>
      </w:r>
      <w:r>
        <w:rPr>
          <w:rFonts w:ascii="宋体" w:hAnsi="宋体" w:cs="宋体" w:eastAsia="宋体" w:hint="default"/>
        </w:rPr>
        <w:t>601</w:t>
      </w:r>
      <w:r>
        <w:rPr/>
        <w:t>室。 公司办公地址：北京市朝阳区北苑路甲</w:t>
      </w:r>
      <w:r>
        <w:rPr>
          <w:rFonts w:ascii="宋体" w:hAnsi="宋体" w:cs="宋体" w:eastAsia="宋体" w:hint="default"/>
        </w:rPr>
        <w:t>13</w:t>
      </w:r>
      <w:r>
        <w:rPr/>
        <w:t>号院</w:t>
      </w:r>
      <w:r>
        <w:rPr>
          <w:rFonts w:ascii="宋体" w:hAnsi="宋体" w:cs="宋体" w:eastAsia="宋体" w:hint="default"/>
        </w:rPr>
        <w:t>1</w:t>
      </w:r>
      <w:r>
        <w:rPr/>
        <w:t>号楼北辰泰岳大厦</w:t>
      </w:r>
      <w:r>
        <w:rPr>
          <w:rFonts w:ascii="宋体" w:hAnsi="宋体" w:cs="宋体" w:eastAsia="宋体" w:hint="default"/>
        </w:rPr>
        <w:t>22</w:t>
      </w:r>
      <w:r>
        <w:rPr/>
        <w:t>层。</w:t>
      </w:r>
    </w:p>
    <w:p>
      <w:pPr>
        <w:spacing w:line="240" w:lineRule="auto" w:before="6"/>
        <w:rPr>
          <w:rFonts w:ascii="宋体" w:hAnsi="宋体" w:cs="宋体" w:eastAsia="宋体" w:hint="default"/>
          <w:sz w:val="24"/>
          <w:szCs w:val="24"/>
        </w:rPr>
      </w:pPr>
    </w:p>
    <w:p>
      <w:pPr>
        <w:pStyle w:val="Heading2"/>
        <w:spacing w:line="240" w:lineRule="auto"/>
        <w:ind w:right="117"/>
        <w:jc w:val="left"/>
        <w:rPr>
          <w:b w:val="0"/>
          <w:bCs w:val="0"/>
        </w:rPr>
      </w:pPr>
      <w:r>
        <w:rPr/>
        <w:t>四、公司主要会计政策、会计估计和前期差错</w:t>
      </w:r>
      <w:r>
        <w:rPr>
          <w:b w:val="0"/>
          <w:bCs w:val="0"/>
        </w:rPr>
      </w:r>
    </w:p>
    <w:p>
      <w:pPr>
        <w:spacing w:line="240" w:lineRule="auto" w:before="3"/>
        <w:rPr>
          <w:rFonts w:ascii="宋体" w:hAnsi="宋体" w:cs="宋体" w:eastAsia="宋体" w:hint="default"/>
          <w:b/>
          <w:bCs/>
          <w:sz w:val="23"/>
          <w:szCs w:val="23"/>
        </w:rPr>
      </w:pPr>
    </w:p>
    <w:p>
      <w:pPr>
        <w:pStyle w:val="Heading3"/>
        <w:spacing w:line="240" w:lineRule="auto"/>
        <w:ind w:right="117"/>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117"/>
        <w:jc w:val="left"/>
      </w:pPr>
      <w:r>
        <w:rPr/>
        <w:t>公司以持续经营为基础，根据实际发生的交易和事项，按照财政部于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日颁布的《企业会计准则——基本准则》</w:t>
      </w:r>
      <w:r>
        <w:rPr>
          <w:spacing w:val="-85"/>
        </w:rPr>
        <w:t> </w:t>
      </w:r>
      <w:r>
        <w:rPr>
          <w:spacing w:val="-85"/>
        </w:rPr>
      </w:r>
      <w:r>
        <w:rPr>
          <w:spacing w:val="-4"/>
        </w:rPr>
        <w:t>和</w:t>
      </w:r>
      <w:r>
        <w:rPr>
          <w:rFonts w:ascii="宋体" w:hAnsi="宋体" w:cs="宋体" w:eastAsia="宋体" w:hint="default"/>
          <w:spacing w:val="-4"/>
        </w:rPr>
        <w:t>38</w:t>
      </w:r>
      <w:r>
        <w:rPr>
          <w:spacing w:val="-4"/>
        </w:rPr>
        <w:t>项具体会计准则、其后颁布的企业会计准则应用指南、企业会计准则解释及其他相关规定</w:t>
      </w:r>
      <w:r>
        <w:rPr>
          <w:rFonts w:ascii="宋体" w:hAnsi="宋体" w:cs="宋体" w:eastAsia="宋体" w:hint="default"/>
          <w:spacing w:val="-4"/>
        </w:rPr>
        <w:t>(</w:t>
      </w:r>
      <w:r>
        <w:rPr>
          <w:spacing w:val="-4"/>
        </w:rPr>
        <w:t>以下合称“企业会计准则”</w:t>
      </w:r>
      <w:r>
        <w:rPr>
          <w:rFonts w:ascii="宋体" w:hAnsi="宋体" w:cs="宋体" w:eastAsia="宋体" w:hint="default"/>
          <w:spacing w:val="-4"/>
        </w:rPr>
        <w:t>)</w:t>
      </w:r>
      <w:r>
        <w:rPr>
          <w:spacing w:val="-4"/>
        </w:rPr>
        <w:t>、</w:t>
      </w:r>
      <w:r>
        <w:rPr>
          <w:spacing w:val="-36"/>
        </w:rPr>
        <w:t> </w:t>
      </w:r>
      <w:r>
        <w:rPr/>
        <w:t>以及中国证券监督管理委员会《公开发行证券的公司信息披露编报规则第</w:t>
      </w:r>
      <w:r>
        <w:rPr>
          <w:rFonts w:ascii="宋体" w:hAnsi="宋体" w:cs="宋体" w:eastAsia="宋体" w:hint="default"/>
        </w:rPr>
        <w:t>15</w:t>
      </w:r>
      <w:r>
        <w:rPr>
          <w:rFonts w:ascii="宋体" w:hAnsi="宋体" w:cs="宋体" w:eastAsia="宋体" w:hint="default"/>
          <w:spacing w:val="3"/>
        </w:rPr>
        <w:t> </w:t>
      </w:r>
      <w:r>
        <w:rPr/>
        <w:t>号——财务报告的一般规定》</w:t>
      </w:r>
      <w:r>
        <w:rPr>
          <w:rFonts w:ascii="宋体" w:hAnsi="宋体" w:cs="宋体" w:eastAsia="宋体" w:hint="default"/>
        </w:rPr>
        <w:t>(2010</w:t>
      </w:r>
      <w:r>
        <w:rPr/>
        <w:t>年修订</w:t>
      </w:r>
      <w:r>
        <w:rPr>
          <w:rFonts w:ascii="宋体" w:hAnsi="宋体" w:cs="宋体" w:eastAsia="宋体" w:hint="default"/>
        </w:rPr>
        <w:t>)</w:t>
      </w:r>
      <w:r>
        <w:rPr/>
        <w:t>的 披露规定编制财务报表。</w:t>
      </w:r>
    </w:p>
    <w:p>
      <w:pPr>
        <w:spacing w:after="0" w:line="357" w:lineRule="auto"/>
        <w:jc w:val="left"/>
        <w:sectPr>
          <w:headerReference w:type="default" r:id="rId26"/>
          <w:footerReference w:type="default" r:id="rId27"/>
          <w:pgSz w:w="11910" w:h="16840"/>
          <w:pgMar w:header="852" w:footer="980" w:top="1340" w:bottom="1160" w:left="980" w:right="920"/>
          <w:pgNumType w:start="101"/>
        </w:sectPr>
      </w:pPr>
    </w:p>
    <w:p>
      <w:pPr>
        <w:pStyle w:val="Heading3"/>
        <w:spacing w:line="240" w:lineRule="auto" w:before="59"/>
        <w:ind w:right="94"/>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94"/>
        <w:jc w:val="left"/>
      </w:pPr>
      <w:r>
        <w:rPr>
          <w:spacing w:val="-2"/>
        </w:rPr>
        <w:t>公司所编制的财务报表符合企业会计准则的要求，真实、完整地反映了报告期公司的财务状况、经营成果、现金流量等有关</w:t>
      </w:r>
      <w:r>
        <w:rPr>
          <w:spacing w:val="-66"/>
        </w:rPr>
        <w:t> </w:t>
      </w:r>
      <w:r>
        <w:rPr>
          <w:spacing w:val="-66"/>
        </w:rPr>
      </w:r>
      <w:r>
        <w:rPr/>
        <w:t>信息。</w:t>
      </w:r>
    </w:p>
    <w:p>
      <w:pPr>
        <w:spacing w:line="240" w:lineRule="auto" w:before="11"/>
        <w:rPr>
          <w:rFonts w:ascii="宋体" w:hAnsi="宋体" w:cs="宋体" w:eastAsia="宋体" w:hint="default"/>
          <w:sz w:val="24"/>
          <w:szCs w:val="24"/>
        </w:rPr>
      </w:pPr>
    </w:p>
    <w:p>
      <w:pPr>
        <w:spacing w:line="472" w:lineRule="auto" w:before="0"/>
        <w:ind w:left="152" w:right="45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pacing w:val="-1"/>
          <w:sz w:val="21"/>
          <w:szCs w:val="21"/>
        </w:rPr>
        <w:t>自公历</w:t>
      </w:r>
      <w:r>
        <w:rPr>
          <w:rFonts w:ascii="宋体" w:hAnsi="宋体" w:cs="宋体" w:eastAsia="宋体" w:hint="default"/>
          <w:spacing w:val="-1"/>
          <w:sz w:val="21"/>
          <w:szCs w:val="21"/>
        </w:rPr>
        <w:t>1</w:t>
      </w:r>
      <w:r>
        <w:rPr>
          <w:rFonts w:ascii="宋体" w:hAnsi="宋体" w:cs="宋体" w:eastAsia="宋体" w:hint="default"/>
          <w:spacing w:val="-1"/>
          <w:sz w:val="21"/>
          <w:szCs w:val="21"/>
        </w:rPr>
        <w:t>月</w:t>
      </w:r>
      <w:r>
        <w:rPr>
          <w:rFonts w:ascii="宋体" w:hAnsi="宋体" w:cs="宋体" w:eastAsia="宋体" w:hint="default"/>
          <w:spacing w:val="-1"/>
          <w:sz w:val="21"/>
          <w:szCs w:val="21"/>
        </w:rPr>
        <w:t>1</w:t>
      </w:r>
      <w:r>
        <w:rPr>
          <w:rFonts w:ascii="宋体" w:hAnsi="宋体" w:cs="宋体" w:eastAsia="宋体" w:hint="default"/>
          <w:spacing w:val="-1"/>
          <w:sz w:val="21"/>
          <w:szCs w:val="21"/>
        </w:rPr>
        <w:t>日至</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日止为一个会计年度。</w:t>
      </w:r>
    </w:p>
    <w:p>
      <w:pPr>
        <w:spacing w:line="240" w:lineRule="auto" w:before="7"/>
        <w:rPr>
          <w:rFonts w:ascii="宋体" w:hAnsi="宋体" w:cs="宋体" w:eastAsia="宋体" w:hint="default"/>
          <w:sz w:val="17"/>
          <w:szCs w:val="17"/>
        </w:rPr>
      </w:pPr>
    </w:p>
    <w:p>
      <w:pPr>
        <w:pStyle w:val="Heading3"/>
        <w:spacing w:line="240" w:lineRule="auto"/>
        <w:ind w:right="94"/>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2614"/>
        <w:jc w:val="left"/>
      </w:pPr>
      <w:r>
        <w:rPr/>
        <w:t>母公司采用人民币为记账本位币。 宁波普天通信技术（香港）有限公司、神州泰岳（香港）有限公司采用港币为记账本位币。 合并报表范围内其他公司均采用人民币为记账本位币。</w:t>
      </w:r>
    </w:p>
    <w:p>
      <w:pPr>
        <w:spacing w:line="240" w:lineRule="auto" w:before="11"/>
        <w:rPr>
          <w:rFonts w:ascii="宋体" w:hAnsi="宋体" w:cs="宋体" w:eastAsia="宋体" w:hint="default"/>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7"/>
        <w:rPr>
          <w:rFonts w:ascii="宋体" w:hAnsi="宋体" w:cs="宋体" w:eastAsia="宋体" w:hint="default"/>
          <w:b/>
          <w:bCs/>
          <w:sz w:val="21"/>
          <w:szCs w:val="21"/>
        </w:rPr>
      </w:pPr>
    </w:p>
    <w:p>
      <w:pPr>
        <w:pStyle w:val="BodyText"/>
        <w:spacing w:line="357" w:lineRule="auto"/>
        <w:ind w:right="94"/>
        <w:jc w:val="left"/>
      </w:pPr>
      <w:r>
        <w:rPr>
          <w:spacing w:val="-2"/>
        </w:rPr>
        <w:t>本公司在企业合并中取得的资产和负债，按照合并日在被合并方的账面价值计量。被合并各方采用的会计政策与本公司不一</w:t>
      </w:r>
      <w:r>
        <w:rPr>
          <w:spacing w:val="-63"/>
        </w:rPr>
        <w:t> </w:t>
      </w:r>
      <w:r>
        <w:rPr>
          <w:spacing w:val="-63"/>
        </w:rPr>
      </w:r>
      <w:r>
        <w:rPr/>
        <w:t>致的，本公司在合并日按照本公司会计政策进行调整，在此基础上按照调整后的账面价值确认。 在合并中取得的净资产账面价值与支付的合并对价账面价值（或发行股份面值总额）的差额，调整资本公积中的股本溢价， 资本公积中的股本溢价不足冲减的，调整留存收益。 </w:t>
      </w:r>
      <w:r>
        <w:rPr>
          <w:spacing w:val="-2"/>
        </w:rPr>
        <w:t>本公司为进行企业合并而发生的各项直接相关费用，包括为进行企业合并而支付的审计费用、评估费用、法律服务费等，于</w:t>
      </w:r>
      <w:r>
        <w:rPr>
          <w:spacing w:val="-66"/>
        </w:rPr>
        <w:t> </w:t>
      </w:r>
      <w:r>
        <w:rPr>
          <w:spacing w:val="-66"/>
        </w:rPr>
      </w:r>
      <w:r>
        <w:rPr/>
        <w:t>发生时计入当期损益。 企业合并中发行权益性证券发生的手续费、佣金等，抵减权益性证券溢价收入，溢价收入不足冲减的，冲减留存收益。</w:t>
      </w:r>
    </w:p>
    <w:p>
      <w:pPr>
        <w:spacing w:line="240" w:lineRule="auto" w:before="11"/>
        <w:rPr>
          <w:rFonts w:ascii="宋体" w:hAnsi="宋体" w:cs="宋体" w:eastAsia="宋体" w:hint="default"/>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180"/>
        <w:jc w:val="left"/>
      </w:pPr>
      <w:r>
        <w:rPr>
          <w:spacing w:val="-2"/>
        </w:rPr>
        <w:t>本公司在购买日对作为企业合并对价付出的资产、发生或承担的负债按照公允价值计量。公允价值与其账面价值的差额，计</w:t>
      </w:r>
      <w:r>
        <w:rPr>
          <w:spacing w:val="-63"/>
        </w:rPr>
        <w:t> </w:t>
      </w:r>
      <w:r>
        <w:rPr>
          <w:spacing w:val="-63"/>
        </w:rPr>
      </w:r>
      <w:r>
        <w:rPr/>
        <w:t>入当期损益。 本公司在购买日对合并成本进行分配，确认所取得的被购买方各项可辨认资产、负债及或有负债的公允价值。 </w:t>
      </w:r>
      <w:r>
        <w:rPr>
          <w:spacing w:val="-2"/>
        </w:rPr>
        <w:t>本公司对合并成本大于合并中取得的被购买方可辨认净资产公允价值份额的差额，确认为商誉；合并成本小于合并中取得的</w:t>
      </w:r>
      <w:r>
        <w:rPr>
          <w:spacing w:val="-64"/>
        </w:rPr>
        <w:t> </w:t>
      </w:r>
      <w:r>
        <w:rPr>
          <w:spacing w:val="-64"/>
        </w:rPr>
      </w:r>
      <w:r>
        <w:rPr/>
        <w:t>被购买方可辨认净资产公允价值份额的差额，经复核后，计入当期损益。 </w:t>
      </w:r>
      <w:r>
        <w:rPr>
          <w:spacing w:val="-2"/>
        </w:rPr>
        <w:t>企业合并中取得的被购买方除无形资产外的其他各项资产（不仅限于被购买方原已确认的资产），其所带来的经济利益很可</w:t>
      </w:r>
      <w:r>
        <w:rPr>
          <w:spacing w:val="-65"/>
        </w:rPr>
        <w:t> </w:t>
      </w:r>
      <w:r>
        <w:rPr>
          <w:spacing w:val="-65"/>
        </w:rPr>
      </w:r>
      <w:r>
        <w:rPr>
          <w:spacing w:val="-2"/>
        </w:rPr>
        <w:t>能流入本公司且公允价值能够可靠计量的，单独确认并按公允价值计量；公允价值能够可靠计量的无形资产，单独确认为无</w:t>
      </w:r>
      <w:r>
        <w:rPr>
          <w:spacing w:val="-63"/>
        </w:rPr>
        <w:t> </w:t>
      </w:r>
      <w:r>
        <w:rPr>
          <w:spacing w:val="-63"/>
        </w:rPr>
      </w:r>
      <w:r>
        <w:rPr>
          <w:spacing w:val="-2"/>
        </w:rPr>
        <w:t>形资产并按公允价值计量；取得的被购买方除或有负债以外的其他各项负债，履行有关义务很可能导致经济利益流出本公司</w:t>
      </w:r>
      <w:r>
        <w:rPr>
          <w:spacing w:val="-64"/>
        </w:rPr>
        <w:t> </w:t>
      </w:r>
      <w:r>
        <w:rPr>
          <w:spacing w:val="-64"/>
        </w:rPr>
      </w:r>
      <w:r>
        <w:rPr>
          <w:spacing w:val="-2"/>
        </w:rPr>
        <w:t>且公允价值能够可靠计量的，单独确认并按照公允价值计量；取得的被购买方或有负债，其公允价值能可靠计量的，单独确</w:t>
      </w:r>
      <w:r>
        <w:rPr>
          <w:spacing w:val="-64"/>
        </w:rPr>
        <w:t> </w:t>
      </w:r>
      <w:r>
        <w:rPr>
          <w:spacing w:val="-64"/>
        </w:rPr>
      </w:r>
      <w:r>
        <w:rPr/>
        <w:t>认为负债并按照公允价值计量。 </w:t>
      </w:r>
      <w:r>
        <w:rPr>
          <w:spacing w:val="-2"/>
        </w:rPr>
        <w:t>本公司在企业合并中取得的被购买方的可抵扣暂时性差异，在购买日不符合递延所得税资产确认条件的，不予以确认。购买</w:t>
      </w:r>
      <w:r>
        <w:rPr>
          <w:spacing w:val="-65"/>
        </w:rPr>
        <w:t> </w:t>
      </w:r>
      <w:r>
        <w:rPr>
          <w:spacing w:val="-65"/>
        </w:rPr>
      </w:r>
      <w:r>
        <w:rPr>
          <w:spacing w:val="-2"/>
        </w:rPr>
        <w:t>日后</w:t>
      </w:r>
      <w:r>
        <w:rPr>
          <w:rFonts w:ascii="宋体" w:hAnsi="宋体" w:cs="宋体" w:eastAsia="宋体" w:hint="default"/>
          <w:spacing w:val="-2"/>
        </w:rPr>
        <w:t>12</w:t>
      </w:r>
      <w:r>
        <w:rPr>
          <w:spacing w:val="-2"/>
        </w:rPr>
        <w:t>个月内，如取得新的或进一步的信息表明购买日的相关情况已经存在，预期被购买方在购买日可抵扣暂时性差异带来</w:t>
      </w:r>
      <w:r>
        <w:rPr>
          <w:spacing w:val="-63"/>
        </w:rPr>
        <w:t> </w:t>
      </w:r>
      <w:r>
        <w:rPr>
          <w:spacing w:val="-63"/>
        </w:rPr>
      </w:r>
      <w:r>
        <w:rPr>
          <w:spacing w:val="-2"/>
        </w:rPr>
        <w:t>的经济利益能够实现的，确认相关的递延所得税资产，同时减少商誉，商誉不足冲减的，差额部分确认为当期损益；除上述</w:t>
      </w:r>
    </w:p>
    <w:p>
      <w:pPr>
        <w:spacing w:after="0" w:line="357" w:lineRule="auto"/>
        <w:jc w:val="left"/>
        <w:sectPr>
          <w:pgSz w:w="11910" w:h="16840"/>
          <w:pgMar w:header="852" w:footer="980" w:top="1340" w:bottom="1160" w:left="980" w:right="940"/>
        </w:sectPr>
      </w:pPr>
    </w:p>
    <w:p>
      <w:pPr>
        <w:pStyle w:val="BodyText"/>
        <w:spacing w:line="357" w:lineRule="auto" w:before="61"/>
        <w:ind w:right="94"/>
        <w:jc w:val="left"/>
      </w:pPr>
      <w:r>
        <w:rPr/>
        <w:t>情况以外，确认与企业合并相关的递延所得税资产，计入当期损益。 </w:t>
      </w:r>
      <w:r>
        <w:rPr>
          <w:spacing w:val="-2"/>
        </w:rPr>
        <w:t>非同一控制下企业合并，购买方为企业合并发生的审计、法律服务、评估咨询等中介费用以及其他相关管理费用，应当于发</w:t>
      </w:r>
      <w:r>
        <w:rPr>
          <w:spacing w:val="-65"/>
        </w:rPr>
        <w:t> </w:t>
      </w:r>
      <w:r>
        <w:rPr>
          <w:spacing w:val="-65"/>
        </w:rPr>
      </w:r>
      <w:r>
        <w:rPr>
          <w:spacing w:val="-2"/>
        </w:rPr>
        <w:t>生时计入当期损益；购买方作为合并对价发行的权益性证券或债务性证券的交易费用，应当计入权益性证券或债务性证券的</w:t>
      </w:r>
      <w:r>
        <w:rPr>
          <w:spacing w:val="-64"/>
        </w:rPr>
        <w:t> </w:t>
      </w:r>
      <w:r>
        <w:rPr>
          <w:spacing w:val="-64"/>
        </w:rPr>
      </w:r>
      <w:r>
        <w:rPr/>
        <w:t>初始确认金额。</w:t>
      </w:r>
    </w:p>
    <w:p>
      <w:pPr>
        <w:spacing w:line="240" w:lineRule="auto" w:before="11"/>
        <w:rPr>
          <w:rFonts w:ascii="宋体" w:hAnsi="宋体" w:cs="宋体" w:eastAsia="宋体" w:hint="default"/>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7"/>
        <w:rPr>
          <w:rFonts w:ascii="宋体" w:hAnsi="宋体" w:cs="宋体" w:eastAsia="宋体" w:hint="default"/>
          <w:b/>
          <w:bCs/>
          <w:sz w:val="21"/>
          <w:szCs w:val="21"/>
        </w:rPr>
      </w:pPr>
    </w:p>
    <w:p>
      <w:pPr>
        <w:pStyle w:val="BodyText"/>
        <w:spacing w:line="357" w:lineRule="auto"/>
        <w:ind w:right="94"/>
        <w:jc w:val="left"/>
      </w:pPr>
      <w:r>
        <w:rPr/>
        <w:t>本公司合并财务报表的合并范围以控制为基础确定，所有子公司均纳入合并财务报表。 </w:t>
      </w:r>
      <w:r>
        <w:rPr>
          <w:spacing w:val="-2"/>
        </w:rPr>
        <w:t>所有纳入合并财务报表合并范围的子公司所采用的会计政策、会计期间与本公司一致，如子公司采用的会计政策、会计期间</w:t>
      </w:r>
      <w:r>
        <w:rPr>
          <w:spacing w:val="-66"/>
        </w:rPr>
        <w:t> </w:t>
      </w:r>
      <w:r>
        <w:rPr>
          <w:spacing w:val="-66"/>
        </w:rPr>
      </w:r>
      <w:r>
        <w:rPr>
          <w:spacing w:val="-2"/>
        </w:rPr>
        <w:t>与本公司不一致的，在编制合并财务报表时，按本公司的会计政策、会计期间进行必要的调整。对于非同一控制下企业合并</w:t>
      </w:r>
      <w:r>
        <w:rPr>
          <w:spacing w:val="-65"/>
        </w:rPr>
        <w:t> </w:t>
      </w:r>
      <w:r>
        <w:rPr>
          <w:spacing w:val="-65"/>
        </w:rPr>
      </w:r>
      <w:r>
        <w:rPr>
          <w:spacing w:val="-2"/>
        </w:rPr>
        <w:t>取得的子公司，以购买日可辨认净资产公允价值为基础对其财务报表进行调整。合并财务报表以本公司及子公司的财务报表</w:t>
      </w:r>
      <w:r>
        <w:rPr>
          <w:spacing w:val="-64"/>
        </w:rPr>
        <w:t> </w:t>
      </w:r>
      <w:r>
        <w:rPr>
          <w:spacing w:val="-64"/>
        </w:rPr>
      </w:r>
      <w:r>
        <w:rPr/>
        <w:t>为基础，根据其他有关资料，按照权益法调整对子公司的长期股权投资后，由本公司编制。</w:t>
      </w:r>
      <w:r>
        <w:rPr/>
        <w:t> </w:t>
      </w:r>
      <w:r>
        <w:rPr>
          <w:spacing w:val="-2"/>
        </w:rPr>
        <w:t>合并财务报表时抵销本公司与各子公司、各子公司相互之间发生的内部交易对合并资产负债表、合并利润表、合并现金流量</w:t>
      </w:r>
      <w:r>
        <w:rPr>
          <w:spacing w:val="-66"/>
        </w:rPr>
        <w:t> </w:t>
      </w:r>
      <w:r>
        <w:rPr>
          <w:spacing w:val="-66"/>
        </w:rPr>
      </w:r>
      <w:r>
        <w:rPr/>
        <w:t>表、合并所有者权益变动表的影响。 </w:t>
      </w:r>
      <w:r>
        <w:rPr>
          <w:spacing w:val="-2"/>
        </w:rPr>
        <w:t>子公司少数股东应占的权益和损益分别在合并资产负债表中所有者权益项目下和合并利润表中净利润项目下单独列示。子公</w:t>
      </w:r>
      <w:r>
        <w:rPr>
          <w:spacing w:val="-64"/>
        </w:rPr>
        <w:t> </w:t>
      </w:r>
      <w:r>
        <w:rPr>
          <w:spacing w:val="-64"/>
        </w:rPr>
      </w:r>
      <w:r>
        <w:rPr/>
        <w:t>司少数股东分担的当期亏损超过了少数股东在该子公司期初所有者权益中所享有份额而形成的余额，冲减少数股东权益。 </w:t>
      </w:r>
      <w:r>
        <w:rPr>
          <w:spacing w:val="-2"/>
        </w:rPr>
        <w:t>在报告期内，若因同一控制下企业合并增加子公司的，则调整合并资产负债表的期初数；将子公司合并当期期初至报告期末</w:t>
      </w:r>
      <w:r>
        <w:rPr>
          <w:spacing w:val="-63"/>
        </w:rPr>
        <w:t> </w:t>
      </w:r>
      <w:r>
        <w:rPr>
          <w:spacing w:val="-63"/>
        </w:rPr>
      </w:r>
      <w:r>
        <w:rPr>
          <w:spacing w:val="-2"/>
        </w:rPr>
        <w:t>的收入、费用、利润纳入合并利润表；将子公司合并当期期初至报告期末的现金流量纳入合并现金流量表，同时对比较报表</w:t>
      </w:r>
      <w:r>
        <w:rPr>
          <w:spacing w:val="-63"/>
        </w:rPr>
        <w:t> </w:t>
      </w:r>
      <w:r>
        <w:rPr>
          <w:spacing w:val="-63"/>
        </w:rPr>
      </w:r>
      <w:r>
        <w:rPr/>
        <w:t>的相关项目进行调整，视同合并后的报告主体在以前期间一直存在。 </w:t>
      </w:r>
      <w:r>
        <w:rPr>
          <w:spacing w:val="-2"/>
        </w:rPr>
        <w:t>在报告期内，若因非同一控制下企业合并增加子公司的，则不调整合并资产负债表期初数；将子公司自购买日至报告期末的</w:t>
      </w:r>
      <w:r>
        <w:rPr>
          <w:spacing w:val="-63"/>
        </w:rPr>
        <w:t> </w:t>
      </w:r>
      <w:r>
        <w:rPr>
          <w:spacing w:val="-63"/>
        </w:rPr>
      </w:r>
      <w:r>
        <w:rPr>
          <w:spacing w:val="-2"/>
        </w:rPr>
        <w:t>收入、费用、利润纳入合并利润表；该子公司自购买日至报告期末的现金流量纳入合并现金流量表。通过多次交易分步实现</w:t>
      </w:r>
      <w:r>
        <w:rPr>
          <w:spacing w:val="-64"/>
        </w:rPr>
        <w:t> </w:t>
      </w:r>
      <w:r>
        <w:rPr>
          <w:spacing w:val="-64"/>
        </w:rPr>
      </w:r>
      <w:r>
        <w:rPr/>
        <w:t>非同一控制下企业合并时，对于购买日之前持有的被购买方的股权，本公司按照该股权在购买日的公允价值进行重新计量， </w:t>
      </w:r>
      <w:r>
        <w:rPr>
          <w:spacing w:val="-2"/>
        </w:rPr>
        <w:t>公允价值与其账面价值的差额计入当期投资收益。购买日之前持有的被购买方的股权涉及其他综合收益的，与其相关的其他</w:t>
      </w:r>
      <w:r>
        <w:rPr>
          <w:spacing w:val="-63"/>
        </w:rPr>
        <w:t> </w:t>
      </w:r>
      <w:r>
        <w:rPr>
          <w:spacing w:val="-63"/>
        </w:rPr>
      </w:r>
      <w:r>
        <w:rPr/>
        <w:t>综合收益转为购买日所属当期投资收益。 </w:t>
      </w:r>
      <w:r>
        <w:rPr>
          <w:spacing w:val="-2"/>
        </w:rPr>
        <w:t>在报告期内，本公司处置子公司，则该子公司期初至处置日的收入、费用、利润纳入合并利润表；该子公司期初至处置日的</w:t>
      </w:r>
      <w:r>
        <w:rPr>
          <w:spacing w:val="-67"/>
        </w:rPr>
        <w:t> </w:t>
      </w:r>
      <w:r>
        <w:rPr>
          <w:spacing w:val="-67"/>
        </w:rPr>
      </w:r>
      <w:r>
        <w:rPr>
          <w:spacing w:val="-4"/>
        </w:rPr>
        <w:t>现金流量纳入合并现金流量表。因处置部分股权投资或其他原因丧失了对原有子公司控制权时，对于处置后的剩余股权投资，</w:t>
      </w:r>
      <w:r>
        <w:rPr>
          <w:spacing w:val="-44"/>
        </w:rPr>
        <w:t> </w:t>
      </w:r>
      <w:r>
        <w:rPr>
          <w:spacing w:val="-44"/>
        </w:rPr>
      </w:r>
      <w:r>
        <w:rPr>
          <w:spacing w:val="-2"/>
        </w:rPr>
        <w:t>本公司按照其在丧失控制权日的公允价值进行重新计量。处置股权取得的对价与剩余股权公允价值之和，减去按原持股比例</w:t>
      </w:r>
      <w:r>
        <w:rPr>
          <w:spacing w:val="-64"/>
        </w:rPr>
        <w:t> </w:t>
      </w:r>
      <w:r>
        <w:rPr>
          <w:spacing w:val="-64"/>
        </w:rPr>
      </w:r>
      <w:r>
        <w:rPr>
          <w:spacing w:val="-2"/>
        </w:rPr>
        <w:t>计算应享有原有子公司自购买日开始持续计算的净资产的份额之间的差额，计入丧失控制权当期的投资收益。与原有子公司</w:t>
      </w:r>
      <w:r>
        <w:rPr>
          <w:spacing w:val="-63"/>
        </w:rPr>
        <w:t> </w:t>
      </w:r>
      <w:r>
        <w:rPr>
          <w:spacing w:val="-63"/>
        </w:rPr>
      </w:r>
      <w:r>
        <w:rPr/>
        <w:t>股权投资相关的其他综合收益，在丧失控制权时转为当期投资收益。 </w:t>
      </w:r>
      <w:r>
        <w:rPr>
          <w:spacing w:val="-2"/>
        </w:rPr>
        <w:t>本公司因购买少数股权新取得的长期股权投资与按照新增持股比例计算应享有子公司的可辨认净资产份额之间的差额，以及</w:t>
      </w:r>
      <w:r>
        <w:rPr>
          <w:spacing w:val="-64"/>
        </w:rPr>
        <w:t> </w:t>
      </w:r>
      <w:r>
        <w:rPr>
          <w:spacing w:val="-64"/>
        </w:rPr>
      </w:r>
      <w:r>
        <w:rPr/>
        <w:t>在不丧失控制权的情况下因部分处置对子公司的股权投资而取得的处置价款与处置长期股权投资相对应享有子公司净资产</w:t>
      </w:r>
      <w:r>
        <w:rPr>
          <w:spacing w:val="-11"/>
        </w:rPr>
        <w:t> </w:t>
      </w:r>
      <w:r>
        <w:rPr>
          <w:spacing w:val="-11"/>
        </w:rPr>
      </w:r>
      <w:r>
        <w:rPr/>
        <w:t>份额的差额，均调整合并资产负债表中的资本公积中的股本溢价，资本公积中的股本溢价不足冲减的，调整留存收益。</w:t>
      </w:r>
    </w:p>
    <w:p>
      <w:pPr>
        <w:spacing w:line="240" w:lineRule="auto" w:before="11"/>
        <w:rPr>
          <w:rFonts w:ascii="宋体" w:hAnsi="宋体" w:cs="宋体" w:eastAsia="宋体" w:hint="default"/>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94"/>
        <w:jc w:val="left"/>
      </w:pPr>
      <w:r>
        <w:rPr>
          <w:spacing w:val="-2"/>
        </w:rPr>
        <w:t>在编制现金流量表时，将本公司库存现金以及可以随时用于支付的存款确认为现金。将同时具备期限短（从购买日起三个月</w:t>
      </w:r>
      <w:r>
        <w:rPr>
          <w:spacing w:val="-63"/>
        </w:rPr>
        <w:t> </w:t>
      </w:r>
      <w:r>
        <w:rPr>
          <w:spacing w:val="-63"/>
        </w:rPr>
      </w:r>
      <w:r>
        <w:rPr/>
        <w:t>内到期）、流动性强、易于转换为已知现金、价值变动风险很小四个条件的投资，确定为现金等价物。</w:t>
      </w:r>
    </w:p>
    <w:p>
      <w:pPr>
        <w:spacing w:after="0" w:line="357" w:lineRule="auto"/>
        <w:jc w:val="left"/>
        <w:sectPr>
          <w:pgSz w:w="11910" w:h="16840"/>
          <w:pgMar w:header="852" w:footer="980" w:top="1340" w:bottom="1160" w:left="980" w:right="940"/>
        </w:sectPr>
      </w:pPr>
    </w:p>
    <w:p>
      <w:pPr>
        <w:pStyle w:val="Heading3"/>
        <w:spacing w:line="240" w:lineRule="auto" w:before="59"/>
        <w:ind w:right="94"/>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94"/>
        <w:jc w:val="left"/>
      </w:pPr>
      <w:r>
        <w:rPr/>
        <w:t>外币业务采用交易发生日的即期汇率作为折算汇率将外币金额折合成人民币记账。 </w:t>
      </w:r>
      <w:r>
        <w:rPr>
          <w:spacing w:val="-2"/>
        </w:rPr>
        <w:t>外币货币性项目余额按资产负债表日即期汇率折算，由此产生的汇兑差额，除属于与购建符合资本化条件的资产相关的外币</w:t>
      </w:r>
      <w:r>
        <w:rPr>
          <w:spacing w:val="-64"/>
        </w:rPr>
        <w:t> </w:t>
      </w:r>
      <w:r>
        <w:rPr>
          <w:spacing w:val="-64"/>
        </w:rPr>
      </w:r>
      <w:r>
        <w:rPr>
          <w:spacing w:val="-2"/>
        </w:rPr>
        <w:t>专门借款产生的汇兑差额按照借款费用资本化的原则处理外，均计入当期损益。以历史成本计量的外币非货币性项目，仍采</w:t>
      </w:r>
      <w:r>
        <w:rPr>
          <w:spacing w:val="-65"/>
        </w:rPr>
        <w:t> </w:t>
      </w:r>
      <w:r>
        <w:rPr>
          <w:spacing w:val="-65"/>
        </w:rPr>
      </w:r>
      <w:r>
        <w:rPr>
          <w:spacing w:val="-2"/>
        </w:rPr>
        <w:t>用交易发生日的即期汇率折算，不改变其记账本位币金额。以公允价值计量的外币非货币性项目，采用公允价值确定日的即</w:t>
      </w:r>
      <w:r>
        <w:rPr>
          <w:spacing w:val="-65"/>
        </w:rPr>
        <w:t> </w:t>
      </w:r>
      <w:r>
        <w:rPr>
          <w:spacing w:val="-65"/>
        </w:rPr>
      </w:r>
      <w:r>
        <w:rPr/>
        <w:t>期汇率折算，由此产生的汇兑差额计入当期损益或资本公积。</w:t>
      </w:r>
    </w:p>
    <w:p>
      <w:pPr>
        <w:spacing w:line="240" w:lineRule="auto" w:before="11"/>
        <w:rPr>
          <w:rFonts w:ascii="宋体" w:hAnsi="宋体" w:cs="宋体" w:eastAsia="宋体" w:hint="default"/>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94"/>
        <w:jc w:val="left"/>
      </w:pPr>
      <w:r>
        <w:rPr>
          <w:spacing w:val="-2"/>
        </w:rPr>
        <w:t>资产负债表中的资产和负债项目，采用资产负债表日的即期汇率折算；所有者权益项目除“未分配利润”项目外，其他项目</w:t>
      </w:r>
      <w:r>
        <w:rPr>
          <w:spacing w:val="-65"/>
        </w:rPr>
        <w:t> </w:t>
      </w:r>
      <w:r>
        <w:rPr>
          <w:spacing w:val="-65"/>
        </w:rPr>
      </w:r>
      <w:r>
        <w:rPr>
          <w:spacing w:val="-2"/>
        </w:rPr>
        <w:t>采用发生时的即期汇率折算。利润表中的收入和费用项目，采用报告期平均汇率折算。按照上述折算产生的外币财务报表折</w:t>
      </w:r>
      <w:r>
        <w:rPr>
          <w:spacing w:val="-63"/>
        </w:rPr>
        <w:t> </w:t>
      </w:r>
      <w:r>
        <w:rPr>
          <w:spacing w:val="-63"/>
        </w:rPr>
      </w:r>
      <w:r>
        <w:rPr/>
        <w:t>算差额，在资产负债表所有者权益项目下单独列示。 </w:t>
      </w:r>
      <w:r>
        <w:rPr>
          <w:spacing w:val="-2"/>
        </w:rPr>
        <w:t>处置境外经营时，将资产负债表中所有者权益项目下列示的、与该境外经营相关的外币财务报表折算差额，自所有者权益项</w:t>
      </w:r>
      <w:r>
        <w:rPr>
          <w:spacing w:val="-63"/>
        </w:rPr>
        <w:t> </w:t>
      </w:r>
      <w:r>
        <w:rPr>
          <w:spacing w:val="-63"/>
        </w:rPr>
      </w:r>
      <w:r>
        <w:rPr/>
        <w:t>目转入处置当期损益；部分处置境外经营的，按处置的比例计算处置部分的外币财务报表折算差额，转入处置当期损益。</w:t>
      </w:r>
    </w:p>
    <w:p>
      <w:pPr>
        <w:spacing w:line="240" w:lineRule="auto" w:before="11"/>
        <w:rPr>
          <w:rFonts w:ascii="宋体" w:hAnsi="宋体" w:cs="宋体" w:eastAsia="宋体" w:hint="default"/>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94"/>
        <w:jc w:val="left"/>
      </w:pPr>
      <w:r>
        <w:rPr/>
        <w:t>金融工具包括金融资产、金融负债和权益工具。</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94"/>
        <w:jc w:val="left"/>
      </w:pPr>
      <w:r>
        <w:rPr>
          <w:spacing w:val="-2"/>
        </w:rPr>
        <w:t>管理层按照取得持有金融资产和承担金融负债的目的，将其划分为：以公允价值计量且其变动计入当期损益的金融资产或金</w:t>
      </w:r>
      <w:r>
        <w:rPr>
          <w:spacing w:val="-64"/>
        </w:rPr>
        <w:t> </w:t>
      </w:r>
      <w:r>
        <w:rPr>
          <w:spacing w:val="-64"/>
        </w:rPr>
      </w:r>
      <w:r>
        <w:rPr/>
        <w:t>融负债，包括交易性金融资产或金融负债；持有至到期投资；应收款项；可供出售金融资产；其他金融负债等。</w:t>
      </w:r>
    </w:p>
    <w:p>
      <w:pPr>
        <w:spacing w:line="240" w:lineRule="auto" w:before="9"/>
        <w:rPr>
          <w:rFonts w:ascii="宋体" w:hAnsi="宋体" w:cs="宋体" w:eastAsia="宋体" w:hint="default"/>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94"/>
        <w:jc w:val="left"/>
      </w:pPr>
      <w:r>
        <w:rPr/>
        <w:t>（</w:t>
      </w:r>
      <w:r>
        <w:rPr>
          <w:rFonts w:ascii="宋体" w:hAnsi="宋体" w:cs="宋体" w:eastAsia="宋体"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取得时以公允价值（扣除已宣告但尚未发放的现金股利或已到付息期但尚未领取的债券利息）作为初始确认金额，相关的交</w:t>
      </w:r>
      <w:r>
        <w:rPr>
          <w:spacing w:val="-66"/>
        </w:rPr>
        <w:t> </w:t>
      </w:r>
      <w:r>
        <w:rPr>
          <w:spacing w:val="-66"/>
        </w:rPr>
      </w:r>
      <w:r>
        <w:rPr/>
        <w:t>易费用计入当期损益。</w:t>
      </w:r>
    </w:p>
    <w:p>
      <w:pPr>
        <w:pStyle w:val="BodyText"/>
        <w:spacing w:line="357" w:lineRule="auto" w:before="26"/>
        <w:ind w:right="2254"/>
        <w:jc w:val="left"/>
      </w:pPr>
      <w:r>
        <w:rPr/>
        <w:t>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57" w:lineRule="auto" w:before="27"/>
        <w:ind w:right="94"/>
        <w:jc w:val="left"/>
      </w:pPr>
      <w:r>
        <w:rPr/>
        <w:t>（</w:t>
      </w:r>
      <w:r>
        <w:rPr>
          <w:rFonts w:ascii="宋体" w:hAnsi="宋体" w:cs="宋体" w:eastAsia="宋体"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持有期间按照摊余成本和实际利率计算确认利息收入，计入投资收益。实际利率在取得时确定，在该预期存续期间或适用的</w:t>
      </w:r>
      <w:r>
        <w:rPr>
          <w:spacing w:val="-62"/>
        </w:rPr>
        <w:t> </w:t>
      </w:r>
      <w:r>
        <w:rPr>
          <w:spacing w:val="-62"/>
        </w:rPr>
      </w:r>
      <w:r>
        <w:rPr/>
        <w:t>更短期间内保持不变。</w:t>
      </w:r>
    </w:p>
    <w:p>
      <w:pPr>
        <w:pStyle w:val="BodyText"/>
        <w:spacing w:line="240" w:lineRule="auto" w:before="24"/>
        <w:ind w:right="94"/>
        <w:jc w:val="left"/>
      </w:pPr>
      <w:r>
        <w:rPr/>
        <w:t>处置时，将所取得价款与该投资账面价值之间的差额计入投资收益。</w:t>
      </w:r>
    </w:p>
    <w:p>
      <w:pPr>
        <w:pStyle w:val="BodyText"/>
        <w:spacing w:line="357" w:lineRule="auto" w:before="115"/>
        <w:ind w:right="94"/>
        <w:jc w:val="left"/>
      </w:pPr>
      <w:r>
        <w:rPr/>
        <w:t>（</w:t>
      </w:r>
      <w:r>
        <w:rPr>
          <w:rFonts w:ascii="宋体" w:hAnsi="宋体" w:cs="宋体" w:eastAsia="宋体" w:hint="default"/>
        </w:rPr>
        <w:t>3</w:t>
      </w:r>
      <w:r>
        <w:rPr/>
        <w:t>）应收款项 公司对外销售商品或提供劳务形成的应收债权，以及公司持有的其他企业的不包括在活跃市场上有报价的债务工具的债权， </w:t>
      </w:r>
      <w:r>
        <w:rPr>
          <w:spacing w:val="-2"/>
        </w:rPr>
        <w:t>包括应收账款、其他应收款等，以向购货方应收的合同或协议价款作为初始确认金额；具有融资性质的，按其现值进行初始</w:t>
      </w:r>
    </w:p>
    <w:p>
      <w:pPr>
        <w:spacing w:after="0" w:line="357" w:lineRule="auto"/>
        <w:jc w:val="left"/>
        <w:sectPr>
          <w:pgSz w:w="11910" w:h="16840"/>
          <w:pgMar w:header="852" w:footer="980" w:top="1340" w:bottom="1160" w:left="980" w:right="940"/>
        </w:sectPr>
      </w:pPr>
    </w:p>
    <w:p>
      <w:pPr>
        <w:pStyle w:val="BodyText"/>
        <w:spacing w:line="357" w:lineRule="auto" w:before="61"/>
        <w:ind w:right="3514"/>
        <w:jc w:val="left"/>
      </w:pPr>
      <w:r>
        <w:rPr/>
        <w:t>确认。 收回或处置时，将取得的价款与该应收款项账面价值之间的差额计入当期损益。</w:t>
      </w:r>
    </w:p>
    <w:p>
      <w:pPr>
        <w:pStyle w:val="BodyText"/>
        <w:spacing w:line="357" w:lineRule="auto" w:before="26"/>
        <w:ind w:right="94"/>
        <w:jc w:val="left"/>
      </w:pPr>
      <w:r>
        <w:rPr/>
        <w:t>（</w:t>
      </w:r>
      <w:r>
        <w:rPr>
          <w:rFonts w:ascii="宋体" w:hAnsi="宋体" w:cs="宋体" w:eastAsia="宋体" w:hint="default"/>
        </w:rPr>
        <w:t>4</w:t>
      </w:r>
      <w:r>
        <w:rPr/>
        <w:t>）可供出售金融资产 </w:t>
      </w:r>
      <w:r>
        <w:rPr>
          <w:spacing w:val="-2"/>
        </w:rPr>
        <w:t>取得时按公允价值（扣除已宣告但尚未发放的现金股利或已到付息期但尚未领取的债券利息）和相关交易费用之和作为初始</w:t>
      </w:r>
      <w:r>
        <w:rPr>
          <w:spacing w:val="-64"/>
        </w:rPr>
        <w:t> </w:t>
      </w:r>
      <w:r>
        <w:rPr>
          <w:spacing w:val="-64"/>
        </w:rPr>
      </w:r>
      <w:r>
        <w:rPr/>
        <w:t>确认金额。 </w:t>
      </w:r>
      <w:r>
        <w:rPr>
          <w:spacing w:val="-4"/>
        </w:rPr>
        <w:t>持有期间将取得的利息或现金股利确认为投资收益。期末以公允价值计量且将公允价值变动计入资本公积（其他资本公积）。</w:t>
      </w:r>
      <w:r>
        <w:rPr>
          <w:spacing w:val="-44"/>
        </w:rPr>
        <w:t> </w:t>
      </w:r>
      <w:r>
        <w:rPr>
          <w:spacing w:val="-44"/>
        </w:rPr>
      </w:r>
      <w:r>
        <w:rPr>
          <w:spacing w:val="-2"/>
        </w:rPr>
        <w:t>处置时，将取得的价款与该金融资产账面价值之间的差额，计入投资损益；同时，将原直接计入所有者权益的公允价值变动</w:t>
      </w:r>
      <w:r>
        <w:rPr>
          <w:spacing w:val="-64"/>
        </w:rPr>
        <w:t> </w:t>
      </w:r>
      <w:r>
        <w:rPr>
          <w:spacing w:val="-64"/>
        </w:rPr>
      </w:r>
      <w:r>
        <w:rPr/>
        <w:t>累计额对应处置部分的金额转出，计入投资损益。</w:t>
      </w:r>
    </w:p>
    <w:p>
      <w:pPr>
        <w:pStyle w:val="BodyText"/>
        <w:spacing w:line="357" w:lineRule="auto" w:before="26"/>
        <w:ind w:right="3154"/>
        <w:jc w:val="left"/>
      </w:pPr>
      <w:r>
        <w:rPr/>
        <w:t>（</w:t>
      </w:r>
      <w:r>
        <w:rPr>
          <w:rFonts w:ascii="宋体" w:hAnsi="宋体" w:cs="宋体" w:eastAsia="宋体" w:hint="default"/>
        </w:rPr>
        <w:t>5</w:t>
      </w:r>
      <w:r>
        <w:rPr/>
        <w:t>）其他金融负债 按其公允价值和相关交易费用之和作为初始确认金额。采用摊余成本进行后续计量。</w:t>
      </w:r>
    </w:p>
    <w:p>
      <w:pPr>
        <w:spacing w:line="240" w:lineRule="auto" w:before="12"/>
        <w:rPr>
          <w:rFonts w:ascii="宋体" w:hAnsi="宋体" w:cs="宋体" w:eastAsia="宋体" w:hint="default"/>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94"/>
        <w:jc w:val="left"/>
      </w:pPr>
      <w:r>
        <w:rPr>
          <w:spacing w:val="-2"/>
        </w:rPr>
        <w:t>公司发生金融资产转移时，如已将金融资产所有权上几乎所有的风险和报酬转移给转入方，则终止确认该金融资产；如保留</w:t>
      </w:r>
      <w:r>
        <w:rPr>
          <w:spacing w:val="-66"/>
        </w:rPr>
        <w:t> </w:t>
      </w:r>
      <w:r>
        <w:rPr>
          <w:spacing w:val="-66"/>
        </w:rPr>
      </w:r>
      <w:r>
        <w:rPr/>
        <w:t>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在判断金融资产转移是否满足上述金融资产终止确认条件时，采用实质重于形式的原则。公司将金融资产转移区分为金融资</w:t>
      </w:r>
      <w:r>
        <w:rPr>
          <w:spacing w:val="-64"/>
        </w:rPr>
        <w:t> </w:t>
      </w:r>
      <w:r>
        <w:rPr>
          <w:spacing w:val="-64"/>
        </w:rPr>
      </w:r>
      <w:r>
        <w:rPr/>
        <w:t>产整体转移和部分转移。金融资产整体转移满足终止确认条件的，将下列两项金额的差额计入当期损益：</w:t>
      </w:r>
    </w:p>
    <w:p>
      <w:pPr>
        <w:pStyle w:val="BodyText"/>
        <w:spacing w:line="240" w:lineRule="auto" w:before="26"/>
        <w:ind w:right="94"/>
        <w:jc w:val="left"/>
      </w:pPr>
      <w:r>
        <w:rPr/>
        <w:t>（</w:t>
      </w:r>
      <w:r>
        <w:rPr>
          <w:rFonts w:ascii="宋体" w:hAnsi="宋体" w:cs="宋体" w:eastAsia="宋体" w:hint="default"/>
        </w:rPr>
        <w:t>1</w:t>
      </w:r>
      <w:r>
        <w:rPr/>
        <w:t>）所转移金融资产的账面价值；</w:t>
      </w:r>
    </w:p>
    <w:p>
      <w:pPr>
        <w:pStyle w:val="BodyText"/>
        <w:spacing w:line="357" w:lineRule="auto" w:before="112"/>
        <w:ind w:right="184"/>
        <w:jc w:val="left"/>
      </w:pPr>
      <w:r>
        <w:rPr/>
        <w:t>（</w:t>
      </w:r>
      <w:r>
        <w:rPr>
          <w:rFonts w:ascii="宋体" w:hAnsi="宋体" w:cs="宋体" w:eastAsia="宋体" w:hint="default"/>
        </w:rPr>
        <w:t>2</w:t>
      </w:r>
      <w:r>
        <w:rPr/>
        <w:t>）因转移而收到的对价，与原直接计入所有者权益的公允价值变动累计额（涉及转移的金融资产为可供出售金融资产的</w:t>
      </w:r>
      <w:r>
        <w:rPr>
          <w:spacing w:val="-84"/>
        </w:rPr>
        <w:t> </w:t>
      </w:r>
      <w:r>
        <w:rPr>
          <w:spacing w:val="-84"/>
        </w:rPr>
      </w:r>
      <w:r>
        <w:rPr/>
        <w:t>情形）之和。 </w:t>
      </w:r>
      <w:r>
        <w:rPr>
          <w:spacing w:val="-2"/>
        </w:rPr>
        <w:t>金融资产部分转移满足终止确认条件的，将所转移金融资产整体的账面价值，在终止确认部分和未终止确认部分之间，按照</w:t>
      </w:r>
      <w:r>
        <w:rPr>
          <w:spacing w:val="-63"/>
        </w:rPr>
        <w:t> </w:t>
      </w:r>
      <w:r>
        <w:rPr>
          <w:spacing w:val="-63"/>
        </w:rPr>
      </w:r>
      <w:r>
        <w:rPr/>
        <w:t>各自的相对公允价值进行分摊，并将下列两项金额的差额计入当期损益：</w:t>
      </w:r>
    </w:p>
    <w:p>
      <w:pPr>
        <w:pStyle w:val="BodyText"/>
        <w:spacing w:line="240" w:lineRule="auto" w:before="27"/>
        <w:ind w:right="94"/>
        <w:jc w:val="left"/>
      </w:pPr>
      <w:r>
        <w:rPr/>
        <w:t>（</w:t>
      </w:r>
      <w:r>
        <w:rPr>
          <w:rFonts w:ascii="宋体" w:hAnsi="宋体" w:cs="宋体" w:eastAsia="宋体" w:hint="default"/>
        </w:rPr>
        <w:t>1</w:t>
      </w:r>
      <w:r>
        <w:rPr/>
        <w:t>）终止确认部分的账面价值；</w:t>
      </w:r>
    </w:p>
    <w:p>
      <w:pPr>
        <w:pStyle w:val="BodyText"/>
        <w:spacing w:line="357" w:lineRule="auto" w:before="115"/>
        <w:ind w:right="184"/>
        <w:jc w:val="left"/>
      </w:pPr>
      <w:r>
        <w:rPr/>
        <w:t>（</w:t>
      </w:r>
      <w:r>
        <w:rPr>
          <w:rFonts w:ascii="宋体" w:hAnsi="宋体" w:cs="宋体" w:eastAsia="宋体" w:hint="default"/>
        </w:rPr>
        <w:t>2</w:t>
      </w:r>
      <w:r>
        <w:rPr/>
        <w:t>）终止确认部分的对价，与原直接计入所有者权益的公允价值变动累计额中对应终止确认部分的金额（涉及转移的金融</w:t>
      </w:r>
      <w:r>
        <w:rPr>
          <w:spacing w:val="-84"/>
        </w:rPr>
        <w:t> </w:t>
      </w:r>
      <w:r>
        <w:rPr>
          <w:spacing w:val="-84"/>
        </w:rPr>
      </w:r>
      <w:r>
        <w:rPr/>
        <w:t>资产为可供出售金融资产的情形）之和。 金融资产转移不满足终止确认条件的，继续确认该金融资产，所收到的对价确认为一项金融负债。</w:t>
      </w:r>
    </w:p>
    <w:p>
      <w:pPr>
        <w:spacing w:line="240" w:lineRule="auto" w:before="11"/>
        <w:rPr>
          <w:rFonts w:ascii="宋体" w:hAnsi="宋体" w:cs="宋体" w:eastAsia="宋体" w:hint="default"/>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94"/>
        <w:jc w:val="left"/>
      </w:pPr>
      <w:r>
        <w:rPr>
          <w:spacing w:val="-2"/>
        </w:rPr>
        <w:t>金融负债的现时义务全部或部分已经解除的，则终止确认该金融负债或其一部分；本公司若与债权人签定协议，以承担新金</w:t>
      </w:r>
      <w:r>
        <w:rPr>
          <w:spacing w:val="-62"/>
        </w:rPr>
        <w:t> </w:t>
      </w:r>
      <w:r>
        <w:rPr>
          <w:spacing w:val="-62"/>
        </w:rPr>
      </w:r>
      <w:r>
        <w:rPr>
          <w:spacing w:val="-2"/>
        </w:rPr>
        <w:t>融负债方式替换现存金融负债，且新金融负债与现存金融负债的合同条款实质上不同的，则终止确认现存金融负债，并同时</w:t>
      </w:r>
      <w:r>
        <w:rPr>
          <w:spacing w:val="-63"/>
        </w:rPr>
        <w:t> </w:t>
      </w:r>
      <w:r>
        <w:rPr>
          <w:spacing w:val="-63"/>
        </w:rPr>
      </w:r>
      <w:r>
        <w:rPr/>
        <w:t>确认新金融负债。 </w:t>
      </w:r>
      <w:r>
        <w:rPr>
          <w:spacing w:val="-2"/>
        </w:rPr>
        <w:t>对现存金融负债全部或部分合同条款作出实质性修改的，则终止确认现存金融负债或其一部分，同时将修改条款后的金融负</w:t>
      </w:r>
      <w:r>
        <w:rPr>
          <w:spacing w:val="-64"/>
        </w:rPr>
        <w:t> </w:t>
      </w:r>
      <w:r>
        <w:rPr>
          <w:spacing w:val="-64"/>
        </w:rPr>
      </w:r>
      <w:r>
        <w:rPr/>
        <w:t>债确认为一项新金融负债。 金融负债全部或部分终止确认时，终止确认的金融负债账面价值与支付对价（包括转出的非现金资产或承担的新金融负债） 之间的差额，计入当期损益。 </w:t>
      </w:r>
      <w:r>
        <w:rPr>
          <w:spacing w:val="-2"/>
        </w:rPr>
        <w:t>本公司若回购部分金融负债的，在回购日按照继续确认部分与终止确认部分的相对公允价值，将该金融负债整体的账面价值</w:t>
      </w:r>
      <w:r>
        <w:rPr>
          <w:spacing w:val="-63"/>
        </w:rPr>
        <w:t> </w:t>
      </w:r>
      <w:r>
        <w:rPr>
          <w:spacing w:val="-63"/>
        </w:rPr>
      </w:r>
      <w:r>
        <w:rPr>
          <w:spacing w:val="-2"/>
        </w:rPr>
        <w:t>进行分配。分配给终止确认部分的账面价值与支付的对价（包括转出的非现金资产或承担的新金融负债）之间的差额，计入</w:t>
      </w:r>
      <w:r>
        <w:rPr>
          <w:spacing w:val="-64"/>
        </w:rPr>
        <w:t> </w:t>
      </w:r>
      <w:r>
        <w:rPr>
          <w:spacing w:val="-64"/>
        </w:rPr>
      </w:r>
      <w:r>
        <w:rPr/>
        <w:t>当期损益。</w:t>
      </w:r>
    </w:p>
    <w:p>
      <w:pPr>
        <w:spacing w:after="0" w:line="357" w:lineRule="auto"/>
        <w:jc w:val="left"/>
        <w:sectPr>
          <w:pgSz w:w="11910" w:h="16840"/>
          <w:pgMar w:header="852" w:footer="980" w:top="1340" w:bottom="1160" w:left="980" w:right="940"/>
        </w:sectPr>
      </w:pPr>
    </w:p>
    <w:p>
      <w:pPr>
        <w:pStyle w:val="Heading3"/>
        <w:spacing w:line="240" w:lineRule="auto" w:before="59"/>
        <w:ind w:right="94"/>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94"/>
        <w:jc w:val="left"/>
      </w:pPr>
      <w:r>
        <w:rPr/>
        <w:t>本公司采用公允价值计量的金融资产和金融负债全部直接参考活跃市场中的报价。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right="94"/>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94"/>
        <w:jc w:val="left"/>
      </w:pPr>
      <w:r>
        <w:rPr>
          <w:spacing w:val="-2"/>
        </w:rPr>
        <w:t>除以公允价值计量且其变动计入当期损益的金融资产外，本公司于资产负债表日对金融资产的账面价值进行检查，如果有客</w:t>
      </w:r>
      <w:r>
        <w:rPr>
          <w:spacing w:val="-64"/>
        </w:rPr>
        <w:t> </w:t>
      </w:r>
      <w:r>
        <w:rPr>
          <w:spacing w:val="-64"/>
        </w:rPr>
      </w:r>
      <w:r>
        <w:rPr/>
        <w:t>观证据表明某项金融资产发生减值的，计提减值准备。</w:t>
      </w:r>
    </w:p>
    <w:p>
      <w:pPr>
        <w:pStyle w:val="BodyText"/>
        <w:spacing w:line="357" w:lineRule="auto" w:before="26"/>
        <w:ind w:right="94"/>
        <w:jc w:val="left"/>
      </w:pPr>
      <w:r>
        <w:rPr/>
        <w:t>（</w:t>
      </w:r>
      <w:r>
        <w:rPr>
          <w:rFonts w:ascii="宋体" w:hAnsi="宋体" w:cs="宋体" w:eastAsia="宋体" w:hint="default"/>
        </w:rPr>
        <w:t>1</w:t>
      </w:r>
      <w:r>
        <w:rPr/>
        <w:t>）可供出售金融资产的减值准备： 期末如果可供出售金融资产的公允价值发生严重下降，或在综合考虑各种相关因素后，预期这种下降趋势属于非暂时性的， 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对于已确认减值损失的可供出售债务工具，在随后的会计期间公允价值已上升且客观上与确认原减值损失确认后发生的事项</w:t>
      </w:r>
      <w:r>
        <w:rPr>
          <w:spacing w:val="-64"/>
        </w:rPr>
        <w:t> </w:t>
      </w:r>
      <w:r>
        <w:rPr>
          <w:spacing w:val="-64"/>
        </w:rPr>
      </w:r>
      <w:r>
        <w:rPr/>
        <w:t>有关的，原确认的减值损失予以转回，计入当期损益。</w:t>
      </w:r>
    </w:p>
    <w:p>
      <w:pPr>
        <w:pStyle w:val="BodyText"/>
        <w:spacing w:line="240" w:lineRule="auto" w:before="26"/>
        <w:ind w:right="94"/>
        <w:jc w:val="left"/>
      </w:pPr>
      <w:r>
        <w:rPr/>
        <w:t>可供出售权益工具投资发生的减值损失，不得通过损益转回。</w:t>
      </w:r>
    </w:p>
    <w:p>
      <w:pPr>
        <w:pStyle w:val="BodyText"/>
        <w:spacing w:line="357" w:lineRule="auto" w:before="115"/>
        <w:ind w:right="4234"/>
        <w:jc w:val="left"/>
      </w:pPr>
      <w:r>
        <w:rPr/>
        <w:t>（</w:t>
      </w:r>
      <w:r>
        <w:rPr>
          <w:rFonts w:ascii="宋体" w:hAnsi="宋体" w:cs="宋体" w:eastAsia="宋体" w:hint="default"/>
        </w:rPr>
        <w:t>2</w:t>
      </w:r>
      <w:r>
        <w:rPr/>
        <w:t>）持有至到期投资的减值准备： 持有至到期投资减值损失的计量比照应收款项减值损失计量方法处理。</w:t>
      </w:r>
    </w:p>
    <w:p>
      <w:pPr>
        <w:spacing w:line="240" w:lineRule="auto" w:before="11"/>
        <w:rPr>
          <w:rFonts w:ascii="宋体" w:hAnsi="宋体" w:cs="宋体" w:eastAsia="宋体" w:hint="default"/>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3"/>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790"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6"/>
              <w:ind w:left="23" w:right="17"/>
              <w:jc w:val="both"/>
              <w:rPr>
                <w:rFonts w:ascii="宋体" w:hAnsi="宋体" w:cs="宋体" w:eastAsia="宋体" w:hint="default"/>
                <w:sz w:val="18"/>
                <w:szCs w:val="18"/>
              </w:rPr>
            </w:pPr>
            <w:r>
              <w:rPr>
                <w:rFonts w:ascii="宋体" w:hAnsi="宋体" w:cs="宋体" w:eastAsia="宋体" w:hint="default"/>
                <w:spacing w:val="-3"/>
                <w:sz w:val="18"/>
                <w:szCs w:val="18"/>
              </w:rPr>
              <w:t>单项金额重大的应收账款是指：余额前五名或占余额</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2"/>
                <w:sz w:val="18"/>
                <w:szCs w:val="18"/>
              </w:rPr>
              <w:t> </w:t>
            </w:r>
            <w:r>
              <w:rPr>
                <w:rFonts w:ascii="宋体" w:hAnsi="宋体" w:cs="宋体" w:eastAsia="宋体" w:hint="default"/>
                <w:spacing w:val="-2"/>
                <w:sz w:val="18"/>
                <w:szCs w:val="18"/>
              </w:rPr>
              <w:t>以上的明细之和。单项金额重大的其他应收款是指：余额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大于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 </w:t>
            </w:r>
            <w:r>
              <w:rPr>
                <w:rFonts w:ascii="宋体" w:hAnsi="宋体" w:cs="宋体" w:eastAsia="宋体" w:hint="default"/>
                <w:sz w:val="18"/>
                <w:szCs w:val="18"/>
              </w:rPr>
              <w:t>万元的款项。</w:t>
            </w:r>
          </w:p>
        </w:tc>
      </w:tr>
      <w:tr>
        <w:trPr>
          <w:trHeight w:val="1025"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19"/>
              <w:jc w:val="left"/>
              <w:rPr>
                <w:rFonts w:ascii="宋体" w:hAnsi="宋体" w:cs="宋体" w:eastAsia="宋体" w:hint="default"/>
                <w:sz w:val="18"/>
                <w:szCs w:val="18"/>
              </w:rPr>
            </w:pPr>
            <w:r>
              <w:rPr>
                <w:rFonts w:ascii="宋体" w:hAnsi="宋体" w:cs="宋体" w:eastAsia="宋体" w:hint="default"/>
                <w:spacing w:val="-2"/>
                <w:sz w:val="18"/>
                <w:szCs w:val="18"/>
              </w:rPr>
              <w:t>单独进行减值测试，如有客观证据表明其已发生减值，按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预计未来现金流量现值低于其账面价值的差额计提坏账 准备，计入当期损益。单独测试未发生减值的应收款项， 将其归入相应组合计提坏账准备。</w:t>
            </w:r>
          </w:p>
        </w:tc>
      </w:tr>
    </w:tbl>
    <w:p>
      <w:pPr>
        <w:spacing w:line="240" w:lineRule="auto" w:before="7"/>
        <w:rPr>
          <w:rFonts w:ascii="宋体" w:hAnsi="宋体" w:cs="宋体" w:eastAsia="宋体" w:hint="default"/>
          <w:b/>
          <w:bCs/>
          <w:sz w:val="17"/>
          <w:szCs w:val="17"/>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3"/>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600"/>
        <w:gridCol w:w="2187"/>
        <w:gridCol w:w="4784"/>
      </w:tblGrid>
      <w:tr>
        <w:trPr>
          <w:trHeight w:val="557"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25"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账龄</w:t>
            </w:r>
          </w:p>
        </w:tc>
      </w:tr>
      <w:tr>
        <w:trPr>
          <w:trHeight w:val="32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划拨募投项目资金</w:t>
            </w:r>
          </w:p>
        </w:tc>
      </w:tr>
      <w:tr>
        <w:trPr>
          <w:trHeight w:val="32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商业购销应收款</w:t>
            </w:r>
          </w:p>
        </w:tc>
      </w:tr>
    </w:tbl>
    <w:p>
      <w:pPr>
        <w:pStyle w:val="BodyText"/>
        <w:spacing w:line="240" w:lineRule="auto" w:before="8"/>
        <w:ind w:right="94"/>
        <w:jc w:val="left"/>
      </w:pPr>
      <w:r>
        <w:rPr/>
        <w:t>组合中，采用账龄分析法计提坏账准备的</w:t>
      </w:r>
    </w:p>
    <w:p>
      <w:pPr>
        <w:pStyle w:val="BodyText"/>
        <w:spacing w:line="240" w:lineRule="auto" w:before="38"/>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5"/>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77"/>
        <w:gridCol w:w="2988"/>
        <w:gridCol w:w="3994"/>
      </w:tblGrid>
      <w:tr>
        <w:trPr>
          <w:trHeight w:val="324"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322"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z w:val="18"/>
              </w:rPr>
              <w:t>5%</w:t>
            </w:r>
          </w:p>
        </w:tc>
      </w:tr>
      <w:tr>
        <w:trPr>
          <w:trHeight w:val="324"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z w:val="18"/>
              </w:rPr>
              <w:t>10%</w:t>
            </w:r>
          </w:p>
        </w:tc>
      </w:tr>
      <w:tr>
        <w:trPr>
          <w:trHeight w:val="324"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z w:val="18"/>
              </w:rPr>
              <w:t>30%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40" w:bottom="1160" w:left="980" w:right="940"/>
        </w:sectPr>
      </w:pPr>
    </w:p>
    <w:p>
      <w:pPr>
        <w:spacing w:line="240" w:lineRule="auto" w:before="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98"/>
        <w:gridCol w:w="2977"/>
        <w:gridCol w:w="3994"/>
      </w:tblGrid>
      <w:tr>
        <w:trPr>
          <w:trHeight w:val="32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z w:val="18"/>
              </w:rPr>
              <w:t>50%</w:t>
            </w:r>
          </w:p>
        </w:tc>
      </w:tr>
      <w:tr>
        <w:trPr>
          <w:trHeight w:val="32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z w:val="18"/>
              </w:rPr>
              <w:t>80%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4"/>
              <w:jc w:val="right"/>
              <w:rPr>
                <w:rFonts w:ascii="Times New Roman" w:hAnsi="Times New Roman" w:cs="Times New Roman" w:eastAsia="Times New Roman" w:hint="default"/>
                <w:sz w:val="18"/>
                <w:szCs w:val="18"/>
              </w:rPr>
            </w:pPr>
            <w:r>
              <w:rPr>
                <w:rFonts w:ascii="Times New Roman"/>
                <w:sz w:val="18"/>
              </w:rPr>
              <w:t>80%</w:t>
            </w:r>
          </w:p>
        </w:tc>
      </w:tr>
      <w:tr>
        <w:trPr>
          <w:trHeight w:val="32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8"/>
        <w:ind w:right="0"/>
        <w:jc w:val="left"/>
      </w:pPr>
      <w:r>
        <w:rPr/>
        <w:t>组合中，采用余额百分比法计提坏账准备的</w:t>
      </w:r>
    </w:p>
    <w:p>
      <w:pPr>
        <w:pStyle w:val="BodyText"/>
        <w:spacing w:line="264" w:lineRule="auto" w:before="38"/>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2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5"/>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3932"/>
        <w:gridCol w:w="5639"/>
      </w:tblGrid>
      <w:tr>
        <w:trPr>
          <w:trHeight w:val="324" w:hRule="exact"/>
        </w:trPr>
        <w:tc>
          <w:tcPr>
            <w:tcW w:w="3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方法说明</w:t>
            </w:r>
          </w:p>
        </w:tc>
      </w:tr>
      <w:tr>
        <w:trPr>
          <w:trHeight w:val="322"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不计提坏账准备</w:t>
            </w:r>
          </w:p>
        </w:tc>
      </w:tr>
      <w:tr>
        <w:trPr>
          <w:trHeight w:val="324"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账期分析法</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355"/>
        <w:gridCol w:w="6215"/>
      </w:tblGrid>
      <w:tr>
        <w:trPr>
          <w:trHeight w:val="792"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60"/>
              <w:jc w:val="both"/>
              <w:rPr>
                <w:rFonts w:ascii="宋体" w:hAnsi="宋体" w:cs="宋体" w:eastAsia="宋体" w:hint="default"/>
                <w:sz w:val="18"/>
                <w:szCs w:val="18"/>
              </w:rPr>
            </w:pPr>
            <w:r>
              <w:rPr>
                <w:rFonts w:ascii="宋体" w:hAnsi="宋体" w:cs="宋体" w:eastAsia="宋体" w:hint="default"/>
                <w:sz w:val="18"/>
                <w:szCs w:val="18"/>
              </w:rPr>
              <w:t>除单项金额重大已单独计提坏账准备的应收款项外，公司根据以往经验结合实 际情况判断，以账龄为组合按上述比例计提的坏账准备不足以完全覆盖其预计 损失额的应收款项，将单独计提坏账准备。</w:t>
            </w:r>
          </w:p>
        </w:tc>
      </w:tr>
      <w:tr>
        <w:trPr>
          <w:trHeight w:val="324"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根据预计的实际损失情况足额计提。</w:t>
            </w:r>
          </w:p>
        </w:tc>
      </w:tr>
    </w:tbl>
    <w:p>
      <w:pPr>
        <w:spacing w:line="240" w:lineRule="auto" w:before="7"/>
        <w:rPr>
          <w:rFonts w:ascii="宋体" w:hAnsi="宋体" w:cs="宋体" w:eastAsia="宋体" w:hint="default"/>
          <w:b/>
          <w:bCs/>
          <w:sz w:val="17"/>
          <w:szCs w:val="17"/>
        </w:rPr>
      </w:pPr>
    </w:p>
    <w:p>
      <w:pPr>
        <w:pStyle w:val="Heading3"/>
        <w:spacing w:line="240" w:lineRule="auto" w:before="36"/>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存货分类为：原材料、库存商品、外购软硬件及服务、低值易耗品等。</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6714"/>
        <w:jc w:val="left"/>
      </w:pPr>
      <w:r>
        <w:rPr/>
        <w:t>计价方法： 日常核算存货取得时按实际成本计价。 发出时按以下方式确认：</w:t>
      </w:r>
    </w:p>
    <w:p>
      <w:pPr>
        <w:pStyle w:val="BodyText"/>
        <w:spacing w:line="240" w:lineRule="auto" w:before="26"/>
        <w:ind w:right="0"/>
        <w:jc w:val="left"/>
      </w:pPr>
      <w:r>
        <w:rPr/>
        <w:t>（</w:t>
      </w:r>
      <w:r>
        <w:rPr>
          <w:rFonts w:ascii="宋体" w:hAnsi="宋体" w:cs="宋体" w:eastAsia="宋体" w:hint="default"/>
        </w:rPr>
        <w:t>1</w:t>
      </w:r>
      <w:r>
        <w:rPr/>
        <w:t>）采购存货专门用于单项业务时，按个别计价法确认；</w:t>
      </w:r>
    </w:p>
    <w:p>
      <w:pPr>
        <w:pStyle w:val="BodyText"/>
        <w:spacing w:line="240" w:lineRule="auto" w:before="115"/>
        <w:ind w:right="0"/>
        <w:jc w:val="left"/>
      </w:pPr>
      <w:r>
        <w:rPr/>
        <w:t>（</w:t>
      </w:r>
      <w:r>
        <w:rPr>
          <w:rFonts w:ascii="宋体" w:hAnsi="宋体" w:cs="宋体" w:eastAsia="宋体" w:hint="default"/>
        </w:rPr>
        <w:t>2</w:t>
      </w:r>
      <w:r>
        <w:rPr/>
        <w:t>）非为单项业务单独采购的存货，按加权平均价格计价确认。</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0"/>
        <w:jc w:val="left"/>
      </w:pPr>
      <w:r>
        <w:rPr/>
        <w:t>期末对存货进行全面清查后，按存货的成本与可变现净值孰低提取或调整存货跌价准备。 </w:t>
      </w:r>
      <w:r>
        <w:rPr>
          <w:spacing w:val="-2"/>
        </w:rPr>
        <w:t>产成品、库存商品和用于出售的材料等直接用于出售的商品存货，在正常生产经营过程中，以该存货的估计售价减去估计的</w:t>
      </w:r>
      <w:r>
        <w:rPr>
          <w:spacing w:val="-63"/>
        </w:rPr>
        <w:t> </w:t>
      </w:r>
      <w:r>
        <w:rPr>
          <w:spacing w:val="-63"/>
        </w:rPr>
      </w:r>
      <w:r>
        <w:rPr>
          <w:spacing w:val="-2"/>
        </w:rPr>
        <w:t>销售费用和相关税费后的金额，确定其可变现净值；需要经过加工的材料存货，在正常生产经营过程中，以所生产的产成品</w:t>
      </w:r>
      <w:r>
        <w:rPr>
          <w:spacing w:val="-64"/>
        </w:rPr>
        <w:t> </w:t>
      </w:r>
      <w:r>
        <w:rPr>
          <w:spacing w:val="-64"/>
        </w:rPr>
      </w:r>
      <w:r>
        <w:rPr>
          <w:spacing w:val="-2"/>
        </w:rPr>
        <w:t>的估计售价减去至完工时估计将要发生的成本、估计的销售费用和相关税费后的金额，确定其可变现净值；为执行销售合同</w:t>
      </w:r>
      <w:r>
        <w:rPr>
          <w:spacing w:val="-63"/>
        </w:rPr>
        <w:t> </w:t>
      </w:r>
      <w:r>
        <w:rPr>
          <w:spacing w:val="-63"/>
        </w:rPr>
      </w:r>
      <w:r>
        <w:rPr>
          <w:spacing w:val="-2"/>
        </w:rPr>
        <w:t>或者劳务合同而持有的存货，其可变现净值以合同价格为基础计算，若持有存货的数量多于销售合同订购数量的，超出部分</w:t>
      </w:r>
      <w:r>
        <w:rPr>
          <w:spacing w:val="-63"/>
        </w:rPr>
        <w:t> </w:t>
      </w:r>
      <w:r>
        <w:rPr>
          <w:spacing w:val="-63"/>
        </w:rPr>
      </w:r>
      <w:r>
        <w:rPr/>
        <w:t>的存货的可变现净值以一般销售价格为基础计算。 </w:t>
      </w:r>
      <w:r>
        <w:rPr>
          <w:spacing w:val="-2"/>
        </w:rPr>
        <w:t>期末按照单个存货项目计提存货跌价准备；但对于数量繁多、单价较低的存货，按照存货类别计提存货跌价准备；与在同一</w:t>
      </w:r>
      <w:r>
        <w:rPr>
          <w:spacing w:val="-64"/>
        </w:rPr>
        <w:t> </w:t>
      </w:r>
      <w:r>
        <w:rPr>
          <w:spacing w:val="-64"/>
        </w:rPr>
      </w:r>
      <w:r>
        <w:rPr>
          <w:spacing w:val="-2"/>
        </w:rPr>
        <w:t>地区生产和销售的产品系列相关、具有相同或类似最终用途或目的，且难以与其他项目分开计量的存货，则合并计提存货跌</w:t>
      </w:r>
      <w:r>
        <w:rPr>
          <w:spacing w:val="-63"/>
        </w:rPr>
        <w:t> </w:t>
      </w:r>
      <w:r>
        <w:rPr>
          <w:spacing w:val="-63"/>
        </w:rPr>
      </w:r>
      <w:r>
        <w:rPr/>
        <w:t>价准备。 </w:t>
      </w:r>
      <w:r>
        <w:rPr>
          <w:spacing w:val="-2"/>
        </w:rPr>
        <w:t>以前减记存货价值的影响因素已经消失的，减记的金额予以恢复，并在原已计提的存货跌价准备金额内转回，转回的金额计</w:t>
      </w:r>
    </w:p>
    <w:p>
      <w:pPr>
        <w:spacing w:after="0" w:line="357" w:lineRule="auto"/>
        <w:jc w:val="left"/>
        <w:sectPr>
          <w:pgSz w:w="11910" w:h="16840"/>
          <w:pgMar w:header="852" w:footer="980" w:top="1340" w:bottom="1160" w:left="980" w:right="980"/>
        </w:sectPr>
      </w:pPr>
    </w:p>
    <w:p>
      <w:pPr>
        <w:pStyle w:val="BodyText"/>
        <w:spacing w:line="357" w:lineRule="auto" w:before="61"/>
        <w:ind w:right="994"/>
        <w:jc w:val="left"/>
      </w:pPr>
      <w:r>
        <w:rPr/>
        <w:t>入当期损益。 除有明确证据表明资产负债表日市场价格异常外，存货项目的可变现净值以资产负债表日市场价格为基础确定。 资产负债表日市场价格异常的判断依据为： 本期期末存货项目的可变现净值以资产负债表日市场价格为基础确定。</w:t>
      </w:r>
    </w:p>
    <w:p>
      <w:pPr>
        <w:spacing w:line="240" w:lineRule="auto" w:before="11"/>
        <w:rPr>
          <w:rFonts w:ascii="宋体" w:hAnsi="宋体" w:cs="宋体" w:eastAsia="宋体" w:hint="default"/>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94"/>
        <w:jc w:val="left"/>
      </w:pPr>
      <w:r>
        <w:rPr/>
        <w:t>盘存制度：永续盘存制</w:t>
      </w:r>
    </w:p>
    <w:p>
      <w:pPr>
        <w:spacing w:line="240" w:lineRule="auto" w:before="8"/>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8014"/>
        <w:jc w:val="left"/>
      </w:pPr>
      <w:r>
        <w:rPr/>
        <w:t>低值易耗品 摊销方法：一次摊销法 包装物 摊销方法：一次摊销法</w:t>
      </w:r>
    </w:p>
    <w:p>
      <w:pPr>
        <w:spacing w:line="240" w:lineRule="auto" w:before="11"/>
        <w:rPr>
          <w:rFonts w:ascii="宋体" w:hAnsi="宋体" w:cs="宋体" w:eastAsia="宋体" w:hint="default"/>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111"/>
        <w:jc w:val="both"/>
      </w:pPr>
      <w:r>
        <w:rPr/>
        <w:t>（</w:t>
      </w:r>
      <w:r>
        <w:rPr>
          <w:rFonts w:ascii="宋体" w:hAnsi="宋体" w:cs="宋体" w:eastAsia="宋体" w:hint="default"/>
        </w:rPr>
        <w:t>1</w:t>
      </w:r>
      <w:r>
        <w:rPr/>
        <w:t>）企业合并形成的长期股权投资同一控制下的企业合并：公司以支付现金、转让非现金资产或承担债务方式以及以发行</w:t>
      </w:r>
      <w:r>
        <w:rPr>
          <w:spacing w:val="-84"/>
        </w:rPr>
        <w:t> </w:t>
      </w:r>
      <w:r>
        <w:rPr>
          <w:spacing w:val="-84"/>
        </w:rPr>
      </w:r>
      <w:r>
        <w:rPr>
          <w:spacing w:val="-2"/>
        </w:rPr>
        <w:t>权益性证券作为合并对价的，在合并日按照取得被合并方所有者权益账面价值的份额作为长期股权投资的初始投资成本。长</w:t>
      </w:r>
      <w:r>
        <w:rPr>
          <w:spacing w:val="-64"/>
        </w:rPr>
        <w:t> </w:t>
      </w:r>
      <w:r>
        <w:rPr>
          <w:spacing w:val="-64"/>
        </w:rPr>
      </w:r>
      <w:r>
        <w:rPr>
          <w:spacing w:val="-2"/>
        </w:rPr>
        <w:t>期股权投资初始投资成本与支付合并对价之间的差额，调整资本公积中的股本溢价；资本公积中的股本溢价不足冲减的，调</w:t>
      </w:r>
      <w:r>
        <w:rPr>
          <w:spacing w:val="-61"/>
        </w:rPr>
        <w:t> </w:t>
      </w:r>
      <w:r>
        <w:rPr>
          <w:spacing w:val="-61"/>
        </w:rPr>
      </w:r>
      <w:r>
        <w:rPr>
          <w:spacing w:val="-2"/>
        </w:rPr>
        <w:t>整留存收益。合并发生的各项直接相关费用，包括为进行合并而支付的审计费用、评估费用、法律服务费用等，于发生时计</w:t>
      </w:r>
      <w:r>
        <w:rPr>
          <w:spacing w:val="-67"/>
        </w:rPr>
        <w:t> </w:t>
      </w:r>
      <w:r>
        <w:rPr>
          <w:spacing w:val="-67"/>
        </w:rPr>
      </w:r>
      <w:r>
        <w:rPr>
          <w:spacing w:val="-2"/>
        </w:rPr>
        <w:t>入当期损益。非同一控制下的企业合并：公司按照购买日确定的合并成本作为长期股权投资的初始投资成本。合并成本为购</w:t>
      </w:r>
      <w:r>
        <w:rPr>
          <w:spacing w:val="-63"/>
        </w:rPr>
        <w:t> </w:t>
      </w:r>
      <w:r>
        <w:rPr>
          <w:spacing w:val="-63"/>
        </w:rPr>
      </w:r>
      <w:r>
        <w:rPr>
          <w:spacing w:val="-2"/>
        </w:rPr>
        <w:t>买日购买方为取得对被购买方的控制权而付出的资产、发生或承担的负债以及发行的权益性证券的公允价值。购买方为企业</w:t>
      </w:r>
      <w:r>
        <w:rPr>
          <w:spacing w:val="-64"/>
        </w:rPr>
        <w:t> </w:t>
      </w:r>
      <w:r>
        <w:rPr>
          <w:spacing w:val="-64"/>
        </w:rPr>
      </w:r>
      <w:r>
        <w:rPr>
          <w:spacing w:val="-2"/>
        </w:rPr>
        <w:t>合并而发生的审计、法律服务、评估咨询等中介费用以及其他相关管理费用于发生时计入当期损益；购买方作为合并对价发</w:t>
      </w:r>
      <w:r>
        <w:rPr>
          <w:spacing w:val="-63"/>
        </w:rPr>
        <w:t> </w:t>
      </w:r>
      <w:r>
        <w:rPr>
          <w:spacing w:val="-63"/>
        </w:rPr>
      </w:r>
      <w:r>
        <w:rPr>
          <w:spacing w:val="-2"/>
        </w:rPr>
        <w:t>行的权益性证券或债务性证券的交易费用，计入权益性证券或债务性证券的初始确认金额。通过多次交易分步实现的非同一</w:t>
      </w:r>
      <w:r>
        <w:rPr>
          <w:spacing w:val="-63"/>
        </w:rPr>
        <w:t> </w:t>
      </w:r>
      <w:r>
        <w:rPr>
          <w:spacing w:val="-63"/>
        </w:rPr>
      </w:r>
      <w:r>
        <w:rPr>
          <w:spacing w:val="-2"/>
        </w:rPr>
        <w:t>控制下企业合并，以购买日之前所持被购买方的股权投资的账面价值与购买日新增投资成本之和，作为该项投资的初始投资</w:t>
      </w:r>
      <w:r>
        <w:rPr>
          <w:spacing w:val="-64"/>
        </w:rPr>
        <w:t> </w:t>
      </w:r>
      <w:r>
        <w:rPr>
          <w:spacing w:val="-64"/>
        </w:rPr>
      </w:r>
      <w:r>
        <w:rPr/>
        <w:t>成本。本公司将合并协议约定的或有对价作为企业合并转移对价的一部分，按照其在购买日的公允价值计入企业合并成本。</w:t>
      </w:r>
    </w:p>
    <w:p>
      <w:pPr>
        <w:pStyle w:val="BodyText"/>
        <w:spacing w:line="357" w:lineRule="auto" w:before="26"/>
        <w:ind w:right="189"/>
        <w:jc w:val="both"/>
      </w:pPr>
      <w:r>
        <w:rPr/>
        <w:t>（</w:t>
      </w:r>
      <w:r>
        <w:rPr>
          <w:rFonts w:ascii="宋体" w:hAnsi="宋体" w:cs="宋体" w:eastAsia="宋体" w:hint="default"/>
        </w:rPr>
        <w:t>2</w:t>
      </w:r>
      <w:r>
        <w:rPr/>
        <w:t>）其他方式取得的长期股权投资以支付现金方式取得的长期股权投资，按照实际支付的购买价款作为初始投资成本，但</w:t>
      </w:r>
      <w:r>
        <w:rPr>
          <w:spacing w:val="-84"/>
        </w:rPr>
        <w:t> </w:t>
      </w:r>
      <w:r>
        <w:rPr>
          <w:spacing w:val="-84"/>
        </w:rPr>
      </w:r>
      <w:r>
        <w:rPr>
          <w:spacing w:val="-2"/>
        </w:rPr>
        <w:t>所支付价款中包含的被投资单位已宣告但尚未发放的现金股利或利润，应作为应收项目核算，不构成取得长期股权投资的成</w:t>
      </w:r>
      <w:r>
        <w:rPr>
          <w:spacing w:val="-64"/>
        </w:rPr>
        <w:t> </w:t>
      </w:r>
      <w:r>
        <w:rPr>
          <w:spacing w:val="-64"/>
        </w:rPr>
      </w:r>
      <w:r>
        <w:rPr>
          <w:spacing w:val="-2"/>
        </w:rPr>
        <w:t>本。以发行权益性证券取得的长期股权投资，按照发行权益性证券的公允价值作为初始投资成本，但不包括应自被投资单位</w:t>
      </w:r>
      <w:r>
        <w:rPr>
          <w:spacing w:val="-62"/>
        </w:rPr>
        <w:t> </w:t>
      </w:r>
      <w:r>
        <w:rPr>
          <w:spacing w:val="-62"/>
        </w:rPr>
      </w:r>
      <w:r>
        <w:rPr>
          <w:spacing w:val="-2"/>
        </w:rPr>
        <w:t>收取的已宣告但尚未发放的现金股利或利润。投资者投入的长期股权投资，按照投资合同或协议约定的价值（扣除已宣告但</w:t>
      </w:r>
      <w:r>
        <w:rPr>
          <w:spacing w:val="-63"/>
        </w:rPr>
        <w:t> </w:t>
      </w:r>
      <w:r>
        <w:rPr>
          <w:spacing w:val="-63"/>
        </w:rPr>
      </w:r>
      <w:r>
        <w:rPr/>
        <w:t>尚未发放的现金股利或利润）作为初始投资成本，但合同或协议约定价值不公允的除外。</w:t>
      </w:r>
      <w:r>
        <w:rPr>
          <w:spacing w:val="8"/>
        </w:rPr>
        <w:t> </w:t>
      </w:r>
      <w:r>
        <w:rPr/>
        <w:t>在非货币性资产交换具备商业实</w:t>
      </w:r>
      <w:r>
        <w:rPr/>
        <w:t> </w:t>
      </w:r>
      <w:r>
        <w:rPr>
          <w:spacing w:val="-2"/>
        </w:rPr>
        <w:t>质和换入资产或换出资产的公允价值能够可靠计量的前提下，非货币性资产交换换入的长期股权投资以换出资产的公允价值</w:t>
      </w:r>
      <w:r>
        <w:rPr>
          <w:spacing w:val="-64"/>
        </w:rPr>
        <w:t> </w:t>
      </w:r>
      <w:r>
        <w:rPr>
          <w:spacing w:val="-64"/>
        </w:rPr>
      </w:r>
      <w:r>
        <w:rPr>
          <w:spacing w:val="-2"/>
        </w:rPr>
        <w:t>为基础确定其初始投资成本，除非有确凿证据表明换入资产的公允价值更加可靠；不满足上述前提的非货币性资产交换，以</w:t>
      </w:r>
      <w:r>
        <w:rPr>
          <w:spacing w:val="-63"/>
        </w:rPr>
        <w:t> </w:t>
      </w:r>
      <w:r>
        <w:rPr>
          <w:spacing w:val="-63"/>
        </w:rPr>
      </w:r>
      <w:r>
        <w:rPr>
          <w:spacing w:val="-2"/>
        </w:rPr>
        <w:t>换出资产的账面价值和应支付的相关税费作为换入长期股权投资的初始投资成本。通过债务重组取得的长期股权投资，其初</w:t>
      </w:r>
      <w:r>
        <w:rPr>
          <w:spacing w:val="-64"/>
        </w:rPr>
        <w:t> </w:t>
      </w:r>
      <w:r>
        <w:rPr>
          <w:spacing w:val="-64"/>
        </w:rPr>
      </w:r>
      <w:r>
        <w:rPr/>
        <w:t>始投资成本按照公允价值为基础确定。</w:t>
      </w:r>
    </w:p>
    <w:p>
      <w:pPr>
        <w:spacing w:after="0" w:line="357" w:lineRule="auto"/>
        <w:jc w:val="both"/>
        <w:sectPr>
          <w:pgSz w:w="11910" w:h="16840"/>
          <w:pgMar w:header="852" w:footer="980" w:top="1340" w:bottom="1160" w:left="980" w:right="940"/>
        </w:sectPr>
      </w:pPr>
    </w:p>
    <w:p>
      <w:pPr>
        <w:pStyle w:val="Heading3"/>
        <w:spacing w:line="240" w:lineRule="auto" w:before="59"/>
        <w:ind w:right="94"/>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94"/>
        <w:jc w:val="left"/>
      </w:pPr>
      <w:r>
        <w:rPr/>
        <w:t>（</w:t>
      </w:r>
      <w:r>
        <w:rPr>
          <w:rFonts w:ascii="宋体" w:hAnsi="宋体" w:cs="宋体" w:eastAsia="宋体" w:hint="default"/>
        </w:rPr>
        <w:t>1</w:t>
      </w:r>
      <w:r>
        <w:rPr/>
        <w:t>）后续计量公司对子公司的长期股权投资，采用成本法核算，编制合并财务报表时按照权益法进行调整。对被投资单位</w:t>
      </w:r>
      <w:r>
        <w:rPr>
          <w:spacing w:val="-84"/>
        </w:rPr>
        <w:t> </w:t>
      </w:r>
      <w:r>
        <w:rPr>
          <w:spacing w:val="-84"/>
        </w:rPr>
      </w:r>
      <w:r>
        <w:rPr>
          <w:spacing w:val="-2"/>
        </w:rPr>
        <w:t>不具有共同控制或重大影响，并且在活跃市场中没有报价、公允价值不能可靠计量的长期股权投资，采用成本法核算。对被</w:t>
      </w:r>
      <w:r>
        <w:rPr>
          <w:spacing w:val="-64"/>
        </w:rPr>
        <w:t> </w:t>
      </w:r>
      <w:r>
        <w:rPr>
          <w:spacing w:val="-64"/>
        </w:rPr>
      </w:r>
      <w:r>
        <w:rPr>
          <w:spacing w:val="-2"/>
        </w:rPr>
        <w:t>投资单位具有共同控制或重大影响的长期股权投资，采用权益法核算。初始投资成本大于投资时应享有被投资单位可辨认净</w:t>
      </w:r>
      <w:r>
        <w:rPr>
          <w:spacing w:val="-64"/>
        </w:rPr>
        <w:t> </w:t>
      </w:r>
      <w:r>
        <w:rPr>
          <w:spacing w:val="-64"/>
        </w:rPr>
      </w:r>
      <w:r>
        <w:rPr>
          <w:spacing w:val="-2"/>
        </w:rPr>
        <w:t>资产公允价值份额的差额，不调整长期股权投资的初始投资成本；初始投资成本小于投资时应享有被投资单位可辨认净资产</w:t>
      </w:r>
      <w:r>
        <w:rPr>
          <w:spacing w:val="-64"/>
        </w:rPr>
        <w:t> </w:t>
      </w:r>
      <w:r>
        <w:rPr>
          <w:spacing w:val="-64"/>
        </w:rPr>
      </w:r>
      <w:r>
        <w:rPr>
          <w:spacing w:val="-2"/>
        </w:rPr>
        <w:t>公允价值份额的差额，计入当期损益。被投资单位除净损益以外所有者权益其他变动的处理：对于被投资单位除净损益以外</w:t>
      </w:r>
      <w:r>
        <w:rPr>
          <w:spacing w:val="-63"/>
        </w:rPr>
        <w:t> </w:t>
      </w:r>
      <w:r>
        <w:rPr>
          <w:spacing w:val="-63"/>
        </w:rPr>
      </w:r>
      <w:r>
        <w:rPr>
          <w:spacing w:val="-2"/>
        </w:rPr>
        <w:t>所有者权益的其他变动，在持股比例不变的情况下，公司按照持股比例计算应享有或承担的部分，调整长期股权投资的账面</w:t>
      </w:r>
      <w:r>
        <w:rPr>
          <w:spacing w:val="-63"/>
        </w:rPr>
        <w:t> </w:t>
      </w:r>
      <w:r>
        <w:rPr>
          <w:spacing w:val="-63"/>
        </w:rPr>
      </w:r>
      <w:r>
        <w:rPr/>
        <w:t>价值，同时增加或减少资本公积（其他资本公积）。（</w:t>
      </w:r>
      <w:r>
        <w:rPr>
          <w:rFonts w:ascii="宋体" w:hAnsi="宋体" w:cs="宋体" w:eastAsia="宋体" w:hint="default"/>
        </w:rPr>
        <w:t>2</w:t>
      </w:r>
      <w:r>
        <w:rPr/>
        <w:t>）损益确认成本法下，除取得投资时实际支付的价款或对价中包含</w:t>
      </w:r>
      <w:r>
        <w:rPr>
          <w:spacing w:val="-83"/>
        </w:rPr>
        <w:t> </w:t>
      </w:r>
      <w:r>
        <w:rPr>
          <w:spacing w:val="-83"/>
        </w:rPr>
      </w:r>
      <w:r>
        <w:rPr/>
        <w:t>的已宣告但尚未发放的现金股利或利润外，公司按照享有被投资单位宣告发放的现金股利或利润确认投资收益。权益法下，</w:t>
      </w:r>
      <w:r>
        <w:rPr/>
        <w:t> </w:t>
      </w:r>
      <w:r>
        <w:rPr>
          <w:spacing w:val="-2"/>
        </w:rPr>
        <w:t>在被投资单位账面净利润的基础上考虑：被投资单位与本公司采用的会计政策及会计期间不一致，按本公司的会计政策及会</w:t>
      </w:r>
      <w:r>
        <w:rPr>
          <w:spacing w:val="-64"/>
        </w:rPr>
        <w:t> </w:t>
      </w:r>
      <w:r>
        <w:rPr>
          <w:spacing w:val="-64"/>
        </w:rPr>
      </w:r>
      <w:r>
        <w:rPr>
          <w:spacing w:val="-2"/>
        </w:rPr>
        <w:t>计期间对被投资单位财务报表进行调整；以取得投资时被投资单位固定资产、无形资产的公允价值为基础计提的折旧额或摊</w:t>
      </w:r>
      <w:r>
        <w:rPr>
          <w:spacing w:val="-64"/>
        </w:rPr>
        <w:t> </w:t>
      </w:r>
      <w:r>
        <w:rPr>
          <w:spacing w:val="-64"/>
        </w:rPr>
      </w:r>
      <w:r>
        <w:rPr>
          <w:spacing w:val="-2"/>
        </w:rPr>
        <w:t>销额以及有关资产减值准备金额等对被投资单位净利润的影响；对本公司与联营企业及合营企业之间发生的未实现内部交易</w:t>
      </w:r>
      <w:r>
        <w:rPr>
          <w:spacing w:val="-64"/>
        </w:rPr>
        <w:t> </w:t>
      </w:r>
      <w:r>
        <w:rPr>
          <w:spacing w:val="-64"/>
        </w:rPr>
      </w:r>
      <w:r>
        <w:rPr>
          <w:spacing w:val="-2"/>
        </w:rPr>
        <w:t>予以抵销等事项的适当调整后，确认应享有或应负担被投资单位的净利润或净亏损。在公司确认应分担被投资单位发生的亏</w:t>
      </w:r>
      <w:r>
        <w:rPr>
          <w:spacing w:val="-64"/>
        </w:rPr>
        <w:t> </w:t>
      </w:r>
      <w:r>
        <w:rPr>
          <w:spacing w:val="-64"/>
        </w:rPr>
      </w:r>
      <w:r>
        <w:rPr>
          <w:spacing w:val="-2"/>
        </w:rPr>
        <w:t>损时，按照以下顺序进行处理：首先，冲减长期股权投资的账面价值。其次，长期股权投资的账面价值不足以冲减的，以其</w:t>
      </w:r>
      <w:r>
        <w:rPr>
          <w:spacing w:val="-67"/>
        </w:rPr>
        <w:t> </w:t>
      </w:r>
      <w:r>
        <w:rPr>
          <w:spacing w:val="-67"/>
        </w:rPr>
      </w:r>
      <w:r>
        <w:rPr>
          <w:spacing w:val="-2"/>
        </w:rPr>
        <w:t>他实质上构成对被投资单位净投资的长期权益账面价值为限继续确认投资损失，冲减长期应收项目等的账面价值。最后，经</w:t>
      </w:r>
      <w:r>
        <w:rPr>
          <w:spacing w:val="-63"/>
        </w:rPr>
        <w:t> </w:t>
      </w:r>
      <w:r>
        <w:rPr>
          <w:spacing w:val="-63"/>
        </w:rPr>
      </w:r>
      <w:r>
        <w:rPr>
          <w:spacing w:val="-2"/>
        </w:rPr>
        <w:t>过上述处理，按照投资合同或协议约定企业仍承担额外义务的，按预计承担的义务确认预计负债，计入当期投资损失。被投</w:t>
      </w:r>
      <w:r>
        <w:rPr>
          <w:spacing w:val="-64"/>
        </w:rPr>
        <w:t> </w:t>
      </w:r>
      <w:r>
        <w:rPr>
          <w:spacing w:val="-64"/>
        </w:rPr>
      </w:r>
      <w:r>
        <w:rPr>
          <w:spacing w:val="-2"/>
        </w:rPr>
        <w:t>资单位以后期间实现盈利的，公司在扣除未确认的亏损分担额后，按与上述相反的顺序处理，减记已确认预计负债的账面余</w:t>
      </w:r>
      <w:r>
        <w:rPr>
          <w:spacing w:val="-63"/>
        </w:rPr>
        <w:t> </w:t>
      </w:r>
      <w:r>
        <w:rPr>
          <w:spacing w:val="-63"/>
        </w:rPr>
      </w:r>
      <w:r>
        <w:rPr>
          <w:spacing w:val="-4"/>
        </w:rPr>
        <w:t>额、恢复其他实质上构成对被投资单位净投资的长期权益及长期股权投资的账面价值，同时确认投资收益。在持有投资期间，</w:t>
      </w:r>
      <w:r>
        <w:rPr>
          <w:spacing w:val="-44"/>
        </w:rPr>
        <w:t> </w:t>
      </w:r>
      <w:r>
        <w:rPr>
          <w:spacing w:val="-44"/>
        </w:rPr>
      </w:r>
      <w:r>
        <w:rPr/>
        <w:t>被投资单位能够提供合并财务报表的，应当以合并财务报表中的净利润和其他权益变动为基础进行核算。</w:t>
      </w:r>
    </w:p>
    <w:p>
      <w:pPr>
        <w:spacing w:line="240" w:lineRule="auto" w:before="11"/>
        <w:rPr>
          <w:rFonts w:ascii="宋体" w:hAnsi="宋体" w:cs="宋体" w:eastAsia="宋体" w:hint="default"/>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191"/>
        <w:jc w:val="both"/>
      </w:pPr>
      <w:r>
        <w:rPr>
          <w:spacing w:val="-2"/>
        </w:rPr>
        <w:t>共同控制，是指按照合同约定对某项经济活动所共有的控制，仅在与该项经济活动相关的重要财务和经营决策需要分享控制</w:t>
      </w:r>
      <w:r>
        <w:rPr>
          <w:spacing w:val="-64"/>
        </w:rPr>
        <w:t> </w:t>
      </w:r>
      <w:r>
        <w:rPr>
          <w:spacing w:val="-64"/>
        </w:rPr>
      </w:r>
      <w:r>
        <w:rPr>
          <w:spacing w:val="-2"/>
        </w:rPr>
        <w:t>权的投资方一致同意时存在。投资企业与其他方对被投资单位实施共同控制的，被投资单位为其合营企业。重大影响，是指</w:t>
      </w:r>
      <w:r>
        <w:rPr>
          <w:spacing w:val="-64"/>
        </w:rPr>
        <w:t> </w:t>
      </w:r>
      <w:r>
        <w:rPr>
          <w:spacing w:val="-64"/>
        </w:rPr>
      </w:r>
      <w:r>
        <w:rPr>
          <w:spacing w:val="-2"/>
        </w:rPr>
        <w:t>对一个企业的财务和经营决策有参与决策的权力，但并不能够控制或者与其他方一起共同控制这些政策的制定。投资企业能</w:t>
      </w:r>
      <w:r>
        <w:rPr>
          <w:spacing w:val="-64"/>
        </w:rPr>
        <w:t> </w:t>
      </w:r>
      <w:r>
        <w:rPr>
          <w:spacing w:val="-64"/>
        </w:rPr>
      </w:r>
      <w:r>
        <w:rPr/>
        <w:t>够对被投资单位施加重大影响的，被投资单位为其联营企业。</w:t>
      </w:r>
    </w:p>
    <w:p>
      <w:pPr>
        <w:spacing w:line="240" w:lineRule="auto" w:before="11"/>
        <w:rPr>
          <w:rFonts w:ascii="宋体" w:hAnsi="宋体" w:cs="宋体" w:eastAsia="宋体" w:hint="default"/>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94"/>
        <w:jc w:val="left"/>
      </w:pPr>
      <w:r>
        <w:rPr>
          <w:spacing w:val="-2"/>
        </w:rPr>
        <w:t>重大影响以下的、在活跃市场中没有报价、公允价值不能可靠计量的长期股权投资，其减值损失是根据其账面价值与按类似</w:t>
      </w:r>
      <w:r>
        <w:rPr>
          <w:spacing w:val="-63"/>
        </w:rPr>
        <w:t> </w:t>
      </w:r>
      <w:r>
        <w:rPr>
          <w:spacing w:val="-63"/>
        </w:rPr>
      </w:r>
      <w:r>
        <w:rPr/>
        <w:t>金融资产当时市场收益率对未来现金流量折现确定的现值之间的差额进行确定。 </w:t>
      </w:r>
      <w:r>
        <w:rPr>
          <w:spacing w:val="-2"/>
        </w:rPr>
        <w:t>除因企业合并形成的商誉以外的存在减值迹象的其他长期股权投资，如果可收回金额的计量结果表明，该长期股权投资的可</w:t>
      </w:r>
      <w:r>
        <w:rPr>
          <w:spacing w:val="-64"/>
        </w:rPr>
        <w:t> </w:t>
      </w:r>
      <w:r>
        <w:rPr>
          <w:spacing w:val="-64"/>
        </w:rPr>
      </w:r>
      <w:r>
        <w:rPr/>
        <w:t>收回金额低于其账面价值的，将差额确认为减值损失。</w:t>
      </w:r>
    </w:p>
    <w:p>
      <w:pPr>
        <w:pStyle w:val="BodyText"/>
        <w:spacing w:line="240" w:lineRule="auto" w:before="26"/>
        <w:ind w:right="94"/>
        <w:jc w:val="left"/>
      </w:pPr>
      <w:r>
        <w:rPr/>
        <w:t>长期股权投资减值损失一经确认，不再转回。</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right="94"/>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94"/>
        <w:jc w:val="left"/>
      </w:pPr>
      <w:r>
        <w:rPr>
          <w:spacing w:val="-2"/>
        </w:rPr>
        <w:t>投资性房地产是指为赚取租金或资本增值，或两者兼有而持有的房地产，包括已出租的土地使用权、持有并准备增值后转让</w:t>
      </w:r>
      <w:r>
        <w:rPr>
          <w:spacing w:val="-63"/>
        </w:rPr>
        <w:t> </w:t>
      </w:r>
      <w:r>
        <w:rPr>
          <w:spacing w:val="-63"/>
        </w:rPr>
      </w:r>
      <w:r>
        <w:rPr>
          <w:spacing w:val="-2"/>
        </w:rPr>
        <w:t>的土地使用权、已出租的建筑物（含自行建造或开发活动完成后用于出租的建筑物以及正在建造或开发过程中将来用于出租</w:t>
      </w:r>
      <w:r>
        <w:rPr>
          <w:spacing w:val="-64"/>
        </w:rPr>
        <w:t> </w:t>
      </w:r>
      <w:r>
        <w:rPr>
          <w:spacing w:val="-64"/>
        </w:rPr>
      </w:r>
      <w:r>
        <w:rPr/>
        <w:t>的建筑物）。 </w:t>
      </w:r>
      <w:r>
        <w:rPr>
          <w:spacing w:val="-2"/>
        </w:rPr>
        <w:t>公司对现有投资性房地产采用成本模式计量。对按照成本模式计量的投资性房地产－出租用建筑物采用与本公司固定资产相</w:t>
      </w:r>
    </w:p>
    <w:p>
      <w:pPr>
        <w:spacing w:after="0" w:line="357" w:lineRule="auto"/>
        <w:jc w:val="left"/>
        <w:sectPr>
          <w:pgSz w:w="11910" w:h="16840"/>
          <w:pgMar w:header="852" w:footer="980" w:top="1340" w:bottom="1160" w:left="980" w:right="940"/>
        </w:sectPr>
      </w:pPr>
    </w:p>
    <w:p>
      <w:pPr>
        <w:pStyle w:val="BodyText"/>
        <w:spacing w:line="357" w:lineRule="auto" w:before="61"/>
        <w:ind w:right="1894"/>
        <w:jc w:val="left"/>
      </w:pPr>
      <w:r>
        <w:rPr/>
        <w:t>同的折旧政策，出租用土地使用权按与无形资产相同的摊销政策执行。 公司对存在减值迹象的，估计其可收回金额，可收回金额低于其账面价值的，确认相应的减值损失。 投资性房地产减值损失一经确认，不再转回。</w:t>
      </w:r>
    </w:p>
    <w:p>
      <w:pPr>
        <w:spacing w:line="240" w:lineRule="auto" w:before="11"/>
        <w:rPr>
          <w:rFonts w:ascii="宋体" w:hAnsi="宋体" w:cs="宋体" w:eastAsia="宋体" w:hint="default"/>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10"/>
        <w:rPr>
          <w:rFonts w:ascii="宋体" w:hAnsi="宋体" w:cs="宋体" w:eastAsia="宋体" w:hint="default"/>
          <w:b/>
          <w:bCs/>
          <w:sz w:val="21"/>
          <w:szCs w:val="21"/>
        </w:rPr>
      </w:pPr>
    </w:p>
    <w:p>
      <w:pPr>
        <w:pStyle w:val="BodyText"/>
        <w:spacing w:line="355" w:lineRule="auto"/>
        <w:ind w:right="94"/>
        <w:jc w:val="left"/>
      </w:pPr>
      <w:r>
        <w:rPr>
          <w:spacing w:val="-2"/>
        </w:rPr>
        <w:t>固定资产指为生产商品、提供劳务、出租或经营管理而持有，并且使用寿命超过一个会计年度的有形资产。固定资产在同时</w:t>
      </w:r>
      <w:r>
        <w:rPr>
          <w:spacing w:val="-64"/>
        </w:rPr>
        <w:t> </w:t>
      </w:r>
      <w:r>
        <w:rPr>
          <w:spacing w:val="-64"/>
        </w:rPr>
      </w:r>
      <w:r>
        <w:rPr/>
        <w:t>满足下列条件时予以确认：（</w:t>
      </w:r>
      <w:r>
        <w:rPr>
          <w:rFonts w:ascii="宋体" w:hAnsi="宋体" w:cs="宋体" w:eastAsia="宋体" w:hint="default"/>
        </w:rPr>
        <w:t>1</w:t>
      </w:r>
      <w:r>
        <w:rPr/>
        <w:t>）与该固定资产有关的经济利益很可能流入企业；（</w:t>
      </w:r>
      <w:r>
        <w:rPr>
          <w:rFonts w:ascii="宋体" w:hAnsi="宋体" w:cs="宋体" w:eastAsia="宋体" w:hint="default"/>
        </w:rPr>
        <w:t>2</w:t>
      </w:r>
      <w:r>
        <w:rPr/>
        <w:t>）该固定资产的成本能够可靠地计量。</w:t>
      </w:r>
    </w:p>
    <w:p>
      <w:pPr>
        <w:spacing w:line="240" w:lineRule="auto" w:before="13"/>
        <w:rPr>
          <w:rFonts w:ascii="宋体" w:hAnsi="宋体" w:cs="宋体" w:eastAsia="宋体" w:hint="default"/>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191"/>
        <w:jc w:val="both"/>
      </w:pPr>
      <w:r>
        <w:rPr/>
        <w:t>公司与租赁方所签订的租赁协议条款中规定了下列条件之一的，确认为融资租入资产：（</w:t>
      </w:r>
      <w:r>
        <w:rPr>
          <w:rFonts w:ascii="宋体" w:hAnsi="宋体" w:cs="宋体" w:eastAsia="宋体" w:hint="default"/>
        </w:rPr>
        <w:t>1</w:t>
      </w:r>
      <w:r>
        <w:rPr/>
        <w:t>）租赁期满后租赁资产的所有权</w:t>
      </w:r>
      <w:r>
        <w:rPr>
          <w:spacing w:val="-83"/>
        </w:rPr>
        <w:t> </w:t>
      </w:r>
      <w:r>
        <w:rPr>
          <w:spacing w:val="-83"/>
        </w:rPr>
      </w:r>
      <w:r>
        <w:rPr>
          <w:spacing w:val="-2"/>
        </w:rPr>
        <w:t>归属于本公司；（</w:t>
      </w:r>
      <w:r>
        <w:rPr>
          <w:rFonts w:ascii="宋体" w:hAnsi="宋体" w:cs="宋体" w:eastAsia="宋体" w:hint="default"/>
          <w:spacing w:val="-2"/>
        </w:rPr>
        <w:t>2</w:t>
      </w:r>
      <w:r>
        <w:rPr>
          <w:spacing w:val="-2"/>
        </w:rPr>
        <w:t>）公司具有购买资产的选择权，购买价款远低于行使选择权时该资产的公允价值；（</w:t>
      </w:r>
      <w:r>
        <w:rPr>
          <w:rFonts w:ascii="宋体" w:hAnsi="宋体" w:cs="宋体" w:eastAsia="宋体" w:hint="default"/>
          <w:spacing w:val="-2"/>
        </w:rPr>
        <w:t>3</w:t>
      </w:r>
      <w:r>
        <w:rPr>
          <w:spacing w:val="-2"/>
        </w:rPr>
        <w:t>）租赁期占所租赁</w:t>
      </w:r>
      <w:r>
        <w:rPr>
          <w:spacing w:val="-64"/>
        </w:rPr>
        <w:t> </w:t>
      </w:r>
      <w:r>
        <w:rPr>
          <w:spacing w:val="-64"/>
        </w:rPr>
      </w:r>
      <w:r>
        <w:rPr/>
        <w:t>资产使用寿命的大部分；（</w:t>
      </w:r>
      <w:r>
        <w:rPr>
          <w:rFonts w:ascii="宋体" w:hAnsi="宋体" w:cs="宋体" w:eastAsia="宋体" w:hint="default"/>
        </w:rPr>
        <w:t>4</w:t>
      </w:r>
      <w:r>
        <w:rPr/>
        <w:t>）租赁开始日的最低租赁付款额现值，与该资产的公允价值不存在较大的差异。公司在承租开</w:t>
      </w:r>
      <w:r>
        <w:rPr>
          <w:spacing w:val="-83"/>
        </w:rPr>
        <w:t> </w:t>
      </w:r>
      <w:r>
        <w:rPr>
          <w:spacing w:val="-83"/>
        </w:rPr>
      </w:r>
      <w:r>
        <w:rPr>
          <w:spacing w:val="-2"/>
        </w:rPr>
        <w:t>始日，将租赁资产公允价值与最低租赁付款额现值两者中较低者作为租入资产的入账价值，将最低租赁付款额作为长期应付</w:t>
      </w:r>
      <w:r>
        <w:rPr>
          <w:spacing w:val="-64"/>
        </w:rPr>
        <w:t> </w:t>
      </w:r>
      <w:r>
        <w:rPr>
          <w:spacing w:val="-64"/>
        </w:rPr>
      </w:r>
      <w:r>
        <w:rPr/>
        <w:t>款的入账价值，其差额作为未确认的融资费。</w:t>
      </w:r>
    </w:p>
    <w:p>
      <w:pPr>
        <w:spacing w:line="240" w:lineRule="auto" w:before="11"/>
        <w:rPr>
          <w:rFonts w:ascii="宋体" w:hAnsi="宋体" w:cs="宋体" w:eastAsia="宋体" w:hint="default"/>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10"/>
        <w:rPr>
          <w:rFonts w:ascii="宋体" w:hAnsi="宋体" w:cs="宋体" w:eastAsia="宋体" w:hint="default"/>
          <w:b/>
          <w:bCs/>
          <w:sz w:val="21"/>
          <w:szCs w:val="21"/>
        </w:rPr>
      </w:pPr>
    </w:p>
    <w:p>
      <w:pPr>
        <w:pStyle w:val="BodyText"/>
        <w:spacing w:line="355" w:lineRule="auto"/>
        <w:ind w:right="94"/>
        <w:jc w:val="left"/>
      </w:pPr>
      <w:r>
        <w:rPr>
          <w:spacing w:val="-2"/>
        </w:rPr>
        <w:t>固定资产折旧采用年限平均法分类计提，根据固定资产类别、预计使用寿命和预计净残值率确定折旧率。如固定资产各组成</w:t>
      </w:r>
      <w:r>
        <w:rPr>
          <w:spacing w:val="-63"/>
        </w:rPr>
        <w:t> </w:t>
      </w:r>
      <w:r>
        <w:rPr>
          <w:spacing w:val="-63"/>
        </w:rPr>
      </w:r>
      <w:r>
        <w:rPr/>
        <w:t>部分的使用寿命不同或者以不同方式为企业提供经济利益，则选择不同折旧率或折旧方法，分别计提折旧。 </w:t>
      </w:r>
      <w:r>
        <w:rPr>
          <w:spacing w:val="-4"/>
        </w:rPr>
        <w:t>融资租赁方式租入的固定资产，能合理确定租赁期届满时将会取得租赁资产所有权的，在租赁资产尚可使用年限内计提折旧；</w:t>
      </w:r>
      <w:r>
        <w:rPr>
          <w:spacing w:val="-43"/>
        </w:rPr>
        <w:t> </w:t>
      </w:r>
      <w:r>
        <w:rPr>
          <w:spacing w:val="-43"/>
        </w:rPr>
      </w:r>
      <w:r>
        <w:rPr/>
        <w:t>无法合理确定租赁期届满时能够取得租赁资产所有权的，在租赁期与租赁资产尚可使用年限两者中较短的期间内计提折旧。</w:t>
      </w:r>
    </w:p>
    <w:p>
      <w:pPr>
        <w:spacing w:line="240" w:lineRule="auto" w:before="8"/>
        <w:rPr>
          <w:rFonts w:ascii="宋体" w:hAnsi="宋体" w:cs="宋体" w:eastAsia="宋体"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7"/>
      </w:tblGrid>
      <w:tr>
        <w:trPr>
          <w:trHeight w:val="32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43.75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2.17%</w:t>
            </w:r>
          </w:p>
        </w:tc>
      </w:tr>
      <w:tr>
        <w:trPr>
          <w:trHeight w:val="32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z w:val="18"/>
              </w:rPr>
              <w:t>19%</w:t>
            </w:r>
          </w:p>
        </w:tc>
      </w:tr>
      <w:tr>
        <w:trPr>
          <w:trHeight w:val="32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z w:val="18"/>
              </w:rPr>
              <w:t>19%</w:t>
            </w:r>
          </w:p>
        </w:tc>
      </w:tr>
      <w:tr>
        <w:trPr>
          <w:trHeight w:val="324"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 w:right="0"/>
              <w:jc w:val="center"/>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4"/>
              <w:jc w:val="right"/>
              <w:rPr>
                <w:rFonts w:ascii="Times New Roman" w:hAnsi="Times New Roman" w:cs="Times New Roman" w:eastAsia="Times New Roman" w:hint="default"/>
                <w:sz w:val="18"/>
                <w:szCs w:val="18"/>
              </w:rPr>
            </w:pPr>
            <w:r>
              <w:rPr>
                <w:rFonts w:ascii="Times New Roman"/>
                <w:sz w:val="18"/>
              </w:rPr>
              <w:t>20%</w:t>
            </w:r>
          </w:p>
        </w:tc>
      </w:tr>
    </w:tbl>
    <w:p>
      <w:pPr>
        <w:spacing w:line="240" w:lineRule="auto" w:before="7"/>
        <w:rPr>
          <w:rFonts w:ascii="宋体" w:hAnsi="宋体" w:cs="宋体" w:eastAsia="宋体" w:hint="default"/>
          <w:sz w:val="17"/>
          <w:szCs w:val="17"/>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94"/>
        <w:jc w:val="left"/>
      </w:pPr>
      <w:r>
        <w:rPr/>
        <w:t>公司在每期末判断固定资产是否存在可能发生减值的迹象。 </w:t>
      </w:r>
      <w:r>
        <w:rPr>
          <w:spacing w:val="-2"/>
        </w:rPr>
        <w:t>固定资产存在减值迹象的，估计其可收回金额。可收回金额根据固定资产的公允价值减去处置费用后的净额与固定资产预计</w:t>
      </w:r>
      <w:r>
        <w:rPr>
          <w:spacing w:val="-62"/>
        </w:rPr>
        <w:t> </w:t>
      </w:r>
      <w:r>
        <w:rPr>
          <w:spacing w:val="-62"/>
        </w:rPr>
      </w:r>
      <w:r>
        <w:rPr/>
        <w:t>未来现金流量的现值两者之间较高者确定。 </w:t>
      </w:r>
      <w:r>
        <w:rPr>
          <w:spacing w:val="-2"/>
        </w:rPr>
        <w:t>当固定资产的可收回金额低于其账面价值的，将固定资产的账面价值减记至可收回金额，减记的金额确认为固定资产减值损</w:t>
      </w:r>
      <w:r>
        <w:rPr>
          <w:spacing w:val="-64"/>
        </w:rPr>
        <w:t> </w:t>
      </w:r>
      <w:r>
        <w:rPr>
          <w:spacing w:val="-64"/>
        </w:rPr>
      </w:r>
      <w:r>
        <w:rPr/>
        <w:t>失，计入当期损益，同时计提相应的固定资产减值准备。 </w:t>
      </w:r>
      <w:r>
        <w:rPr>
          <w:spacing w:val="-2"/>
        </w:rPr>
        <w:t>固定资产减值损失确认后，减值固定资产的折旧在未来期间作相应调整，以使该固定资产在剩余使用寿命内，系统地分摊调</w:t>
      </w:r>
      <w:r>
        <w:rPr>
          <w:spacing w:val="-63"/>
        </w:rPr>
        <w:t> </w:t>
      </w:r>
      <w:r>
        <w:rPr>
          <w:spacing w:val="-63"/>
        </w:rPr>
      </w:r>
      <w:r>
        <w:rPr/>
        <w:t>整后的固定资产账面价值（扣除预计净残值）。</w:t>
      </w:r>
    </w:p>
    <w:p>
      <w:pPr>
        <w:pStyle w:val="BodyText"/>
        <w:spacing w:line="357" w:lineRule="auto" w:before="26"/>
        <w:ind w:right="94"/>
        <w:jc w:val="left"/>
      </w:pPr>
      <w:r>
        <w:rPr/>
        <w:t>固定资产的减值损失一经确认，在以后会计期间不再转回。 </w:t>
      </w:r>
      <w:r>
        <w:rPr>
          <w:spacing w:val="-2"/>
        </w:rPr>
        <w:t>有迹象表明一项固定资产可能发生减值的，企业以单项固定资产为基础估计其可收回金额。企业难以对单项固定资产的可收</w:t>
      </w:r>
    </w:p>
    <w:p>
      <w:pPr>
        <w:spacing w:after="0" w:line="357" w:lineRule="auto"/>
        <w:jc w:val="left"/>
        <w:sectPr>
          <w:footerReference w:type="default" r:id="rId28"/>
          <w:pgSz w:w="11910" w:h="16840"/>
          <w:pgMar w:footer="980" w:header="852" w:top="1340" w:bottom="1160" w:left="980" w:right="940"/>
          <w:pgNumType w:start="110"/>
        </w:sectPr>
      </w:pPr>
    </w:p>
    <w:p>
      <w:pPr>
        <w:pStyle w:val="BodyText"/>
        <w:spacing w:line="240" w:lineRule="auto" w:before="61"/>
        <w:ind w:right="0"/>
        <w:jc w:val="left"/>
      </w:pPr>
      <w:r>
        <w:rPr/>
        <w:t>回金额进行估计的，以该固定资产所属的资产组为基础确定资产组的可收回金额。</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在建工程以立项项目分类核算。</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150"/>
        <w:jc w:val="both"/>
      </w:pPr>
      <w:r>
        <w:rPr>
          <w:spacing w:val="-2"/>
        </w:rPr>
        <w:t>在建工程项目按建造该项资产达到预定可使用状态前所发生的全部支出，作为固定资产的入账价值。所建造的固定资产在建</w:t>
      </w:r>
      <w:r>
        <w:rPr>
          <w:spacing w:val="-64"/>
        </w:rPr>
        <w:t> </w:t>
      </w:r>
      <w:r>
        <w:rPr>
          <w:spacing w:val="-64"/>
        </w:rPr>
      </w:r>
      <w:r>
        <w:rPr>
          <w:spacing w:val="-2"/>
        </w:rPr>
        <w:t>工程已达到预定可使用状态，但尚未办理竣工决算的，自达到预定可使用状态之日起，根据工程预算、造价或者工程实际成</w:t>
      </w:r>
      <w:r>
        <w:rPr>
          <w:spacing w:val="-65"/>
        </w:rPr>
        <w:t> </w:t>
      </w:r>
      <w:r>
        <w:rPr>
          <w:spacing w:val="-65"/>
        </w:rPr>
      </w:r>
      <w:r>
        <w:rPr>
          <w:spacing w:val="-2"/>
        </w:rPr>
        <w:t>本等，按估计的价值转入固定资产，并按本公司固定资产折旧政策计提固定资产的折旧，待办理竣工决算后，再按实际成本</w:t>
      </w:r>
      <w:r>
        <w:rPr>
          <w:spacing w:val="-63"/>
        </w:rPr>
        <w:t> </w:t>
      </w:r>
      <w:r>
        <w:rPr>
          <w:spacing w:val="-63"/>
        </w:rPr>
      </w:r>
      <w:r>
        <w:rPr/>
        <w:t>调整原来的暂估价值，但不调整原已计提的折旧额。</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0"/>
        <w:jc w:val="left"/>
      </w:pPr>
      <w:r>
        <w:rPr/>
        <w:t>公司在每期末判断在建工程是否存在可能发生减值的迹象。 </w:t>
      </w:r>
      <w:r>
        <w:rPr>
          <w:spacing w:val="-2"/>
        </w:rPr>
        <w:t>在建工程存在减值迹象的，估计其可收回金额。有迹象表明一项在建工程可能发生减值的，企业以单项在建工程为基础估计</w:t>
      </w:r>
      <w:r>
        <w:rPr>
          <w:spacing w:val="-63"/>
        </w:rPr>
        <w:t> </w:t>
      </w:r>
      <w:r>
        <w:rPr>
          <w:spacing w:val="-63"/>
        </w:rPr>
      </w:r>
      <w:r>
        <w:rPr>
          <w:spacing w:val="-2"/>
        </w:rPr>
        <w:t>其可收回金额。企业难以对单项在建工程的可收回金额进行估计的，以该在建工程所属的资产组为基础确定资产组的可收回</w:t>
      </w:r>
      <w:r>
        <w:rPr>
          <w:spacing w:val="-64"/>
        </w:rPr>
        <w:t> </w:t>
      </w:r>
      <w:r>
        <w:rPr>
          <w:spacing w:val="-64"/>
        </w:rPr>
      </w:r>
      <w:r>
        <w:rPr/>
        <w:t>金额。 可收回金额根据在建工程的公允价值减去处置费用后的净额与在建工程预计未来现金流量的现值两者之间较高者确定。 </w:t>
      </w:r>
      <w:r>
        <w:rPr>
          <w:spacing w:val="-2"/>
        </w:rPr>
        <w:t>当在建工程的可收回金额低于其账面价值的，将在建工程的账面价值减记至可收回金额，减记的金额确认为在建工程减值损</w:t>
      </w:r>
      <w:r>
        <w:rPr>
          <w:spacing w:val="-64"/>
        </w:rPr>
        <w:t> </w:t>
      </w:r>
      <w:r>
        <w:rPr>
          <w:spacing w:val="-64"/>
        </w:rPr>
      </w:r>
      <w:r>
        <w:rPr/>
        <w:t>失，计入当期损益，同时计提相应的在建工程减值准备。</w:t>
      </w:r>
    </w:p>
    <w:p>
      <w:pPr>
        <w:pStyle w:val="BodyText"/>
        <w:spacing w:line="240" w:lineRule="auto" w:before="24"/>
        <w:ind w:right="0"/>
        <w:jc w:val="left"/>
      </w:pPr>
      <w:r>
        <w:rPr/>
        <w:t>在建工程的减值损失一经确认，在以后会计期间不再转回。</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0"/>
        <w:jc w:val="left"/>
      </w:pPr>
      <w:r>
        <w:rPr/>
        <w:t>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公司发生的借款费用，可直接归属于符合资本化条件的资产的购建或者生产的，予以资本化，计入相关资产成本；其他借款</w:t>
      </w:r>
      <w:r>
        <w:rPr>
          <w:spacing w:val="-64"/>
        </w:rPr>
        <w:t> </w:t>
      </w:r>
      <w:r>
        <w:rPr>
          <w:spacing w:val="-64"/>
        </w:rPr>
      </w:r>
      <w:r>
        <w:rPr/>
        <w:t>费用，在发生时根据其发生额确认为费用，计入当期损益。 </w:t>
      </w:r>
      <w:r>
        <w:rPr>
          <w:spacing w:val="-2"/>
        </w:rPr>
        <w:t>符合资本化条件的资产，是指需要经过相当长时间的购建或者生产活动才能达到预定可使用或者可销售状态的固定资产、投</w:t>
      </w:r>
      <w:r>
        <w:rPr>
          <w:spacing w:val="-64"/>
        </w:rPr>
        <w:t> </w:t>
      </w:r>
      <w:r>
        <w:rPr>
          <w:spacing w:val="-64"/>
        </w:rPr>
      </w:r>
      <w:r>
        <w:rPr/>
        <w:t>资性房地产和存货等资产。</w:t>
      </w:r>
    </w:p>
    <w:p>
      <w:pPr>
        <w:pStyle w:val="BodyText"/>
        <w:spacing w:line="240" w:lineRule="auto" w:before="26"/>
        <w:ind w:right="0"/>
        <w:jc w:val="left"/>
      </w:pPr>
      <w:r>
        <w:rPr/>
        <w:t>借款费用同时满足下列条件时开始资本化：</w:t>
      </w:r>
    </w:p>
    <w:p>
      <w:pPr>
        <w:pStyle w:val="BodyText"/>
        <w:spacing w:line="357" w:lineRule="auto" w:before="115"/>
        <w:ind w:right="144"/>
        <w:jc w:val="left"/>
      </w:pPr>
      <w:r>
        <w:rPr/>
        <w:t>（</w:t>
      </w:r>
      <w:r>
        <w:rPr>
          <w:rFonts w:ascii="宋体" w:hAnsi="宋体" w:cs="宋体" w:eastAsia="宋体" w:hint="default"/>
        </w:rPr>
        <w:t>1</w:t>
      </w:r>
      <w:r>
        <w:rPr/>
        <w:t>）资产支出已经发生，资产支出包括为购建或者生产符合资本化条件的资产而以支付现金、转移非现金资产或者承担带</w:t>
      </w:r>
      <w:r>
        <w:rPr>
          <w:spacing w:val="-84"/>
        </w:rPr>
        <w:t> </w:t>
      </w:r>
      <w:r>
        <w:rPr>
          <w:spacing w:val="-84"/>
        </w:rPr>
      </w:r>
      <w:r>
        <w:rPr/>
        <w:t>息债务形式发生的支出；</w:t>
      </w:r>
    </w:p>
    <w:p>
      <w:pPr>
        <w:pStyle w:val="BodyText"/>
        <w:spacing w:line="240" w:lineRule="auto" w:before="24"/>
        <w:ind w:right="0"/>
        <w:jc w:val="left"/>
      </w:pPr>
      <w:r>
        <w:rPr/>
        <w:t>（</w:t>
      </w:r>
      <w:r>
        <w:rPr>
          <w:rFonts w:ascii="宋体" w:hAnsi="宋体" w:cs="宋体" w:eastAsia="宋体" w:hint="default"/>
        </w:rPr>
        <w:t>2</w:t>
      </w:r>
      <w:r>
        <w:rPr/>
        <w:t>）借款费用已经发生；</w:t>
      </w:r>
    </w:p>
    <w:p>
      <w:pPr>
        <w:pStyle w:val="BodyText"/>
        <w:spacing w:line="240" w:lineRule="auto" w:before="115"/>
        <w:ind w:right="0"/>
        <w:jc w:val="left"/>
      </w:pPr>
      <w:r>
        <w:rPr/>
        <w:t>（</w:t>
      </w:r>
      <w:r>
        <w:rPr>
          <w:rFonts w:ascii="宋体" w:hAnsi="宋体" w:cs="宋体" w:eastAsia="宋体" w:hint="default"/>
        </w:rPr>
        <w:t>3</w:t>
      </w:r>
      <w:r>
        <w:rPr/>
        <w:t>）为使资产达到预定可使用或者可销售状态所必要的购建或者生产活动已经开始。</w:t>
      </w:r>
    </w:p>
    <w:p>
      <w:pPr>
        <w:spacing w:after="0" w:line="240" w:lineRule="auto"/>
        <w:jc w:val="left"/>
        <w:sectPr>
          <w:pgSz w:w="11910" w:h="16840"/>
          <w:pgMar w:header="852" w:footer="980" w:top="1340" w:bottom="1160" w:left="980" w:right="980"/>
        </w:sectPr>
      </w:pPr>
    </w:p>
    <w:p>
      <w:pPr>
        <w:pStyle w:val="Heading3"/>
        <w:spacing w:line="240" w:lineRule="auto" w:before="59"/>
        <w:ind w:right="94"/>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94"/>
        <w:jc w:val="left"/>
      </w:pP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购建或者生产的资产的各部分分别完工，但必须等到整体完工后才可使用或可对外销售的，在该资产整体完工时停止借款费</w:t>
      </w:r>
      <w:r>
        <w:rPr>
          <w:spacing w:val="-64"/>
        </w:rPr>
        <w:t> </w:t>
      </w:r>
      <w:r>
        <w:rPr>
          <w:spacing w:val="-64"/>
        </w:rPr>
      </w:r>
      <w:r>
        <w:rPr/>
        <w:t>用资本化。</w:t>
      </w:r>
    </w:p>
    <w:p>
      <w:pPr>
        <w:spacing w:line="240" w:lineRule="auto" w:before="9"/>
        <w:rPr>
          <w:rFonts w:ascii="宋体" w:hAnsi="宋体" w:cs="宋体" w:eastAsia="宋体" w:hint="default"/>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192"/>
        <w:jc w:val="both"/>
      </w:pPr>
      <w:r>
        <w:rPr/>
        <w:t>符合资本化条件的资产在购建或生产过程中发生的非正常中断、且中断时间连续超过</w:t>
      </w:r>
      <w:r>
        <w:rPr>
          <w:rFonts w:ascii="宋体" w:hAnsi="宋体" w:cs="宋体" w:eastAsia="宋体" w:hint="default"/>
        </w:rPr>
        <w:t>3</w:t>
      </w:r>
      <w:r>
        <w:rPr/>
        <w:t>个月的，则借款费用暂停资本化；该</w:t>
      </w:r>
      <w:r>
        <w:rPr>
          <w:spacing w:val="-83"/>
        </w:rPr>
        <w:t> </w:t>
      </w:r>
      <w:r>
        <w:rPr>
          <w:spacing w:val="-83"/>
        </w:rPr>
      </w:r>
      <w:r>
        <w:rPr/>
        <w:t>项中断如是所购建或生产的符合资本化条件的资产达到预定可使用状态或者可销售状态必要的程序，则借款费用继续资本</w:t>
      </w:r>
      <w:r>
        <w:rPr>
          <w:spacing w:val="-4"/>
        </w:rPr>
        <w:t> </w:t>
      </w:r>
      <w:r>
        <w:rPr>
          <w:spacing w:val="-4"/>
        </w:rPr>
      </w:r>
      <w:r>
        <w:rPr/>
        <w:t>化。在中断期间发生的借款费用确认为当期损益，直至资产的购建或者生产活动重新开始后借款费用继续资本化。</w:t>
      </w:r>
    </w:p>
    <w:p>
      <w:pPr>
        <w:spacing w:line="240" w:lineRule="auto" w:before="11"/>
        <w:rPr>
          <w:rFonts w:ascii="宋体" w:hAnsi="宋体" w:cs="宋体" w:eastAsia="宋体" w:hint="default"/>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94"/>
        <w:jc w:val="left"/>
      </w:pPr>
      <w:r>
        <w:rPr>
          <w:spacing w:val="-2"/>
        </w:rPr>
        <w:t>对于为购建或者生产符合资本化条件的资产而借入的专门借款，以专门借款当期实际发生的借款费用，减去尚未动用的借款</w:t>
      </w:r>
      <w:r>
        <w:rPr>
          <w:spacing w:val="-64"/>
        </w:rPr>
        <w:t> </w:t>
      </w:r>
      <w:r>
        <w:rPr>
          <w:spacing w:val="-64"/>
        </w:rPr>
      </w:r>
      <w:r>
        <w:rPr/>
        <w:t>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对于为购建或者生产符合资本化条件的资产而占用的一般借款，根据累计资产支出超过专门借款部分的资产支出加权平均数</w:t>
      </w:r>
      <w:r>
        <w:rPr>
          <w:spacing w:val="-64"/>
        </w:rPr>
        <w:t> </w:t>
      </w:r>
      <w:r>
        <w:rPr>
          <w:spacing w:val="-64"/>
        </w:rPr>
      </w:r>
      <w:r>
        <w:rPr>
          <w:spacing w:val="-4"/>
        </w:rPr>
        <w:t>乘以所占用一般借款的资本化率，计算确定一般借款应予资本化的利息金额。资本化率根据一般借款加权平均利率计算确定。</w:t>
      </w:r>
      <w:r>
        <w:rPr>
          <w:spacing w:val="-44"/>
        </w:rPr>
        <w:t> </w:t>
      </w:r>
      <w:r>
        <w:rPr>
          <w:spacing w:val="-44"/>
        </w:rPr>
      </w:r>
      <w:r>
        <w:rPr/>
        <w:t>借款存在折价或者溢价的，按照实际利率法确定每一会计期间应摊销的折价或者溢价金额，调整每期利息金额。</w:t>
      </w:r>
    </w:p>
    <w:p>
      <w:pPr>
        <w:spacing w:line="240" w:lineRule="auto" w:before="11"/>
        <w:rPr>
          <w:rFonts w:ascii="宋体" w:hAnsi="宋体" w:cs="宋体" w:eastAsia="宋体" w:hint="default"/>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94"/>
        <w:jc w:val="left"/>
      </w:pPr>
      <w:r>
        <w:rPr/>
        <w:t>（</w:t>
      </w:r>
      <w:r>
        <w:rPr>
          <w:rFonts w:ascii="宋体" w:hAnsi="宋体" w:cs="宋体" w:eastAsia="宋体" w:hint="default"/>
        </w:rPr>
        <w:t>1</w:t>
      </w:r>
      <w:r>
        <w:rPr/>
        <w:t>）公司取得无形资产时按成本进行初始计量； </w:t>
      </w:r>
      <w:r>
        <w:rPr>
          <w:spacing w:val="-2"/>
        </w:rPr>
        <w:t>外购无形资产的成本，包括购买价款、相关税费以及直接归属于使该项资产达到预定用途所发生的其他支出。购买无形资产</w:t>
      </w:r>
      <w:r>
        <w:rPr>
          <w:spacing w:val="-63"/>
        </w:rPr>
        <w:t> </w:t>
      </w:r>
      <w:r>
        <w:rPr>
          <w:spacing w:val="-63"/>
        </w:rPr>
      </w:r>
      <w:r>
        <w:rPr/>
        <w:t>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债务重组取得债务人用以抵债的无形资产，以该无形资产的公允价值为基础确定其入账价值，并将重组债务的账面价值与该</w:t>
      </w:r>
      <w:r>
        <w:rPr>
          <w:spacing w:val="-64"/>
        </w:rPr>
        <w:t> </w:t>
      </w:r>
      <w:r>
        <w:rPr>
          <w:spacing w:val="-64"/>
        </w:rPr>
      </w:r>
      <w:r>
        <w:rPr/>
        <w:t>用以抵债的无形资产公允价值之间的差额，计入当期损益。 </w:t>
      </w:r>
      <w:r>
        <w:rPr>
          <w:spacing w:val="-2"/>
        </w:rPr>
        <w:t>在非货币性资产交换具备商业实质且换入资产或换出资产的公允价值能够可靠计量的前提下，非货币性资产交换换入的无形</w:t>
      </w:r>
      <w:r>
        <w:rPr>
          <w:spacing w:val="-64"/>
        </w:rPr>
        <w:t> </w:t>
      </w:r>
      <w:r>
        <w:rPr>
          <w:spacing w:val="-64"/>
        </w:rPr>
      </w:r>
      <w:r>
        <w:rPr>
          <w:spacing w:val="-2"/>
        </w:rPr>
        <w:t>资产以换出资产的公允价值为基础确定其入账价值，除非有确凿证据表明换入资产的公允价值更加可靠；不满足上述前提的</w:t>
      </w:r>
      <w:r>
        <w:rPr>
          <w:spacing w:val="-64"/>
        </w:rPr>
        <w:t> </w:t>
      </w:r>
      <w:r>
        <w:rPr>
          <w:spacing w:val="-64"/>
        </w:rPr>
      </w:r>
      <w:r>
        <w:rPr/>
        <w:t>非货币性资产交换，以换出资产的账面价值和应支付的相关税费作为换入无形资产的成本，不确认损益。 </w:t>
      </w:r>
      <w:r>
        <w:rPr>
          <w:spacing w:val="-2"/>
        </w:rPr>
        <w:t>以同一控制下的企业吸收合并方式取得的无形资产按被合并方的账面价值确定其入账价值；以非同一控制下的企业吸收合并</w:t>
      </w:r>
      <w:r>
        <w:rPr>
          <w:spacing w:val="-63"/>
        </w:rPr>
        <w:t> </w:t>
      </w:r>
      <w:r>
        <w:rPr>
          <w:spacing w:val="-63"/>
        </w:rPr>
      </w:r>
      <w:r>
        <w:rPr/>
        <w:t>方式取得的无形资产按公允价值确定其入账价值。 </w:t>
      </w:r>
      <w:r>
        <w:rPr>
          <w:spacing w:val="-2"/>
        </w:rPr>
        <w:t>内部自行开发的无形资产，其成本包括：开发该无形资产时耗用的材料、劳务成本、注册费、在开发过程中使用的其他专利</w:t>
      </w:r>
      <w:r>
        <w:rPr>
          <w:spacing w:val="-67"/>
        </w:rPr>
        <w:t> </w:t>
      </w:r>
      <w:r>
        <w:rPr>
          <w:spacing w:val="-67"/>
        </w:rPr>
      </w:r>
      <w:r>
        <w:rPr/>
        <w:t>权和特许权的摊销以及满足资本化条件的利息费用，以及为使该无形资产达到预定用途前所发生的其他直接费用。</w:t>
      </w:r>
    </w:p>
    <w:p>
      <w:pPr>
        <w:pStyle w:val="BodyText"/>
        <w:spacing w:line="357" w:lineRule="auto" w:before="26"/>
        <w:ind w:right="6574"/>
        <w:jc w:val="left"/>
      </w:pPr>
      <w:r>
        <w:rPr/>
        <w:t>（</w:t>
      </w:r>
      <w:r>
        <w:rPr>
          <w:rFonts w:ascii="宋体" w:hAnsi="宋体" w:cs="宋体" w:eastAsia="宋体" w:hint="default"/>
        </w:rPr>
        <w:t>2</w:t>
      </w:r>
      <w:r>
        <w:rPr/>
        <w:t>）后续计量 在取得无形资产时分析判断其使用寿命。</w:t>
      </w:r>
    </w:p>
    <w:p>
      <w:pPr>
        <w:pStyle w:val="BodyText"/>
        <w:spacing w:line="357" w:lineRule="auto" w:before="26"/>
        <w:ind w:right="94"/>
        <w:jc w:val="left"/>
      </w:pPr>
      <w:r>
        <w:rPr>
          <w:spacing w:val="-2"/>
        </w:rPr>
        <w:t>对于使用寿命有限的无形资产，在为企业带来经济利益的期限内按直线法摊销；无法预见无形资产为企业带来经济利益期限</w:t>
      </w:r>
      <w:r>
        <w:rPr>
          <w:spacing w:val="-64"/>
        </w:rPr>
        <w:t> </w:t>
      </w:r>
      <w:r>
        <w:rPr>
          <w:spacing w:val="-64"/>
        </w:rPr>
      </w:r>
      <w:r>
        <w:rPr/>
        <w:t>的，视为使用寿命不确定的无形资产，不予摊销。</w:t>
      </w:r>
    </w:p>
    <w:p>
      <w:pPr>
        <w:spacing w:after="0" w:line="357" w:lineRule="auto"/>
        <w:jc w:val="left"/>
        <w:sectPr>
          <w:pgSz w:w="11910" w:h="16840"/>
          <w:pgMar w:header="852" w:footer="980" w:top="1340" w:bottom="1160" w:left="980" w:right="940"/>
        </w:sectPr>
      </w:pPr>
    </w:p>
    <w:p>
      <w:pPr>
        <w:pStyle w:val="Heading3"/>
        <w:spacing w:line="240" w:lineRule="auto" w:before="59"/>
        <w:ind w:right="94"/>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4054"/>
        <w:jc w:val="left"/>
      </w:pPr>
      <w:r>
        <w:rPr/>
        <w:t>每期末，对使用寿命有限的无形资产的使用寿命及摊销方法进行复核。 经复核，本年期末无形资产的使用寿命及摊销方法与以前估计未有不同。</w:t>
      </w:r>
    </w:p>
    <w:p>
      <w:pPr>
        <w:spacing w:line="240" w:lineRule="auto" w:before="7"/>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2280"/>
        <w:gridCol w:w="2216"/>
        <w:gridCol w:w="5075"/>
      </w:tblGrid>
      <w:tr>
        <w:trPr>
          <w:trHeight w:val="324"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2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外购软件及许可权</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center"/>
              <w:rPr>
                <w:rFonts w:ascii="Times New Roman" w:hAnsi="Times New Roman" w:cs="Times New Roman" w:eastAsia="Times New Roman" w:hint="default"/>
                <w:sz w:val="18"/>
                <w:szCs w:val="18"/>
              </w:rPr>
            </w:pPr>
            <w:r>
              <w:rPr>
                <w:rFonts w:ascii="Times New Roman"/>
                <w:sz w:val="18"/>
              </w:rPr>
              <w:t>2-5</w:t>
            </w:r>
          </w:p>
        </w:tc>
        <w:tc>
          <w:tcPr>
            <w:tcW w:w="50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自主研发软件</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10</w:t>
            </w:r>
          </w:p>
        </w:tc>
        <w:tc>
          <w:tcPr>
            <w:tcW w:w="50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20-50</w:t>
            </w:r>
          </w:p>
        </w:tc>
        <w:tc>
          <w:tcPr>
            <w:tcW w:w="507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94"/>
        <w:jc w:val="left"/>
      </w:pPr>
      <w:r>
        <w:rPr/>
        <w:t>报告期内公司无使用寿命不确定的无形资产。</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right="94"/>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94"/>
        <w:jc w:val="left"/>
      </w:pPr>
      <w:r>
        <w:rPr/>
        <w:t>对于使用寿命确定的无形资产，如有明显减值迹象的，期末进行减值测试。 对于使用寿命不确定的无形资产，每期末进行减值测试。 </w:t>
      </w:r>
      <w:r>
        <w:rPr>
          <w:spacing w:val="-2"/>
        </w:rPr>
        <w:t>对无形资产进行减值测试，估计其可收回金额。有迹象表明一项无形资产可能发生减值的，公司以单项无形资产为基础估计</w:t>
      </w:r>
      <w:r>
        <w:rPr>
          <w:spacing w:val="-63"/>
        </w:rPr>
        <w:t> </w:t>
      </w:r>
      <w:r>
        <w:rPr>
          <w:spacing w:val="-63"/>
        </w:rPr>
      </w:r>
      <w:r>
        <w:rPr>
          <w:spacing w:val="-2"/>
        </w:rPr>
        <w:t>其可收回金额。公司难以对单项资产的可收回金额进行估计的，以该无形资产所属的资产组为基础确定无形资产组的可收回</w:t>
      </w:r>
      <w:r>
        <w:rPr>
          <w:spacing w:val="-64"/>
        </w:rPr>
        <w:t> </w:t>
      </w:r>
      <w:r>
        <w:rPr>
          <w:spacing w:val="-64"/>
        </w:rPr>
      </w:r>
      <w:r>
        <w:rPr/>
        <w:t>金额。 可收回金额根据无形资产的公允价值减去处置费用后的净额与无形资产预计未来现金流量的现值两者之间较高者确定。 </w:t>
      </w:r>
      <w:r>
        <w:rPr>
          <w:spacing w:val="-2"/>
        </w:rPr>
        <w:t>当无形资产的可收回金额低于其账面价值的，将无形资产的账面价值减记至可收回金额，减记的金额确认为无形资产减值损</w:t>
      </w:r>
      <w:r>
        <w:rPr>
          <w:spacing w:val="-64"/>
        </w:rPr>
        <w:t> </w:t>
      </w:r>
      <w:r>
        <w:rPr>
          <w:spacing w:val="-64"/>
        </w:rPr>
      </w:r>
      <w:r>
        <w:rPr/>
        <w:t>失，计入当期损益，同时计提相应的无形资产减值准备。 无形资产减值损失确认后，减值无形资产的折耗或者摊销费用在未来期间作相应调整，以使该无形资产在剩余使用寿命内， 系统地分摊调整后的无形资产账面价值（扣除预计净残值）。</w:t>
      </w:r>
    </w:p>
    <w:p>
      <w:pPr>
        <w:pStyle w:val="BodyText"/>
        <w:spacing w:line="240" w:lineRule="auto" w:before="26"/>
        <w:ind w:right="94"/>
        <w:jc w:val="left"/>
      </w:pPr>
      <w:r>
        <w:rPr/>
        <w:t>无形资产的减值损失一经确认，在以后会计期间不再转回。</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right="94"/>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10"/>
        <w:rPr>
          <w:rFonts w:ascii="宋体" w:hAnsi="宋体" w:cs="宋体" w:eastAsia="宋体" w:hint="default"/>
          <w:b/>
          <w:bCs/>
          <w:sz w:val="21"/>
          <w:szCs w:val="21"/>
        </w:rPr>
      </w:pPr>
    </w:p>
    <w:p>
      <w:pPr>
        <w:pStyle w:val="BodyText"/>
        <w:spacing w:line="355" w:lineRule="auto"/>
        <w:ind w:right="94"/>
        <w:jc w:val="left"/>
      </w:pPr>
      <w:r>
        <w:rPr/>
        <w:t>公司内部研究开发项目的支出分为研究阶段支出和开发阶段支出。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开发阶段：在进行商业性生产或使用前，将研究成果或其他知识应用于某项计划或设计，以生产出新的或具有实质性改进的</w:t>
      </w:r>
      <w:r>
        <w:rPr>
          <w:spacing w:val="-61"/>
        </w:rPr>
        <w:t> </w:t>
      </w:r>
      <w:r>
        <w:rPr>
          <w:spacing w:val="-61"/>
        </w:rPr>
      </w:r>
      <w:r>
        <w:rPr/>
        <w:t>材料、装置、产品等活动的阶段。</w:t>
      </w:r>
    </w:p>
    <w:p>
      <w:pPr>
        <w:spacing w:line="240" w:lineRule="auto" w:before="0"/>
        <w:rPr>
          <w:rFonts w:ascii="宋体" w:hAnsi="宋体" w:cs="宋体" w:eastAsia="宋体" w:hint="default"/>
          <w:sz w:val="25"/>
          <w:szCs w:val="25"/>
        </w:rPr>
      </w:pPr>
    </w:p>
    <w:p>
      <w:pPr>
        <w:pStyle w:val="Heading3"/>
        <w:spacing w:line="240" w:lineRule="auto"/>
        <w:ind w:right="94"/>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94"/>
        <w:jc w:val="left"/>
      </w:pPr>
      <w:r>
        <w:rPr/>
        <w:t>内部研究开发项目开发阶段的支出，同时满足下列条件时确认为无形资产：</w:t>
      </w:r>
    </w:p>
    <w:p>
      <w:pPr>
        <w:pStyle w:val="BodyText"/>
        <w:spacing w:line="240" w:lineRule="auto" w:before="115"/>
        <w:ind w:right="94"/>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115"/>
        <w:ind w:right="94"/>
        <w:jc w:val="left"/>
      </w:pPr>
      <w:r>
        <w:rPr/>
        <w:t>（</w:t>
      </w:r>
      <w:r>
        <w:rPr>
          <w:rFonts w:ascii="宋体" w:hAnsi="宋体" w:cs="宋体" w:eastAsia="宋体" w:hint="default"/>
        </w:rPr>
        <w:t>2</w:t>
      </w:r>
      <w:r>
        <w:rPr/>
        <w:t>）具有完成该无形资产并使用或出售的意图；</w:t>
      </w:r>
    </w:p>
    <w:p>
      <w:pPr>
        <w:pStyle w:val="BodyText"/>
        <w:spacing w:line="357" w:lineRule="auto" w:before="115"/>
        <w:ind w:right="184"/>
        <w:jc w:val="left"/>
      </w:pPr>
      <w:r>
        <w:rPr/>
        <w:t>（</w:t>
      </w:r>
      <w:r>
        <w:rPr>
          <w:rFonts w:ascii="宋体" w:hAnsi="宋体" w:cs="宋体" w:eastAsia="宋体" w:hint="default"/>
        </w:rPr>
        <w:t>3</w:t>
      </w:r>
      <w:r>
        <w:rPr/>
        <w:t>）无形资产产生经济利益的方式，包括能够证明运用该无形资产生产的产品存在市场或无形资产自身存在市场，无形资</w:t>
      </w:r>
      <w:r>
        <w:rPr>
          <w:spacing w:val="-84"/>
        </w:rPr>
        <w:t> </w:t>
      </w:r>
      <w:r>
        <w:rPr>
          <w:spacing w:val="-84"/>
        </w:rPr>
      </w:r>
      <w:r>
        <w:rPr/>
        <w:t>产将在内部使用的，能够证明其有用性；</w:t>
      </w:r>
    </w:p>
    <w:p>
      <w:pPr>
        <w:pStyle w:val="BodyText"/>
        <w:spacing w:line="240" w:lineRule="auto" w:before="26"/>
        <w:ind w:right="94"/>
        <w:jc w:val="left"/>
      </w:pPr>
      <w:r>
        <w:rPr/>
        <w:t>（</w:t>
      </w:r>
      <w:r>
        <w:rPr>
          <w:rFonts w:ascii="宋体" w:hAnsi="宋体" w:cs="宋体" w:eastAsia="宋体" w:hint="default"/>
        </w:rPr>
        <w:t>4</w:t>
      </w:r>
      <w:r>
        <w:rPr/>
        <w:t>）有足够的技术、财务资源和其他资源支持，以完成该无形资产的开发，并有能力使用或出售该无形资产；</w:t>
      </w:r>
    </w:p>
    <w:p>
      <w:pPr>
        <w:spacing w:after="0" w:line="240" w:lineRule="auto"/>
        <w:jc w:val="left"/>
        <w:sectPr>
          <w:pgSz w:w="11910" w:h="16840"/>
          <w:pgMar w:header="852" w:footer="980" w:top="1340" w:bottom="1160" w:left="980" w:right="940"/>
        </w:sectPr>
      </w:pPr>
    </w:p>
    <w:p>
      <w:pPr>
        <w:pStyle w:val="BodyText"/>
        <w:spacing w:line="357" w:lineRule="auto" w:before="61"/>
        <w:ind w:right="1134"/>
        <w:jc w:val="left"/>
      </w:pPr>
      <w:r>
        <w:rPr/>
        <w:t>（</w:t>
      </w:r>
      <w:r>
        <w:rPr>
          <w:rFonts w:ascii="宋体" w:hAnsi="宋体" w:cs="宋体" w:eastAsia="宋体" w:hint="default"/>
        </w:rPr>
        <w:t>5</w:t>
      </w:r>
      <w:r>
        <w:rPr/>
        <w:t>）归属于该无形资产开发阶段的支出能够可靠地计量。 开发阶段的支出，若不满足上列条件的，于发生时计入当期损益。研究阶段的支出，在发生时计入当期损益。</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2754"/>
        <w:jc w:val="left"/>
      </w:pPr>
      <w:r>
        <w:rPr/>
        <w:t>长期待摊费用为已经发生但应由本期和以后各期负担的分摊期限在一年以上的各项费用。 </w:t>
      </w:r>
      <w:r>
        <w:rPr>
          <w:rFonts w:ascii="宋体" w:hAnsi="宋体" w:cs="宋体" w:eastAsia="宋体" w:hint="default"/>
        </w:rPr>
        <w:t>1</w:t>
      </w:r>
      <w:r>
        <w:rPr/>
        <w:t>、摊销方法</w:t>
      </w:r>
    </w:p>
    <w:p>
      <w:pPr>
        <w:pStyle w:val="BodyText"/>
        <w:spacing w:line="355" w:lineRule="auto" w:before="26"/>
        <w:ind w:right="7074"/>
        <w:jc w:val="left"/>
      </w:pPr>
      <w:r>
        <w:rPr/>
        <w:t>长期待摊费用在受益期内平均摊销 </w:t>
      </w:r>
      <w:r>
        <w:rPr>
          <w:rFonts w:ascii="宋体" w:hAnsi="宋体" w:cs="宋体" w:eastAsia="宋体" w:hint="default"/>
        </w:rPr>
        <w:t>2</w:t>
      </w:r>
      <w:r>
        <w:rPr/>
        <w:t>、摊销年限</w:t>
      </w:r>
    </w:p>
    <w:p>
      <w:pPr>
        <w:pStyle w:val="BodyText"/>
        <w:spacing w:line="240" w:lineRule="auto" w:before="28"/>
        <w:ind w:right="0"/>
        <w:jc w:val="left"/>
      </w:pPr>
      <w:r>
        <w:rPr/>
        <w:t>经营租赁方式租入的固定资产改良支出，按最佳预期经济利益实现方式合理摊销。</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19</w:t>
      </w:r>
      <w:r>
        <w:rPr/>
        <w:t>、预计负债</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0"/>
        <w:jc w:val="left"/>
      </w:pPr>
      <w:r>
        <w:rPr>
          <w:spacing w:val="-2"/>
        </w:rPr>
        <w:t>本公司涉及诉讼、债务担保、亏损合同、重组事项时，如该等事项很可能需要未来以交付资产或提供劳务、其金额能够可靠</w:t>
      </w:r>
      <w:r>
        <w:rPr>
          <w:spacing w:val="-67"/>
        </w:rPr>
        <w:t> </w:t>
      </w:r>
      <w:r>
        <w:rPr>
          <w:spacing w:val="-67"/>
        </w:rPr>
      </w:r>
      <w:r>
        <w:rPr/>
        <w:t>计量的，确认为预计负债。</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与或有事项相关的义务同时满足下列条件时，本公司确认为预计负债：</w:t>
      </w:r>
    </w:p>
    <w:p>
      <w:pPr>
        <w:pStyle w:val="BodyText"/>
        <w:spacing w:line="240" w:lineRule="auto" w:before="115"/>
        <w:ind w:right="0"/>
        <w:jc w:val="left"/>
      </w:pPr>
      <w:r>
        <w:rPr/>
        <w:t>（</w:t>
      </w:r>
      <w:r>
        <w:rPr>
          <w:rFonts w:ascii="宋体" w:hAnsi="宋体" w:cs="宋体" w:eastAsia="宋体" w:hint="default"/>
        </w:rPr>
        <w:t>1</w:t>
      </w:r>
      <w:r>
        <w:rPr/>
        <w:t>）该义务是本公司承担的现时义务；</w:t>
      </w:r>
    </w:p>
    <w:p>
      <w:pPr>
        <w:pStyle w:val="BodyText"/>
        <w:spacing w:line="240" w:lineRule="auto" w:before="115"/>
        <w:ind w:right="0"/>
        <w:jc w:val="left"/>
      </w:pPr>
      <w:r>
        <w:rPr/>
        <w:t>（</w:t>
      </w:r>
      <w:r>
        <w:rPr>
          <w:rFonts w:ascii="宋体" w:hAnsi="宋体" w:cs="宋体" w:eastAsia="宋体" w:hint="default"/>
        </w:rPr>
        <w:t>2</w:t>
      </w:r>
      <w:r>
        <w:rPr/>
        <w:t>）履行该义务很可能导致经济利益流出本公司；</w:t>
      </w:r>
    </w:p>
    <w:p>
      <w:pPr>
        <w:pStyle w:val="BodyText"/>
        <w:spacing w:line="240" w:lineRule="auto" w:before="115"/>
        <w:ind w:right="0"/>
        <w:jc w:val="left"/>
      </w:pPr>
      <w:r>
        <w:rPr/>
        <w:t>（</w:t>
      </w:r>
      <w:r>
        <w:rPr>
          <w:rFonts w:ascii="宋体" w:hAnsi="宋体" w:cs="宋体" w:eastAsia="宋体" w:hint="default"/>
        </w:rPr>
        <w:t>3</w:t>
      </w:r>
      <w:r>
        <w:rPr/>
        <w:t>）该义务的金额能够可靠地计量。</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7"/>
        <w:rPr>
          <w:rFonts w:ascii="宋体" w:hAnsi="宋体" w:cs="宋体" w:eastAsia="宋体" w:hint="default"/>
          <w:b/>
          <w:bCs/>
          <w:sz w:val="21"/>
          <w:szCs w:val="21"/>
        </w:rPr>
      </w:pPr>
    </w:p>
    <w:p>
      <w:pPr>
        <w:pStyle w:val="BodyText"/>
        <w:spacing w:line="357" w:lineRule="auto"/>
        <w:ind w:right="0"/>
        <w:jc w:val="left"/>
      </w:pPr>
      <w:r>
        <w:rPr/>
        <w:t>本公司预计负债按履行相关现时义务所需的支出的最佳估计数进行初始计量。 </w:t>
      </w:r>
      <w:r>
        <w:rPr>
          <w:spacing w:val="-2"/>
        </w:rPr>
        <w:t>本公司在确定最佳估计数时，综合考虑与或有事项有关的风险、不确定性和货币时间价值等因素。对于货币时间价值影响重</w:t>
      </w:r>
      <w:r>
        <w:rPr>
          <w:spacing w:val="-63"/>
        </w:rPr>
        <w:t> </w:t>
      </w:r>
      <w:r>
        <w:rPr>
          <w:spacing w:val="-63"/>
        </w:rPr>
      </w:r>
      <w:r>
        <w:rPr/>
        <w:t>大的，通过对相关未来现金流出进行折现后确定最佳估计数。</w:t>
      </w:r>
    </w:p>
    <w:p>
      <w:pPr>
        <w:pStyle w:val="BodyText"/>
        <w:spacing w:line="357" w:lineRule="auto" w:before="26"/>
        <w:ind w:right="0"/>
        <w:jc w:val="left"/>
      </w:pPr>
      <w:r>
        <w:rPr/>
        <w:t>最佳估计数分别以下情况处理： </w:t>
      </w:r>
      <w:r>
        <w:rPr>
          <w:spacing w:val="-2"/>
        </w:rPr>
        <w:t>所需支出存在一个连续范围（或区间），且该范围内各种结果发生的可能性相同的，则最佳估计数按照该范围的中间值即上</w:t>
      </w:r>
      <w:r>
        <w:rPr>
          <w:spacing w:val="-64"/>
        </w:rPr>
        <w:t> </w:t>
      </w:r>
      <w:r>
        <w:rPr>
          <w:spacing w:val="-64"/>
        </w:rPr>
      </w:r>
      <w:r>
        <w:rPr/>
        <w:t>下限金额的平均数确定。 </w:t>
      </w:r>
      <w:r>
        <w:rPr>
          <w:spacing w:val="-2"/>
        </w:rPr>
        <w:t>所需支出不存在一个连续范围（或区间），或虽然存在一个连续范围但该范围内各种结果发生的可能性不相同的，如或有事</w:t>
      </w:r>
      <w:r>
        <w:rPr>
          <w:spacing w:val="-66"/>
        </w:rPr>
        <w:t> </w:t>
      </w:r>
      <w:r>
        <w:rPr>
          <w:spacing w:val="-66"/>
        </w:rPr>
      </w:r>
      <w:r>
        <w:rPr>
          <w:spacing w:val="-2"/>
        </w:rPr>
        <w:t>项涉及单个项目的，则最佳估计数按照最可能发生金额确定；如或有事项涉及多个项目的，则最佳估计数按各种可能结果及</w:t>
      </w:r>
      <w:r>
        <w:rPr>
          <w:spacing w:val="-63"/>
        </w:rPr>
        <w:t> </w:t>
      </w:r>
      <w:r>
        <w:rPr>
          <w:spacing w:val="-63"/>
        </w:rPr>
      </w:r>
      <w:r>
        <w:rPr/>
        <w:t>相关概率计算确定。 </w:t>
      </w:r>
      <w:r>
        <w:rPr>
          <w:spacing w:val="-2"/>
        </w:rPr>
        <w:t>本公司清偿预计负债所需支出全部或部分预期由第三方补偿的，补偿金额在基本确定能够收到时，作为资产单独确认，确认</w:t>
      </w:r>
      <w:r>
        <w:rPr>
          <w:spacing w:val="-65"/>
        </w:rPr>
        <w:t> </w:t>
      </w:r>
      <w:r>
        <w:rPr>
          <w:spacing w:val="-65"/>
        </w:rPr>
      </w:r>
      <w:r>
        <w:rPr/>
        <w:t>的补偿金额不超过预计负债的账面价值。</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20</w:t>
      </w:r>
      <w:r>
        <w:rPr/>
        <w:t>、股份支付及权益工具</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9"/>
        <w:rPr>
          <w:rFonts w:ascii="宋体" w:hAnsi="宋体" w:cs="宋体" w:eastAsia="宋体" w:hint="default"/>
          <w:b/>
          <w:bCs/>
          <w:sz w:val="21"/>
          <w:szCs w:val="21"/>
        </w:rPr>
      </w:pPr>
    </w:p>
    <w:p>
      <w:pPr>
        <w:pStyle w:val="BodyText"/>
        <w:spacing w:line="357" w:lineRule="auto"/>
        <w:ind w:right="0"/>
        <w:jc w:val="left"/>
      </w:pPr>
      <w:r>
        <w:rPr>
          <w:spacing w:val="-2"/>
        </w:rPr>
        <w:t>本公司的股份支付是为了获取职工提供服务而授予权益工具或者承担以权益工具为基础确定的负债的交易。本公司的股份支</w:t>
      </w:r>
      <w:r>
        <w:rPr>
          <w:spacing w:val="-64"/>
        </w:rPr>
        <w:t> </w:t>
      </w:r>
      <w:r>
        <w:rPr>
          <w:spacing w:val="-64"/>
        </w:rPr>
      </w:r>
      <w:r>
        <w:rPr/>
        <w:t>付分为以权益结算的股份支付和以现金结算的股份支付。</w:t>
      </w:r>
    </w:p>
    <w:p>
      <w:pPr>
        <w:spacing w:after="0" w:line="357" w:lineRule="auto"/>
        <w:jc w:val="left"/>
        <w:sectPr>
          <w:pgSz w:w="11910" w:h="16840"/>
          <w:pgMar w:header="852" w:footer="980" w:top="1340" w:bottom="1160" w:left="980" w:right="980"/>
        </w:sectPr>
      </w:pPr>
    </w:p>
    <w:p>
      <w:pPr>
        <w:pStyle w:val="Heading3"/>
        <w:spacing w:line="240" w:lineRule="auto" w:before="59"/>
        <w:ind w:right="94"/>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190"/>
        <w:jc w:val="both"/>
      </w:pPr>
      <w:r>
        <w:rPr>
          <w:spacing w:val="-2"/>
        </w:rPr>
        <w:t>以权益结算的股份支付换取职工提供服务的，以授予职工权益工具的公允价值计量。授予后立即可行权的，在授予日按照公</w:t>
      </w:r>
      <w:r>
        <w:rPr>
          <w:spacing w:val="-63"/>
        </w:rPr>
        <w:t> </w:t>
      </w:r>
      <w:r>
        <w:rPr>
          <w:spacing w:val="-63"/>
        </w:rPr>
      </w:r>
      <w:r>
        <w:rPr>
          <w:spacing w:val="-2"/>
        </w:rPr>
        <w:t>允价值计入相关成本或费用，相应增加资本公积；完成等待期内的服务或达到规定业绩条件才可行权的，在等待期内每个资</w:t>
      </w:r>
      <w:r>
        <w:rPr>
          <w:spacing w:val="-63"/>
        </w:rPr>
        <w:t> </w:t>
      </w:r>
      <w:r>
        <w:rPr>
          <w:spacing w:val="-63"/>
        </w:rPr>
      </w:r>
      <w:r>
        <w:rPr>
          <w:spacing w:val="-2"/>
        </w:rPr>
        <w:t>产负债表日，本公司根据最新取得的可行权职工人数变动、是否达到规定业绩条件等后续信息对可行权权益工具数量作出最</w:t>
      </w:r>
      <w:r>
        <w:rPr>
          <w:spacing w:val="-63"/>
        </w:rPr>
        <w:t> </w:t>
      </w:r>
      <w:r>
        <w:rPr>
          <w:spacing w:val="-63"/>
        </w:rPr>
      </w:r>
      <w:r>
        <w:rPr>
          <w:spacing w:val="-2"/>
        </w:rPr>
        <w:t>佳估计，以此为基础，按照授予日的公允价值，将当期取得的服务计入相关成本或费用，相应增加资本公积。权益工具的公</w:t>
      </w:r>
      <w:r>
        <w:rPr>
          <w:spacing w:val="-67"/>
        </w:rPr>
        <w:t> </w:t>
      </w:r>
      <w:r>
        <w:rPr>
          <w:spacing w:val="-67"/>
        </w:rPr>
      </w:r>
      <w:r>
        <w:rPr/>
        <w:t>允价值采用</w:t>
      </w:r>
      <w:r>
        <w:rPr>
          <w:rFonts w:ascii="宋体" w:hAnsi="宋体" w:cs="宋体" w:eastAsia="宋体" w:hint="default"/>
        </w:rPr>
        <w:t>Black-Scholes</w:t>
      </w:r>
      <w:r>
        <w:rPr/>
        <w:t>模型确定，详见附注七股份支付。</w:t>
      </w:r>
    </w:p>
    <w:p>
      <w:pPr>
        <w:spacing w:line="240" w:lineRule="auto" w:before="9"/>
        <w:rPr>
          <w:rFonts w:ascii="宋体" w:hAnsi="宋体" w:cs="宋体" w:eastAsia="宋体" w:hint="default"/>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94"/>
        <w:jc w:val="left"/>
      </w:pPr>
      <w:r>
        <w:rPr>
          <w:spacing w:val="-4"/>
        </w:rPr>
        <w:t>在满足业绩条件或服务期限条件的期间，应确认以权益结算的股份支付的成本或费用，并相应增加资本公积。可行权日之前，</w:t>
      </w:r>
      <w:r>
        <w:rPr>
          <w:spacing w:val="-44"/>
        </w:rPr>
        <w:t> </w:t>
      </w:r>
      <w:r>
        <w:rPr>
          <w:spacing w:val="-44"/>
        </w:rPr>
      </w:r>
      <w:r>
        <w:rPr/>
        <w:t>于每个资产负债表日为以权益结算的股份支付确认的累计金额反映了等待期已届满的部分以及本公司对最终可行权的权益</w:t>
      </w:r>
      <w:r>
        <w:rPr>
          <w:spacing w:val="-11"/>
        </w:rPr>
        <w:t> </w:t>
      </w:r>
      <w:r>
        <w:rPr>
          <w:spacing w:val="-11"/>
        </w:rPr>
      </w:r>
      <w:r>
        <w:rPr/>
        <w:t>工具数量的最佳估计。</w:t>
      </w:r>
    </w:p>
    <w:p>
      <w:pPr>
        <w:spacing w:line="240" w:lineRule="auto" w:before="11"/>
        <w:rPr>
          <w:rFonts w:ascii="宋体" w:hAnsi="宋体" w:cs="宋体" w:eastAsia="宋体" w:hint="default"/>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94"/>
        <w:jc w:val="left"/>
      </w:pPr>
      <w:r>
        <w:rPr>
          <w:spacing w:val="-2"/>
        </w:rPr>
        <w:t>对于最终未能行权的股份支付，不确认成本或费用，除非行权条件是市场条件或非可行权条件，此时无论是否满足市场条件</w:t>
      </w:r>
      <w:r>
        <w:rPr>
          <w:spacing w:val="-66"/>
        </w:rPr>
        <w:t> </w:t>
      </w:r>
      <w:r>
        <w:rPr>
          <w:spacing w:val="-66"/>
        </w:rPr>
      </w:r>
      <w:r>
        <w:rPr/>
        <w:t>或非可行权条件，只要满足所有可行权条件中的非市场条件，即视为可行权。 </w:t>
      </w:r>
      <w:r>
        <w:rPr>
          <w:spacing w:val="-2"/>
        </w:rPr>
        <w:t>如果修改了以权益结算的股份支付的条款，至少按照未修改条款的情况确认取得的服务。此外，任何增加所授予权益工具公</w:t>
      </w:r>
      <w:r>
        <w:rPr>
          <w:spacing w:val="-63"/>
        </w:rPr>
        <w:t> </w:t>
      </w:r>
      <w:r>
        <w:rPr>
          <w:spacing w:val="-63"/>
        </w:rPr>
      </w:r>
      <w:r>
        <w:rPr/>
        <w:t>允价值的修改，或在修改日对职工有利的变更，均确认取得服务的增加。 </w:t>
      </w:r>
      <w:r>
        <w:rPr>
          <w:spacing w:val="-2"/>
        </w:rPr>
        <w:t>如果取消了以权益结算的股份支付，则于取消日作为加速行权处理，立即确认尚未确认的金额。职工或其他方能够选择满足</w:t>
      </w:r>
      <w:r>
        <w:rPr>
          <w:spacing w:val="-63"/>
        </w:rPr>
        <w:t> </w:t>
      </w:r>
      <w:r>
        <w:rPr>
          <w:spacing w:val="-63"/>
        </w:rPr>
      </w:r>
      <w:r>
        <w:rPr>
          <w:spacing w:val="-2"/>
        </w:rPr>
        <w:t>非可行权条件但在等待期内未满足的，作为取消以权益结算的股份支付处理。但是，如果授予新的权益工具，并在新权益工</w:t>
      </w:r>
      <w:r>
        <w:rPr>
          <w:spacing w:val="-64"/>
        </w:rPr>
        <w:t> </w:t>
      </w:r>
      <w:r>
        <w:rPr>
          <w:spacing w:val="-64"/>
        </w:rPr>
      </w:r>
      <w:r>
        <w:rPr>
          <w:spacing w:val="-2"/>
        </w:rPr>
        <w:t>具授予日认定所授予的新权益工具是用于替代被取消的权益工具的，则以与处理原权益工具条款和条件修改相同的方式，对</w:t>
      </w:r>
      <w:r>
        <w:rPr>
          <w:spacing w:val="-64"/>
        </w:rPr>
        <w:t> </w:t>
      </w:r>
      <w:r>
        <w:rPr>
          <w:spacing w:val="-64"/>
        </w:rPr>
      </w:r>
      <w:r>
        <w:rPr/>
        <w:t>所授予的替代权益工具进行处理。</w:t>
      </w:r>
    </w:p>
    <w:p>
      <w:pPr>
        <w:spacing w:line="240" w:lineRule="auto" w:before="11"/>
        <w:rPr>
          <w:rFonts w:ascii="宋体" w:hAnsi="宋体" w:cs="宋体" w:eastAsia="宋体" w:hint="default"/>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21</w:t>
      </w:r>
      <w:r>
        <w:rPr/>
        <w:t>、收入</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424" w:right="94"/>
        <w:jc w:val="left"/>
      </w:pPr>
      <w:r>
        <w:rPr/>
        <w:t>公司收入在交易结果能够可靠估计时，按以下原则确认：</w:t>
      </w:r>
    </w:p>
    <w:p>
      <w:pPr>
        <w:pStyle w:val="BodyText"/>
        <w:spacing w:line="357" w:lineRule="auto" w:before="115"/>
        <w:ind w:right="94" w:firstLine="271"/>
        <w:jc w:val="left"/>
      </w:pPr>
      <w:r>
        <w:rPr>
          <w:spacing w:val="-2"/>
        </w:rPr>
        <w:t>（</w:t>
      </w:r>
      <w:r>
        <w:rPr>
          <w:rFonts w:ascii="宋体" w:hAnsi="宋体" w:cs="宋体" w:eastAsia="宋体" w:hint="default"/>
          <w:spacing w:val="-2"/>
        </w:rPr>
        <w:t>1</w:t>
      </w:r>
      <w:r>
        <w:rPr>
          <w:spacing w:val="-2"/>
        </w:rPr>
        <w:t>）软件产品开发与销售：软件产品包括自主开发软件产品和定制开发软件产品。自主开发软件产品指公司自行开发研</w:t>
      </w:r>
      <w:r>
        <w:rPr/>
        <w:t> 制的软件产品；定制开发软件产品指公司根据买方的实际需求进行定制、开发的软件产品。对于自主开发软件产品的销售， </w:t>
      </w:r>
      <w:r>
        <w:rPr>
          <w:spacing w:val="-2"/>
        </w:rPr>
        <w:t>公司在软件产品的主要风险和报酬已转移给买方，不再保留与之相联系的管理权和控制权，取得明确的收款证据，相关成本</w:t>
      </w:r>
      <w:r>
        <w:rPr>
          <w:spacing w:val="-66"/>
        </w:rPr>
        <w:t> </w:t>
      </w:r>
      <w:r>
        <w:rPr>
          <w:spacing w:val="-66"/>
        </w:rPr>
      </w:r>
      <w:r>
        <w:rPr>
          <w:spacing w:val="-2"/>
        </w:rPr>
        <w:t>能够可靠地计量时，确认收入。对于定制开发软件产品，经客户验收确认，按完工百分比确认收入。对于包含在系统集成中</w:t>
      </w:r>
      <w:r>
        <w:rPr>
          <w:spacing w:val="-67"/>
        </w:rPr>
        <w:t> </w:t>
      </w:r>
      <w:r>
        <w:rPr>
          <w:spacing w:val="-67"/>
        </w:rPr>
      </w:r>
      <w:r>
        <w:rPr/>
        <w:t>的软件产品，按系统集成的收入确认原则确认收入。</w:t>
      </w:r>
    </w:p>
    <w:p>
      <w:pPr>
        <w:pStyle w:val="BodyText"/>
        <w:spacing w:line="355" w:lineRule="auto" w:before="27"/>
        <w:ind w:right="93" w:firstLine="271"/>
        <w:jc w:val="left"/>
      </w:pPr>
      <w:r>
        <w:rPr/>
        <w:t>（</w:t>
      </w:r>
      <w:r>
        <w:rPr>
          <w:rFonts w:ascii="宋体" w:hAnsi="宋体" w:cs="宋体" w:eastAsia="宋体" w:hint="default"/>
        </w:rPr>
        <w:t>2</w:t>
      </w:r>
      <w:r>
        <w:rPr/>
        <w:t>）技术服务收入：技术服务包括公司向客户提供的与</w:t>
      </w:r>
      <w:r>
        <w:rPr>
          <w:rFonts w:ascii="宋体" w:hAnsi="宋体" w:cs="宋体" w:eastAsia="宋体" w:hint="default"/>
        </w:rPr>
        <w:t>IT</w:t>
      </w:r>
      <w:r>
        <w:rPr/>
        <w:t>运维管理相关的技术支持、技术咨询、技术开发、系统维护、 </w:t>
      </w:r>
      <w:r>
        <w:rPr>
          <w:spacing w:val="-2"/>
        </w:rPr>
        <w:t>运营管理等服务内容。公司在已根据合同约定提供了相应服务，取得明确的收款证据，相关成本能够可靠地计量时，确认收</w:t>
      </w:r>
      <w:r>
        <w:rPr>
          <w:spacing w:val="-64"/>
        </w:rPr>
        <w:t> </w:t>
      </w:r>
      <w:r>
        <w:rPr>
          <w:spacing w:val="-64"/>
        </w:rPr>
      </w:r>
      <w:r>
        <w:rPr/>
        <w:t>入。合同明确约定服务期限的，在合同约定的服务期限内，按进度确认收入；合同明确约定服务成果需经客户验收确认的， 根据客户验收情况确认收入。</w:t>
      </w:r>
    </w:p>
    <w:p>
      <w:pPr>
        <w:pStyle w:val="BodyText"/>
        <w:spacing w:line="357" w:lineRule="auto" w:before="28"/>
        <w:ind w:right="94" w:firstLine="271"/>
        <w:jc w:val="left"/>
      </w:pPr>
      <w:r>
        <w:rPr>
          <w:spacing w:val="-4"/>
        </w:rPr>
        <w:t>（</w:t>
      </w:r>
      <w:r>
        <w:rPr>
          <w:rFonts w:ascii="宋体" w:hAnsi="宋体" w:cs="宋体" w:eastAsia="宋体" w:hint="default"/>
          <w:spacing w:val="-4"/>
        </w:rPr>
        <w:t>3</w:t>
      </w:r>
      <w:r>
        <w:rPr>
          <w:spacing w:val="-4"/>
        </w:rPr>
        <w:t>）系统集成收入：系统集成包括外购软硬件产品和公司软件产品的销售及安装。对于系统集成，公司根据合同的约定，</w:t>
      </w:r>
      <w:r>
        <w:rPr/>
        <w:t> </w:t>
      </w:r>
      <w:r>
        <w:rPr>
          <w:spacing w:val="-2"/>
        </w:rPr>
        <w:t>在系统集成中的外购软硬件产品和公司软件产品的主要风险和报酬已转移给买方，不再保留与之相联系的继续管理权和控制</w:t>
      </w:r>
      <w:r>
        <w:rPr>
          <w:spacing w:val="-64"/>
        </w:rPr>
        <w:t> </w:t>
      </w:r>
      <w:r>
        <w:rPr>
          <w:spacing w:val="-64"/>
        </w:rPr>
      </w:r>
      <w:r>
        <w:rPr/>
        <w:t>权，系统已按合同约定的条件安装调试、取得了买方的验收确认，相关成本能够可靠地计量时，按完工百分比确认收入。</w:t>
      </w:r>
    </w:p>
    <w:p>
      <w:pPr>
        <w:pStyle w:val="BodyText"/>
        <w:spacing w:line="357" w:lineRule="auto" w:before="26"/>
        <w:ind w:left="424" w:right="94"/>
        <w:jc w:val="left"/>
      </w:pPr>
      <w:r>
        <w:rPr/>
        <w:t>（</w:t>
      </w:r>
      <w:r>
        <w:rPr>
          <w:rFonts w:ascii="宋体" w:hAnsi="宋体" w:cs="宋体" w:eastAsia="宋体" w:hint="default"/>
        </w:rPr>
        <w:t>4</w:t>
      </w:r>
      <w:r>
        <w:rPr/>
        <w:t>）完工百分比的确认方法：完工百分比 </w:t>
      </w:r>
      <w:r>
        <w:rPr>
          <w:rFonts w:ascii="宋体" w:hAnsi="宋体" w:cs="宋体" w:eastAsia="宋体" w:hint="default"/>
        </w:rPr>
        <w:t>= </w:t>
      </w:r>
      <w:r>
        <w:rPr/>
        <w:t>（ 已发生工时 ÷ 项目总工时 ） ×</w:t>
      </w:r>
      <w:r>
        <w:rPr>
          <w:spacing w:val="-1"/>
        </w:rPr>
        <w:t> </w:t>
      </w:r>
      <w:r>
        <w:rPr>
          <w:rFonts w:ascii="宋体" w:hAnsi="宋体" w:cs="宋体" w:eastAsia="宋体" w:hint="default"/>
        </w:rPr>
        <w:t>100% </w:t>
      </w:r>
      <w:r>
        <w:rPr>
          <w:spacing w:val="-2"/>
        </w:rPr>
        <w:t>上述交易如交易结果不能够可靠估计的，分别下列情况处理：（</w:t>
      </w:r>
      <w:r>
        <w:rPr>
          <w:rFonts w:ascii="宋体" w:hAnsi="宋体" w:cs="宋体" w:eastAsia="宋体" w:hint="default"/>
          <w:spacing w:val="-2"/>
        </w:rPr>
        <w:t>1</w:t>
      </w:r>
      <w:r>
        <w:rPr>
          <w:spacing w:val="-2"/>
        </w:rPr>
        <w:t>）已经发生的成本预计能够得到补偿的，按照已经发生</w:t>
      </w:r>
    </w:p>
    <w:p>
      <w:pPr>
        <w:spacing w:after="0" w:line="357" w:lineRule="auto"/>
        <w:jc w:val="left"/>
        <w:sectPr>
          <w:pgSz w:w="11910" w:h="16840"/>
          <w:pgMar w:header="852" w:footer="980" w:top="1340" w:bottom="1160" w:left="980" w:right="940"/>
        </w:sectPr>
      </w:pPr>
    </w:p>
    <w:p>
      <w:pPr>
        <w:pStyle w:val="BodyText"/>
        <w:spacing w:line="357" w:lineRule="auto" w:before="61"/>
        <w:ind w:right="184"/>
        <w:jc w:val="left"/>
      </w:pPr>
      <w:r>
        <w:rPr/>
        <w:t>的成本金额确认收入，并按相同金额结转成本。（</w:t>
      </w:r>
      <w:r>
        <w:rPr>
          <w:rFonts w:ascii="宋体" w:hAnsi="宋体" w:cs="宋体" w:eastAsia="宋体" w:hint="default"/>
        </w:rPr>
        <w:t>2</w:t>
      </w:r>
      <w:r>
        <w:rPr/>
        <w:t>）已经发生的成本预计不能够得到补偿的，将已经发生的成本计入当期</w:t>
      </w:r>
      <w:r>
        <w:rPr>
          <w:spacing w:val="-83"/>
        </w:rPr>
        <w:t> </w:t>
      </w:r>
      <w:r>
        <w:rPr>
          <w:spacing w:val="-83"/>
        </w:rPr>
      </w:r>
      <w:r>
        <w:rPr/>
        <w:t>损益，不确认收入。</w:t>
      </w:r>
    </w:p>
    <w:p>
      <w:pPr>
        <w:spacing w:line="240" w:lineRule="auto" w:before="11"/>
        <w:rPr>
          <w:rFonts w:ascii="宋体" w:hAnsi="宋体" w:cs="宋体" w:eastAsia="宋体" w:hint="default"/>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22</w:t>
      </w:r>
      <w:r>
        <w:rPr/>
        <w:t>、政府补助</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政府补助，是本公司从政府无偿取得的货币性资产与非货币性资产。分为与资产相关的政府补助和与收益相关的政府补助。</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94"/>
        <w:jc w:val="left"/>
      </w:pPr>
      <w:r>
        <w:rPr>
          <w:spacing w:val="-2"/>
        </w:rPr>
        <w:t>与购建固定资产、无形资产等长期资产相关的政府补助，确认为递延收益，按照所建造或购买的资产使用年限分期计入营业</w:t>
      </w:r>
      <w:r>
        <w:rPr>
          <w:spacing w:val="-61"/>
        </w:rPr>
        <w:t> </w:t>
      </w:r>
      <w:r>
        <w:rPr>
          <w:spacing w:val="-61"/>
        </w:rPr>
      </w:r>
      <w:r>
        <w:rPr/>
        <w:t>外收入； </w:t>
      </w:r>
      <w:r>
        <w:rPr>
          <w:spacing w:val="-2"/>
        </w:rPr>
        <w:t>与收益相关的政府补助，用于补偿企业以后期间的相关费用或损失的，取得时确认为递延收益，在确认相关费用的期间计入</w:t>
      </w:r>
      <w:r>
        <w:rPr>
          <w:spacing w:val="-63"/>
        </w:rPr>
        <w:t> </w:t>
      </w:r>
      <w:r>
        <w:rPr>
          <w:spacing w:val="-63"/>
        </w:rPr>
      </w:r>
      <w:r>
        <w:rPr/>
        <w:t>当期营业外收入；用于补偿企业已发生的相关费用或损失的，取得时直接计入当期营业外收入。</w:t>
      </w:r>
    </w:p>
    <w:p>
      <w:pPr>
        <w:spacing w:line="240" w:lineRule="auto" w:before="11"/>
        <w:rPr>
          <w:rFonts w:ascii="宋体" w:hAnsi="宋体" w:cs="宋体" w:eastAsia="宋体" w:hint="default"/>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23</w:t>
      </w:r>
      <w:r>
        <w:rPr/>
        <w:t>、递延所得税资产和递延所得税负债</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94"/>
        <w:jc w:val="left"/>
      </w:pPr>
      <w:r>
        <w:rPr/>
        <w:t>对于可抵扣暂时性差异确认递延所得税资产，以未来期间很可能取得的用来抵扣可抵扣暂时性差异的应纳税所得额为限。</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94"/>
        <w:jc w:val="left"/>
      </w:pPr>
      <w:r>
        <w:rPr/>
        <w:t>对于应纳税暂时性差异，除特殊情况外，确认递延所得税负债。不确认递延所得税资产或递延所得税负债的特殊情况包括： 商誉的初始确认；除企业合并以外的发生时既不影响会计利润也不影响应纳税所得额（或可抵扣亏损）的其他交易或事项。 </w:t>
      </w:r>
      <w:r>
        <w:rPr>
          <w:spacing w:val="-2"/>
        </w:rPr>
        <w:t>当拥有以净额结算的法定权利，且意图以净额结算或取得资产、清偿负债同时进行时，当期所得税资产及当期所得税负债以</w:t>
      </w:r>
      <w:r>
        <w:rPr>
          <w:spacing w:val="-66"/>
        </w:rPr>
        <w:t> </w:t>
      </w:r>
      <w:r>
        <w:rPr>
          <w:spacing w:val="-66"/>
        </w:rPr>
      </w:r>
      <w:r>
        <w:rPr>
          <w:spacing w:val="-2"/>
        </w:rPr>
        <w:t>抵销后的净额列报。当拥有以净额结算当期所得税资产及当期所得税负债的法定权利，且递延所得税资产及递延所得税负债</w:t>
      </w:r>
      <w:r>
        <w:rPr>
          <w:spacing w:val="-64"/>
        </w:rPr>
        <w:t> </w:t>
      </w:r>
      <w:r>
        <w:rPr>
          <w:spacing w:val="-64"/>
        </w:rPr>
      </w:r>
      <w:r>
        <w:rPr>
          <w:spacing w:val="-2"/>
        </w:rPr>
        <w:t>是与同一税收征管部门对同一纳税主体征收的所得税相关或者是对不同的纳税主体相关，但在未来每一具有重要性的递延所</w:t>
      </w:r>
      <w:r>
        <w:rPr>
          <w:spacing w:val="-64"/>
        </w:rPr>
        <w:t> </w:t>
      </w:r>
      <w:r>
        <w:rPr>
          <w:spacing w:val="-64"/>
        </w:rPr>
      </w:r>
      <w:r>
        <w:rPr>
          <w:spacing w:val="-2"/>
        </w:rPr>
        <w:t>得税资产及负债转回的期间内，涉及的纳税主体意图以净额结算当期所得税资产和负债或是同时取得资产、清偿负债时，递</w:t>
      </w:r>
      <w:r>
        <w:rPr>
          <w:spacing w:val="-62"/>
        </w:rPr>
        <w:t> </w:t>
      </w:r>
      <w:r>
        <w:rPr>
          <w:spacing w:val="-62"/>
        </w:rPr>
      </w:r>
      <w:r>
        <w:rPr/>
        <w:t>延所得税资产及递延所得税负债以抵销后的净额列报。</w:t>
      </w:r>
    </w:p>
    <w:p>
      <w:pPr>
        <w:spacing w:line="240" w:lineRule="auto" w:before="11"/>
        <w:rPr>
          <w:rFonts w:ascii="宋体" w:hAnsi="宋体" w:cs="宋体" w:eastAsia="宋体" w:hint="default"/>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24</w:t>
      </w:r>
      <w:r>
        <w:rPr/>
        <w:t>、主要会计政策、会计估计的变更</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94"/>
        <w:jc w:val="left"/>
      </w:pPr>
      <w:r>
        <w:rPr/>
        <w:t>本报告期主要会计政策、会计估计是否变更</w:t>
      </w:r>
    </w:p>
    <w:p>
      <w:pPr>
        <w:spacing w:before="38"/>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否</w:t>
      </w:r>
      <w:r>
        <w:rPr>
          <w:rFonts w:ascii="宋体" w:hAnsi="宋体" w:cs="宋体" w:eastAsia="宋体" w:hint="default"/>
          <w:sz w:val="18"/>
          <w:szCs w:val="18"/>
        </w:rPr>
      </w:r>
    </w:p>
    <w:p>
      <w:pPr>
        <w:spacing w:line="240" w:lineRule="auto" w:before="10"/>
        <w:rPr>
          <w:rFonts w:ascii="宋体" w:hAnsi="宋体" w:cs="宋体" w:eastAsia="宋体" w:hint="default"/>
          <w:b/>
          <w:bCs/>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94"/>
        <w:jc w:val="left"/>
      </w:pPr>
      <w:r>
        <w:rPr/>
        <w:t>本报告期主要会计政策是否变更</w:t>
      </w:r>
    </w:p>
    <w:p>
      <w:pPr>
        <w:spacing w:before="38"/>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否</w:t>
      </w:r>
      <w:r>
        <w:rPr>
          <w:rFonts w:ascii="宋体" w:hAnsi="宋体" w:cs="宋体" w:eastAsia="宋体" w:hint="default"/>
          <w:sz w:val="18"/>
          <w:szCs w:val="18"/>
        </w:rPr>
      </w:r>
    </w:p>
    <w:p>
      <w:pPr>
        <w:spacing w:line="240" w:lineRule="auto" w:before="10"/>
        <w:rPr>
          <w:rFonts w:ascii="宋体" w:hAnsi="宋体" w:cs="宋体" w:eastAsia="宋体" w:hint="default"/>
          <w:b/>
          <w:bCs/>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94"/>
        <w:jc w:val="left"/>
      </w:pPr>
      <w:r>
        <w:rPr/>
        <w:t>本报告期主要会计估计是否变更</w:t>
      </w:r>
    </w:p>
    <w:p>
      <w:pPr>
        <w:spacing w:after="0" w:line="240" w:lineRule="auto"/>
        <w:jc w:val="left"/>
        <w:sectPr>
          <w:pgSz w:w="11910" w:h="16840"/>
          <w:pgMar w:header="852" w:footer="980" w:top="1340" w:bottom="1160" w:left="980" w:right="940"/>
        </w:sectPr>
      </w:pPr>
    </w:p>
    <w:p>
      <w:pPr>
        <w:spacing w:before="61"/>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否</w:t>
      </w:r>
      <w:r>
        <w:rPr>
          <w:rFonts w:ascii="宋体" w:hAnsi="宋体" w:cs="宋体" w:eastAsia="宋体" w:hint="default"/>
          <w:sz w:val="18"/>
          <w:szCs w:val="18"/>
        </w:rPr>
      </w:r>
    </w:p>
    <w:p>
      <w:pPr>
        <w:spacing w:line="240" w:lineRule="auto" w:before="10"/>
        <w:rPr>
          <w:rFonts w:ascii="宋体" w:hAnsi="宋体" w:cs="宋体" w:eastAsia="宋体" w:hint="default"/>
          <w:b/>
          <w:bCs/>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25</w:t>
      </w:r>
      <w:r>
        <w:rPr/>
        <w:t>、前期会计差错更正</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94"/>
        <w:jc w:val="left"/>
      </w:pPr>
      <w:r>
        <w:rPr/>
        <w:t>本报告期是否发现前期会计差错</w:t>
      </w:r>
    </w:p>
    <w:p>
      <w:pPr>
        <w:spacing w:before="38"/>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否</w:t>
      </w:r>
      <w:r>
        <w:rPr>
          <w:rFonts w:ascii="宋体" w:hAnsi="宋体" w:cs="宋体" w:eastAsia="宋体" w:hint="default"/>
          <w:sz w:val="18"/>
          <w:szCs w:val="18"/>
        </w:rPr>
      </w:r>
    </w:p>
    <w:p>
      <w:pPr>
        <w:spacing w:line="240" w:lineRule="auto" w:before="10"/>
        <w:rPr>
          <w:rFonts w:ascii="宋体" w:hAnsi="宋体" w:cs="宋体" w:eastAsia="宋体" w:hint="default"/>
          <w:b/>
          <w:bCs/>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94"/>
        <w:jc w:val="left"/>
      </w:pPr>
      <w:r>
        <w:rPr/>
        <w:t>本报告期是否发现采用追溯重述法的前期会计差错</w:t>
      </w:r>
    </w:p>
    <w:p>
      <w:pPr>
        <w:spacing w:before="38"/>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否</w:t>
      </w:r>
      <w:r>
        <w:rPr>
          <w:rFonts w:ascii="宋体" w:hAnsi="宋体" w:cs="宋体" w:eastAsia="宋体" w:hint="default"/>
          <w:sz w:val="18"/>
          <w:szCs w:val="18"/>
        </w:rPr>
      </w:r>
    </w:p>
    <w:p>
      <w:pPr>
        <w:spacing w:line="240" w:lineRule="auto" w:before="10"/>
        <w:rPr>
          <w:rFonts w:ascii="宋体" w:hAnsi="宋体" w:cs="宋体" w:eastAsia="宋体" w:hint="default"/>
          <w:b/>
          <w:bCs/>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94"/>
        <w:jc w:val="left"/>
      </w:pPr>
      <w:r>
        <w:rPr/>
        <w:t>本报告期是否发现采用未来适用法的前期会计差错</w:t>
      </w:r>
    </w:p>
    <w:p>
      <w:pPr>
        <w:spacing w:before="35"/>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否</w:t>
      </w:r>
      <w:r>
        <w:rPr>
          <w:rFonts w:ascii="宋体" w:hAnsi="宋体" w:cs="宋体" w:eastAsia="宋体" w:hint="default"/>
          <w:sz w:val="18"/>
          <w:szCs w:val="18"/>
        </w:rPr>
      </w:r>
    </w:p>
    <w:p>
      <w:pPr>
        <w:spacing w:line="240" w:lineRule="auto" w:before="1"/>
        <w:rPr>
          <w:rFonts w:ascii="宋体" w:hAnsi="宋体" w:cs="宋体" w:eastAsia="宋体" w:hint="default"/>
          <w:b/>
          <w:bCs/>
          <w:sz w:val="21"/>
          <w:szCs w:val="21"/>
        </w:rPr>
      </w:pPr>
    </w:p>
    <w:p>
      <w:pPr>
        <w:pStyle w:val="Heading2"/>
        <w:spacing w:line="240" w:lineRule="auto"/>
        <w:ind w:right="94"/>
        <w:jc w:val="left"/>
        <w:rPr>
          <w:b w:val="0"/>
          <w:bCs w:val="0"/>
        </w:rPr>
      </w:pPr>
      <w:r>
        <w:rPr/>
        <w:t>五、税项</w:t>
      </w:r>
      <w:r>
        <w:rPr>
          <w:b w:val="0"/>
          <w:bCs w:val="0"/>
        </w:rPr>
      </w:r>
    </w:p>
    <w:p>
      <w:pPr>
        <w:spacing w:line="240" w:lineRule="auto" w:before="6"/>
        <w:rPr>
          <w:rFonts w:ascii="宋体" w:hAnsi="宋体" w:cs="宋体" w:eastAsia="宋体" w:hint="default"/>
          <w:b/>
          <w:bCs/>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3"/>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3505"/>
        <w:gridCol w:w="3024"/>
        <w:gridCol w:w="3027"/>
      </w:tblGrid>
      <w:tr>
        <w:trPr>
          <w:trHeight w:val="324" w:hRule="exact"/>
        </w:trPr>
        <w:tc>
          <w:tcPr>
            <w:tcW w:w="3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2"/>
              <w:jc w:val="center"/>
              <w:rPr>
                <w:rFonts w:ascii="宋体" w:hAnsi="宋体" w:cs="宋体" w:eastAsia="宋体" w:hint="default"/>
                <w:sz w:val="18"/>
                <w:szCs w:val="18"/>
              </w:rPr>
            </w:pPr>
            <w:r>
              <w:rPr>
                <w:rFonts w:ascii="宋体" w:hAnsi="宋体" w:cs="宋体" w:eastAsia="宋体" w:hint="default"/>
                <w:sz w:val="18"/>
                <w:szCs w:val="18"/>
              </w:rPr>
              <w:t>税种</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55" w:hRule="exact"/>
        </w:trPr>
        <w:tc>
          <w:tcPr>
            <w:tcW w:w="3505" w:type="dxa"/>
            <w:tcBorders>
              <w:top w:val="single" w:sz="4" w:space="0" w:color="000000"/>
              <w:left w:val="single" w:sz="4" w:space="0" w:color="000000"/>
              <w:bottom w:val="nil" w:sz="6" w:space="0" w:color="auto"/>
              <w:right w:val="single" w:sz="4" w:space="0" w:color="000000"/>
            </w:tcBorders>
            <w:shd w:val="clear" w:color="auto" w:fill="D2D2D2"/>
          </w:tcPr>
          <w:p>
            <w:pPr/>
          </w:p>
        </w:tc>
        <w:tc>
          <w:tcPr>
            <w:tcW w:w="3024" w:type="dxa"/>
            <w:vMerge w:val="restart"/>
            <w:tcBorders>
              <w:top w:val="single" w:sz="4" w:space="0" w:color="000000"/>
              <w:left w:val="single" w:sz="10" w:space="0" w:color="D2D2D2"/>
              <w:right w:val="single" w:sz="4" w:space="0" w:color="000000"/>
            </w:tcBorders>
          </w:tcPr>
          <w:p>
            <w:pPr>
              <w:pStyle w:val="TableParagraph"/>
              <w:spacing w:line="237" w:lineRule="auto" w:before="10"/>
              <w:ind w:left="16" w:right="17"/>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 </w:t>
            </w:r>
            <w:r>
              <w:rPr>
                <w:rFonts w:ascii="宋体" w:hAnsi="宋体" w:cs="宋体" w:eastAsia="宋体" w:hint="default"/>
                <w:spacing w:val="-6"/>
                <w:sz w:val="18"/>
                <w:szCs w:val="18"/>
              </w:rPr>
              <w:t>务收入为基础计算销项税额，在扣除当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期允许抵扣的进项税额后，差额部分为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应交增值税</w:t>
            </w:r>
          </w:p>
        </w:tc>
        <w:tc>
          <w:tcPr>
            <w:tcW w:w="30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12" w:hRule="exact"/>
        </w:trPr>
        <w:tc>
          <w:tcPr>
            <w:tcW w:w="35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vMerge/>
            <w:tcBorders>
              <w:left w:val="single" w:sz="10" w:space="0" w:color="D2D2D2"/>
              <w:right w:val="single" w:sz="4" w:space="0" w:color="000000"/>
            </w:tcBorders>
          </w:tcPr>
          <w:p>
            <w:pPr/>
          </w:p>
        </w:tc>
        <w:tc>
          <w:tcPr>
            <w:tcW w:w="3027" w:type="dxa"/>
            <w:vMerge/>
            <w:tcBorders>
              <w:left w:val="single" w:sz="4" w:space="0" w:color="000000"/>
              <w:right w:val="single" w:sz="4" w:space="0" w:color="000000"/>
            </w:tcBorders>
          </w:tcPr>
          <w:p>
            <w:pPr/>
          </w:p>
        </w:tc>
      </w:tr>
      <w:tr>
        <w:trPr>
          <w:trHeight w:val="355" w:hRule="exact"/>
        </w:trPr>
        <w:tc>
          <w:tcPr>
            <w:tcW w:w="3505" w:type="dxa"/>
            <w:tcBorders>
              <w:top w:val="nil" w:sz="6" w:space="0" w:color="auto"/>
              <w:left w:val="single" w:sz="4" w:space="0" w:color="000000"/>
              <w:bottom w:val="single" w:sz="4" w:space="0" w:color="000000"/>
              <w:right w:val="single" w:sz="4" w:space="0" w:color="000000"/>
            </w:tcBorders>
            <w:shd w:val="clear" w:color="auto" w:fill="D2D2D2"/>
          </w:tcPr>
          <w:p>
            <w:pPr/>
          </w:p>
        </w:tc>
        <w:tc>
          <w:tcPr>
            <w:tcW w:w="3024" w:type="dxa"/>
            <w:vMerge/>
            <w:tcBorders>
              <w:left w:val="single" w:sz="10" w:space="0" w:color="D2D2D2"/>
              <w:bottom w:val="single" w:sz="4" w:space="0" w:color="000000"/>
              <w:right w:val="single" w:sz="4" w:space="0" w:color="000000"/>
            </w:tcBorders>
          </w:tcPr>
          <w:p>
            <w:pPr/>
          </w:p>
        </w:tc>
        <w:tc>
          <w:tcPr>
            <w:tcW w:w="3027" w:type="dxa"/>
            <w:vMerge/>
            <w:tcBorders>
              <w:left w:val="single" w:sz="4" w:space="0" w:color="000000"/>
              <w:bottom w:val="single" w:sz="4" w:space="0" w:color="000000"/>
              <w:right w:val="single" w:sz="4" w:space="0" w:color="000000"/>
            </w:tcBorders>
          </w:tcPr>
          <w:p>
            <w:pPr/>
          </w:p>
        </w:tc>
      </w:tr>
      <w:tr>
        <w:trPr>
          <w:trHeight w:val="324" w:hRule="exact"/>
        </w:trPr>
        <w:tc>
          <w:tcPr>
            <w:tcW w:w="3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122" w:hRule="exact"/>
        </w:trPr>
        <w:tc>
          <w:tcPr>
            <w:tcW w:w="3505" w:type="dxa"/>
            <w:tcBorders>
              <w:top w:val="single" w:sz="4" w:space="0" w:color="000000"/>
              <w:left w:val="single" w:sz="4" w:space="0" w:color="000000"/>
              <w:bottom w:val="nil" w:sz="6" w:space="0" w:color="auto"/>
              <w:right w:val="single" w:sz="4" w:space="0" w:color="000000"/>
            </w:tcBorders>
            <w:shd w:val="clear" w:color="auto" w:fill="D2D2D2"/>
          </w:tcPr>
          <w:p>
            <w:pPr/>
          </w:p>
        </w:tc>
        <w:tc>
          <w:tcPr>
            <w:tcW w:w="3024" w:type="dxa"/>
            <w:vMerge w:val="restart"/>
            <w:tcBorders>
              <w:top w:val="single" w:sz="4" w:space="0" w:color="000000"/>
              <w:left w:val="single" w:sz="13" w:space="0" w:color="D2D2D2"/>
              <w:right w:val="single" w:sz="4" w:space="0" w:color="000000"/>
            </w:tcBorders>
          </w:tcPr>
          <w:p>
            <w:pPr>
              <w:pStyle w:val="TableParagraph"/>
              <w:spacing w:line="232" w:lineRule="exact" w:before="32"/>
              <w:ind w:left="11" w:right="17"/>
              <w:jc w:val="left"/>
              <w:rPr>
                <w:rFonts w:ascii="宋体" w:hAnsi="宋体" w:cs="宋体" w:eastAsia="宋体" w:hint="default"/>
                <w:sz w:val="18"/>
                <w:szCs w:val="18"/>
              </w:rPr>
            </w:pPr>
            <w:r>
              <w:rPr>
                <w:rFonts w:ascii="宋体" w:hAnsi="宋体" w:cs="宋体" w:eastAsia="宋体" w:hint="default"/>
                <w:spacing w:val="-6"/>
                <w:sz w:val="18"/>
                <w:szCs w:val="18"/>
              </w:rPr>
              <w:t>按实际缴纳的营业税、增值税及消费税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计征</w:t>
            </w:r>
          </w:p>
        </w:tc>
        <w:tc>
          <w:tcPr>
            <w:tcW w:w="302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w:t>
            </w:r>
          </w:p>
        </w:tc>
      </w:tr>
      <w:tr>
        <w:trPr>
          <w:trHeight w:val="434" w:hRule="exact"/>
        </w:trPr>
        <w:tc>
          <w:tcPr>
            <w:tcW w:w="350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4" w:type="dxa"/>
            <w:vMerge/>
            <w:tcBorders>
              <w:left w:val="single" w:sz="13" w:space="0" w:color="D2D2D2"/>
              <w:bottom w:val="single" w:sz="4" w:space="0" w:color="000000"/>
              <w:right w:val="single" w:sz="4" w:space="0" w:color="000000"/>
            </w:tcBorders>
          </w:tcPr>
          <w:p>
            <w:pPr/>
          </w:p>
        </w:tc>
        <w:tc>
          <w:tcPr>
            <w:tcW w:w="3027" w:type="dxa"/>
            <w:vMerge/>
            <w:tcBorders>
              <w:left w:val="single" w:sz="4" w:space="0" w:color="000000"/>
              <w:bottom w:val="single" w:sz="4" w:space="0" w:color="000000"/>
              <w:right w:val="single" w:sz="4" w:space="0" w:color="000000"/>
            </w:tcBorders>
          </w:tcPr>
          <w:p>
            <w:pPr/>
          </w:p>
        </w:tc>
      </w:tr>
      <w:tr>
        <w:trPr>
          <w:trHeight w:val="324" w:hRule="exact"/>
        </w:trPr>
        <w:tc>
          <w:tcPr>
            <w:tcW w:w="3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6"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7"/>
        <w:rPr>
          <w:rFonts w:ascii="宋体" w:hAnsi="宋体" w:cs="宋体" w:eastAsia="宋体" w:hint="default"/>
          <w:b/>
          <w:bCs/>
          <w:sz w:val="17"/>
          <w:szCs w:val="17"/>
        </w:rPr>
      </w:pPr>
    </w:p>
    <w:p>
      <w:pPr>
        <w:pStyle w:val="Heading3"/>
        <w:spacing w:line="240" w:lineRule="auto" w:before="36"/>
        <w:ind w:right="94"/>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10"/>
        <w:rPr>
          <w:rFonts w:ascii="宋体" w:hAnsi="宋体" w:cs="宋体" w:eastAsia="宋体" w:hint="default"/>
          <w:b/>
          <w:bCs/>
          <w:sz w:val="21"/>
          <w:szCs w:val="21"/>
        </w:rPr>
      </w:pPr>
    </w:p>
    <w:p>
      <w:pPr>
        <w:pStyle w:val="BodyText"/>
        <w:spacing w:line="340" w:lineRule="auto"/>
        <w:ind w:right="96"/>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）增值税</w:t>
      </w:r>
      <w:r>
        <w:rPr>
          <w:rFonts w:ascii="宋体" w:hAnsi="宋体" w:cs="宋体" w:eastAsia="宋体" w:hint="default"/>
          <w:b/>
          <w:bCs/>
          <w:w w:val="99"/>
        </w:rPr>
        <w:t> </w:t>
      </w:r>
      <w:r>
        <w:rPr>
          <w:spacing w:val="-2"/>
        </w:rPr>
        <w:t>根据国务院</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月发布的国发</w:t>
      </w:r>
      <w:r>
        <w:rPr>
          <w:rFonts w:ascii="Times New Roman" w:hAnsi="Times New Roman" w:cs="Times New Roman" w:eastAsia="Times New Roman" w:hint="default"/>
          <w:spacing w:val="-2"/>
        </w:rPr>
        <w:t>[2011]4</w:t>
      </w:r>
      <w:r>
        <w:rPr>
          <w:spacing w:val="-2"/>
        </w:rPr>
        <w:t>号《关于印发进一步鼓励软件产业和集成电路产业发展若干政策的通知》和财政部、</w:t>
      </w:r>
      <w:r>
        <w:rPr>
          <w:spacing w:val="-84"/>
        </w:rPr>
        <w:t> </w:t>
      </w:r>
      <w:r>
        <w:rPr>
          <w:spacing w:val="-84"/>
        </w:rPr>
      </w:r>
      <w:r>
        <w:rPr/>
        <w:t>国家税务总局发布的财税</w:t>
      </w:r>
      <w:r>
        <w:rPr>
          <w:rFonts w:ascii="Times New Roman" w:hAnsi="Times New Roman" w:cs="Times New Roman" w:eastAsia="Times New Roman" w:hint="default"/>
        </w:rPr>
        <w:t>[2011]100</w:t>
      </w:r>
      <w:r>
        <w:rPr/>
        <w:t>号《关于软件产品增值税政策的通知》中的有关规定，本公司，全资子公司北京友联创</w:t>
      </w:r>
      <w:r>
        <w:rPr>
          <w:spacing w:val="-34"/>
        </w:rPr>
        <w:t> </w:t>
      </w:r>
      <w:r>
        <w:rPr>
          <w:spacing w:val="-34"/>
        </w:rPr>
      </w:r>
      <w:r>
        <w:rPr>
          <w:spacing w:val="-2"/>
        </w:rPr>
        <w:t>新系统集成有限公司、北京神州泰岳信息安全技术有限公司，孙公司宁波金信通讯技术有限公司、宁波移畅通信设备有限公</w:t>
      </w:r>
      <w:r>
        <w:rPr>
          <w:spacing w:val="-63"/>
        </w:rPr>
        <w:t> </w:t>
      </w:r>
      <w:r>
        <w:rPr>
          <w:spacing w:val="-63"/>
        </w:rPr>
      </w:r>
      <w:r>
        <w:rPr/>
        <w:t>司销售自行开发生产的软件产品时对增值税实际税负超过</w:t>
      </w:r>
      <w:r>
        <w:rPr>
          <w:rFonts w:ascii="Times New Roman" w:hAnsi="Times New Roman" w:cs="Times New Roman" w:eastAsia="Times New Roman" w:hint="default"/>
        </w:rPr>
        <w:t>3%</w:t>
      </w:r>
      <w:r>
        <w:rPr/>
        <w:t>的部分即征即退。 根据财政部和国家税务总局</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月发布的财税</w:t>
      </w:r>
      <w:r>
        <w:rPr>
          <w:rFonts w:ascii="Times New Roman" w:hAnsi="Times New Roman" w:cs="Times New Roman" w:eastAsia="Times New Roman" w:hint="default"/>
        </w:rPr>
        <w:t>[2012]71</w:t>
      </w:r>
      <w:r>
        <w:rPr/>
        <w:t>号《关于在北京等</w:t>
      </w:r>
      <w:r>
        <w:rPr>
          <w:rFonts w:ascii="Times New Roman" w:hAnsi="Times New Roman" w:cs="Times New Roman" w:eastAsia="Times New Roman" w:hint="default"/>
        </w:rPr>
        <w:t>8</w:t>
      </w:r>
      <w:r>
        <w:rPr/>
        <w:t>省市开展交通运输业和部分现代服务业营业税 改征增值税试点的通知》及《交通运输业和部分现代服务业营业税改征增值税试点过渡政策的规定》的有关规定，自</w:t>
      </w:r>
      <w:r>
        <w:rPr>
          <w:rFonts w:ascii="Times New Roman" w:hAnsi="Times New Roman" w:cs="Times New Roman" w:eastAsia="Times New Roman" w:hint="default"/>
        </w:rPr>
        <w:t>2012</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w:t>
      </w:r>
      <w:r>
        <w:rPr>
          <w:spacing w:val="-2"/>
        </w:rPr>
        <w:t>日起，本公司及全资子公司北京新媒传信科技有限公司、北京友联创新系统集成有限公司、北京神州泰岳信息安全技</w:t>
      </w:r>
      <w:r>
        <w:rPr>
          <w:spacing w:val="-62"/>
        </w:rPr>
        <w:t> </w:t>
      </w:r>
      <w:r>
        <w:rPr>
          <w:spacing w:val="-62"/>
        </w:rPr>
      </w:r>
      <w:r>
        <w:rPr/>
        <w:t>术有限公司从事技术转让、技术开发业务和与之相关的技术咨询、技术服务业务取得的收入，符合条件的，免征增值税。 根据财政部和国家税务总局</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月发布的财税</w:t>
      </w:r>
      <w:r>
        <w:rPr>
          <w:rFonts w:ascii="Times New Roman" w:hAnsi="Times New Roman" w:cs="Times New Roman" w:eastAsia="Times New Roman" w:hint="default"/>
        </w:rPr>
        <w:t>[2007]92</w:t>
      </w:r>
      <w:r>
        <w:rPr/>
        <w:t>号《关于促进残疾人就业税收优惠政策的通知》的有关规定，全</w:t>
      </w:r>
      <w:r>
        <w:rPr>
          <w:spacing w:val="-36"/>
        </w:rPr>
        <w:t> </w:t>
      </w:r>
      <w:r>
        <w:rPr>
          <w:spacing w:val="-36"/>
        </w:rPr>
      </w:r>
      <w:r>
        <w:rPr/>
        <w:t>资子公司宁波普天通信技术有限公司由税务机关按公司实际安置残疾人的人数，限额即征即退增值税。</w:t>
      </w:r>
    </w:p>
    <w:p>
      <w:pPr>
        <w:pStyle w:val="BodyText"/>
        <w:spacing w:line="338" w:lineRule="auto" w:before="39"/>
        <w:ind w:right="94"/>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）营业税</w:t>
      </w:r>
      <w:r>
        <w:rPr>
          <w:rFonts w:ascii="宋体" w:hAnsi="宋体" w:cs="宋体" w:eastAsia="宋体" w:hint="default"/>
          <w:b/>
          <w:bCs/>
          <w:w w:val="99"/>
        </w:rPr>
        <w:t> </w:t>
      </w:r>
      <w:r>
        <w:rPr>
          <w:spacing w:val="-2"/>
        </w:rPr>
        <w:t>根据财政部、国家税务总局《关于贯彻落实〈中共中央、国务院关于加强技术创新，发展高科技，实现产业化的决定〉有关</w:t>
      </w:r>
    </w:p>
    <w:p>
      <w:pPr>
        <w:spacing w:after="0" w:line="338" w:lineRule="auto"/>
        <w:jc w:val="left"/>
        <w:sectPr>
          <w:pgSz w:w="11910" w:h="16840"/>
          <w:pgMar w:header="852" w:footer="980" w:top="1340" w:bottom="1160" w:left="980" w:right="940"/>
        </w:sectPr>
      </w:pPr>
    </w:p>
    <w:p>
      <w:pPr>
        <w:pStyle w:val="BodyText"/>
        <w:spacing w:line="348" w:lineRule="auto" w:before="61"/>
        <w:ind w:right="151"/>
        <w:jc w:val="both"/>
      </w:pPr>
      <w:r>
        <w:rPr/>
        <w:t>税收问题的通知》（财税字【</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273</w:t>
      </w:r>
      <w:r>
        <w:rPr/>
        <w:t>号），本公司及全资子公司北京新媒传信科技有限公司、北京友联创新系统集成有</w:t>
      </w:r>
      <w:r>
        <w:rPr>
          <w:spacing w:val="-85"/>
        </w:rPr>
        <w:t> </w:t>
      </w:r>
      <w:r>
        <w:rPr>
          <w:spacing w:val="-85"/>
        </w:rPr>
      </w:r>
      <w:r>
        <w:rPr>
          <w:spacing w:val="-2"/>
        </w:rPr>
        <w:t>限公司、重庆新媒农信科技有限公司从事技术转让、技术开发业务和与之相关的技术咨询、技术服务业务取得的收入，符合</w:t>
      </w:r>
      <w:r>
        <w:rPr>
          <w:spacing w:val="-64"/>
        </w:rPr>
        <w:t> </w:t>
      </w:r>
      <w:r>
        <w:rPr>
          <w:spacing w:val="-64"/>
        </w:rPr>
      </w:r>
      <w:r>
        <w:rPr/>
        <w:t>条件的，免征营业税。</w:t>
      </w:r>
    </w:p>
    <w:p>
      <w:pPr>
        <w:pStyle w:val="BodyText"/>
        <w:spacing w:line="343" w:lineRule="auto" w:before="34"/>
        <w:ind w:right="148"/>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）企业所得税</w:t>
      </w:r>
      <w:r>
        <w:rPr>
          <w:rFonts w:ascii="宋体" w:hAnsi="宋体" w:cs="宋体" w:eastAsia="宋体" w:hint="default"/>
          <w:b/>
          <w:bCs/>
          <w:w w:val="99"/>
        </w:rPr>
        <w:t> </w:t>
      </w:r>
      <w:r>
        <w:rPr>
          <w:spacing w:val="-1"/>
        </w:rPr>
        <w:t>国家发展和改革委员会、工业和信息化部、财政部、商务部和国家税务总局于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2</w:t>
      </w:r>
      <w:r>
        <w:rPr>
          <w:spacing w:val="-1"/>
        </w:rPr>
        <w:t>月下发《关于认定</w:t>
      </w:r>
      <w:r>
        <w:rPr>
          <w:rFonts w:ascii="Times New Roman" w:hAnsi="Times New Roman" w:cs="Times New Roman" w:eastAsia="Times New Roman" w:hint="default"/>
          <w:spacing w:val="-1"/>
        </w:rPr>
        <w:t>2011-2012</w:t>
      </w:r>
      <w:r>
        <w:rPr>
          <w:spacing w:val="-1"/>
        </w:rPr>
        <w:t>年度国家</w:t>
      </w:r>
      <w:r>
        <w:rPr>
          <w:spacing w:val="-88"/>
        </w:rPr>
        <w:t> </w:t>
      </w:r>
      <w:r>
        <w:rPr>
          <w:spacing w:val="-88"/>
        </w:rPr>
      </w:r>
      <w:r>
        <w:rPr/>
        <w:t>规划布局内重点软件企业和集成电路设计企业的通知》（发改高技</w:t>
      </w:r>
      <w:r>
        <w:rPr>
          <w:rFonts w:ascii="Times New Roman" w:hAnsi="Times New Roman" w:cs="Times New Roman" w:eastAsia="Times New Roman" w:hint="default"/>
        </w:rPr>
        <w:t>[2013]234</w:t>
      </w:r>
      <w:r>
        <w:rPr/>
        <w:t>号），本公司与全资子公司北京新媒传信科技</w:t>
      </w:r>
      <w:r>
        <w:rPr>
          <w:spacing w:val="-30"/>
        </w:rPr>
        <w:t> </w:t>
      </w:r>
      <w:r>
        <w:rPr>
          <w:spacing w:val="-30"/>
        </w:rPr>
      </w:r>
      <w:r>
        <w:rPr/>
        <w:t>有限公司被认定为</w:t>
      </w:r>
      <w:r>
        <w:rPr>
          <w:rFonts w:ascii="Times New Roman" w:hAnsi="Times New Roman" w:cs="Times New Roman" w:eastAsia="Times New Roman" w:hint="default"/>
        </w:rPr>
        <w:t>2011-2012</w:t>
      </w:r>
      <w:r>
        <w:rPr/>
        <w:t>年度国家规划布局内重点软件企业，根据相关规定，公司与全资子公司北京新媒传信科技有限</w:t>
      </w:r>
      <w:r>
        <w:rPr>
          <w:spacing w:val="-64"/>
        </w:rPr>
        <w:t> </w:t>
      </w:r>
      <w:r>
        <w:rPr>
          <w:spacing w:val="-64"/>
        </w:rPr>
      </w:r>
      <w:r>
        <w:rPr/>
        <w:t>公司</w:t>
      </w:r>
      <w:r>
        <w:rPr>
          <w:rFonts w:ascii="Times New Roman" w:hAnsi="Times New Roman" w:cs="Times New Roman" w:eastAsia="Times New Roman" w:hint="default"/>
        </w:rPr>
        <w:t>2011</w:t>
      </w:r>
      <w:r>
        <w:rPr/>
        <w:t>年度、</w:t>
      </w:r>
      <w:r>
        <w:rPr>
          <w:rFonts w:ascii="Times New Roman" w:hAnsi="Times New Roman" w:cs="Times New Roman" w:eastAsia="Times New Roman" w:hint="default"/>
        </w:rPr>
        <w:t>2012</w:t>
      </w:r>
      <w:r>
        <w:rPr/>
        <w:t>年度所得税税率为</w:t>
      </w:r>
      <w:r>
        <w:rPr>
          <w:rFonts w:ascii="Times New Roman" w:hAnsi="Times New Roman" w:cs="Times New Roman" w:eastAsia="Times New Roman" w:hint="default"/>
        </w:rPr>
        <w:t>10%</w:t>
      </w:r>
      <w:r>
        <w:rPr/>
        <w:t>。 </w:t>
      </w:r>
      <w:r>
        <w:rPr>
          <w:spacing w:val="-2"/>
        </w:rPr>
        <w:t>全资子公司北京友联创新系统集成有限公司、北京互联时代通讯科技有限公司、宁波普天通信技术有限公司，孙公司宁波金</w:t>
      </w:r>
      <w:r>
        <w:rPr>
          <w:spacing w:val="-63"/>
        </w:rPr>
        <w:t> </w:t>
      </w:r>
      <w:r>
        <w:rPr>
          <w:spacing w:val="-63"/>
        </w:rPr>
      </w:r>
      <w:r>
        <w:rPr>
          <w:spacing w:val="-5"/>
        </w:rPr>
        <w:t>信通讯技术有限公司被认定为高新技术企业，根据《企业所得税法》、《高新技术企业认定管理办法》等规定，本年减按</w:t>
      </w:r>
      <w:r>
        <w:rPr>
          <w:rFonts w:ascii="Times New Roman" w:hAnsi="Times New Roman" w:cs="Times New Roman" w:eastAsia="Times New Roman" w:hint="default"/>
          <w:spacing w:val="-5"/>
        </w:rPr>
        <w:t>15%</w:t>
      </w:r>
      <w:r>
        <w:rPr>
          <w:rFonts w:ascii="Times New Roman" w:hAnsi="Times New Roman" w:cs="Times New Roman" w:eastAsia="Times New Roman" w:hint="default"/>
          <w:spacing w:val="4"/>
        </w:rPr>
        <w:t> </w:t>
      </w:r>
      <w:r>
        <w:rPr/>
        <w:t>的税率征收企业所得税。 </w:t>
      </w:r>
      <w:r>
        <w:rPr>
          <w:spacing w:val="-2"/>
        </w:rPr>
        <w:t>重庆新媒农信科技有限公司</w:t>
      </w:r>
      <w:r>
        <w:rPr>
          <w:rFonts w:ascii="Times New Roman" w:hAnsi="Times New Roman" w:cs="Times New Roman" w:eastAsia="Times New Roman" w:hint="default"/>
          <w:spacing w:val="-2"/>
        </w:rPr>
        <w:t>2011</w:t>
      </w:r>
      <w:r>
        <w:rPr>
          <w:spacing w:val="-2"/>
        </w:rPr>
        <w:t>年被批准认定为软件企业，自</w:t>
      </w:r>
      <w:r>
        <w:rPr>
          <w:rFonts w:ascii="Times New Roman" w:hAnsi="Times New Roman" w:cs="Times New Roman" w:eastAsia="Times New Roman" w:hint="default"/>
          <w:spacing w:val="-2"/>
        </w:rPr>
        <w:t>2011</w:t>
      </w:r>
      <w:r>
        <w:rPr>
          <w:spacing w:val="-2"/>
        </w:rPr>
        <w:t>年起享受所得税两免三减半优惠政策，本年为所得税两免</w:t>
      </w:r>
      <w:r>
        <w:rPr>
          <w:spacing w:val="-59"/>
        </w:rPr>
        <w:t> </w:t>
      </w:r>
      <w:r>
        <w:rPr>
          <w:spacing w:val="-59"/>
        </w:rPr>
      </w:r>
      <w:r>
        <w:rPr/>
        <w:t>三减半的第二年，即免征所得税。 </w:t>
      </w:r>
      <w:r>
        <w:rPr>
          <w:spacing w:val="-2"/>
        </w:rPr>
        <w:t>宁波移畅通信设备有限公司</w:t>
      </w:r>
      <w:r>
        <w:rPr>
          <w:rFonts w:ascii="Times New Roman" w:hAnsi="Times New Roman" w:cs="Times New Roman" w:eastAsia="Times New Roman" w:hint="default"/>
          <w:spacing w:val="-2"/>
        </w:rPr>
        <w:t>2012</w:t>
      </w:r>
      <w:r>
        <w:rPr>
          <w:spacing w:val="-2"/>
        </w:rPr>
        <w:t>年被认定为新办软件生产企业和集成电路设计企业，自</w:t>
      </w:r>
      <w:r>
        <w:rPr>
          <w:rFonts w:ascii="Times New Roman" w:hAnsi="Times New Roman" w:cs="Times New Roman" w:eastAsia="Times New Roman" w:hint="default"/>
          <w:spacing w:val="-2"/>
        </w:rPr>
        <w:t>2012</w:t>
      </w:r>
      <w:r>
        <w:rPr>
          <w:spacing w:val="-2"/>
        </w:rPr>
        <w:t>年起享受所得税二免三减半优惠</w:t>
      </w:r>
      <w:r>
        <w:rPr>
          <w:spacing w:val="-57"/>
        </w:rPr>
        <w:t> </w:t>
      </w:r>
      <w:r>
        <w:rPr>
          <w:spacing w:val="-57"/>
        </w:rPr>
      </w:r>
      <w:r>
        <w:rPr/>
        <w:t>政策，本年为所得税两免三减半的第一年，即免征所得税。</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9"/>
        <w:rPr>
          <w:rFonts w:ascii="宋体" w:hAnsi="宋体" w:cs="宋体" w:eastAsia="宋体" w:hint="default"/>
          <w:b/>
          <w:bCs/>
          <w:sz w:val="21"/>
          <w:szCs w:val="21"/>
        </w:rPr>
      </w:pPr>
    </w:p>
    <w:p>
      <w:pPr>
        <w:pStyle w:val="BodyText"/>
        <w:spacing w:line="357" w:lineRule="auto"/>
        <w:ind w:right="0"/>
        <w:jc w:val="left"/>
      </w:pPr>
      <w:r>
        <w:rPr>
          <w:spacing w:val="-2"/>
        </w:rPr>
        <w:t>根据财政部和国家税务总局</w:t>
      </w:r>
      <w:r>
        <w:rPr>
          <w:rFonts w:ascii="宋体" w:hAnsi="宋体" w:cs="宋体" w:eastAsia="宋体" w:hint="default"/>
          <w:spacing w:val="-2"/>
        </w:rPr>
        <w:t>2012</w:t>
      </w:r>
      <w:r>
        <w:rPr>
          <w:spacing w:val="-2"/>
        </w:rPr>
        <w:t>年</w:t>
      </w:r>
      <w:r>
        <w:rPr>
          <w:rFonts w:ascii="宋体" w:hAnsi="宋体" w:cs="宋体" w:eastAsia="宋体" w:hint="default"/>
          <w:spacing w:val="-2"/>
        </w:rPr>
        <w:t>7</w:t>
      </w:r>
      <w:r>
        <w:rPr>
          <w:spacing w:val="-2"/>
        </w:rPr>
        <w:t>月发布的财税</w:t>
      </w:r>
      <w:r>
        <w:rPr>
          <w:rFonts w:ascii="宋体" w:hAnsi="宋体" w:cs="宋体" w:eastAsia="宋体" w:hint="default"/>
          <w:spacing w:val="-2"/>
        </w:rPr>
        <w:t>[2012]71</w:t>
      </w:r>
      <w:r>
        <w:rPr>
          <w:spacing w:val="-2"/>
        </w:rPr>
        <w:t>号《关于在北京等</w:t>
      </w:r>
      <w:r>
        <w:rPr>
          <w:rFonts w:ascii="宋体" w:hAnsi="宋体" w:cs="宋体" w:eastAsia="宋体" w:hint="default"/>
          <w:spacing w:val="-2"/>
        </w:rPr>
        <w:t>8</w:t>
      </w:r>
      <w:r>
        <w:rPr>
          <w:spacing w:val="-2"/>
        </w:rPr>
        <w:t>省市开展交通运输业和部分现代服务业营业税</w:t>
      </w:r>
      <w:r>
        <w:rPr>
          <w:spacing w:val="-54"/>
        </w:rPr>
        <w:t> </w:t>
      </w:r>
      <w:r>
        <w:rPr>
          <w:spacing w:val="-2"/>
        </w:rPr>
        <w:t>改征增值税试点的通知》，自</w:t>
      </w:r>
      <w:r>
        <w:rPr>
          <w:rFonts w:ascii="宋体" w:hAnsi="宋体" w:cs="宋体" w:eastAsia="宋体" w:hint="default"/>
          <w:spacing w:val="-2"/>
        </w:rPr>
        <w:t>2012</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w:t>
      </w:r>
      <w:r>
        <w:rPr>
          <w:spacing w:val="-2"/>
        </w:rPr>
        <w:t>日起，本公司及北京地区子公司、孙公司提供现代服务业由营业税改征增值税，税</w:t>
      </w:r>
      <w:r>
        <w:rPr>
          <w:spacing w:val="-61"/>
        </w:rPr>
        <w:t> </w:t>
      </w:r>
      <w:r>
        <w:rPr>
          <w:spacing w:val="-61"/>
        </w:rPr>
      </w:r>
      <w:r>
        <w:rPr/>
        <w:t>率为</w:t>
      </w:r>
      <w:r>
        <w:rPr>
          <w:rFonts w:ascii="宋体" w:hAnsi="宋体" w:cs="宋体" w:eastAsia="宋体" w:hint="default"/>
        </w:rPr>
        <w:t>6%</w:t>
      </w:r>
      <w:r>
        <w:rPr/>
        <w:t>；自</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1</w:t>
      </w:r>
      <w:r>
        <w:rPr/>
        <w:t>日起，宁波地区子公司、孙公司</w:t>
      </w:r>
      <w:r>
        <w:rPr>
          <w:spacing w:val="1"/>
        </w:rPr>
        <w:t> </w:t>
      </w:r>
      <w:r>
        <w:rPr/>
        <w:t>提供现代服务业由营业税改征增值税，税率为</w:t>
      </w:r>
      <w:r>
        <w:rPr>
          <w:rFonts w:ascii="宋体" w:hAnsi="宋体" w:cs="宋体" w:eastAsia="宋体" w:hint="default"/>
        </w:rPr>
        <w:t>6%</w:t>
      </w:r>
      <w:r>
        <w:rPr/>
        <w:t>。 </w:t>
      </w:r>
      <w:r>
        <w:rPr>
          <w:spacing w:val="-2"/>
        </w:rPr>
        <w:t>公司全资子公司北京互联时代通讯科技有限公司，控股孙公司北京千腾网络信息技术有限公司、宁波万信移动通信技术研究</w:t>
      </w:r>
      <w:r>
        <w:rPr>
          <w:spacing w:val="-64"/>
        </w:rPr>
        <w:t> </w:t>
      </w:r>
      <w:r>
        <w:rPr>
          <w:spacing w:val="-64"/>
        </w:rPr>
      </w:r>
      <w:r>
        <w:rPr/>
        <w:t>开发有限公司为小规模纳税人，适用简易计税方法按</w:t>
      </w:r>
      <w:r>
        <w:rPr>
          <w:rFonts w:ascii="宋体" w:hAnsi="宋体" w:cs="宋体" w:eastAsia="宋体" w:hint="default"/>
        </w:rPr>
        <w:t>3%</w:t>
      </w:r>
      <w:r>
        <w:rPr/>
        <w:t>征收率缴纳增值税。</w:t>
      </w:r>
    </w:p>
    <w:p>
      <w:pPr>
        <w:spacing w:after="0" w:line="357" w:lineRule="auto"/>
        <w:jc w:val="left"/>
        <w:sectPr>
          <w:pgSz w:w="11910" w:h="16840"/>
          <w:pgMar w:header="852" w:footer="980" w:top="1340" w:bottom="1160" w:left="980" w:right="980"/>
        </w:sectPr>
      </w:pPr>
    </w:p>
    <w:p>
      <w:pPr>
        <w:spacing w:line="240" w:lineRule="auto" w:before="1"/>
        <w:rPr>
          <w:rFonts w:ascii="宋体" w:hAnsi="宋体" w:cs="宋体" w:eastAsia="宋体" w:hint="default"/>
          <w:sz w:val="25"/>
          <w:szCs w:val="25"/>
        </w:rPr>
      </w:pPr>
      <w:r>
        <w:rPr/>
        <w:pict>
          <v:shape style="position:absolute;margin-left:260.425995pt;margin-top:419.925995pt;width:82.75pt;height:41.55pt;mso-position-horizontal-relative:page;mso-position-vertical-relative:page;z-index:-946384" type="#_x0000_t202" filled="false" stroked="false">
            <v:textbox inset="0,0,0,0">
              <w:txbxContent>
                <w:p>
                  <w:pPr>
                    <w:pStyle w:val="BodyText"/>
                    <w:spacing w:line="240" w:lineRule="auto" w:before="126"/>
                    <w:ind w:left="0" w:right="0"/>
                    <w:jc w:val="left"/>
                  </w:pPr>
                  <w:r>
                    <w:rPr/>
                    <w:t>技术咨询、</w:t>
                  </w:r>
                </w:p>
              </w:txbxContent>
            </v:textbox>
            <w10:wrap type="none"/>
          </v:shape>
        </w:pict>
      </w:r>
      <w:r>
        <w:rPr/>
        <w:pict>
          <v:group style="position:absolute;margin-left:302.690002pt;margin-top:419.925995pt;width:40.5pt;height:41.55pt;mso-position-horizontal-relative:page;mso-position-vertical-relative:page;z-index:-946360" coordorigin="6054,8399" coordsize="810,831">
            <v:shape style="position:absolute;left:6054;top:8399;width:810;height:831" coordorigin="6054,8399" coordsize="810,831" path="m6054,9229l6863,9229,6863,8399,6054,8399,6054,9229xe" filled="true" fillcolor="#ffffff" stroked="false">
              <v:path arrowok="t"/>
              <v:fill type="solid"/>
            </v:shape>
            <w10:wrap type="none"/>
          </v:group>
        </w:pict>
      </w:r>
    </w:p>
    <w:p>
      <w:pPr>
        <w:pStyle w:val="Heading2"/>
        <w:spacing w:line="240" w:lineRule="auto" w:before="26"/>
        <w:ind w:right="0"/>
        <w:jc w:val="left"/>
        <w:rPr>
          <w:b w:val="0"/>
          <w:bCs w:val="0"/>
        </w:rPr>
      </w:pPr>
      <w:r>
        <w:rPr/>
        <w:t>六、企业合并及合并财务报表</w:t>
      </w:r>
      <w:r>
        <w:rPr>
          <w:b w:val="0"/>
          <w:bCs w:val="0"/>
        </w:rPr>
      </w:r>
    </w:p>
    <w:p>
      <w:pPr>
        <w:spacing w:line="240" w:lineRule="auto" w:before="3"/>
        <w:rPr>
          <w:rFonts w:ascii="宋体" w:hAnsi="宋体" w:cs="宋体" w:eastAsia="宋体" w:hint="default"/>
          <w:b/>
          <w:bCs/>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615"/>
        <w:gridCol w:w="293"/>
        <w:gridCol w:w="264"/>
        <w:gridCol w:w="336"/>
        <w:gridCol w:w="787"/>
        <w:gridCol w:w="2619"/>
        <w:gridCol w:w="111"/>
        <w:gridCol w:w="707"/>
        <w:gridCol w:w="492"/>
        <w:gridCol w:w="521"/>
        <w:gridCol w:w="535"/>
        <w:gridCol w:w="307"/>
        <w:gridCol w:w="598"/>
        <w:gridCol w:w="506"/>
        <w:gridCol w:w="977"/>
      </w:tblGrid>
      <w:tr>
        <w:trPr>
          <w:trHeight w:val="2657" w:hRule="exact"/>
        </w:trPr>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42"/>
              <w:ind w:left="122" w:right="29"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52" w:right="48"/>
              <w:jc w:val="both"/>
              <w:rPr>
                <w:rFonts w:ascii="宋体" w:hAnsi="宋体" w:cs="宋体" w:eastAsia="宋体" w:hint="default"/>
                <w:sz w:val="18"/>
                <w:szCs w:val="18"/>
              </w:rPr>
            </w:pPr>
            <w:r>
              <w:rPr>
                <w:rFonts w:ascii="宋体" w:hAnsi="宋体" w:cs="宋体" w:eastAsia="宋体" w:hint="default"/>
                <w:sz w:val="18"/>
                <w:szCs w:val="18"/>
              </w:rPr>
              <w:t>子 公 司 类 型</w:t>
            </w:r>
          </w:p>
        </w:tc>
        <w:tc>
          <w:tcPr>
            <w:tcW w:w="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37" w:lineRule="auto"/>
              <w:ind w:left="38" w:right="35"/>
              <w:jc w:val="both"/>
              <w:rPr>
                <w:rFonts w:ascii="宋体" w:hAnsi="宋体" w:cs="宋体" w:eastAsia="宋体" w:hint="default"/>
                <w:sz w:val="18"/>
                <w:szCs w:val="18"/>
              </w:rPr>
            </w:pPr>
            <w:r>
              <w:rPr>
                <w:rFonts w:ascii="宋体" w:hAnsi="宋体" w:cs="宋体" w:eastAsia="宋体" w:hint="default"/>
                <w:sz w:val="18"/>
                <w:szCs w:val="18"/>
              </w:rPr>
              <w:t>注 册 地</w:t>
            </w:r>
          </w:p>
        </w:tc>
        <w:tc>
          <w:tcPr>
            <w:tcW w:w="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2"/>
              <w:ind w:left="74" w:right="71"/>
              <w:jc w:val="both"/>
              <w:rPr>
                <w:rFonts w:ascii="宋体" w:hAnsi="宋体" w:cs="宋体" w:eastAsia="宋体" w:hint="default"/>
                <w:sz w:val="18"/>
                <w:szCs w:val="18"/>
              </w:rPr>
            </w:pPr>
            <w:r>
              <w:rPr>
                <w:rFonts w:ascii="宋体" w:hAnsi="宋体" w:cs="宋体" w:eastAsia="宋体" w:hint="default"/>
                <w:sz w:val="18"/>
                <w:szCs w:val="18"/>
              </w:rPr>
              <w:t>业 务 性 质</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42"/>
              <w:ind w:left="134" w:right="41" w:hanging="89"/>
              <w:jc w:val="left"/>
              <w:rPr>
                <w:rFonts w:ascii="宋体" w:hAnsi="宋体" w:cs="宋体" w:eastAsia="宋体" w:hint="default"/>
                <w:sz w:val="18"/>
                <w:szCs w:val="18"/>
              </w:rPr>
            </w:pPr>
            <w:r>
              <w:rPr>
                <w:rFonts w:ascii="宋体" w:hAnsi="宋体" w:cs="宋体" w:eastAsia="宋体" w:hint="default"/>
                <w:sz w:val="18"/>
                <w:szCs w:val="18"/>
              </w:rPr>
              <w:t>期末实际 投资额</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62" w:right="59"/>
              <w:jc w:val="both"/>
              <w:rPr>
                <w:rFonts w:ascii="宋体" w:hAnsi="宋体" w:cs="宋体" w:eastAsia="宋体" w:hint="default"/>
                <w:sz w:val="18"/>
                <w:szCs w:val="18"/>
              </w:rPr>
            </w:pPr>
            <w:r>
              <w:rPr>
                <w:rFonts w:ascii="宋体" w:hAnsi="宋体" w:cs="宋体" w:eastAsia="宋体" w:hint="default"/>
                <w:sz w:val="18"/>
                <w:szCs w:val="18"/>
              </w:rPr>
              <w:t>实质 上构 成对 子公 司净 投资 的其 他项 目余 额</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9" w:lineRule="auto"/>
              <w:ind w:left="76"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37" w:lineRule="auto"/>
              <w:ind w:left="40" w:right="34"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 权比 例</w:t>
            </w:r>
            <w:r>
              <w:rPr>
                <w:rFonts w:ascii="Times New Roman" w:hAnsi="Times New Roman" w:cs="Times New Roman" w:eastAsia="Times New Roman" w:hint="default"/>
                <w:sz w:val="18"/>
                <w:szCs w:val="18"/>
              </w:rPr>
              <w:t>(%)</w:t>
            </w:r>
          </w:p>
        </w:tc>
        <w:tc>
          <w:tcPr>
            <w:tcW w:w="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2"/>
              <w:ind w:left="60" w:right="55"/>
              <w:jc w:val="both"/>
              <w:rPr>
                <w:rFonts w:ascii="宋体" w:hAnsi="宋体" w:cs="宋体" w:eastAsia="宋体" w:hint="default"/>
                <w:sz w:val="18"/>
                <w:szCs w:val="18"/>
              </w:rPr>
            </w:pPr>
            <w:r>
              <w:rPr>
                <w:rFonts w:ascii="宋体" w:hAnsi="宋体" w:cs="宋体" w:eastAsia="宋体" w:hint="default"/>
                <w:sz w:val="18"/>
                <w:szCs w:val="18"/>
              </w:rPr>
              <w:t>是 否 合 并 报 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42"/>
              <w:ind w:left="23" w:right="22"/>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69" w:right="65"/>
              <w:jc w:val="both"/>
              <w:rPr>
                <w:rFonts w:ascii="宋体" w:hAnsi="宋体" w:cs="宋体" w:eastAsia="宋体" w:hint="default"/>
                <w:sz w:val="18"/>
                <w:szCs w:val="18"/>
              </w:rPr>
            </w:pPr>
            <w:r>
              <w:rPr>
                <w:rFonts w:ascii="宋体" w:hAnsi="宋体" w:cs="宋体" w:eastAsia="宋体" w:hint="default"/>
                <w:sz w:val="18"/>
                <w:szCs w:val="18"/>
              </w:rPr>
              <w:t>少数 股东 权益 中用 于冲 减少 数股 东损 益的 金额</w:t>
            </w: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33" w:right="31"/>
              <w:jc w:val="center"/>
              <w:rPr>
                <w:rFonts w:ascii="宋体" w:hAnsi="宋体" w:cs="宋体" w:eastAsia="宋体" w:hint="default"/>
                <w:sz w:val="18"/>
                <w:szCs w:val="18"/>
              </w:rPr>
            </w:pPr>
            <w:r>
              <w:rPr>
                <w:rFonts w:ascii="宋体" w:hAnsi="宋体" w:cs="宋体" w:eastAsia="宋体" w:hint="default"/>
                <w:sz w:val="18"/>
                <w:szCs w:val="18"/>
              </w:rPr>
              <w:t>从母公司所 有者权益冲 减子公司少 数股东分担 的本期亏损 超过少数股 东在该子公 司年初所有 者权益中所 享有份额后 的余额</w:t>
            </w:r>
          </w:p>
        </w:tc>
      </w:tr>
      <w:tr>
        <w:trPr>
          <w:trHeight w:val="1958" w:hRule="exact"/>
        </w:trPr>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7"/>
              <w:ind w:left="24" w:right="39"/>
              <w:jc w:val="both"/>
              <w:rPr>
                <w:rFonts w:ascii="宋体" w:hAnsi="宋体" w:cs="宋体" w:eastAsia="宋体" w:hint="default"/>
                <w:sz w:val="18"/>
                <w:szCs w:val="18"/>
              </w:rPr>
            </w:pPr>
            <w:r>
              <w:rPr>
                <w:rFonts w:ascii="宋体" w:hAnsi="宋体" w:cs="宋体" w:eastAsia="宋体" w:hint="default"/>
                <w:sz w:val="18"/>
                <w:szCs w:val="18"/>
              </w:rPr>
              <w:t>北京神 州泰岳 通信技 术有限 公司</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7"/>
              <w:ind w:left="23" w:right="77"/>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32" w:lineRule="exact"/>
              <w:ind w:left="23" w:right="48"/>
              <w:jc w:val="left"/>
              <w:rPr>
                <w:rFonts w:ascii="宋体" w:hAnsi="宋体" w:cs="宋体" w:eastAsia="宋体" w:hint="default"/>
                <w:sz w:val="18"/>
                <w:szCs w:val="18"/>
              </w:rPr>
            </w:pPr>
            <w:r>
              <w:rPr>
                <w:rFonts w:ascii="宋体" w:hAnsi="宋体" w:cs="宋体" w:eastAsia="宋体" w:hint="default"/>
                <w:sz w:val="18"/>
                <w:szCs w:val="18"/>
              </w:rPr>
              <w:t>北 京</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3" w:right="120"/>
              <w:jc w:val="both"/>
              <w:rPr>
                <w:rFonts w:ascii="宋体" w:hAnsi="宋体" w:cs="宋体" w:eastAsia="宋体" w:hint="default"/>
                <w:sz w:val="18"/>
                <w:szCs w:val="18"/>
              </w:rPr>
            </w:pPr>
            <w:r>
              <w:rPr>
                <w:rFonts w:ascii="宋体" w:hAnsi="宋体" w:cs="宋体" w:eastAsia="宋体" w:hint="default"/>
                <w:sz w:val="18"/>
                <w:szCs w:val="18"/>
              </w:rPr>
              <w:t>计 算 机 应 用 服 务 业</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4" w:right="0"/>
              <w:jc w:val="left"/>
              <w:rPr>
                <w:rFonts w:ascii="Times New Roman" w:hAnsi="Times New Roman" w:cs="Times New Roman" w:eastAsia="Times New Roman" w:hint="default"/>
                <w:sz w:val="18"/>
                <w:szCs w:val="18"/>
              </w:rPr>
            </w:pPr>
            <w:r>
              <w:rPr>
                <w:rFonts w:ascii="Times New Roman"/>
                <w:sz w:val="18"/>
              </w:rPr>
              <w:t>500.00</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3" w:right="20"/>
              <w:jc w:val="both"/>
              <w:rPr>
                <w:rFonts w:ascii="宋体" w:hAnsi="宋体" w:cs="宋体" w:eastAsia="宋体" w:hint="default"/>
                <w:sz w:val="18"/>
                <w:szCs w:val="18"/>
              </w:rPr>
            </w:pPr>
            <w:r>
              <w:rPr>
                <w:rFonts w:ascii="宋体" w:hAnsi="宋体" w:cs="宋体" w:eastAsia="宋体" w:hint="default"/>
                <w:spacing w:val="-10"/>
                <w:sz w:val="18"/>
                <w:szCs w:val="18"/>
              </w:rPr>
              <w:t>技术开发。（法律、行政法规、国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务院决定禁止的、不得经营；法 律、行政法规、国务院决定规定 应经许可的，经审批机关批准并 经工商行政管理机关登记注册后 方可经营；法律、行政法规、国 务院决定未规定许可的，自主选 </w:t>
            </w:r>
            <w:r>
              <w:rPr>
                <w:rFonts w:ascii="宋体" w:hAnsi="宋体" w:cs="宋体" w:eastAsia="宋体" w:hint="default"/>
                <w:spacing w:val="-8"/>
                <w:sz w:val="18"/>
                <w:szCs w:val="18"/>
              </w:rPr>
              <w:t>择经营项目开展经营活动。）</w:t>
            </w:r>
          </w:p>
        </w:tc>
        <w:tc>
          <w:tcPr>
            <w:tcW w:w="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93" w:right="0"/>
              <w:jc w:val="left"/>
              <w:rPr>
                <w:rFonts w:ascii="Times New Roman" w:hAnsi="Times New Roman" w:cs="Times New Roman" w:eastAsia="Times New Roman" w:hint="default"/>
                <w:sz w:val="18"/>
                <w:szCs w:val="18"/>
              </w:rPr>
            </w:pPr>
            <w:r>
              <w:rPr>
                <w:rFonts w:ascii="Times New Roman"/>
                <w:sz w:val="18"/>
              </w:rPr>
              <w:t>500.00</w:t>
            </w:r>
          </w:p>
        </w:tc>
        <w:tc>
          <w:tcPr>
            <w:tcW w:w="49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4"/>
              <w:jc w:val="right"/>
              <w:rPr>
                <w:rFonts w:ascii="Times New Roman" w:hAnsi="Times New Roman" w:cs="Times New Roman" w:eastAsia="Times New Roman" w:hint="default"/>
                <w:sz w:val="18"/>
                <w:szCs w:val="18"/>
              </w:rPr>
            </w:pPr>
            <w:r>
              <w:rPr>
                <w:rFonts w:ascii="Times New Roman"/>
                <w:sz w:val="18"/>
              </w:rPr>
              <w:t>100%</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2"/>
              <w:jc w:val="right"/>
              <w:rPr>
                <w:rFonts w:ascii="Times New Roman" w:hAnsi="Times New Roman" w:cs="Times New Roman" w:eastAsia="Times New Roman" w:hint="default"/>
                <w:sz w:val="18"/>
                <w:szCs w:val="18"/>
              </w:rPr>
            </w:pPr>
            <w:r>
              <w:rPr>
                <w:rFonts w:ascii="Times New Roman"/>
                <w:sz w:val="18"/>
              </w:rPr>
              <w:t>100%</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67"/>
              <w:jc w:val="center"/>
              <w:rPr>
                <w:rFonts w:ascii="宋体" w:hAnsi="宋体" w:cs="宋体" w:eastAsia="宋体" w:hint="default"/>
                <w:sz w:val="18"/>
                <w:szCs w:val="18"/>
              </w:rPr>
            </w:pPr>
            <w:r>
              <w:rPr>
                <w:rFonts w:ascii="宋体" w:hAnsi="宋体" w:cs="宋体" w:eastAsia="宋体" w:hint="default"/>
                <w:sz w:val="18"/>
                <w:szCs w:val="18"/>
              </w:rPr>
              <w:t>是</w:t>
            </w:r>
          </w:p>
        </w:tc>
        <w:tc>
          <w:tcPr>
            <w:tcW w:w="598"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r>
        <w:trPr>
          <w:trHeight w:val="1959" w:hRule="exact"/>
        </w:trPr>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24" w:right="39"/>
              <w:jc w:val="both"/>
              <w:rPr>
                <w:rFonts w:ascii="宋体" w:hAnsi="宋体" w:cs="宋体" w:eastAsia="宋体" w:hint="default"/>
                <w:sz w:val="18"/>
                <w:szCs w:val="18"/>
              </w:rPr>
            </w:pPr>
            <w:r>
              <w:rPr>
                <w:rFonts w:ascii="宋体" w:hAnsi="宋体" w:cs="宋体" w:eastAsia="宋体" w:hint="default"/>
                <w:sz w:val="18"/>
                <w:szCs w:val="18"/>
              </w:rPr>
              <w:t>北京神 州泰岳 信息安 全技术 有限公 司</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5"/>
              <w:ind w:left="23" w:right="77"/>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32" w:lineRule="exact"/>
              <w:ind w:left="23" w:right="48"/>
              <w:jc w:val="left"/>
              <w:rPr>
                <w:rFonts w:ascii="宋体" w:hAnsi="宋体" w:cs="宋体" w:eastAsia="宋体" w:hint="default"/>
                <w:sz w:val="18"/>
                <w:szCs w:val="18"/>
              </w:rPr>
            </w:pPr>
            <w:r>
              <w:rPr>
                <w:rFonts w:ascii="宋体" w:hAnsi="宋体" w:cs="宋体" w:eastAsia="宋体" w:hint="default"/>
                <w:sz w:val="18"/>
                <w:szCs w:val="18"/>
              </w:rPr>
              <w:t>北 京</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120"/>
              <w:jc w:val="both"/>
              <w:rPr>
                <w:rFonts w:ascii="宋体" w:hAnsi="宋体" w:cs="宋体" w:eastAsia="宋体" w:hint="default"/>
                <w:sz w:val="18"/>
                <w:szCs w:val="18"/>
              </w:rPr>
            </w:pPr>
            <w:r>
              <w:rPr>
                <w:rFonts w:ascii="宋体" w:hAnsi="宋体" w:cs="宋体" w:eastAsia="宋体" w:hint="default"/>
                <w:sz w:val="18"/>
                <w:szCs w:val="18"/>
              </w:rPr>
              <w:t>计 算 机 应 用 服 务 业</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4" w:right="0"/>
              <w:jc w:val="left"/>
              <w:rPr>
                <w:rFonts w:ascii="Times New Roman" w:hAnsi="Times New Roman" w:cs="Times New Roman" w:eastAsia="Times New Roman" w:hint="default"/>
                <w:sz w:val="18"/>
                <w:szCs w:val="18"/>
              </w:rPr>
            </w:pPr>
            <w:r>
              <w:rPr>
                <w:rFonts w:ascii="Times New Roman"/>
                <w:sz w:val="18"/>
              </w:rPr>
              <w:t>2,000.00</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23" w:right="20"/>
              <w:jc w:val="left"/>
              <w:rPr>
                <w:rFonts w:ascii="宋体" w:hAnsi="宋体" w:cs="宋体" w:eastAsia="宋体" w:hint="default"/>
                <w:sz w:val="18"/>
                <w:szCs w:val="18"/>
              </w:rPr>
            </w:pPr>
            <w:r>
              <w:rPr>
                <w:rFonts w:ascii="宋体" w:hAnsi="宋体" w:cs="宋体" w:eastAsia="宋体" w:hint="default"/>
                <w:spacing w:val="-3"/>
                <w:sz w:val="18"/>
                <w:szCs w:val="18"/>
              </w:rPr>
              <w:t>技术开发、技术转让、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技术服务；计算机技术培训；数 据处理；基础软件服务、应用软 件服务；销售计算机、软件及辅 助设备、电子产品；计算机系统 </w:t>
            </w:r>
            <w:r>
              <w:rPr>
                <w:rFonts w:ascii="宋体" w:hAnsi="宋体" w:cs="宋体" w:eastAsia="宋体" w:hint="default"/>
                <w:spacing w:val="-10"/>
                <w:sz w:val="18"/>
                <w:szCs w:val="18"/>
              </w:rPr>
              <w:t>服务。（未取得行政许可的项目除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外）</w:t>
            </w:r>
          </w:p>
        </w:tc>
        <w:tc>
          <w:tcPr>
            <w:tcW w:w="111" w:type="dxa"/>
            <w:tcBorders>
              <w:top w:val="single" w:sz="4" w:space="0" w:color="000000"/>
              <w:left w:val="single" w:sz="4" w:space="0" w:color="000000"/>
              <w:bottom w:val="single" w:sz="4" w:space="0" w:color="000000"/>
              <w:right w:val="nil" w:sz="6" w:space="0" w:color="auto"/>
            </w:tcBorders>
          </w:tcPr>
          <w:p>
            <w:pPr/>
          </w:p>
        </w:tc>
        <w:tc>
          <w:tcPr>
            <w:tcW w:w="70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49" w:right="0"/>
              <w:jc w:val="left"/>
              <w:rPr>
                <w:rFonts w:ascii="Times New Roman" w:hAnsi="Times New Roman" w:cs="Times New Roman" w:eastAsia="Times New Roman" w:hint="default"/>
                <w:sz w:val="18"/>
                <w:szCs w:val="18"/>
              </w:rPr>
            </w:pPr>
            <w:r>
              <w:rPr>
                <w:rFonts w:ascii="Times New Roman"/>
                <w:sz w:val="18"/>
              </w:rPr>
              <w:t>2,000.00</w:t>
            </w:r>
          </w:p>
        </w:tc>
        <w:tc>
          <w:tcPr>
            <w:tcW w:w="49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4"/>
              <w:jc w:val="right"/>
              <w:rPr>
                <w:rFonts w:ascii="Times New Roman" w:hAnsi="Times New Roman" w:cs="Times New Roman" w:eastAsia="Times New Roman" w:hint="default"/>
                <w:sz w:val="18"/>
                <w:szCs w:val="18"/>
              </w:rPr>
            </w:pPr>
            <w:r>
              <w:rPr>
                <w:rFonts w:ascii="Times New Roman"/>
                <w:sz w:val="18"/>
              </w:rPr>
              <w:t>100%</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2"/>
              <w:jc w:val="right"/>
              <w:rPr>
                <w:rFonts w:ascii="Times New Roman" w:hAnsi="Times New Roman" w:cs="Times New Roman" w:eastAsia="Times New Roman" w:hint="default"/>
                <w:sz w:val="18"/>
                <w:szCs w:val="18"/>
              </w:rPr>
            </w:pPr>
            <w:r>
              <w:rPr>
                <w:rFonts w:ascii="Times New Roman"/>
                <w:sz w:val="18"/>
              </w:rPr>
              <w:t>100%</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67"/>
              <w:jc w:val="center"/>
              <w:rPr>
                <w:rFonts w:ascii="宋体" w:hAnsi="宋体" w:cs="宋体" w:eastAsia="宋体" w:hint="default"/>
                <w:sz w:val="18"/>
                <w:szCs w:val="18"/>
              </w:rPr>
            </w:pPr>
            <w:r>
              <w:rPr>
                <w:rFonts w:ascii="宋体" w:hAnsi="宋体" w:cs="宋体" w:eastAsia="宋体" w:hint="default"/>
                <w:sz w:val="18"/>
                <w:szCs w:val="18"/>
              </w:rPr>
              <w:t>是</w:t>
            </w:r>
          </w:p>
        </w:tc>
        <w:tc>
          <w:tcPr>
            <w:tcW w:w="598"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r>
        <w:trPr>
          <w:trHeight w:val="2425" w:hRule="exact"/>
        </w:trPr>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24" w:right="39"/>
              <w:jc w:val="both"/>
              <w:rPr>
                <w:rFonts w:ascii="宋体" w:hAnsi="宋体" w:cs="宋体" w:eastAsia="宋体" w:hint="default"/>
                <w:sz w:val="18"/>
                <w:szCs w:val="18"/>
              </w:rPr>
            </w:pPr>
            <w:r>
              <w:rPr>
                <w:rFonts w:ascii="宋体" w:hAnsi="宋体" w:cs="宋体" w:eastAsia="宋体" w:hint="default"/>
                <w:sz w:val="18"/>
                <w:szCs w:val="18"/>
              </w:rPr>
              <w:t>重庆新 媒农信 科技有 限公司</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2"/>
              <w:ind w:left="23" w:right="77"/>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32" w:lineRule="exact"/>
              <w:ind w:left="23" w:right="48"/>
              <w:jc w:val="left"/>
              <w:rPr>
                <w:rFonts w:ascii="宋体" w:hAnsi="宋体" w:cs="宋体" w:eastAsia="宋体" w:hint="default"/>
                <w:sz w:val="18"/>
                <w:szCs w:val="18"/>
              </w:rPr>
            </w:pPr>
            <w:r>
              <w:rPr>
                <w:rFonts w:ascii="宋体" w:hAnsi="宋体" w:cs="宋体" w:eastAsia="宋体" w:hint="default"/>
                <w:sz w:val="18"/>
                <w:szCs w:val="18"/>
              </w:rPr>
              <w:t>重 庆</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37" w:lineRule="auto"/>
              <w:ind w:left="23" w:right="120"/>
              <w:jc w:val="both"/>
              <w:rPr>
                <w:rFonts w:ascii="宋体" w:hAnsi="宋体" w:cs="宋体" w:eastAsia="宋体" w:hint="default"/>
                <w:sz w:val="18"/>
                <w:szCs w:val="18"/>
              </w:rPr>
            </w:pPr>
            <w:r>
              <w:rPr>
                <w:rFonts w:ascii="宋体" w:hAnsi="宋体" w:cs="宋体" w:eastAsia="宋体" w:hint="default"/>
                <w:sz w:val="18"/>
                <w:szCs w:val="18"/>
              </w:rPr>
              <w:t>计 算 机 应 用 服 务 业</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sz w:val="18"/>
              </w:rPr>
              <w:t>10,330.00</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农村信息网的功能开发与系统技 术服务；农村信息网全网的技术 服务；计算机软、硬件的设计、 技术开发，销售及技术服务；数 据库及计算机网络技术服务；代 </w:t>
            </w:r>
            <w:r>
              <w:rPr>
                <w:rFonts w:ascii="宋体" w:hAnsi="宋体" w:cs="宋体" w:eastAsia="宋体" w:hint="default"/>
                <w:spacing w:val="-10"/>
                <w:sz w:val="18"/>
                <w:szCs w:val="18"/>
              </w:rPr>
              <w:t>理、发布国内外广告。（法律，法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规规定禁止和限制的不得经营； 法律、法规、国务院规定需要前 置审批的，未获审批前不得经 </w:t>
            </w:r>
            <w:r>
              <w:rPr>
                <w:rFonts w:ascii="宋体" w:hAnsi="宋体" w:cs="宋体" w:eastAsia="宋体" w:hint="default"/>
                <w:spacing w:val="-31"/>
                <w:sz w:val="18"/>
                <w:szCs w:val="18"/>
              </w:rPr>
              <w:t>营。）</w:t>
            </w:r>
          </w:p>
        </w:tc>
        <w:tc>
          <w:tcPr>
            <w:tcW w:w="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67" w:right="0"/>
              <w:jc w:val="left"/>
              <w:rPr>
                <w:rFonts w:ascii="Times New Roman" w:hAnsi="Times New Roman" w:cs="Times New Roman" w:eastAsia="Times New Roman" w:hint="default"/>
                <w:sz w:val="18"/>
                <w:szCs w:val="18"/>
              </w:rPr>
            </w:pPr>
            <w:r>
              <w:rPr>
                <w:rFonts w:ascii="Times New Roman"/>
                <w:sz w:val="18"/>
              </w:rPr>
              <w:t>10,330.00</w:t>
            </w:r>
          </w:p>
        </w:tc>
        <w:tc>
          <w:tcPr>
            <w:tcW w:w="49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4"/>
              <w:jc w:val="right"/>
              <w:rPr>
                <w:rFonts w:ascii="Times New Roman" w:hAnsi="Times New Roman" w:cs="Times New Roman" w:eastAsia="Times New Roman" w:hint="default"/>
                <w:sz w:val="18"/>
                <w:szCs w:val="18"/>
              </w:rPr>
            </w:pPr>
            <w:r>
              <w:rPr>
                <w:rFonts w:ascii="Times New Roman"/>
                <w:sz w:val="18"/>
              </w:rPr>
              <w:t>100%</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2"/>
              <w:jc w:val="right"/>
              <w:rPr>
                <w:rFonts w:ascii="Times New Roman" w:hAnsi="Times New Roman" w:cs="Times New Roman" w:eastAsia="Times New Roman" w:hint="default"/>
                <w:sz w:val="18"/>
                <w:szCs w:val="18"/>
              </w:rPr>
            </w:pPr>
            <w:r>
              <w:rPr>
                <w:rFonts w:ascii="Times New Roman"/>
                <w:sz w:val="18"/>
              </w:rPr>
              <w:t>100%</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67"/>
              <w:jc w:val="center"/>
              <w:rPr>
                <w:rFonts w:ascii="宋体" w:hAnsi="宋体" w:cs="宋体" w:eastAsia="宋体" w:hint="default"/>
                <w:sz w:val="18"/>
                <w:szCs w:val="18"/>
              </w:rPr>
            </w:pPr>
            <w:r>
              <w:rPr>
                <w:rFonts w:ascii="宋体" w:hAnsi="宋体" w:cs="宋体" w:eastAsia="宋体" w:hint="default"/>
                <w:sz w:val="18"/>
                <w:szCs w:val="18"/>
              </w:rPr>
              <w:t>是</w:t>
            </w:r>
          </w:p>
        </w:tc>
        <w:tc>
          <w:tcPr>
            <w:tcW w:w="598"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r>
        <w:trPr>
          <w:trHeight w:val="1958" w:hRule="exact"/>
        </w:trPr>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24" w:right="39"/>
              <w:jc w:val="both"/>
              <w:rPr>
                <w:rFonts w:ascii="宋体" w:hAnsi="宋体" w:cs="宋体" w:eastAsia="宋体" w:hint="default"/>
                <w:sz w:val="18"/>
                <w:szCs w:val="18"/>
              </w:rPr>
            </w:pPr>
            <w:r>
              <w:rPr>
                <w:rFonts w:ascii="宋体" w:hAnsi="宋体" w:cs="宋体" w:eastAsia="宋体" w:hint="default"/>
                <w:sz w:val="18"/>
                <w:szCs w:val="18"/>
              </w:rPr>
              <w:t>神州泰 岳（香 港）有 限公司</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5"/>
              <w:ind w:left="23" w:right="77"/>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32" w:lineRule="exact"/>
              <w:ind w:left="23" w:right="48"/>
              <w:jc w:val="left"/>
              <w:rPr>
                <w:rFonts w:ascii="宋体" w:hAnsi="宋体" w:cs="宋体" w:eastAsia="宋体" w:hint="default"/>
                <w:sz w:val="18"/>
                <w:szCs w:val="18"/>
              </w:rPr>
            </w:pPr>
            <w:r>
              <w:rPr>
                <w:rFonts w:ascii="宋体" w:hAnsi="宋体" w:cs="宋体" w:eastAsia="宋体" w:hint="default"/>
                <w:sz w:val="18"/>
                <w:szCs w:val="18"/>
              </w:rPr>
              <w:t>香 港</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120"/>
              <w:jc w:val="both"/>
              <w:rPr>
                <w:rFonts w:ascii="宋体" w:hAnsi="宋体" w:cs="宋体" w:eastAsia="宋体" w:hint="default"/>
                <w:sz w:val="18"/>
                <w:szCs w:val="18"/>
              </w:rPr>
            </w:pPr>
            <w:r>
              <w:rPr>
                <w:rFonts w:ascii="宋体" w:hAnsi="宋体" w:cs="宋体" w:eastAsia="宋体" w:hint="default"/>
                <w:sz w:val="18"/>
                <w:szCs w:val="18"/>
              </w:rPr>
              <w:t>计 算 机 应 用 服 务 业</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32" w:lineRule="exact"/>
              <w:ind w:left="24"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万港 币</w:t>
            </w:r>
          </w:p>
        </w:tc>
        <w:tc>
          <w:tcPr>
            <w:tcW w:w="2619" w:type="dxa"/>
            <w:tcBorders>
              <w:top w:val="single" w:sz="4" w:space="0" w:color="000000"/>
              <w:left w:val="single" w:sz="4" w:space="0" w:color="000000"/>
              <w:bottom w:val="single" w:sz="4" w:space="0" w:color="000000"/>
              <w:right w:val="single" w:sz="4" w:space="0" w:color="000000"/>
            </w:tcBorders>
          </w:tcPr>
          <w:p>
            <w:pPr/>
          </w:p>
        </w:tc>
        <w:tc>
          <w:tcPr>
            <w:tcW w:w="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93" w:right="0"/>
              <w:jc w:val="left"/>
              <w:rPr>
                <w:rFonts w:ascii="Times New Roman" w:hAnsi="Times New Roman" w:cs="Times New Roman" w:eastAsia="Times New Roman" w:hint="default"/>
                <w:sz w:val="18"/>
                <w:szCs w:val="18"/>
              </w:rPr>
            </w:pPr>
            <w:r>
              <w:rPr>
                <w:rFonts w:ascii="Times New Roman"/>
                <w:sz w:val="18"/>
              </w:rPr>
              <w:t>529.30</w:t>
            </w:r>
          </w:p>
        </w:tc>
        <w:tc>
          <w:tcPr>
            <w:tcW w:w="49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4"/>
              <w:jc w:val="right"/>
              <w:rPr>
                <w:rFonts w:ascii="Times New Roman" w:hAnsi="Times New Roman" w:cs="Times New Roman" w:eastAsia="Times New Roman" w:hint="default"/>
                <w:sz w:val="18"/>
                <w:szCs w:val="18"/>
              </w:rPr>
            </w:pPr>
            <w:r>
              <w:rPr>
                <w:rFonts w:ascii="Times New Roman"/>
                <w:sz w:val="18"/>
              </w:rPr>
              <w:t>100%</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2"/>
              <w:jc w:val="right"/>
              <w:rPr>
                <w:rFonts w:ascii="Times New Roman" w:hAnsi="Times New Roman" w:cs="Times New Roman" w:eastAsia="Times New Roman" w:hint="default"/>
                <w:sz w:val="18"/>
                <w:szCs w:val="18"/>
              </w:rPr>
            </w:pPr>
            <w:r>
              <w:rPr>
                <w:rFonts w:ascii="Times New Roman"/>
                <w:sz w:val="18"/>
              </w:rPr>
              <w:t>100%</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67"/>
              <w:jc w:val="center"/>
              <w:rPr>
                <w:rFonts w:ascii="宋体" w:hAnsi="宋体" w:cs="宋体" w:eastAsia="宋体" w:hint="default"/>
                <w:sz w:val="18"/>
                <w:szCs w:val="18"/>
              </w:rPr>
            </w:pPr>
            <w:r>
              <w:rPr>
                <w:rFonts w:ascii="宋体" w:hAnsi="宋体" w:cs="宋体" w:eastAsia="宋体" w:hint="default"/>
                <w:sz w:val="18"/>
                <w:szCs w:val="18"/>
              </w:rPr>
              <w:t>是</w:t>
            </w:r>
          </w:p>
        </w:tc>
        <w:tc>
          <w:tcPr>
            <w:tcW w:w="598"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40" w:bottom="1160" w:left="980" w:right="980"/>
        </w:sectPr>
      </w:pPr>
    </w:p>
    <w:tbl>
      <w:tblPr>
        <w:tblW w:w="0" w:type="auto"/>
        <w:jc w:val="left"/>
        <w:tblInd w:w="148" w:type="dxa"/>
        <w:tblLayout w:type="fixed"/>
        <w:tblCellMar>
          <w:top w:w="0" w:type="dxa"/>
          <w:left w:w="0" w:type="dxa"/>
          <w:bottom w:w="0" w:type="dxa"/>
          <w:right w:w="0" w:type="dxa"/>
        </w:tblCellMar>
        <w:tblLook w:val="01E0"/>
      </w:tblPr>
      <w:tblGrid>
        <w:gridCol w:w="615"/>
        <w:gridCol w:w="293"/>
        <w:gridCol w:w="264"/>
        <w:gridCol w:w="336"/>
        <w:gridCol w:w="787"/>
        <w:gridCol w:w="2619"/>
        <w:gridCol w:w="111"/>
        <w:gridCol w:w="707"/>
        <w:gridCol w:w="492"/>
        <w:gridCol w:w="521"/>
        <w:gridCol w:w="535"/>
        <w:gridCol w:w="307"/>
        <w:gridCol w:w="598"/>
        <w:gridCol w:w="506"/>
        <w:gridCol w:w="977"/>
      </w:tblGrid>
      <w:tr>
        <w:trPr>
          <w:trHeight w:val="3432" w:hRule="exact"/>
        </w:trPr>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37" w:lineRule="auto"/>
              <w:ind w:left="24" w:right="39"/>
              <w:jc w:val="both"/>
              <w:rPr>
                <w:rFonts w:ascii="宋体" w:hAnsi="宋体" w:cs="宋体" w:eastAsia="宋体" w:hint="default"/>
                <w:sz w:val="18"/>
                <w:szCs w:val="18"/>
              </w:rPr>
            </w:pPr>
            <w:r>
              <w:rPr>
                <w:rFonts w:ascii="宋体" w:hAnsi="宋体" w:cs="宋体" w:eastAsia="宋体" w:hint="default"/>
                <w:sz w:val="18"/>
                <w:szCs w:val="18"/>
              </w:rPr>
              <w:t>北京神 州泰岳 良品电 子商务 有限公 司</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55"/>
              <w:ind w:left="23" w:right="77"/>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32" w:lineRule="exact"/>
              <w:ind w:left="23" w:right="48"/>
              <w:jc w:val="left"/>
              <w:rPr>
                <w:rFonts w:ascii="宋体" w:hAnsi="宋体" w:cs="宋体" w:eastAsia="宋体" w:hint="default"/>
                <w:sz w:val="18"/>
                <w:szCs w:val="18"/>
              </w:rPr>
            </w:pPr>
            <w:r>
              <w:rPr>
                <w:rFonts w:ascii="宋体" w:hAnsi="宋体" w:cs="宋体" w:eastAsia="宋体" w:hint="default"/>
                <w:sz w:val="18"/>
                <w:szCs w:val="18"/>
              </w:rPr>
              <w:t>北 京</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37" w:lineRule="auto"/>
              <w:ind w:left="23" w:right="120"/>
              <w:jc w:val="both"/>
              <w:rPr>
                <w:rFonts w:ascii="宋体" w:hAnsi="宋体" w:cs="宋体" w:eastAsia="宋体" w:hint="default"/>
                <w:sz w:val="18"/>
                <w:szCs w:val="18"/>
              </w:rPr>
            </w:pPr>
            <w:r>
              <w:rPr>
                <w:rFonts w:ascii="宋体" w:hAnsi="宋体" w:cs="宋体" w:eastAsia="宋体" w:hint="default"/>
                <w:sz w:val="18"/>
                <w:szCs w:val="18"/>
              </w:rPr>
              <w:t>计 算 机 应 用 服 务 业</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10,000.00</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37" w:lineRule="auto"/>
              <w:ind w:left="23" w:right="20"/>
              <w:jc w:val="both"/>
              <w:rPr>
                <w:rFonts w:ascii="宋体" w:hAnsi="宋体" w:cs="宋体" w:eastAsia="宋体" w:hint="default"/>
                <w:sz w:val="18"/>
                <w:szCs w:val="18"/>
              </w:rPr>
            </w:pPr>
            <w:r>
              <w:rPr>
                <w:rFonts w:ascii="宋体" w:hAnsi="宋体" w:cs="宋体" w:eastAsia="宋体" w:hint="default"/>
                <w:sz w:val="18"/>
                <w:szCs w:val="18"/>
              </w:rPr>
              <w:t>销售日用品；计算机软件技术开 发，技术服务、技术转让、技术 咨询、技术培训；代理、发布广 告；货物进出口、技术进出口、 </w:t>
            </w:r>
            <w:r>
              <w:rPr>
                <w:rFonts w:ascii="宋体" w:hAnsi="宋体" w:cs="宋体" w:eastAsia="宋体" w:hint="default"/>
                <w:spacing w:val="-10"/>
                <w:sz w:val="18"/>
                <w:szCs w:val="18"/>
              </w:rPr>
              <w:t>代理进出口。（未取得行政许可的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项目除外）</w:t>
            </w:r>
          </w:p>
        </w:tc>
        <w:tc>
          <w:tcPr>
            <w:tcW w:w="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10,000.00</w:t>
            </w:r>
          </w:p>
        </w:tc>
        <w:tc>
          <w:tcPr>
            <w:tcW w:w="49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88%</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89%</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67"/>
              <w:jc w:val="center"/>
              <w:rPr>
                <w:rFonts w:ascii="宋体" w:hAnsi="宋体" w:cs="宋体" w:eastAsia="宋体" w:hint="default"/>
                <w:sz w:val="18"/>
                <w:szCs w:val="18"/>
              </w:rPr>
            </w:pPr>
            <w:r>
              <w:rPr>
                <w:rFonts w:ascii="宋体" w:hAnsi="宋体" w:cs="宋体" w:eastAsia="宋体" w:hint="default"/>
                <w:sz w:val="18"/>
                <w:szCs w:val="18"/>
              </w:rPr>
              <w:t>是</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995.83</w:t>
            </w:r>
          </w:p>
        </w:tc>
        <w:tc>
          <w:tcPr>
            <w:tcW w:w="50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r>
        <w:trPr>
          <w:trHeight w:val="1957" w:hRule="exact"/>
        </w:trPr>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37" w:lineRule="auto"/>
              <w:ind w:left="24" w:right="39"/>
              <w:jc w:val="both"/>
              <w:rPr>
                <w:rFonts w:ascii="宋体" w:hAnsi="宋体" w:cs="宋体" w:eastAsia="宋体" w:hint="default"/>
                <w:sz w:val="18"/>
                <w:szCs w:val="18"/>
              </w:rPr>
            </w:pPr>
            <w:r>
              <w:rPr>
                <w:rFonts w:ascii="宋体" w:hAnsi="宋体" w:cs="宋体" w:eastAsia="宋体" w:hint="default"/>
                <w:sz w:val="18"/>
                <w:szCs w:val="18"/>
              </w:rPr>
              <w:t>北京泰 岳千腾 网络信 息技术 有限公 司</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5"/>
              <w:ind w:left="23" w:right="77"/>
              <w:jc w:val="both"/>
              <w:rPr>
                <w:rFonts w:ascii="宋体" w:hAnsi="宋体" w:cs="宋体" w:eastAsia="宋体" w:hint="default"/>
                <w:sz w:val="18"/>
                <w:szCs w:val="18"/>
              </w:rPr>
            </w:pPr>
            <w:r>
              <w:rPr>
                <w:rFonts w:ascii="宋体" w:hAnsi="宋体" w:cs="宋体" w:eastAsia="宋体" w:hint="default"/>
                <w:sz w:val="18"/>
                <w:szCs w:val="18"/>
              </w:rPr>
              <w:t>控 股 孙 公 司</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30" w:lineRule="exact"/>
              <w:ind w:left="23" w:right="48"/>
              <w:jc w:val="left"/>
              <w:rPr>
                <w:rFonts w:ascii="宋体" w:hAnsi="宋体" w:cs="宋体" w:eastAsia="宋体" w:hint="default"/>
                <w:sz w:val="18"/>
                <w:szCs w:val="18"/>
              </w:rPr>
            </w:pPr>
            <w:r>
              <w:rPr>
                <w:rFonts w:ascii="宋体" w:hAnsi="宋体" w:cs="宋体" w:eastAsia="宋体" w:hint="default"/>
                <w:sz w:val="18"/>
                <w:szCs w:val="18"/>
              </w:rPr>
              <w:t>北 京</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120"/>
              <w:jc w:val="both"/>
              <w:rPr>
                <w:rFonts w:ascii="宋体" w:hAnsi="宋体" w:cs="宋体" w:eastAsia="宋体" w:hint="default"/>
                <w:sz w:val="18"/>
                <w:szCs w:val="18"/>
              </w:rPr>
            </w:pPr>
            <w:r>
              <w:rPr>
                <w:rFonts w:ascii="宋体" w:hAnsi="宋体" w:cs="宋体" w:eastAsia="宋体" w:hint="default"/>
                <w:sz w:val="18"/>
                <w:szCs w:val="18"/>
              </w:rPr>
              <w:t>计 算 机 应 用 服 务 业</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4" w:right="0"/>
              <w:jc w:val="left"/>
              <w:rPr>
                <w:rFonts w:ascii="Times New Roman" w:hAnsi="Times New Roman" w:cs="Times New Roman" w:eastAsia="Times New Roman" w:hint="default"/>
                <w:sz w:val="18"/>
                <w:szCs w:val="18"/>
              </w:rPr>
            </w:pPr>
            <w:r>
              <w:rPr>
                <w:rFonts w:ascii="Times New Roman"/>
                <w:sz w:val="18"/>
              </w:rPr>
              <w:t>1,000.00</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5"/>
              <w:ind w:left="23" w:right="63"/>
              <w:jc w:val="left"/>
              <w:rPr>
                <w:rFonts w:ascii="宋体" w:hAnsi="宋体" w:cs="宋体" w:eastAsia="宋体" w:hint="default"/>
                <w:sz w:val="18"/>
                <w:szCs w:val="18"/>
              </w:rPr>
            </w:pPr>
            <w:r>
              <w:rPr>
                <w:rFonts w:ascii="宋体" w:hAnsi="宋体" w:cs="宋体" w:eastAsia="宋体" w:hint="default"/>
                <w:sz w:val="18"/>
                <w:szCs w:val="18"/>
              </w:rPr>
              <w:t>许可经营项目：零售（非实物方 </w:t>
            </w:r>
            <w:r>
              <w:rPr>
                <w:rFonts w:ascii="宋体" w:hAnsi="宋体" w:cs="宋体" w:eastAsia="宋体" w:hint="default"/>
                <w:spacing w:val="-3"/>
                <w:sz w:val="18"/>
                <w:szCs w:val="18"/>
              </w:rPr>
              <w:t>式）预包装食品。</w:t>
            </w:r>
            <w:r>
              <w:rPr>
                <w:rFonts w:ascii="宋体" w:hAnsi="宋体" w:cs="宋体" w:eastAsia="宋体" w:hint="default"/>
                <w:sz w:val="18"/>
                <w:szCs w:val="18"/>
              </w:rPr>
              <w:t> 技术推广服务； 代理、发布广告；会议及展览服 务；销售日用品、针纺织品、服 装鞋帽、计算机、软件及辅助设 备、工艺品、文具用品。</w:t>
            </w:r>
          </w:p>
        </w:tc>
        <w:tc>
          <w:tcPr>
            <w:tcW w:w="111" w:type="dxa"/>
            <w:tcBorders>
              <w:top w:val="single" w:sz="4" w:space="0" w:color="000000"/>
              <w:left w:val="single" w:sz="4" w:space="0" w:color="000000"/>
              <w:bottom w:val="single" w:sz="4" w:space="0" w:color="000000"/>
              <w:right w:val="nil" w:sz="6" w:space="0" w:color="auto"/>
            </w:tcBorders>
          </w:tcPr>
          <w:p>
            <w:pPr/>
          </w:p>
        </w:tc>
        <w:tc>
          <w:tcPr>
            <w:tcW w:w="70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7" w:right="0"/>
              <w:jc w:val="center"/>
              <w:rPr>
                <w:rFonts w:ascii="Times New Roman" w:hAnsi="Times New Roman" w:cs="Times New Roman" w:eastAsia="Times New Roman" w:hint="default"/>
                <w:sz w:val="18"/>
                <w:szCs w:val="18"/>
              </w:rPr>
            </w:pPr>
            <w:r>
              <w:rPr>
                <w:rFonts w:ascii="Times New Roman"/>
                <w:sz w:val="18"/>
              </w:rPr>
              <w:t>1,000.00</w:t>
            </w:r>
          </w:p>
        </w:tc>
        <w:tc>
          <w:tcPr>
            <w:tcW w:w="49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4"/>
              <w:jc w:val="right"/>
              <w:rPr>
                <w:rFonts w:ascii="Times New Roman" w:hAnsi="Times New Roman" w:cs="Times New Roman" w:eastAsia="Times New Roman" w:hint="default"/>
                <w:sz w:val="18"/>
                <w:szCs w:val="18"/>
              </w:rPr>
            </w:pPr>
            <w:r>
              <w:rPr>
                <w:rFonts w:ascii="Times New Roman"/>
                <w:sz w:val="18"/>
              </w:rPr>
              <w:t>70%</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z w:val="18"/>
              </w:rPr>
              <w:t>70%</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67"/>
              <w:jc w:val="center"/>
              <w:rPr>
                <w:rFonts w:ascii="宋体" w:hAnsi="宋体" w:cs="宋体" w:eastAsia="宋体" w:hint="default"/>
                <w:sz w:val="18"/>
                <w:szCs w:val="18"/>
              </w:rPr>
            </w:pPr>
            <w:r>
              <w:rPr>
                <w:rFonts w:ascii="宋体" w:hAnsi="宋体" w:cs="宋体" w:eastAsia="宋体" w:hint="default"/>
                <w:sz w:val="18"/>
                <w:szCs w:val="18"/>
              </w:rPr>
              <w:t>是</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2"/>
                <w:sz w:val="18"/>
              </w:rPr>
              <w:t>112.19</w:t>
            </w:r>
          </w:p>
        </w:tc>
        <w:tc>
          <w:tcPr>
            <w:tcW w:w="50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r>
        <w:trPr>
          <w:trHeight w:val="3046" w:hRule="exact"/>
        </w:trPr>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37" w:lineRule="auto"/>
              <w:ind w:left="24" w:right="39"/>
              <w:jc w:val="both"/>
              <w:rPr>
                <w:rFonts w:ascii="宋体" w:hAnsi="宋体" w:cs="宋体" w:eastAsia="宋体" w:hint="default"/>
                <w:sz w:val="18"/>
                <w:szCs w:val="18"/>
              </w:rPr>
            </w:pPr>
            <w:r>
              <w:rPr>
                <w:rFonts w:ascii="宋体" w:hAnsi="宋体" w:cs="宋体" w:eastAsia="宋体" w:hint="default"/>
                <w:sz w:val="18"/>
                <w:szCs w:val="18"/>
              </w:rPr>
              <w:t>重庆新 媒亿网 科技有 限公司</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37" w:lineRule="auto"/>
              <w:ind w:left="23" w:right="77"/>
              <w:jc w:val="both"/>
              <w:rPr>
                <w:rFonts w:ascii="宋体" w:hAnsi="宋体" w:cs="宋体" w:eastAsia="宋体" w:hint="default"/>
                <w:sz w:val="18"/>
                <w:szCs w:val="18"/>
              </w:rPr>
            </w:pPr>
            <w:r>
              <w:rPr>
                <w:rFonts w:ascii="宋体" w:hAnsi="宋体" w:cs="宋体" w:eastAsia="宋体" w:hint="default"/>
                <w:sz w:val="18"/>
                <w:szCs w:val="18"/>
              </w:rPr>
              <w:t>全 资 孙 公 司</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30" w:lineRule="exact"/>
              <w:ind w:left="23" w:right="48"/>
              <w:jc w:val="left"/>
              <w:rPr>
                <w:rFonts w:ascii="宋体" w:hAnsi="宋体" w:cs="宋体" w:eastAsia="宋体" w:hint="default"/>
                <w:sz w:val="18"/>
                <w:szCs w:val="18"/>
              </w:rPr>
            </w:pPr>
            <w:r>
              <w:rPr>
                <w:rFonts w:ascii="宋体" w:hAnsi="宋体" w:cs="宋体" w:eastAsia="宋体" w:hint="default"/>
                <w:sz w:val="18"/>
                <w:szCs w:val="18"/>
              </w:rPr>
              <w:t>重 庆</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23" w:right="120"/>
              <w:jc w:val="both"/>
              <w:rPr>
                <w:rFonts w:ascii="宋体" w:hAnsi="宋体" w:cs="宋体" w:eastAsia="宋体" w:hint="default"/>
                <w:sz w:val="18"/>
                <w:szCs w:val="18"/>
              </w:rPr>
            </w:pPr>
            <w:r>
              <w:rPr>
                <w:rFonts w:ascii="宋体" w:hAnsi="宋体" w:cs="宋体" w:eastAsia="宋体" w:hint="default"/>
                <w:sz w:val="18"/>
                <w:szCs w:val="18"/>
              </w:rPr>
              <w:t>计 算 机 应 用 服 务 业</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23" w:right="20"/>
              <w:jc w:val="both"/>
              <w:rPr>
                <w:rFonts w:ascii="宋体" w:hAnsi="宋体" w:cs="宋体" w:eastAsia="宋体" w:hint="default"/>
                <w:sz w:val="18"/>
                <w:szCs w:val="18"/>
              </w:rPr>
            </w:pPr>
            <w:r>
              <w:rPr>
                <w:rFonts w:ascii="宋体" w:hAnsi="宋体" w:cs="宋体" w:eastAsia="宋体" w:hint="default"/>
                <w:sz w:val="18"/>
                <w:szCs w:val="18"/>
              </w:rPr>
              <w:t>计算机软件的开发、销售及技术 服务；计算机及配套设备、通信 设备（不含无线电接收及发射设 备）的开发、销售及技术咨询； 计算机网络技术服务；计算机系 统集成；物联网技术、无线数据 通信技术的研发及技术服务；网 络工程；制作、代理、发布国内 </w:t>
            </w:r>
            <w:r>
              <w:rPr>
                <w:rFonts w:ascii="宋体" w:hAnsi="宋体" w:cs="宋体" w:eastAsia="宋体" w:hint="default"/>
                <w:spacing w:val="-10"/>
                <w:sz w:val="18"/>
                <w:szCs w:val="18"/>
              </w:rPr>
              <w:t>外广告。（法律、法规禁止的不得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经营；法律、法规限制的取得许 </w:t>
            </w:r>
            <w:r>
              <w:rPr>
                <w:rFonts w:ascii="宋体" w:hAnsi="宋体" w:cs="宋体" w:eastAsia="宋体" w:hint="default"/>
                <w:spacing w:val="-9"/>
                <w:sz w:val="18"/>
                <w:szCs w:val="18"/>
              </w:rPr>
              <w:t>可或审批后方可经营。）</w:t>
            </w:r>
          </w:p>
        </w:tc>
        <w:tc>
          <w:tcPr>
            <w:tcW w:w="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1,000.00</w:t>
            </w:r>
          </w:p>
        </w:tc>
        <w:tc>
          <w:tcPr>
            <w:tcW w:w="49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67"/>
              <w:jc w:val="center"/>
              <w:rPr>
                <w:rFonts w:ascii="宋体" w:hAnsi="宋体" w:cs="宋体" w:eastAsia="宋体" w:hint="default"/>
                <w:sz w:val="18"/>
                <w:szCs w:val="18"/>
              </w:rPr>
            </w:pPr>
            <w:r>
              <w:rPr>
                <w:rFonts w:ascii="宋体" w:hAnsi="宋体" w:cs="宋体" w:eastAsia="宋体" w:hint="default"/>
                <w:sz w:val="18"/>
                <w:szCs w:val="18"/>
              </w:rPr>
              <w:t>是</w:t>
            </w:r>
          </w:p>
        </w:tc>
        <w:tc>
          <w:tcPr>
            <w:tcW w:w="598"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r>
        <w:trPr>
          <w:trHeight w:val="1956" w:hRule="exact"/>
        </w:trPr>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24" w:right="39"/>
              <w:jc w:val="both"/>
              <w:rPr>
                <w:rFonts w:ascii="宋体" w:hAnsi="宋体" w:cs="宋体" w:eastAsia="宋体" w:hint="default"/>
                <w:sz w:val="18"/>
                <w:szCs w:val="18"/>
              </w:rPr>
            </w:pPr>
            <w:r>
              <w:rPr>
                <w:rFonts w:ascii="宋体" w:hAnsi="宋体" w:cs="宋体" w:eastAsia="宋体" w:hint="default"/>
                <w:sz w:val="18"/>
                <w:szCs w:val="18"/>
              </w:rPr>
              <w:t>重庆新 迈峰科 技有限 公司</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5"/>
              <w:ind w:left="23" w:right="77"/>
              <w:jc w:val="both"/>
              <w:rPr>
                <w:rFonts w:ascii="宋体" w:hAnsi="宋体" w:cs="宋体" w:eastAsia="宋体" w:hint="default"/>
                <w:sz w:val="18"/>
                <w:szCs w:val="18"/>
              </w:rPr>
            </w:pPr>
            <w:r>
              <w:rPr>
                <w:rFonts w:ascii="宋体" w:hAnsi="宋体" w:cs="宋体" w:eastAsia="宋体" w:hint="default"/>
                <w:sz w:val="18"/>
                <w:szCs w:val="18"/>
              </w:rPr>
              <w:t>全 资 孙 公 司</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0" w:lineRule="exact"/>
              <w:ind w:left="23" w:right="48"/>
              <w:jc w:val="left"/>
              <w:rPr>
                <w:rFonts w:ascii="宋体" w:hAnsi="宋体" w:cs="宋体" w:eastAsia="宋体" w:hint="default"/>
                <w:sz w:val="18"/>
                <w:szCs w:val="18"/>
              </w:rPr>
            </w:pPr>
            <w:r>
              <w:rPr>
                <w:rFonts w:ascii="宋体" w:hAnsi="宋体" w:cs="宋体" w:eastAsia="宋体" w:hint="default"/>
                <w:sz w:val="18"/>
                <w:szCs w:val="18"/>
              </w:rPr>
              <w:t>重 庆</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120"/>
              <w:jc w:val="both"/>
              <w:rPr>
                <w:rFonts w:ascii="宋体" w:hAnsi="宋体" w:cs="宋体" w:eastAsia="宋体" w:hint="default"/>
                <w:sz w:val="18"/>
                <w:szCs w:val="18"/>
              </w:rPr>
            </w:pPr>
            <w:r>
              <w:rPr>
                <w:rFonts w:ascii="宋体" w:hAnsi="宋体" w:cs="宋体" w:eastAsia="宋体" w:hint="default"/>
                <w:sz w:val="18"/>
                <w:szCs w:val="18"/>
              </w:rPr>
              <w:t>计 算 机 应 用 服 务 业</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4" w:right="0"/>
              <w:jc w:val="left"/>
              <w:rPr>
                <w:rFonts w:ascii="Times New Roman" w:hAnsi="Times New Roman" w:cs="Times New Roman" w:eastAsia="Times New Roman" w:hint="default"/>
                <w:sz w:val="18"/>
                <w:szCs w:val="18"/>
              </w:rPr>
            </w:pPr>
            <w:r>
              <w:rPr>
                <w:rFonts w:ascii="Times New Roman"/>
                <w:sz w:val="18"/>
              </w:rPr>
              <w:t>1,000.00</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计算机及配件销售和技术服务； 弱电系统集成； 销售及技术服务；计算机外部设 </w:t>
            </w:r>
            <w:r>
              <w:rPr>
                <w:rFonts w:ascii="宋体" w:hAnsi="宋体" w:cs="宋体" w:eastAsia="宋体" w:hint="default"/>
                <w:spacing w:val="-10"/>
                <w:sz w:val="18"/>
                <w:szCs w:val="18"/>
              </w:rPr>
              <w:t>备销售、技术服务；电子产品（不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0"/>
                <w:sz w:val="18"/>
                <w:szCs w:val="18"/>
              </w:rPr>
              <w:t>含电子出版物）研发、销售。（法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律、法规禁止的不得经营；</w:t>
            </w:r>
            <w:r>
              <w:rPr>
                <w:rFonts w:ascii="宋体" w:hAnsi="宋体" w:cs="宋体" w:eastAsia="宋体" w:hint="default"/>
                <w:sz w:val="18"/>
                <w:szCs w:val="18"/>
              </w:rPr>
              <w:t> 法规限制的取得许可或审批后方 </w:t>
            </w:r>
            <w:r>
              <w:rPr>
                <w:rFonts w:ascii="宋体" w:hAnsi="宋体" w:cs="宋体" w:eastAsia="宋体" w:hint="default"/>
                <w:spacing w:val="-19"/>
                <w:sz w:val="18"/>
                <w:szCs w:val="18"/>
              </w:rPr>
              <w:t>可经营。）</w:t>
            </w:r>
          </w:p>
        </w:tc>
        <w:tc>
          <w:tcPr>
            <w:tcW w:w="111" w:type="dxa"/>
            <w:tcBorders>
              <w:top w:val="single" w:sz="4" w:space="0" w:color="000000"/>
              <w:left w:val="single" w:sz="4" w:space="0" w:color="000000"/>
              <w:bottom w:val="single" w:sz="4" w:space="0" w:color="000000"/>
              <w:right w:val="nil" w:sz="6" w:space="0" w:color="auto"/>
            </w:tcBorders>
          </w:tcPr>
          <w:p>
            <w:pPr/>
          </w:p>
        </w:tc>
        <w:tc>
          <w:tcPr>
            <w:tcW w:w="70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7" w:right="0"/>
              <w:jc w:val="center"/>
              <w:rPr>
                <w:rFonts w:ascii="Times New Roman" w:hAnsi="Times New Roman" w:cs="Times New Roman" w:eastAsia="Times New Roman" w:hint="default"/>
                <w:sz w:val="18"/>
                <w:szCs w:val="18"/>
              </w:rPr>
            </w:pPr>
            <w:r>
              <w:rPr>
                <w:rFonts w:ascii="Times New Roman"/>
                <w:sz w:val="18"/>
              </w:rPr>
              <w:t>1,000.00</w:t>
            </w:r>
          </w:p>
        </w:tc>
        <w:tc>
          <w:tcPr>
            <w:tcW w:w="49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4"/>
              <w:jc w:val="right"/>
              <w:rPr>
                <w:rFonts w:ascii="Times New Roman" w:hAnsi="Times New Roman" w:cs="Times New Roman" w:eastAsia="Times New Roman" w:hint="default"/>
                <w:sz w:val="18"/>
                <w:szCs w:val="18"/>
              </w:rPr>
            </w:pPr>
            <w:r>
              <w:rPr>
                <w:rFonts w:ascii="Times New Roman"/>
                <w:sz w:val="18"/>
              </w:rPr>
              <w:t>100%</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2"/>
              <w:jc w:val="right"/>
              <w:rPr>
                <w:rFonts w:ascii="Times New Roman" w:hAnsi="Times New Roman" w:cs="Times New Roman" w:eastAsia="Times New Roman" w:hint="default"/>
                <w:sz w:val="18"/>
                <w:szCs w:val="18"/>
              </w:rPr>
            </w:pPr>
            <w:r>
              <w:rPr>
                <w:rFonts w:ascii="Times New Roman"/>
                <w:sz w:val="18"/>
              </w:rPr>
              <w:t>100%</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67"/>
              <w:jc w:val="center"/>
              <w:rPr>
                <w:rFonts w:ascii="宋体" w:hAnsi="宋体" w:cs="宋体" w:eastAsia="宋体" w:hint="default"/>
                <w:sz w:val="18"/>
                <w:szCs w:val="18"/>
              </w:rPr>
            </w:pPr>
            <w:r>
              <w:rPr>
                <w:rFonts w:ascii="宋体" w:hAnsi="宋体" w:cs="宋体" w:eastAsia="宋体" w:hint="default"/>
                <w:sz w:val="18"/>
                <w:szCs w:val="18"/>
              </w:rPr>
              <w:t>是</w:t>
            </w:r>
          </w:p>
        </w:tc>
        <w:tc>
          <w:tcPr>
            <w:tcW w:w="598"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r>
        <w:rPr/>
        <w:pict>
          <v:shape style="position:absolute;margin-left:233.417007pt;margin-top:244.105988pt;width:109.75pt;height:41.55pt;mso-position-horizontal-relative:page;mso-position-vertical-relative:page;z-index:-94633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3"/>
                    <w:ind w:left="0" w:right="752" w:firstLine="180"/>
                    <w:jc w:val="left"/>
                  </w:pPr>
                  <w:r>
                    <w:rPr/>
                    <w:t>一般经营项目： 计算机系统服务；</w:t>
                  </w:r>
                </w:p>
              </w:txbxContent>
            </v:textbox>
            <w10:wrap type="none"/>
          </v:shape>
        </w:pict>
      </w:r>
      <w:r>
        <w:rPr/>
        <w:pict>
          <v:group style="position:absolute;margin-left:302.690002pt;margin-top:244.105988pt;width:40.5pt;height:41.55pt;mso-position-horizontal-relative:page;mso-position-vertical-relative:page;z-index:-946264" coordorigin="6054,4882" coordsize="810,831">
            <v:shape style="position:absolute;left:6054;top:4882;width:810;height:831" coordorigin="6054,4882" coordsize="810,831" path="m6054,5713l6863,5713,6863,4882,6054,4882,6054,5713xe" filled="true" fillcolor="#ffffff" stroked="false">
              <v:path arrowok="t"/>
              <v:fill type="solid"/>
            </v:shape>
            <w10:wrap type="none"/>
          </v:group>
        </w:pict>
      </w:r>
    </w:p>
    <w:p>
      <w:pPr>
        <w:pStyle w:val="Heading3"/>
        <w:spacing w:line="240" w:lineRule="auto" w:before="36"/>
        <w:ind w:right="0"/>
        <w:jc w:val="left"/>
        <w:rPr>
          <w:b w:val="0"/>
          <w:bCs w:val="0"/>
        </w:rPr>
      </w:pPr>
      <w:r>
        <w:rPr/>
        <w:pict>
          <v:shape style="position:absolute;margin-left:233.417007pt;margin-top:-109.296326pt;width:109.75pt;height:41.55pt;mso-position-horizontal-relative:page;mso-position-vertical-relative:paragraph;z-index:-946312" type="#_x0000_t202" filled="false" stroked="false">
            <v:textbox inset="0,0,0,0">
              <w:txbxContent>
                <w:p>
                  <w:pPr>
                    <w:spacing w:line="240" w:lineRule="auto" w:before="8"/>
                    <w:rPr>
                      <w:rFonts w:ascii="宋体" w:hAnsi="宋体" w:cs="宋体" w:eastAsia="宋体" w:hint="default"/>
                      <w:sz w:val="18"/>
                      <w:szCs w:val="18"/>
                    </w:rPr>
                  </w:pPr>
                </w:p>
                <w:p>
                  <w:pPr>
                    <w:pStyle w:val="BodyText"/>
                    <w:spacing w:line="240" w:lineRule="auto"/>
                    <w:ind w:left="0" w:right="0"/>
                    <w:jc w:val="left"/>
                  </w:pPr>
                  <w:r>
                    <w:rPr/>
                    <w:t>计算机软件开发、</w:t>
                  </w:r>
                </w:p>
              </w:txbxContent>
            </v:textbox>
            <w10:wrap type="none"/>
          </v:shape>
        </w:pict>
      </w:r>
      <w:r>
        <w:rPr/>
        <w:pict>
          <v:shape style="position:absolute;margin-left:278.425995pt;margin-top:-53.496326pt;width:64.75pt;height:41.55pt;mso-position-horizontal-relative:page;mso-position-vertical-relative:paragraph;z-index:-946288" type="#_x0000_t202" filled="false" stroked="false">
            <v:textbox inset="0,0,0,0">
              <w:txbxContent>
                <w:p>
                  <w:pPr>
                    <w:pStyle w:val="BodyText"/>
                    <w:spacing w:line="240" w:lineRule="auto" w:before="61"/>
                    <w:ind w:left="0" w:right="0"/>
                    <w:jc w:val="left"/>
                  </w:pPr>
                  <w:r>
                    <w:rPr/>
                    <w:t>法律、</w:t>
                  </w:r>
                </w:p>
              </w:txbxContent>
            </v:textbox>
            <w10:wrap type="none"/>
          </v:shape>
        </w:pict>
      </w:r>
      <w:r>
        <w:rPr/>
        <w:pict>
          <v:group style="position:absolute;margin-left:302.690002pt;margin-top:-109.296326pt;width:40.5pt;height:41.55pt;mso-position-horizontal-relative:page;mso-position-vertical-relative:paragraph;z-index:-946240" coordorigin="6054,-2186" coordsize="810,831">
            <v:shape style="position:absolute;left:6054;top:-2186;width:810;height:831" coordorigin="6054,-2186" coordsize="810,831" path="m6054,-1356l6863,-1356,6863,-2186,6054,-2186,6054,-1356xe" filled="true" fillcolor="#ffffff" stroked="false">
              <v:path arrowok="t"/>
              <v:fill type="solid"/>
            </v:shape>
            <w10:wrap type="none"/>
          </v:group>
        </w:pict>
      </w:r>
      <w:r>
        <w:rPr/>
        <w:pict>
          <v:group style="position:absolute;margin-left:302.690002pt;margin-top:-53.496326pt;width:40.5pt;height:41.55pt;mso-position-horizontal-relative:page;mso-position-vertical-relative:paragraph;z-index:-946216" coordorigin="6054,-1070" coordsize="810,831">
            <v:shape style="position:absolute;left:6054;top:-1070;width:810;height:831" coordorigin="6054,-1070" coordsize="810,831" path="m6054,-240l6863,-240,6863,-1070,6054,-1070,6054,-240xe" filled="true" fillcolor="#ffffff" stroked="false">
              <v:path arrowok="t"/>
              <v:fill type="solid"/>
            </v:shape>
            <w10:wrap type="none"/>
          </v:group>
        </w:pict>
      </w: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479"/>
        <w:gridCol w:w="312"/>
        <w:gridCol w:w="274"/>
        <w:gridCol w:w="367"/>
        <w:gridCol w:w="694"/>
        <w:gridCol w:w="2672"/>
        <w:gridCol w:w="749"/>
        <w:gridCol w:w="574"/>
        <w:gridCol w:w="535"/>
        <w:gridCol w:w="554"/>
        <w:gridCol w:w="329"/>
        <w:gridCol w:w="329"/>
        <w:gridCol w:w="590"/>
        <w:gridCol w:w="1198"/>
      </w:tblGrid>
      <w:tr>
        <w:trPr>
          <w:trHeight w:val="2191" w:hRule="exact"/>
        </w:trPr>
        <w:tc>
          <w:tcPr>
            <w:tcW w:w="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54" w:right="53"/>
              <w:jc w:val="both"/>
              <w:rPr>
                <w:rFonts w:ascii="宋体" w:hAnsi="宋体" w:cs="宋体" w:eastAsia="宋体" w:hint="default"/>
                <w:sz w:val="18"/>
                <w:szCs w:val="18"/>
              </w:rPr>
            </w:pPr>
            <w:r>
              <w:rPr>
                <w:rFonts w:ascii="宋体" w:hAnsi="宋体" w:cs="宋体" w:eastAsia="宋体" w:hint="default"/>
                <w:sz w:val="18"/>
                <w:szCs w:val="18"/>
              </w:rPr>
              <w:t>子公 司全 称</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62" w:right="59"/>
              <w:jc w:val="both"/>
              <w:rPr>
                <w:rFonts w:ascii="宋体" w:hAnsi="宋体" w:cs="宋体" w:eastAsia="宋体" w:hint="default"/>
                <w:sz w:val="18"/>
                <w:szCs w:val="18"/>
              </w:rPr>
            </w:pPr>
            <w:r>
              <w:rPr>
                <w:rFonts w:ascii="宋体" w:hAnsi="宋体" w:cs="宋体" w:eastAsia="宋体" w:hint="default"/>
                <w:sz w:val="18"/>
                <w:szCs w:val="18"/>
              </w:rPr>
              <w:t>子 公 司 类 型</w:t>
            </w:r>
          </w:p>
        </w:tc>
        <w:tc>
          <w:tcPr>
            <w:tcW w:w="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40" w:right="41"/>
              <w:jc w:val="both"/>
              <w:rPr>
                <w:rFonts w:ascii="宋体" w:hAnsi="宋体" w:cs="宋体" w:eastAsia="宋体" w:hint="default"/>
                <w:sz w:val="18"/>
                <w:szCs w:val="18"/>
              </w:rPr>
            </w:pPr>
            <w:r>
              <w:rPr>
                <w:rFonts w:ascii="宋体" w:hAnsi="宋体" w:cs="宋体" w:eastAsia="宋体" w:hint="default"/>
                <w:sz w:val="18"/>
                <w:szCs w:val="18"/>
              </w:rPr>
              <w:t>注 册 地</w:t>
            </w:r>
          </w:p>
        </w:tc>
        <w:tc>
          <w:tcPr>
            <w:tcW w:w="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4"/>
              <w:ind w:left="88" w:right="86"/>
              <w:jc w:val="both"/>
              <w:rPr>
                <w:rFonts w:ascii="宋体" w:hAnsi="宋体" w:cs="宋体" w:eastAsia="宋体" w:hint="default"/>
                <w:sz w:val="18"/>
                <w:szCs w:val="18"/>
              </w:rPr>
            </w:pPr>
            <w:r>
              <w:rPr>
                <w:rFonts w:ascii="宋体" w:hAnsi="宋体" w:cs="宋体" w:eastAsia="宋体" w:hint="default"/>
                <w:sz w:val="18"/>
                <w:szCs w:val="18"/>
              </w:rPr>
              <w:t>业 务 性 质</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44"/>
              <w:ind w:left="251" w:right="71"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0" w:right="96"/>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2"/>
              <w:ind w:left="103" w:right="98"/>
              <w:jc w:val="both"/>
              <w:rPr>
                <w:rFonts w:ascii="宋体" w:hAnsi="宋体" w:cs="宋体" w:eastAsia="宋体" w:hint="default"/>
                <w:sz w:val="18"/>
                <w:szCs w:val="18"/>
              </w:rPr>
            </w:pPr>
            <w:r>
              <w:rPr>
                <w:rFonts w:ascii="宋体" w:hAnsi="宋体" w:cs="宋体" w:eastAsia="宋体" w:hint="default"/>
                <w:sz w:val="18"/>
                <w:szCs w:val="18"/>
              </w:rPr>
              <w:t>实质 上构 成对 子公 司净 投资 的其 他项 目余</w:t>
            </w:r>
          </w:p>
        </w:tc>
        <w:tc>
          <w:tcPr>
            <w:tcW w:w="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9" w:lineRule="auto"/>
              <w:ind w:left="83" w:right="79"/>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47" w:right="46"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 权比 例</w:t>
            </w:r>
            <w:r>
              <w:rPr>
                <w:rFonts w:ascii="Times New Roman" w:hAnsi="Times New Roman" w:cs="Times New Roman" w:eastAsia="Times New Roman" w:hint="default"/>
                <w:sz w:val="18"/>
                <w:szCs w:val="18"/>
              </w:rPr>
              <w:t>(%)</w:t>
            </w:r>
          </w:p>
        </w:tc>
        <w:tc>
          <w:tcPr>
            <w:tcW w:w="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5"/>
              <w:ind w:left="69" w:right="67"/>
              <w:jc w:val="both"/>
              <w:rPr>
                <w:rFonts w:ascii="宋体" w:hAnsi="宋体" w:cs="宋体" w:eastAsia="宋体" w:hint="default"/>
                <w:sz w:val="18"/>
                <w:szCs w:val="18"/>
              </w:rPr>
            </w:pPr>
            <w:r>
              <w:rPr>
                <w:rFonts w:ascii="宋体" w:hAnsi="宋体" w:cs="宋体" w:eastAsia="宋体" w:hint="default"/>
                <w:sz w:val="18"/>
                <w:szCs w:val="18"/>
              </w:rPr>
              <w:t>是 否 合 并 报 表</w:t>
            </w:r>
          </w:p>
        </w:tc>
        <w:tc>
          <w:tcPr>
            <w:tcW w:w="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5"/>
              <w:ind w:left="69" w:right="68"/>
              <w:jc w:val="both"/>
              <w:rPr>
                <w:rFonts w:ascii="宋体" w:hAnsi="宋体" w:cs="宋体" w:eastAsia="宋体" w:hint="default"/>
                <w:sz w:val="18"/>
                <w:szCs w:val="18"/>
              </w:rPr>
            </w:pPr>
            <w:r>
              <w:rPr>
                <w:rFonts w:ascii="宋体" w:hAnsi="宋体" w:cs="宋体" w:eastAsia="宋体" w:hint="default"/>
                <w:sz w:val="18"/>
                <w:szCs w:val="18"/>
              </w:rPr>
              <w:t>少 数 股 东 权 益</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2"/>
              <w:ind w:left="110" w:right="108"/>
              <w:jc w:val="both"/>
              <w:rPr>
                <w:rFonts w:ascii="宋体" w:hAnsi="宋体" w:cs="宋体" w:eastAsia="宋体" w:hint="default"/>
                <w:sz w:val="18"/>
                <w:szCs w:val="18"/>
              </w:rPr>
            </w:pPr>
            <w:r>
              <w:rPr>
                <w:rFonts w:ascii="宋体" w:hAnsi="宋体" w:cs="宋体" w:eastAsia="宋体" w:hint="default"/>
                <w:sz w:val="18"/>
                <w:szCs w:val="18"/>
              </w:rPr>
              <w:t>少数 股东 权益 中用 于冲 减少 数股 东损 益的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59" w:right="47"/>
              <w:jc w:val="both"/>
              <w:rPr>
                <w:rFonts w:ascii="宋体" w:hAnsi="宋体" w:cs="宋体" w:eastAsia="宋体" w:hint="default"/>
                <w:sz w:val="18"/>
                <w:szCs w:val="18"/>
              </w:rPr>
            </w:pPr>
            <w:r>
              <w:rPr>
                <w:rFonts w:ascii="宋体" w:hAnsi="宋体" w:cs="宋体" w:eastAsia="宋体" w:hint="default"/>
                <w:sz w:val="18"/>
                <w:szCs w:val="18"/>
              </w:rPr>
              <w:t>从母公司所有 者权益冲减子 公司少数股东 分担的本期亏 损超过少数股 东在该子公司 年初所有者权 益中所享有份 额后的余额</w:t>
            </w:r>
          </w:p>
        </w:tc>
      </w:tr>
    </w:tbl>
    <w:p>
      <w:pPr>
        <w:spacing w:after="0" w:line="237" w:lineRule="auto"/>
        <w:jc w:val="both"/>
        <w:rPr>
          <w:rFonts w:ascii="宋体" w:hAnsi="宋体" w:cs="宋体" w:eastAsia="宋体" w:hint="default"/>
          <w:sz w:val="18"/>
          <w:szCs w:val="18"/>
        </w:rPr>
        <w:sectPr>
          <w:footerReference w:type="default" r:id="rId29"/>
          <w:pgSz w:w="11910" w:h="16840"/>
          <w:pgMar w:footer="980" w:header="852" w:top="1440" w:bottom="1160" w:left="980" w:right="980"/>
          <w:pgNumType w:start="120"/>
        </w:sectPr>
      </w:pPr>
    </w:p>
    <w:tbl>
      <w:tblPr>
        <w:tblW w:w="0" w:type="auto"/>
        <w:jc w:val="left"/>
        <w:tblInd w:w="133" w:type="dxa"/>
        <w:tblLayout w:type="fixed"/>
        <w:tblCellMar>
          <w:top w:w="0" w:type="dxa"/>
          <w:left w:w="0" w:type="dxa"/>
          <w:bottom w:w="0" w:type="dxa"/>
          <w:right w:w="0" w:type="dxa"/>
        </w:tblCellMar>
        <w:tblLook w:val="01E0"/>
      </w:tblPr>
      <w:tblGrid>
        <w:gridCol w:w="480"/>
        <w:gridCol w:w="312"/>
        <w:gridCol w:w="274"/>
        <w:gridCol w:w="367"/>
        <w:gridCol w:w="694"/>
        <w:gridCol w:w="2672"/>
        <w:gridCol w:w="749"/>
        <w:gridCol w:w="574"/>
        <w:gridCol w:w="535"/>
        <w:gridCol w:w="554"/>
        <w:gridCol w:w="329"/>
        <w:gridCol w:w="329"/>
        <w:gridCol w:w="590"/>
        <w:gridCol w:w="1210"/>
      </w:tblGrid>
      <w:tr>
        <w:trPr>
          <w:trHeight w:val="278" w:hRule="exact"/>
        </w:trPr>
        <w:tc>
          <w:tcPr>
            <w:tcW w:w="4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4"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5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1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4" w:hRule="exact"/>
        </w:trPr>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4" w:right="84"/>
              <w:jc w:val="both"/>
              <w:rPr>
                <w:rFonts w:ascii="宋体" w:hAnsi="宋体" w:cs="宋体" w:eastAsia="宋体" w:hint="default"/>
                <w:sz w:val="18"/>
                <w:szCs w:val="18"/>
              </w:rPr>
            </w:pPr>
            <w:r>
              <w:rPr>
                <w:rFonts w:ascii="宋体" w:hAnsi="宋体" w:cs="宋体" w:eastAsia="宋体" w:hint="default"/>
                <w:sz w:val="18"/>
                <w:szCs w:val="18"/>
              </w:rPr>
              <w:t>北京 新媒 传信 科技 有限 公司</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0"/>
              <w:ind w:left="24" w:right="96"/>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32" w:lineRule="exact"/>
              <w:ind w:left="23" w:right="57"/>
              <w:jc w:val="left"/>
              <w:rPr>
                <w:rFonts w:ascii="宋体" w:hAnsi="宋体" w:cs="宋体" w:eastAsia="宋体" w:hint="default"/>
                <w:sz w:val="18"/>
                <w:szCs w:val="18"/>
              </w:rPr>
            </w:pPr>
            <w:r>
              <w:rPr>
                <w:rFonts w:ascii="宋体" w:hAnsi="宋体" w:cs="宋体" w:eastAsia="宋体" w:hint="default"/>
                <w:sz w:val="18"/>
                <w:szCs w:val="18"/>
              </w:rPr>
              <w:t>北 京</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
              <w:ind w:left="23" w:right="151"/>
              <w:jc w:val="both"/>
              <w:rPr>
                <w:rFonts w:ascii="宋体" w:hAnsi="宋体" w:cs="宋体" w:eastAsia="宋体" w:hint="default"/>
                <w:sz w:val="18"/>
                <w:szCs w:val="18"/>
              </w:rPr>
            </w:pPr>
            <w:r>
              <w:rPr>
                <w:rFonts w:ascii="宋体" w:hAnsi="宋体" w:cs="宋体" w:eastAsia="宋体" w:hint="default"/>
                <w:sz w:val="18"/>
                <w:szCs w:val="18"/>
              </w:rPr>
              <w:t>计 算 机 应 用 服 务 业</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3" w:right="0"/>
              <w:jc w:val="left"/>
              <w:rPr>
                <w:rFonts w:ascii="Times New Roman" w:hAnsi="Times New Roman" w:cs="Times New Roman" w:eastAsia="Times New Roman" w:hint="default"/>
                <w:sz w:val="18"/>
                <w:szCs w:val="18"/>
              </w:rPr>
            </w:pPr>
            <w:r>
              <w:rPr>
                <w:rFonts w:ascii="Times New Roman"/>
                <w:sz w:val="18"/>
              </w:rPr>
              <w:t>2,000.00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20"/>
              <w:jc w:val="left"/>
              <w:rPr>
                <w:rFonts w:ascii="宋体" w:hAnsi="宋体" w:cs="宋体" w:eastAsia="宋体" w:hint="default"/>
                <w:sz w:val="18"/>
                <w:szCs w:val="18"/>
              </w:rPr>
            </w:pPr>
            <w:r>
              <w:rPr>
                <w:rFonts w:ascii="宋体" w:hAnsi="宋体" w:cs="宋体" w:eastAsia="宋体" w:hint="default"/>
                <w:spacing w:val="-6"/>
                <w:sz w:val="18"/>
                <w:szCs w:val="18"/>
              </w:rPr>
              <w:t>技术咨询、技术服务；计算机技术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培训、基础软件服务；应用软件服</w:t>
            </w:r>
          </w:p>
          <w:p>
            <w:pPr>
              <w:pStyle w:val="TableParagraph"/>
              <w:spacing w:line="240" w:lineRule="auto" w:before="6"/>
              <w:ind w:right="0"/>
              <w:jc w:val="left"/>
              <w:rPr>
                <w:rFonts w:ascii="宋体" w:hAnsi="宋体" w:cs="宋体" w:eastAsia="宋体" w:hint="default"/>
                <w:sz w:val="19"/>
                <w:szCs w:val="19"/>
              </w:rPr>
            </w:pPr>
          </w:p>
          <w:p>
            <w:pPr>
              <w:pStyle w:val="TableParagraph"/>
              <w:spacing w:line="232" w:lineRule="exact"/>
              <w:ind w:left="26" w:right="22"/>
              <w:jc w:val="left"/>
              <w:rPr>
                <w:rFonts w:ascii="宋体" w:hAnsi="宋体" w:cs="宋体" w:eastAsia="宋体" w:hint="default"/>
                <w:sz w:val="18"/>
                <w:szCs w:val="18"/>
              </w:rPr>
            </w:pPr>
            <w:r>
              <w:rPr>
                <w:rFonts w:ascii="宋体" w:hAnsi="宋体" w:cs="宋体" w:eastAsia="宋体" w:hint="default"/>
                <w:spacing w:val="-6"/>
                <w:sz w:val="18"/>
                <w:szCs w:val="18"/>
              </w:rPr>
              <w:t>组装计算机。（未取得行政许可的</w:t>
            </w:r>
            <w:r>
              <w:rPr>
                <w:rFonts w:ascii="宋体" w:hAnsi="宋体" w:cs="宋体" w:eastAsia="宋体" w:hint="default"/>
                <w:sz w:val="18"/>
                <w:szCs w:val="18"/>
              </w:rPr>
              <w:t> 项目除外）</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7"/>
              <w:jc w:val="right"/>
              <w:rPr>
                <w:rFonts w:ascii="Times New Roman" w:hAnsi="Times New Roman" w:cs="Times New Roman" w:eastAsia="Times New Roman" w:hint="default"/>
                <w:sz w:val="18"/>
                <w:szCs w:val="18"/>
              </w:rPr>
            </w:pPr>
            <w:r>
              <w:rPr>
                <w:rFonts w:ascii="Times New Roman"/>
                <w:w w:val="95"/>
                <w:sz w:val="18"/>
              </w:rPr>
              <w:t>2,000.00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z w:val="18"/>
              </w:rPr>
              <w:t>100%</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7"/>
              <w:jc w:val="right"/>
              <w:rPr>
                <w:rFonts w:ascii="Times New Roman" w:hAnsi="Times New Roman" w:cs="Times New Roman" w:eastAsia="Times New Roman" w:hint="default"/>
                <w:sz w:val="18"/>
                <w:szCs w:val="18"/>
              </w:rPr>
            </w:pPr>
            <w:r>
              <w:rPr>
                <w:rFonts w:ascii="Times New Roman"/>
                <w:sz w:val="18"/>
              </w:rPr>
              <w:t>100%</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29"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7374" w:hRule="exact"/>
        </w:trPr>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37" w:lineRule="auto"/>
              <w:ind w:left="24" w:right="84"/>
              <w:jc w:val="both"/>
              <w:rPr>
                <w:rFonts w:ascii="宋体" w:hAnsi="宋体" w:cs="宋体" w:eastAsia="宋体" w:hint="default"/>
                <w:sz w:val="18"/>
                <w:szCs w:val="18"/>
              </w:rPr>
            </w:pPr>
            <w:r>
              <w:rPr>
                <w:rFonts w:ascii="宋体" w:hAnsi="宋体" w:cs="宋体" w:eastAsia="宋体" w:hint="default"/>
                <w:sz w:val="18"/>
                <w:szCs w:val="18"/>
              </w:rPr>
              <w:t>北京 互联 时代 通讯 科技 有限 公司</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37" w:lineRule="auto"/>
              <w:ind w:left="24" w:right="96"/>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34"/>
              <w:ind w:left="23" w:right="57"/>
              <w:jc w:val="left"/>
              <w:rPr>
                <w:rFonts w:ascii="宋体" w:hAnsi="宋体" w:cs="宋体" w:eastAsia="宋体" w:hint="default"/>
                <w:sz w:val="18"/>
                <w:szCs w:val="18"/>
              </w:rPr>
            </w:pPr>
            <w:r>
              <w:rPr>
                <w:rFonts w:ascii="宋体" w:hAnsi="宋体" w:cs="宋体" w:eastAsia="宋体" w:hint="default"/>
                <w:sz w:val="18"/>
                <w:szCs w:val="18"/>
              </w:rPr>
              <w:t>北 京</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37" w:lineRule="auto"/>
              <w:ind w:left="23" w:right="151"/>
              <w:jc w:val="both"/>
              <w:rPr>
                <w:rFonts w:ascii="宋体" w:hAnsi="宋体" w:cs="宋体" w:eastAsia="宋体" w:hint="default"/>
                <w:sz w:val="18"/>
                <w:szCs w:val="18"/>
              </w:rPr>
            </w:pPr>
            <w:r>
              <w:rPr>
                <w:rFonts w:ascii="宋体" w:hAnsi="宋体" w:cs="宋体" w:eastAsia="宋体" w:hint="default"/>
                <w:sz w:val="18"/>
                <w:szCs w:val="18"/>
              </w:rPr>
              <w:t>计 算 机 应 用 服 务 业</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3"/>
                <w:sz w:val="18"/>
              </w:rPr>
              <w:t>1,111.11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37" w:lineRule="auto"/>
              <w:ind w:left="26" w:right="20"/>
              <w:jc w:val="both"/>
              <w:rPr>
                <w:rFonts w:ascii="宋体" w:hAnsi="宋体" w:cs="宋体" w:eastAsia="宋体" w:hint="default"/>
                <w:sz w:val="18"/>
                <w:szCs w:val="18"/>
              </w:rPr>
            </w:pPr>
            <w:r>
              <w:rPr>
                <w:rFonts w:ascii="宋体" w:hAnsi="宋体" w:cs="宋体" w:eastAsia="宋体" w:hint="default"/>
                <w:spacing w:val="-6"/>
                <w:sz w:val="18"/>
                <w:szCs w:val="18"/>
              </w:rPr>
              <w:t>许可经营项目：第二类增值电信业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务中的信息服务业务。（不含固定</w:t>
            </w:r>
            <w:r>
              <w:rPr>
                <w:rFonts w:ascii="宋体" w:hAnsi="宋体" w:cs="宋体" w:eastAsia="宋体" w:hint="default"/>
                <w:sz w:val="18"/>
                <w:szCs w:val="18"/>
              </w:rPr>
              <w:t> 网电话信息服务和互联网信息服</w:t>
            </w:r>
          </w:p>
          <w:p>
            <w:pPr>
              <w:pStyle w:val="TableParagraph"/>
              <w:spacing w:line="240" w:lineRule="auto" w:before="10"/>
              <w:ind w:right="0"/>
              <w:jc w:val="left"/>
              <w:rPr>
                <w:rFonts w:ascii="宋体" w:hAnsi="宋体" w:cs="宋体" w:eastAsia="宋体" w:hint="default"/>
                <w:sz w:val="17"/>
                <w:szCs w:val="17"/>
              </w:rPr>
            </w:pPr>
          </w:p>
          <w:p>
            <w:pPr>
              <w:pStyle w:val="TableParagraph"/>
              <w:spacing w:line="237" w:lineRule="auto"/>
              <w:ind w:left="26" w:right="20"/>
              <w:jc w:val="left"/>
              <w:rPr>
                <w:rFonts w:ascii="宋体" w:hAnsi="宋体" w:cs="宋体" w:eastAsia="宋体" w:hint="default"/>
                <w:sz w:val="18"/>
                <w:szCs w:val="18"/>
              </w:rPr>
            </w:pPr>
            <w:r>
              <w:rPr>
                <w:rFonts w:ascii="宋体" w:hAnsi="宋体" w:cs="宋体" w:eastAsia="宋体" w:hint="default"/>
                <w:spacing w:val="-6"/>
                <w:sz w:val="18"/>
                <w:szCs w:val="18"/>
              </w:rPr>
              <w:t>生产计算机软件、计算机服务、应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用软件服务、经济贸易咨询、计算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机技术培训、技术推广服务、计算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机网络信息技术服务以及互联网 信息服务。</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3"/>
                <w:sz w:val="18"/>
              </w:rPr>
              <w:t>1,111.11</w:t>
            </w:r>
          </w:p>
        </w:tc>
        <w:tc>
          <w:tcPr>
            <w:tcW w:w="57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29"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r>
        <w:rPr/>
        <w:pict>
          <v:shape style="position:absolute;margin-left:163.820007pt;margin-top:86.635986pt;width:169.4pt;height:41.55pt;mso-position-horizontal-relative:page;mso-position-vertical-relative:page;z-index:-946192" type="#_x0000_t202" filled="false" stroked="false">
            <v:textbox inset="0,0,0,0">
              <w:txbxContent>
                <w:p>
                  <w:pPr>
                    <w:spacing w:line="240" w:lineRule="auto" w:before="8"/>
                    <w:rPr>
                      <w:rFonts w:ascii="宋体" w:hAnsi="宋体" w:cs="宋体" w:eastAsia="宋体" w:hint="default"/>
                      <w:sz w:val="18"/>
                      <w:szCs w:val="18"/>
                    </w:rPr>
                  </w:pPr>
                </w:p>
                <w:p>
                  <w:pPr>
                    <w:pStyle w:val="BodyText"/>
                    <w:spacing w:line="240" w:lineRule="auto"/>
                    <w:ind w:left="0" w:right="0"/>
                    <w:jc w:val="left"/>
                  </w:pPr>
                  <w:r>
                    <w:rPr/>
                    <w:t>技术开发、技术推广、技术转让、</w:t>
                  </w:r>
                </w:p>
              </w:txbxContent>
            </v:textbox>
            <w10:wrap type="none"/>
          </v:shape>
        </w:pict>
      </w:r>
      <w:r>
        <w:rPr/>
        <w:pict>
          <v:shape style="position:absolute;margin-left:163.820007pt;margin-top:128.179977pt;width:168.2pt;height:17.5pt;mso-position-horizontal-relative:page;mso-position-vertical-relative:page;z-index:-946168" type="#_x0000_t202" filled="false" stroked="false">
            <v:textbox inset="0,0,0,0">
              <w:txbxContent>
                <w:p>
                  <w:pPr>
                    <w:pStyle w:val="BodyText"/>
                    <w:spacing w:line="240" w:lineRule="auto" w:before="113"/>
                    <w:ind w:left="0" w:right="0"/>
                    <w:jc w:val="left"/>
                  </w:pPr>
                  <w:r>
                    <w:rPr/>
                    <w:t>务；计算机系统服务；数据处理；</w:t>
                  </w:r>
                </w:p>
              </w:txbxContent>
            </v:textbox>
            <w10:wrap type="none"/>
          </v:shape>
        </w:pict>
      </w:r>
      <w:r>
        <w:rPr/>
        <w:pict>
          <v:shape style="position:absolute;margin-left:163.820007pt;margin-top:184.589981pt;width:169.4pt;height:176.9pt;mso-position-horizontal-relative:page;mso-position-vertical-relative:page;z-index:-94614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pStyle w:val="BodyText"/>
                    <w:spacing w:line="240" w:lineRule="auto"/>
                    <w:ind w:left="0" w:right="0"/>
                    <w:jc w:val="left"/>
                  </w:pPr>
                  <w:r>
                    <w:rPr/>
                    <w:t>务）一般经营项目：研究、开发、</w:t>
                  </w:r>
                </w:p>
              </w:txbxContent>
            </v:textbox>
            <w10:wrap type="none"/>
          </v:shape>
        </w:pict>
      </w:r>
      <w:r>
        <w:rPr/>
        <w:pict>
          <v:group style="position:absolute;margin-left:296.089996pt;margin-top:86.635986pt;width:37.15pt;height:274.9pt;mso-position-horizontal-relative:page;mso-position-vertical-relative:page;z-index:-946120" coordorigin="5922,1733" coordsize="743,5498">
            <v:group style="position:absolute;left:5922;top:1733;width:743;height:831" coordorigin="5922,1733" coordsize="743,831">
              <v:shape style="position:absolute;left:5922;top:1733;width:743;height:831" coordorigin="5922,1733" coordsize="743,831" path="m5922,2564l6664,2564,6664,1733,5922,1733,5922,2564xe" filled="true" fillcolor="#ffffff" stroked="false">
                <v:path arrowok="t"/>
                <v:fill type="solid"/>
              </v:shape>
            </v:group>
            <v:group style="position:absolute;left:5934;top:2564;width:2;height:288" coordorigin="5934,2564" coordsize="2,288">
              <v:shape style="position:absolute;left:5934;top:2564;width:2;height:288" coordorigin="5934,2564" coordsize="0,288" path="m5934,2564l5934,2852e" filled="false" stroked="true" strokeweight="1.2pt" strokecolor="#ffffff">
                <v:path arrowok="t"/>
              </v:shape>
            </v:group>
            <v:group style="position:absolute;left:5922;top:2852;width:743;height:831" coordorigin="5922,2852" coordsize="743,831">
              <v:shape style="position:absolute;left:5922;top:2852;width:743;height:831" coordorigin="5922,2852" coordsize="743,831" path="m5922,3682l6664,3682,6664,2852,5922,2852,5922,3682xe" filled="true" fillcolor="#ffffff" stroked="false">
                <v:path arrowok="t"/>
                <v:fill type="solid"/>
              </v:shape>
            </v:group>
            <v:group style="position:absolute;left:5946;top:2564;width:695;height:288" coordorigin="5946,2564" coordsize="695,288">
              <v:shape style="position:absolute;left:5946;top:2564;width:695;height:288" coordorigin="5946,2564" coordsize="695,288" path="m5946,2852l6640,2852,6640,2564,5946,2564,5946,2852xe" filled="true" fillcolor="#ffffff" stroked="false">
                <v:path arrowok="t"/>
                <v:fill type="solid"/>
              </v:shape>
            </v:group>
            <v:group style="position:absolute;left:5922;top:3692;width:743;height:3538" coordorigin="5922,3692" coordsize="743,3538">
              <v:shape style="position:absolute;left:5922;top:3692;width:743;height:3538" coordorigin="5922,3692" coordsize="743,3538" path="m5922,7230l6664,7230,6664,3692,5922,3692,5922,7230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3"/>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07"/>
        <w:gridCol w:w="307"/>
        <w:gridCol w:w="274"/>
        <w:gridCol w:w="362"/>
        <w:gridCol w:w="696"/>
        <w:gridCol w:w="2218"/>
        <w:gridCol w:w="749"/>
        <w:gridCol w:w="564"/>
        <w:gridCol w:w="535"/>
        <w:gridCol w:w="552"/>
        <w:gridCol w:w="326"/>
        <w:gridCol w:w="610"/>
        <w:gridCol w:w="583"/>
        <w:gridCol w:w="1183"/>
      </w:tblGrid>
      <w:tr>
        <w:trPr>
          <w:trHeight w:val="2424"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32" w:lineRule="exact"/>
              <w:ind w:left="167" w:right="77"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2"/>
              <w:ind w:left="60" w:right="55"/>
              <w:jc w:val="both"/>
              <w:rPr>
                <w:rFonts w:ascii="宋体" w:hAnsi="宋体" w:cs="宋体" w:eastAsia="宋体" w:hint="default"/>
                <w:sz w:val="18"/>
                <w:szCs w:val="18"/>
              </w:rPr>
            </w:pPr>
            <w:r>
              <w:rPr>
                <w:rFonts w:ascii="宋体" w:hAnsi="宋体" w:cs="宋体" w:eastAsia="宋体" w:hint="default"/>
                <w:sz w:val="18"/>
                <w:szCs w:val="18"/>
              </w:rPr>
              <w:t>子 公 司 类 型</w:t>
            </w:r>
          </w:p>
        </w:tc>
        <w:tc>
          <w:tcPr>
            <w:tcW w:w="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2"/>
              <w:ind w:left="40" w:right="41"/>
              <w:jc w:val="both"/>
              <w:rPr>
                <w:rFonts w:ascii="宋体" w:hAnsi="宋体" w:cs="宋体" w:eastAsia="宋体" w:hint="default"/>
                <w:sz w:val="18"/>
                <w:szCs w:val="18"/>
              </w:rPr>
            </w:pPr>
            <w:r>
              <w:rPr>
                <w:rFonts w:ascii="宋体" w:hAnsi="宋体" w:cs="宋体" w:eastAsia="宋体" w:hint="default"/>
                <w:sz w:val="18"/>
                <w:szCs w:val="18"/>
              </w:rPr>
              <w:t>注 册 地</w:t>
            </w:r>
          </w:p>
        </w:tc>
        <w:tc>
          <w:tcPr>
            <w:tcW w:w="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86" w:right="84"/>
              <w:jc w:val="both"/>
              <w:rPr>
                <w:rFonts w:ascii="宋体" w:hAnsi="宋体" w:cs="宋体" w:eastAsia="宋体" w:hint="default"/>
                <w:sz w:val="18"/>
                <w:szCs w:val="18"/>
              </w:rPr>
            </w:pPr>
            <w:r>
              <w:rPr>
                <w:rFonts w:ascii="宋体" w:hAnsi="宋体" w:cs="宋体" w:eastAsia="宋体" w:hint="default"/>
                <w:sz w:val="18"/>
                <w:szCs w:val="18"/>
              </w:rPr>
              <w:t>业 务 性 质</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32" w:lineRule="exact"/>
              <w:ind w:left="252" w:right="72"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2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2"/>
              <w:ind w:left="100" w:right="96"/>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98" w:right="95"/>
              <w:jc w:val="both"/>
              <w:rPr>
                <w:rFonts w:ascii="宋体" w:hAnsi="宋体" w:cs="宋体" w:eastAsia="宋体" w:hint="default"/>
                <w:sz w:val="18"/>
                <w:szCs w:val="18"/>
              </w:rPr>
            </w:pPr>
            <w:r>
              <w:rPr>
                <w:rFonts w:ascii="宋体" w:hAnsi="宋体" w:cs="宋体" w:eastAsia="宋体" w:hint="default"/>
                <w:sz w:val="18"/>
                <w:szCs w:val="18"/>
              </w:rPr>
              <w:t>实质 上构 成对 子公 司净 投资 的其 他项 目余 额</w:t>
            </w:r>
          </w:p>
        </w:tc>
        <w:tc>
          <w:tcPr>
            <w:tcW w:w="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9" w:lineRule="auto" w:before="132"/>
              <w:ind w:left="81"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2"/>
              <w:ind w:left="47" w:right="43"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 权比 例</w:t>
            </w:r>
            <w:r>
              <w:rPr>
                <w:rFonts w:ascii="Times New Roman" w:hAnsi="Times New Roman" w:cs="Times New Roman" w:eastAsia="Times New Roman" w:hint="default"/>
                <w:sz w:val="18"/>
                <w:szCs w:val="18"/>
              </w:rPr>
              <w:t>(%)</w:t>
            </w:r>
          </w:p>
        </w:tc>
        <w:tc>
          <w:tcPr>
            <w:tcW w:w="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69" w:right="65"/>
              <w:jc w:val="both"/>
              <w:rPr>
                <w:rFonts w:ascii="宋体" w:hAnsi="宋体" w:cs="宋体" w:eastAsia="宋体" w:hint="default"/>
                <w:sz w:val="18"/>
                <w:szCs w:val="18"/>
              </w:rPr>
            </w:pPr>
            <w:r>
              <w:rPr>
                <w:rFonts w:ascii="宋体" w:hAnsi="宋体" w:cs="宋体" w:eastAsia="宋体" w:hint="default"/>
                <w:sz w:val="18"/>
                <w:szCs w:val="18"/>
              </w:rPr>
              <w:t>是 否 合 并 报 表</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32" w:lineRule="exact"/>
              <w:ind w:left="31" w:right="2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105" w:right="107"/>
              <w:jc w:val="both"/>
              <w:rPr>
                <w:rFonts w:ascii="宋体" w:hAnsi="宋体" w:cs="宋体" w:eastAsia="宋体" w:hint="default"/>
                <w:sz w:val="18"/>
                <w:szCs w:val="18"/>
              </w:rPr>
            </w:pPr>
            <w:r>
              <w:rPr>
                <w:rFonts w:ascii="宋体" w:hAnsi="宋体" w:cs="宋体" w:eastAsia="宋体" w:hint="default"/>
                <w:sz w:val="18"/>
                <w:szCs w:val="18"/>
              </w:rPr>
              <w:t>少数 股东 权益 中用 于冲 减少 数股 东损 益的 金额</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47" w:right="43"/>
              <w:jc w:val="both"/>
              <w:rPr>
                <w:rFonts w:ascii="宋体" w:hAnsi="宋体" w:cs="宋体" w:eastAsia="宋体" w:hint="default"/>
                <w:sz w:val="18"/>
                <w:szCs w:val="18"/>
              </w:rPr>
            </w:pPr>
            <w:r>
              <w:rPr>
                <w:rFonts w:ascii="宋体" w:hAnsi="宋体" w:cs="宋体" w:eastAsia="宋体" w:hint="default"/>
                <w:sz w:val="18"/>
                <w:szCs w:val="18"/>
              </w:rPr>
              <w:t>从母公司所有 者权益冲减子 公司少数股东 分担的本期亏 损超过少数股 东在该子公司 年初所有者权 益中所享有份 额后的余额</w:t>
            </w:r>
          </w:p>
        </w:tc>
      </w:tr>
    </w:tbl>
    <w:p>
      <w:pPr>
        <w:spacing w:after="0" w:line="237" w:lineRule="auto"/>
        <w:jc w:val="both"/>
        <w:rPr>
          <w:rFonts w:ascii="宋体" w:hAnsi="宋体" w:cs="宋体" w:eastAsia="宋体" w:hint="default"/>
          <w:sz w:val="18"/>
          <w:szCs w:val="18"/>
        </w:rPr>
        <w:sectPr>
          <w:pgSz w:w="11910" w:h="16840"/>
          <w:pgMar w:header="852" w:footer="980" w:top="1440" w:bottom="1160" w:left="980" w:right="980"/>
        </w:sectPr>
      </w:pPr>
    </w:p>
    <w:tbl>
      <w:tblPr>
        <w:tblW w:w="0" w:type="auto"/>
        <w:jc w:val="left"/>
        <w:tblInd w:w="148" w:type="dxa"/>
        <w:tblLayout w:type="fixed"/>
        <w:tblCellMar>
          <w:top w:w="0" w:type="dxa"/>
          <w:left w:w="0" w:type="dxa"/>
          <w:bottom w:w="0" w:type="dxa"/>
          <w:right w:w="0" w:type="dxa"/>
        </w:tblCellMar>
        <w:tblLook w:val="01E0"/>
      </w:tblPr>
      <w:tblGrid>
        <w:gridCol w:w="708"/>
        <w:gridCol w:w="307"/>
        <w:gridCol w:w="274"/>
        <w:gridCol w:w="362"/>
        <w:gridCol w:w="696"/>
        <w:gridCol w:w="2218"/>
        <w:gridCol w:w="78"/>
        <w:gridCol w:w="671"/>
        <w:gridCol w:w="564"/>
        <w:gridCol w:w="535"/>
        <w:gridCol w:w="552"/>
        <w:gridCol w:w="326"/>
        <w:gridCol w:w="610"/>
        <w:gridCol w:w="583"/>
        <w:gridCol w:w="1183"/>
      </w:tblGrid>
      <w:tr>
        <w:trPr>
          <w:trHeight w:val="195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5"/>
              <w:ind w:left="24" w:right="132"/>
              <w:jc w:val="both"/>
              <w:rPr>
                <w:rFonts w:ascii="宋体" w:hAnsi="宋体" w:cs="宋体" w:eastAsia="宋体" w:hint="default"/>
                <w:sz w:val="18"/>
                <w:szCs w:val="18"/>
              </w:rPr>
            </w:pPr>
            <w:r>
              <w:rPr>
                <w:rFonts w:ascii="宋体" w:hAnsi="宋体" w:cs="宋体" w:eastAsia="宋体" w:hint="default"/>
                <w:sz w:val="18"/>
                <w:szCs w:val="18"/>
              </w:rPr>
              <w:t>北京友 联创新 系统集 成有限 公司</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5"/>
              <w:ind w:left="24" w:right="91"/>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32" w:lineRule="exact"/>
              <w:ind w:left="23" w:right="59"/>
              <w:jc w:val="left"/>
              <w:rPr>
                <w:rFonts w:ascii="宋体" w:hAnsi="宋体" w:cs="宋体" w:eastAsia="宋体" w:hint="default"/>
                <w:sz w:val="18"/>
                <w:szCs w:val="18"/>
              </w:rPr>
            </w:pPr>
            <w:r>
              <w:rPr>
                <w:rFonts w:ascii="宋体" w:hAnsi="宋体" w:cs="宋体" w:eastAsia="宋体" w:hint="default"/>
                <w:sz w:val="18"/>
                <w:szCs w:val="18"/>
              </w:rPr>
              <w:t>北 京</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46"/>
              <w:jc w:val="both"/>
              <w:rPr>
                <w:rFonts w:ascii="宋体" w:hAnsi="宋体" w:cs="宋体" w:eastAsia="宋体" w:hint="default"/>
                <w:sz w:val="18"/>
                <w:szCs w:val="18"/>
              </w:rPr>
            </w:pPr>
            <w:r>
              <w:rPr>
                <w:rFonts w:ascii="宋体" w:hAnsi="宋体" w:cs="宋体" w:eastAsia="宋体" w:hint="default"/>
                <w:sz w:val="18"/>
                <w:szCs w:val="18"/>
              </w:rPr>
              <w:t>计 算 机 应 用 服 务 业</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4" w:right="0"/>
              <w:jc w:val="left"/>
              <w:rPr>
                <w:rFonts w:ascii="Times New Roman" w:hAnsi="Times New Roman" w:cs="Times New Roman" w:eastAsia="Times New Roman" w:hint="default"/>
                <w:sz w:val="18"/>
                <w:szCs w:val="18"/>
              </w:rPr>
            </w:pPr>
            <w:r>
              <w:rPr>
                <w:rFonts w:ascii="Times New Roman"/>
                <w:sz w:val="18"/>
              </w:rPr>
              <w:t>2,000.00</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22"/>
              <w:jc w:val="both"/>
              <w:rPr>
                <w:rFonts w:ascii="宋体" w:hAnsi="宋体" w:cs="宋体" w:eastAsia="宋体" w:hint="default"/>
                <w:sz w:val="18"/>
                <w:szCs w:val="18"/>
              </w:rPr>
            </w:pPr>
            <w:r>
              <w:rPr>
                <w:rFonts w:ascii="宋体" w:hAnsi="宋体" w:cs="宋体" w:eastAsia="宋体" w:hint="default"/>
                <w:sz w:val="18"/>
                <w:szCs w:val="18"/>
              </w:rPr>
              <w:t>技术开发、技术转让、技术 咨询、技术服务；计算机技 术培训；数据处理；基础软 件服务、应用软件服务；销 售计算机、</w:t>
            </w:r>
          </w:p>
          <w:p>
            <w:pPr>
              <w:pStyle w:val="TableParagraph"/>
              <w:spacing w:line="232" w:lineRule="exact"/>
              <w:ind w:left="24" w:right="0"/>
              <w:jc w:val="both"/>
              <w:rPr>
                <w:rFonts w:ascii="宋体" w:hAnsi="宋体" w:cs="宋体" w:eastAsia="宋体" w:hint="default"/>
                <w:sz w:val="18"/>
                <w:szCs w:val="18"/>
              </w:rPr>
            </w:pPr>
            <w:r>
              <w:rPr>
                <w:rFonts w:ascii="宋体" w:hAnsi="宋体" w:cs="宋体" w:eastAsia="宋体" w:hint="default"/>
                <w:sz w:val="18"/>
                <w:szCs w:val="18"/>
              </w:rPr>
              <w:t>电子产品；</w:t>
            </w:r>
          </w:p>
          <w:p>
            <w:pPr>
              <w:pStyle w:val="TableParagraph"/>
              <w:spacing w:line="232" w:lineRule="exact" w:before="23"/>
              <w:ind w:left="24" w:right="22"/>
              <w:jc w:val="both"/>
              <w:rPr>
                <w:rFonts w:ascii="宋体" w:hAnsi="宋体" w:cs="宋体" w:eastAsia="宋体" w:hint="default"/>
                <w:sz w:val="18"/>
                <w:szCs w:val="18"/>
              </w:rPr>
            </w:pPr>
            <w:r>
              <w:rPr>
                <w:rFonts w:ascii="宋体" w:hAnsi="宋体" w:cs="宋体" w:eastAsia="宋体" w:hint="default"/>
                <w:sz w:val="18"/>
                <w:szCs w:val="18"/>
              </w:rPr>
              <w:t>（未取得行政许可的项目除 外）</w:t>
            </w:r>
          </w:p>
        </w:tc>
        <w:tc>
          <w:tcPr>
            <w:tcW w:w="78" w:type="dxa"/>
            <w:tcBorders>
              <w:top w:val="single" w:sz="4" w:space="0" w:color="000000"/>
              <w:left w:val="single" w:sz="4" w:space="0" w:color="000000"/>
              <w:bottom w:val="single" w:sz="4" w:space="0" w:color="000000"/>
              <w:right w:val="nil" w:sz="6" w:space="0" w:color="auto"/>
            </w:tcBorders>
          </w:tcPr>
          <w:p>
            <w:pPr/>
          </w:p>
        </w:tc>
        <w:tc>
          <w:tcPr>
            <w:tcW w:w="67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13" w:right="0"/>
              <w:jc w:val="left"/>
              <w:rPr>
                <w:rFonts w:ascii="Times New Roman" w:hAnsi="Times New Roman" w:cs="Times New Roman" w:eastAsia="Times New Roman" w:hint="default"/>
                <w:sz w:val="18"/>
                <w:szCs w:val="18"/>
              </w:rPr>
            </w:pPr>
            <w:r>
              <w:rPr>
                <w:rFonts w:ascii="Times New Roman"/>
                <w:sz w:val="18"/>
              </w:rPr>
              <w:t>2,000.00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7"/>
              <w:jc w:val="right"/>
              <w:rPr>
                <w:rFonts w:ascii="Times New Roman" w:hAnsi="Times New Roman" w:cs="Times New Roman" w:eastAsia="Times New Roman" w:hint="default"/>
                <w:sz w:val="18"/>
                <w:szCs w:val="18"/>
              </w:rPr>
            </w:pPr>
            <w:r>
              <w:rPr>
                <w:rFonts w:ascii="Times New Roman"/>
                <w:sz w:val="18"/>
              </w:rPr>
              <w:t>100%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4"/>
              <w:jc w:val="right"/>
              <w:rPr>
                <w:rFonts w:ascii="Times New Roman" w:hAnsi="Times New Roman" w:cs="Times New Roman" w:eastAsia="Times New Roman" w:hint="default"/>
                <w:sz w:val="18"/>
                <w:szCs w:val="18"/>
              </w:rPr>
            </w:pPr>
            <w:r>
              <w:rPr>
                <w:rFonts w:ascii="Times New Roman"/>
                <w:sz w:val="18"/>
              </w:rPr>
              <w:t>100%</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86"/>
              <w:jc w:val="center"/>
              <w:rPr>
                <w:rFonts w:ascii="宋体" w:hAnsi="宋体" w:cs="宋体" w:eastAsia="宋体" w:hint="default"/>
                <w:sz w:val="18"/>
                <w:szCs w:val="18"/>
              </w:rPr>
            </w:pPr>
            <w:r>
              <w:rPr>
                <w:rFonts w:ascii="宋体" w:hAnsi="宋体" w:cs="宋体" w:eastAsia="宋体" w:hint="default"/>
                <w:sz w:val="18"/>
                <w:szCs w:val="18"/>
              </w:rPr>
              <w:t>是</w:t>
            </w:r>
          </w:p>
        </w:tc>
        <w:tc>
          <w:tcPr>
            <w:tcW w:w="610"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95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37" w:lineRule="auto"/>
              <w:ind w:left="24" w:right="22"/>
              <w:jc w:val="left"/>
              <w:rPr>
                <w:rFonts w:ascii="宋体" w:hAnsi="宋体" w:cs="宋体" w:eastAsia="宋体" w:hint="default"/>
                <w:sz w:val="18"/>
                <w:szCs w:val="18"/>
              </w:rPr>
            </w:pPr>
            <w:r>
              <w:rPr>
                <w:rFonts w:ascii="宋体" w:hAnsi="宋体" w:cs="宋体" w:eastAsia="宋体" w:hint="default"/>
                <w:sz w:val="18"/>
                <w:szCs w:val="18"/>
              </w:rPr>
              <w:t>奇点新 源国际 技术开 发（北 </w:t>
            </w:r>
            <w:r>
              <w:rPr>
                <w:rFonts w:ascii="宋体" w:hAnsi="宋体" w:cs="宋体" w:eastAsia="宋体" w:hint="default"/>
                <w:spacing w:val="-18"/>
                <w:sz w:val="18"/>
                <w:szCs w:val="18"/>
              </w:rPr>
              <w:t>京）有限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5"/>
              <w:ind w:left="24" w:right="91"/>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32" w:lineRule="exact"/>
              <w:ind w:left="23" w:right="59"/>
              <w:jc w:val="left"/>
              <w:rPr>
                <w:rFonts w:ascii="宋体" w:hAnsi="宋体" w:cs="宋体" w:eastAsia="宋体" w:hint="default"/>
                <w:sz w:val="18"/>
                <w:szCs w:val="18"/>
              </w:rPr>
            </w:pPr>
            <w:r>
              <w:rPr>
                <w:rFonts w:ascii="宋体" w:hAnsi="宋体" w:cs="宋体" w:eastAsia="宋体" w:hint="default"/>
                <w:sz w:val="18"/>
                <w:szCs w:val="18"/>
              </w:rPr>
              <w:t>北 京</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46"/>
              <w:jc w:val="both"/>
              <w:rPr>
                <w:rFonts w:ascii="宋体" w:hAnsi="宋体" w:cs="宋体" w:eastAsia="宋体" w:hint="default"/>
                <w:sz w:val="18"/>
                <w:szCs w:val="18"/>
              </w:rPr>
            </w:pPr>
            <w:r>
              <w:rPr>
                <w:rFonts w:ascii="宋体" w:hAnsi="宋体" w:cs="宋体" w:eastAsia="宋体" w:hint="default"/>
                <w:sz w:val="18"/>
                <w:szCs w:val="18"/>
              </w:rPr>
              <w:t>计 算 机 应 用 服 务 业</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4" w:right="0"/>
              <w:jc w:val="left"/>
              <w:rPr>
                <w:rFonts w:ascii="Times New Roman" w:hAnsi="Times New Roman" w:cs="Times New Roman" w:eastAsia="Times New Roman" w:hint="default"/>
                <w:sz w:val="18"/>
                <w:szCs w:val="18"/>
              </w:rPr>
            </w:pPr>
            <w:r>
              <w:rPr>
                <w:rFonts w:ascii="Times New Roman"/>
                <w:sz w:val="18"/>
              </w:rPr>
              <w:t>1,000.00</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20"/>
              <w:jc w:val="left"/>
              <w:rPr>
                <w:rFonts w:ascii="宋体" w:hAnsi="宋体" w:cs="宋体" w:eastAsia="宋体" w:hint="default"/>
                <w:sz w:val="18"/>
                <w:szCs w:val="18"/>
              </w:rPr>
            </w:pPr>
            <w:r>
              <w:rPr>
                <w:rFonts w:ascii="宋体" w:hAnsi="宋体" w:cs="宋体" w:eastAsia="宋体" w:hint="default"/>
                <w:sz w:val="18"/>
                <w:szCs w:val="18"/>
              </w:rPr>
              <w:t>技术开发、技术推广、技术 </w:t>
            </w:r>
            <w:r>
              <w:rPr>
                <w:rFonts w:ascii="宋体" w:hAnsi="宋体" w:cs="宋体" w:eastAsia="宋体" w:hint="default"/>
                <w:spacing w:val="-6"/>
                <w:sz w:val="18"/>
                <w:szCs w:val="18"/>
              </w:rPr>
              <w:t>转让、技术咨询、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计算机系统服务； 应用软件服务；销售自行开 发后的产品、计算机、软件 及辅助设备、电子产品、机 </w:t>
            </w:r>
            <w:r>
              <w:rPr>
                <w:rFonts w:ascii="宋体" w:hAnsi="宋体" w:cs="宋体" w:eastAsia="宋体" w:hint="default"/>
                <w:spacing w:val="-14"/>
                <w:sz w:val="18"/>
                <w:szCs w:val="18"/>
              </w:rPr>
              <w:t>械设备、通讯设备。（未取得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行政许可的项目除外）</w:t>
            </w:r>
          </w:p>
        </w:tc>
        <w:tc>
          <w:tcPr>
            <w:tcW w:w="78" w:type="dxa"/>
            <w:tcBorders>
              <w:top w:val="single" w:sz="4" w:space="0" w:color="000000"/>
              <w:left w:val="single" w:sz="4" w:space="0" w:color="000000"/>
              <w:bottom w:val="single" w:sz="4" w:space="0" w:color="000000"/>
              <w:right w:val="nil" w:sz="6" w:space="0" w:color="auto"/>
            </w:tcBorders>
          </w:tcPr>
          <w:p>
            <w:pPr/>
          </w:p>
        </w:tc>
        <w:tc>
          <w:tcPr>
            <w:tcW w:w="67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13" w:right="0"/>
              <w:jc w:val="left"/>
              <w:rPr>
                <w:rFonts w:ascii="Times New Roman" w:hAnsi="Times New Roman" w:cs="Times New Roman" w:eastAsia="Times New Roman" w:hint="default"/>
                <w:sz w:val="18"/>
                <w:szCs w:val="18"/>
              </w:rPr>
            </w:pPr>
            <w:r>
              <w:rPr>
                <w:rFonts w:ascii="Times New Roman"/>
                <w:sz w:val="18"/>
              </w:rPr>
              <w:t>1,000.00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7"/>
              <w:jc w:val="right"/>
              <w:rPr>
                <w:rFonts w:ascii="Times New Roman" w:hAnsi="Times New Roman" w:cs="Times New Roman" w:eastAsia="Times New Roman" w:hint="default"/>
                <w:sz w:val="18"/>
                <w:szCs w:val="18"/>
              </w:rPr>
            </w:pPr>
            <w:r>
              <w:rPr>
                <w:rFonts w:ascii="Times New Roman"/>
                <w:sz w:val="18"/>
              </w:rPr>
              <w:t>80%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4"/>
              <w:jc w:val="right"/>
              <w:rPr>
                <w:rFonts w:ascii="Times New Roman" w:hAnsi="Times New Roman" w:cs="Times New Roman" w:eastAsia="Times New Roman" w:hint="default"/>
                <w:sz w:val="18"/>
                <w:szCs w:val="18"/>
              </w:rPr>
            </w:pPr>
            <w:r>
              <w:rPr>
                <w:rFonts w:ascii="Times New Roman"/>
                <w:sz w:val="18"/>
              </w:rPr>
              <w:t>80%</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是</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z w:val="18"/>
              </w:rPr>
              <w:t>94.70</w:t>
            </w:r>
          </w:p>
        </w:tc>
        <w:tc>
          <w:tcPr>
            <w:tcW w:w="5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95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24" w:right="132"/>
              <w:jc w:val="both"/>
              <w:rPr>
                <w:rFonts w:ascii="宋体" w:hAnsi="宋体" w:cs="宋体" w:eastAsia="宋体" w:hint="default"/>
                <w:sz w:val="18"/>
                <w:szCs w:val="18"/>
              </w:rPr>
            </w:pPr>
            <w:r>
              <w:rPr>
                <w:rFonts w:ascii="宋体" w:hAnsi="宋体" w:cs="宋体" w:eastAsia="宋体" w:hint="default"/>
                <w:sz w:val="18"/>
                <w:szCs w:val="18"/>
              </w:rPr>
              <w:t>宁波普 天通信 技术有 限公司</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5"/>
              <w:ind w:left="24" w:right="91"/>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32" w:lineRule="exact"/>
              <w:ind w:left="23" w:right="59"/>
              <w:jc w:val="left"/>
              <w:rPr>
                <w:rFonts w:ascii="宋体" w:hAnsi="宋体" w:cs="宋体" w:eastAsia="宋体" w:hint="default"/>
                <w:sz w:val="18"/>
                <w:szCs w:val="18"/>
              </w:rPr>
            </w:pPr>
            <w:r>
              <w:rPr>
                <w:rFonts w:ascii="宋体" w:hAnsi="宋体" w:cs="宋体" w:eastAsia="宋体" w:hint="default"/>
                <w:sz w:val="18"/>
                <w:szCs w:val="18"/>
              </w:rPr>
              <w:t>宁 波</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46"/>
              <w:jc w:val="both"/>
              <w:rPr>
                <w:rFonts w:ascii="宋体" w:hAnsi="宋体" w:cs="宋体" w:eastAsia="宋体" w:hint="default"/>
                <w:sz w:val="18"/>
                <w:szCs w:val="18"/>
              </w:rPr>
            </w:pPr>
            <w:r>
              <w:rPr>
                <w:rFonts w:ascii="宋体" w:hAnsi="宋体" w:cs="宋体" w:eastAsia="宋体" w:hint="default"/>
                <w:sz w:val="18"/>
                <w:szCs w:val="18"/>
              </w:rPr>
              <w:t>计 算 及 应 用 服 务 业</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4" w:right="0"/>
              <w:jc w:val="left"/>
              <w:rPr>
                <w:rFonts w:ascii="Times New Roman" w:hAnsi="Times New Roman" w:cs="Times New Roman" w:eastAsia="Times New Roman" w:hint="default"/>
                <w:sz w:val="18"/>
                <w:szCs w:val="18"/>
              </w:rPr>
            </w:pPr>
            <w:r>
              <w:rPr>
                <w:rFonts w:ascii="Times New Roman"/>
                <w:sz w:val="18"/>
              </w:rPr>
              <w:t>1,100.00</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22"/>
              <w:jc w:val="both"/>
              <w:rPr>
                <w:rFonts w:ascii="宋体" w:hAnsi="宋体" w:cs="宋体" w:eastAsia="宋体" w:hint="default"/>
                <w:sz w:val="18"/>
                <w:szCs w:val="18"/>
              </w:rPr>
            </w:pPr>
            <w:r>
              <w:rPr>
                <w:rFonts w:ascii="宋体" w:hAnsi="宋体" w:cs="宋体" w:eastAsia="宋体" w:hint="default"/>
                <w:sz w:val="18"/>
                <w:szCs w:val="18"/>
              </w:rPr>
              <w:t>通信技术开发，通信设备测 试、维修、服务、计算机软 硬件技术服务（以上项目设 </w:t>
            </w:r>
            <w:r>
              <w:rPr>
                <w:rFonts w:ascii="宋体" w:hAnsi="宋体" w:cs="宋体" w:eastAsia="宋体" w:hint="default"/>
                <w:spacing w:val="-14"/>
                <w:sz w:val="18"/>
                <w:szCs w:val="18"/>
              </w:rPr>
              <w:t>计前置审批的凭证经营）；仪</w:t>
            </w:r>
            <w:r>
              <w:rPr>
                <w:rFonts w:ascii="宋体" w:hAnsi="宋体" w:cs="宋体" w:eastAsia="宋体" w:hint="default"/>
                <w:sz w:val="18"/>
                <w:szCs w:val="18"/>
              </w:rPr>
              <w:t> 器仪表的批发、零售（上述 经营范围不含国家法律法规 规定禁止、限制和许可经营 </w:t>
            </w:r>
            <w:r>
              <w:rPr>
                <w:rFonts w:ascii="宋体" w:hAnsi="宋体" w:cs="宋体" w:eastAsia="宋体" w:hint="default"/>
                <w:spacing w:val="-19"/>
                <w:sz w:val="18"/>
                <w:szCs w:val="18"/>
              </w:rPr>
              <w:t>的项目。）</w:t>
            </w:r>
          </w:p>
        </w:tc>
        <w:tc>
          <w:tcPr>
            <w:tcW w:w="7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86" w:right="0"/>
              <w:jc w:val="left"/>
              <w:rPr>
                <w:rFonts w:ascii="Times New Roman" w:hAnsi="Times New Roman" w:cs="Times New Roman" w:eastAsia="Times New Roman" w:hint="default"/>
                <w:sz w:val="18"/>
                <w:szCs w:val="18"/>
              </w:rPr>
            </w:pPr>
            <w:r>
              <w:rPr>
                <w:rFonts w:ascii="Times New Roman"/>
                <w:sz w:val="18"/>
              </w:rPr>
              <w:t>1,100.00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7"/>
              <w:jc w:val="right"/>
              <w:rPr>
                <w:rFonts w:ascii="Times New Roman" w:hAnsi="Times New Roman" w:cs="Times New Roman" w:eastAsia="Times New Roman" w:hint="default"/>
                <w:sz w:val="18"/>
                <w:szCs w:val="18"/>
              </w:rPr>
            </w:pPr>
            <w:r>
              <w:rPr>
                <w:rFonts w:ascii="Times New Roman"/>
                <w:sz w:val="18"/>
              </w:rPr>
              <w:t>100%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4"/>
              <w:jc w:val="right"/>
              <w:rPr>
                <w:rFonts w:ascii="Times New Roman" w:hAnsi="Times New Roman" w:cs="Times New Roman" w:eastAsia="Times New Roman" w:hint="default"/>
                <w:sz w:val="18"/>
                <w:szCs w:val="18"/>
              </w:rPr>
            </w:pPr>
            <w:r>
              <w:rPr>
                <w:rFonts w:ascii="Times New Roman"/>
                <w:sz w:val="18"/>
              </w:rPr>
              <w:t>100%</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86"/>
              <w:jc w:val="center"/>
              <w:rPr>
                <w:rFonts w:ascii="宋体" w:hAnsi="宋体" w:cs="宋体" w:eastAsia="宋体" w:hint="default"/>
                <w:sz w:val="18"/>
                <w:szCs w:val="18"/>
              </w:rPr>
            </w:pPr>
            <w:r>
              <w:rPr>
                <w:rFonts w:ascii="宋体" w:hAnsi="宋体" w:cs="宋体" w:eastAsia="宋体" w:hint="default"/>
                <w:sz w:val="18"/>
                <w:szCs w:val="18"/>
              </w:rPr>
              <w:t>是</w:t>
            </w:r>
          </w:p>
        </w:tc>
        <w:tc>
          <w:tcPr>
            <w:tcW w:w="610"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95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24" w:right="132"/>
              <w:jc w:val="both"/>
              <w:rPr>
                <w:rFonts w:ascii="宋体" w:hAnsi="宋体" w:cs="宋体" w:eastAsia="宋体" w:hint="default"/>
                <w:sz w:val="18"/>
                <w:szCs w:val="18"/>
              </w:rPr>
            </w:pPr>
            <w:r>
              <w:rPr>
                <w:rFonts w:ascii="宋体" w:hAnsi="宋体" w:cs="宋体" w:eastAsia="宋体" w:hint="default"/>
                <w:sz w:val="18"/>
                <w:szCs w:val="18"/>
              </w:rPr>
              <w:t>宁波金 信通讯 技术有 限公司</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2"/>
              <w:ind w:left="24" w:right="91"/>
              <w:jc w:val="both"/>
              <w:rPr>
                <w:rFonts w:ascii="宋体" w:hAnsi="宋体" w:cs="宋体" w:eastAsia="宋体" w:hint="default"/>
                <w:sz w:val="18"/>
                <w:szCs w:val="18"/>
              </w:rPr>
            </w:pPr>
            <w:r>
              <w:rPr>
                <w:rFonts w:ascii="宋体" w:hAnsi="宋体" w:cs="宋体" w:eastAsia="宋体" w:hint="default"/>
                <w:sz w:val="18"/>
                <w:szCs w:val="18"/>
              </w:rPr>
              <w:t>孙 公 司</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32" w:lineRule="exact"/>
              <w:ind w:left="23" w:right="59"/>
              <w:jc w:val="left"/>
              <w:rPr>
                <w:rFonts w:ascii="宋体" w:hAnsi="宋体" w:cs="宋体" w:eastAsia="宋体" w:hint="default"/>
                <w:sz w:val="18"/>
                <w:szCs w:val="18"/>
              </w:rPr>
            </w:pPr>
            <w:r>
              <w:rPr>
                <w:rFonts w:ascii="宋体" w:hAnsi="宋体" w:cs="宋体" w:eastAsia="宋体" w:hint="default"/>
                <w:sz w:val="18"/>
                <w:szCs w:val="18"/>
              </w:rPr>
              <w:t>宁 波</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46"/>
              <w:jc w:val="both"/>
              <w:rPr>
                <w:rFonts w:ascii="宋体" w:hAnsi="宋体" w:cs="宋体" w:eastAsia="宋体" w:hint="default"/>
                <w:sz w:val="18"/>
                <w:szCs w:val="18"/>
              </w:rPr>
            </w:pPr>
            <w:r>
              <w:rPr>
                <w:rFonts w:ascii="宋体" w:hAnsi="宋体" w:cs="宋体" w:eastAsia="宋体" w:hint="default"/>
                <w:sz w:val="18"/>
                <w:szCs w:val="18"/>
              </w:rPr>
              <w:t>计 算 及 应 用 服 务 业</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4" w:right="0"/>
              <w:jc w:val="left"/>
              <w:rPr>
                <w:rFonts w:ascii="Times New Roman" w:hAnsi="Times New Roman" w:cs="Times New Roman" w:eastAsia="Times New Roman" w:hint="default"/>
                <w:sz w:val="18"/>
                <w:szCs w:val="18"/>
              </w:rPr>
            </w:pPr>
            <w:r>
              <w:rPr>
                <w:rFonts w:ascii="Times New Roman"/>
                <w:sz w:val="18"/>
              </w:rPr>
              <w:t>300.00</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37" w:lineRule="auto"/>
              <w:ind w:left="24" w:right="22"/>
              <w:jc w:val="both"/>
              <w:rPr>
                <w:rFonts w:ascii="宋体" w:hAnsi="宋体" w:cs="宋体" w:eastAsia="宋体" w:hint="default"/>
                <w:sz w:val="18"/>
                <w:szCs w:val="18"/>
              </w:rPr>
            </w:pPr>
            <w:r>
              <w:rPr>
                <w:rFonts w:ascii="宋体" w:hAnsi="宋体" w:cs="宋体" w:eastAsia="宋体" w:hint="default"/>
                <w:sz w:val="18"/>
                <w:szCs w:val="18"/>
              </w:rPr>
              <w:t>通信技术开发；通信设备测 试、维修、服务；计算机硬 件服务；仪器仪表批发、零 </w:t>
            </w:r>
            <w:r>
              <w:rPr>
                <w:rFonts w:ascii="宋体" w:hAnsi="宋体" w:cs="宋体" w:eastAsia="宋体" w:hint="default"/>
                <w:spacing w:val="-14"/>
                <w:sz w:val="18"/>
                <w:szCs w:val="18"/>
              </w:rPr>
              <w:t>售。（上述经营范围不含国家</w:t>
            </w:r>
            <w:r>
              <w:rPr>
                <w:rFonts w:ascii="宋体" w:hAnsi="宋体" w:cs="宋体" w:eastAsia="宋体" w:hint="default"/>
                <w:sz w:val="18"/>
                <w:szCs w:val="18"/>
              </w:rPr>
              <w:t> 法律法规规定禁止、限制和 </w:t>
            </w:r>
            <w:r>
              <w:rPr>
                <w:rFonts w:ascii="宋体" w:hAnsi="宋体" w:cs="宋体" w:eastAsia="宋体" w:hint="default"/>
                <w:spacing w:val="-11"/>
                <w:sz w:val="18"/>
                <w:szCs w:val="18"/>
              </w:rPr>
              <w:t>许可经营的项目。）</w:t>
            </w:r>
          </w:p>
        </w:tc>
        <w:tc>
          <w:tcPr>
            <w:tcW w:w="7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23" w:right="0"/>
              <w:jc w:val="left"/>
              <w:rPr>
                <w:rFonts w:ascii="Times New Roman" w:hAnsi="Times New Roman" w:cs="Times New Roman" w:eastAsia="Times New Roman" w:hint="default"/>
                <w:sz w:val="18"/>
                <w:szCs w:val="18"/>
              </w:rPr>
            </w:pPr>
            <w:r>
              <w:rPr>
                <w:rFonts w:ascii="Times New Roman"/>
                <w:sz w:val="18"/>
              </w:rPr>
              <w:t>300.00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7"/>
              <w:jc w:val="right"/>
              <w:rPr>
                <w:rFonts w:ascii="Times New Roman" w:hAnsi="Times New Roman" w:cs="Times New Roman" w:eastAsia="Times New Roman" w:hint="default"/>
                <w:sz w:val="18"/>
                <w:szCs w:val="18"/>
              </w:rPr>
            </w:pPr>
            <w:r>
              <w:rPr>
                <w:rFonts w:ascii="Times New Roman"/>
                <w:sz w:val="18"/>
              </w:rPr>
              <w:t>100%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4"/>
              <w:jc w:val="right"/>
              <w:rPr>
                <w:rFonts w:ascii="Times New Roman" w:hAnsi="Times New Roman" w:cs="Times New Roman" w:eastAsia="Times New Roman" w:hint="default"/>
                <w:sz w:val="18"/>
                <w:szCs w:val="18"/>
              </w:rPr>
            </w:pPr>
            <w:r>
              <w:rPr>
                <w:rFonts w:ascii="Times New Roman"/>
                <w:sz w:val="18"/>
              </w:rPr>
              <w:t>100%</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是</w:t>
            </w:r>
          </w:p>
        </w:tc>
        <w:tc>
          <w:tcPr>
            <w:tcW w:w="610"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95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37" w:lineRule="auto"/>
              <w:ind w:left="24" w:right="132"/>
              <w:jc w:val="both"/>
              <w:rPr>
                <w:rFonts w:ascii="宋体" w:hAnsi="宋体" w:cs="宋体" w:eastAsia="宋体" w:hint="default"/>
                <w:sz w:val="18"/>
                <w:szCs w:val="18"/>
              </w:rPr>
            </w:pPr>
            <w:r>
              <w:rPr>
                <w:rFonts w:ascii="宋体" w:hAnsi="宋体" w:cs="宋体" w:eastAsia="宋体" w:hint="default"/>
                <w:sz w:val="18"/>
                <w:szCs w:val="18"/>
              </w:rPr>
              <w:t>宁波万 信移动 通信技 术研究 开发有 限公司</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2"/>
              <w:ind w:left="24" w:right="91"/>
              <w:jc w:val="both"/>
              <w:rPr>
                <w:rFonts w:ascii="宋体" w:hAnsi="宋体" w:cs="宋体" w:eastAsia="宋体" w:hint="default"/>
                <w:sz w:val="18"/>
                <w:szCs w:val="18"/>
              </w:rPr>
            </w:pPr>
            <w:r>
              <w:rPr>
                <w:rFonts w:ascii="宋体" w:hAnsi="宋体" w:cs="宋体" w:eastAsia="宋体" w:hint="default"/>
                <w:sz w:val="18"/>
                <w:szCs w:val="18"/>
              </w:rPr>
              <w:t>孙 公 司</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32" w:lineRule="exact"/>
              <w:ind w:left="23" w:right="59"/>
              <w:jc w:val="left"/>
              <w:rPr>
                <w:rFonts w:ascii="宋体" w:hAnsi="宋体" w:cs="宋体" w:eastAsia="宋体" w:hint="default"/>
                <w:sz w:val="18"/>
                <w:szCs w:val="18"/>
              </w:rPr>
            </w:pPr>
            <w:r>
              <w:rPr>
                <w:rFonts w:ascii="宋体" w:hAnsi="宋体" w:cs="宋体" w:eastAsia="宋体" w:hint="default"/>
                <w:sz w:val="18"/>
                <w:szCs w:val="18"/>
              </w:rPr>
              <w:t>宁 波</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46"/>
              <w:jc w:val="both"/>
              <w:rPr>
                <w:rFonts w:ascii="宋体" w:hAnsi="宋体" w:cs="宋体" w:eastAsia="宋体" w:hint="default"/>
                <w:sz w:val="18"/>
                <w:szCs w:val="18"/>
              </w:rPr>
            </w:pPr>
            <w:r>
              <w:rPr>
                <w:rFonts w:ascii="宋体" w:hAnsi="宋体" w:cs="宋体" w:eastAsia="宋体" w:hint="default"/>
                <w:sz w:val="18"/>
                <w:szCs w:val="18"/>
              </w:rPr>
              <w:t>计 算 及 应 用 服 务 业</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4" w:right="0"/>
              <w:jc w:val="left"/>
              <w:rPr>
                <w:rFonts w:ascii="Times New Roman" w:hAnsi="Times New Roman" w:cs="Times New Roman" w:eastAsia="Times New Roman" w:hint="default"/>
                <w:sz w:val="18"/>
                <w:szCs w:val="18"/>
              </w:rPr>
            </w:pPr>
            <w:r>
              <w:rPr>
                <w:rFonts w:ascii="Times New Roman"/>
                <w:sz w:val="18"/>
              </w:rPr>
              <w:t>500.00</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5"/>
              <w:ind w:left="24" w:right="22"/>
              <w:jc w:val="both"/>
              <w:rPr>
                <w:rFonts w:ascii="宋体" w:hAnsi="宋体" w:cs="宋体" w:eastAsia="宋体" w:hint="default"/>
                <w:sz w:val="18"/>
                <w:szCs w:val="18"/>
              </w:rPr>
            </w:pPr>
            <w:r>
              <w:rPr>
                <w:rFonts w:ascii="宋体" w:hAnsi="宋体" w:cs="宋体" w:eastAsia="宋体" w:hint="default"/>
                <w:sz w:val="18"/>
                <w:szCs w:val="18"/>
              </w:rPr>
              <w:t>移动通信技术、计算机软硬 件的研究、开发及相关技术 咨询服务；转让自研成果； </w:t>
            </w:r>
            <w:r>
              <w:rPr>
                <w:rFonts w:ascii="宋体" w:hAnsi="宋体" w:cs="宋体" w:eastAsia="宋体" w:hint="default"/>
                <w:spacing w:val="-14"/>
                <w:sz w:val="18"/>
                <w:szCs w:val="18"/>
              </w:rPr>
              <w:t>移动通信设备测试。（上述经</w:t>
            </w:r>
            <w:r>
              <w:rPr>
                <w:rFonts w:ascii="宋体" w:hAnsi="宋体" w:cs="宋体" w:eastAsia="宋体" w:hint="default"/>
                <w:sz w:val="18"/>
                <w:szCs w:val="18"/>
              </w:rPr>
              <w:t> 营范围不含国家法律法规规 定禁止、限制和许可经营的 </w:t>
            </w:r>
            <w:r>
              <w:rPr>
                <w:rFonts w:ascii="宋体" w:hAnsi="宋体" w:cs="宋体" w:eastAsia="宋体" w:hint="default"/>
                <w:spacing w:val="-23"/>
                <w:sz w:val="18"/>
                <w:szCs w:val="18"/>
              </w:rPr>
              <w:t>项目。）</w:t>
            </w:r>
          </w:p>
        </w:tc>
        <w:tc>
          <w:tcPr>
            <w:tcW w:w="7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23" w:right="0"/>
              <w:jc w:val="left"/>
              <w:rPr>
                <w:rFonts w:ascii="Times New Roman" w:hAnsi="Times New Roman" w:cs="Times New Roman" w:eastAsia="Times New Roman" w:hint="default"/>
                <w:sz w:val="18"/>
                <w:szCs w:val="18"/>
              </w:rPr>
            </w:pPr>
            <w:r>
              <w:rPr>
                <w:rFonts w:ascii="Times New Roman"/>
                <w:sz w:val="18"/>
              </w:rPr>
              <w:t>500.00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7"/>
              <w:jc w:val="right"/>
              <w:rPr>
                <w:rFonts w:ascii="Times New Roman" w:hAnsi="Times New Roman" w:cs="Times New Roman" w:eastAsia="Times New Roman" w:hint="default"/>
                <w:sz w:val="18"/>
                <w:szCs w:val="18"/>
              </w:rPr>
            </w:pPr>
            <w:r>
              <w:rPr>
                <w:rFonts w:ascii="Times New Roman"/>
                <w:sz w:val="18"/>
              </w:rPr>
              <w:t>80%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4"/>
              <w:jc w:val="right"/>
              <w:rPr>
                <w:rFonts w:ascii="Times New Roman" w:hAnsi="Times New Roman" w:cs="Times New Roman" w:eastAsia="Times New Roman" w:hint="default"/>
                <w:sz w:val="18"/>
                <w:szCs w:val="18"/>
              </w:rPr>
            </w:pPr>
            <w:r>
              <w:rPr>
                <w:rFonts w:ascii="Times New Roman"/>
                <w:sz w:val="18"/>
              </w:rPr>
              <w:t>80%</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是</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z w:val="18"/>
              </w:rPr>
              <w:t>74.85</w:t>
            </w:r>
          </w:p>
        </w:tc>
        <w:tc>
          <w:tcPr>
            <w:tcW w:w="5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95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5"/>
              <w:ind w:left="24" w:right="132"/>
              <w:jc w:val="both"/>
              <w:rPr>
                <w:rFonts w:ascii="宋体" w:hAnsi="宋体" w:cs="宋体" w:eastAsia="宋体" w:hint="default"/>
                <w:sz w:val="18"/>
                <w:szCs w:val="18"/>
              </w:rPr>
            </w:pPr>
            <w:r>
              <w:rPr>
                <w:rFonts w:ascii="宋体" w:hAnsi="宋体" w:cs="宋体" w:eastAsia="宋体" w:hint="default"/>
                <w:sz w:val="18"/>
                <w:szCs w:val="18"/>
              </w:rPr>
              <w:t>宁波普 天科技 创业服 务有限 公司</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2"/>
              <w:ind w:left="24" w:right="91"/>
              <w:jc w:val="both"/>
              <w:rPr>
                <w:rFonts w:ascii="宋体" w:hAnsi="宋体" w:cs="宋体" w:eastAsia="宋体" w:hint="default"/>
                <w:sz w:val="18"/>
                <w:szCs w:val="18"/>
              </w:rPr>
            </w:pPr>
            <w:r>
              <w:rPr>
                <w:rFonts w:ascii="宋体" w:hAnsi="宋体" w:cs="宋体" w:eastAsia="宋体" w:hint="default"/>
                <w:sz w:val="18"/>
                <w:szCs w:val="18"/>
              </w:rPr>
              <w:t>孙 公 司</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32" w:lineRule="exact"/>
              <w:ind w:left="23" w:right="59"/>
              <w:jc w:val="left"/>
              <w:rPr>
                <w:rFonts w:ascii="宋体" w:hAnsi="宋体" w:cs="宋体" w:eastAsia="宋体" w:hint="default"/>
                <w:sz w:val="18"/>
                <w:szCs w:val="18"/>
              </w:rPr>
            </w:pPr>
            <w:r>
              <w:rPr>
                <w:rFonts w:ascii="宋体" w:hAnsi="宋体" w:cs="宋体" w:eastAsia="宋体" w:hint="default"/>
                <w:sz w:val="18"/>
                <w:szCs w:val="18"/>
              </w:rPr>
              <w:t>宁 波</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46"/>
              <w:jc w:val="both"/>
              <w:rPr>
                <w:rFonts w:ascii="宋体" w:hAnsi="宋体" w:cs="宋体" w:eastAsia="宋体" w:hint="default"/>
                <w:sz w:val="18"/>
                <w:szCs w:val="18"/>
              </w:rPr>
            </w:pPr>
            <w:r>
              <w:rPr>
                <w:rFonts w:ascii="宋体" w:hAnsi="宋体" w:cs="宋体" w:eastAsia="宋体" w:hint="default"/>
                <w:sz w:val="18"/>
                <w:szCs w:val="18"/>
              </w:rPr>
              <w:t>计 算 及 应 用 服 务 业</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4" w:right="0"/>
              <w:jc w:val="left"/>
              <w:rPr>
                <w:rFonts w:ascii="Times New Roman" w:hAnsi="Times New Roman" w:cs="Times New Roman" w:eastAsia="Times New Roman" w:hint="default"/>
                <w:sz w:val="18"/>
                <w:szCs w:val="18"/>
              </w:rPr>
            </w:pPr>
            <w:r>
              <w:rPr>
                <w:rFonts w:ascii="Times New Roman"/>
                <w:sz w:val="18"/>
              </w:rPr>
              <w:t>150.00</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24" w:right="22"/>
              <w:jc w:val="both"/>
              <w:rPr>
                <w:rFonts w:ascii="宋体" w:hAnsi="宋体" w:cs="宋体" w:eastAsia="宋体" w:hint="default"/>
                <w:sz w:val="18"/>
                <w:szCs w:val="18"/>
              </w:rPr>
            </w:pPr>
            <w:r>
              <w:rPr>
                <w:rFonts w:ascii="宋体" w:hAnsi="宋体" w:cs="宋体" w:eastAsia="宋体" w:hint="default"/>
                <w:sz w:val="18"/>
                <w:szCs w:val="18"/>
              </w:rPr>
              <w:t>科技中介服务、科技信息咨 询、技术推广服务、园区内 物业管理、房产租赁、设备 租赁。</w:t>
            </w:r>
          </w:p>
        </w:tc>
        <w:tc>
          <w:tcPr>
            <w:tcW w:w="7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23" w:right="0"/>
              <w:jc w:val="left"/>
              <w:rPr>
                <w:rFonts w:ascii="Times New Roman" w:hAnsi="Times New Roman" w:cs="Times New Roman" w:eastAsia="Times New Roman" w:hint="default"/>
                <w:sz w:val="18"/>
                <w:szCs w:val="18"/>
              </w:rPr>
            </w:pPr>
            <w:r>
              <w:rPr>
                <w:rFonts w:ascii="Times New Roman"/>
                <w:sz w:val="18"/>
              </w:rPr>
              <w:t>150.00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7"/>
              <w:jc w:val="right"/>
              <w:rPr>
                <w:rFonts w:ascii="Times New Roman" w:hAnsi="Times New Roman" w:cs="Times New Roman" w:eastAsia="Times New Roman" w:hint="default"/>
                <w:sz w:val="18"/>
                <w:szCs w:val="18"/>
              </w:rPr>
            </w:pPr>
            <w:r>
              <w:rPr>
                <w:rFonts w:ascii="Times New Roman"/>
                <w:sz w:val="18"/>
              </w:rPr>
              <w:t>100%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4"/>
              <w:jc w:val="right"/>
              <w:rPr>
                <w:rFonts w:ascii="Times New Roman" w:hAnsi="Times New Roman" w:cs="Times New Roman" w:eastAsia="Times New Roman" w:hint="default"/>
                <w:sz w:val="18"/>
                <w:szCs w:val="18"/>
              </w:rPr>
            </w:pPr>
            <w:r>
              <w:rPr>
                <w:rFonts w:ascii="Times New Roman"/>
                <w:sz w:val="18"/>
              </w:rPr>
              <w:t>100%</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86"/>
              <w:jc w:val="center"/>
              <w:rPr>
                <w:rFonts w:ascii="宋体" w:hAnsi="宋体" w:cs="宋体" w:eastAsia="宋体" w:hint="default"/>
                <w:sz w:val="18"/>
                <w:szCs w:val="18"/>
              </w:rPr>
            </w:pPr>
            <w:r>
              <w:rPr>
                <w:rFonts w:ascii="宋体" w:hAnsi="宋体" w:cs="宋体" w:eastAsia="宋体" w:hint="default"/>
                <w:sz w:val="18"/>
                <w:szCs w:val="18"/>
              </w:rPr>
              <w:t>是</w:t>
            </w:r>
          </w:p>
        </w:tc>
        <w:tc>
          <w:tcPr>
            <w:tcW w:w="610"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195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24" w:right="132"/>
              <w:jc w:val="both"/>
              <w:rPr>
                <w:rFonts w:ascii="宋体" w:hAnsi="宋体" w:cs="宋体" w:eastAsia="宋体" w:hint="default"/>
                <w:sz w:val="18"/>
                <w:szCs w:val="18"/>
              </w:rPr>
            </w:pPr>
            <w:r>
              <w:rPr>
                <w:rFonts w:ascii="宋体" w:hAnsi="宋体" w:cs="宋体" w:eastAsia="宋体" w:hint="default"/>
                <w:sz w:val="18"/>
                <w:szCs w:val="18"/>
              </w:rPr>
              <w:t>宁波移 畅通信 设备有 限公司</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2"/>
              <w:ind w:left="24" w:right="91"/>
              <w:jc w:val="both"/>
              <w:rPr>
                <w:rFonts w:ascii="宋体" w:hAnsi="宋体" w:cs="宋体" w:eastAsia="宋体" w:hint="default"/>
                <w:sz w:val="18"/>
                <w:szCs w:val="18"/>
              </w:rPr>
            </w:pPr>
            <w:r>
              <w:rPr>
                <w:rFonts w:ascii="宋体" w:hAnsi="宋体" w:cs="宋体" w:eastAsia="宋体" w:hint="default"/>
                <w:sz w:val="18"/>
                <w:szCs w:val="18"/>
              </w:rPr>
              <w:t>孙 公 司</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32" w:lineRule="exact"/>
              <w:ind w:left="23" w:right="59"/>
              <w:jc w:val="left"/>
              <w:rPr>
                <w:rFonts w:ascii="宋体" w:hAnsi="宋体" w:cs="宋体" w:eastAsia="宋体" w:hint="default"/>
                <w:sz w:val="18"/>
                <w:szCs w:val="18"/>
              </w:rPr>
            </w:pPr>
            <w:r>
              <w:rPr>
                <w:rFonts w:ascii="宋体" w:hAnsi="宋体" w:cs="宋体" w:eastAsia="宋体" w:hint="default"/>
                <w:sz w:val="18"/>
                <w:szCs w:val="18"/>
              </w:rPr>
              <w:t>宁 波</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46"/>
              <w:jc w:val="both"/>
              <w:rPr>
                <w:rFonts w:ascii="宋体" w:hAnsi="宋体" w:cs="宋体" w:eastAsia="宋体" w:hint="default"/>
                <w:sz w:val="18"/>
                <w:szCs w:val="18"/>
              </w:rPr>
            </w:pPr>
            <w:r>
              <w:rPr>
                <w:rFonts w:ascii="宋体" w:hAnsi="宋体" w:cs="宋体" w:eastAsia="宋体" w:hint="default"/>
                <w:sz w:val="18"/>
                <w:szCs w:val="18"/>
              </w:rPr>
              <w:t>计 算 及 应 用 服 务 业</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4" w:right="0"/>
              <w:jc w:val="left"/>
              <w:rPr>
                <w:rFonts w:ascii="Times New Roman" w:hAnsi="Times New Roman" w:cs="Times New Roman" w:eastAsia="Times New Roman" w:hint="default"/>
                <w:sz w:val="18"/>
                <w:szCs w:val="18"/>
              </w:rPr>
            </w:pPr>
            <w:r>
              <w:rPr>
                <w:rFonts w:ascii="Times New Roman"/>
                <w:sz w:val="18"/>
              </w:rPr>
              <w:t>2,000.00</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20"/>
              <w:jc w:val="left"/>
              <w:rPr>
                <w:rFonts w:ascii="宋体" w:hAnsi="宋体" w:cs="宋体" w:eastAsia="宋体" w:hint="default"/>
                <w:sz w:val="18"/>
                <w:szCs w:val="18"/>
              </w:rPr>
            </w:pPr>
            <w:r>
              <w:rPr>
                <w:rFonts w:ascii="宋体" w:hAnsi="宋体" w:cs="宋体" w:eastAsia="宋体" w:hint="default"/>
                <w:sz w:val="18"/>
                <w:szCs w:val="18"/>
              </w:rPr>
              <w:t>通信设备生产制造；通信设 备测试、维修服务；通信技 术开发；计算机软硬件开发 及相关技术服务；仪器仪表 </w:t>
            </w:r>
            <w:r>
              <w:rPr>
                <w:rFonts w:ascii="宋体" w:hAnsi="宋体" w:cs="宋体" w:eastAsia="宋体" w:hint="default"/>
                <w:spacing w:val="-14"/>
                <w:sz w:val="18"/>
                <w:szCs w:val="18"/>
              </w:rPr>
              <w:t>批发、零售。（上述经营范围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不含国家法律法规规定禁 止、限制和许可经营的项 </w:t>
            </w:r>
            <w:r>
              <w:rPr>
                <w:rFonts w:ascii="宋体" w:hAnsi="宋体" w:cs="宋体" w:eastAsia="宋体" w:hint="default"/>
                <w:spacing w:val="-31"/>
                <w:sz w:val="18"/>
                <w:szCs w:val="18"/>
              </w:rPr>
              <w:t>目。）</w:t>
            </w:r>
          </w:p>
        </w:tc>
        <w:tc>
          <w:tcPr>
            <w:tcW w:w="7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86" w:right="0"/>
              <w:jc w:val="left"/>
              <w:rPr>
                <w:rFonts w:ascii="Times New Roman" w:hAnsi="Times New Roman" w:cs="Times New Roman" w:eastAsia="Times New Roman" w:hint="default"/>
                <w:sz w:val="18"/>
                <w:szCs w:val="18"/>
              </w:rPr>
            </w:pPr>
            <w:r>
              <w:rPr>
                <w:rFonts w:ascii="Times New Roman"/>
                <w:sz w:val="18"/>
              </w:rPr>
              <w:t>2,000.00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7"/>
              <w:jc w:val="right"/>
              <w:rPr>
                <w:rFonts w:ascii="Times New Roman" w:hAnsi="Times New Roman" w:cs="Times New Roman" w:eastAsia="Times New Roman" w:hint="default"/>
                <w:sz w:val="18"/>
                <w:szCs w:val="18"/>
              </w:rPr>
            </w:pPr>
            <w:r>
              <w:rPr>
                <w:rFonts w:ascii="Times New Roman"/>
                <w:sz w:val="18"/>
              </w:rPr>
              <w:t>100%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4"/>
              <w:jc w:val="right"/>
              <w:rPr>
                <w:rFonts w:ascii="Times New Roman" w:hAnsi="Times New Roman" w:cs="Times New Roman" w:eastAsia="Times New Roman" w:hint="default"/>
                <w:sz w:val="18"/>
                <w:szCs w:val="18"/>
              </w:rPr>
            </w:pPr>
            <w:r>
              <w:rPr>
                <w:rFonts w:ascii="Times New Roman"/>
                <w:sz w:val="18"/>
              </w:rPr>
              <w:t>100%</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是</w:t>
            </w:r>
          </w:p>
        </w:tc>
        <w:tc>
          <w:tcPr>
            <w:tcW w:w="610"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bl>
    <w:p>
      <w:pPr>
        <w:rPr>
          <w:sz w:val="2"/>
          <w:szCs w:val="2"/>
        </w:rPr>
      </w:pPr>
      <w:r>
        <w:rPr/>
        <w:pict>
          <v:shape style="position:absolute;margin-left:216.022995pt;margin-top:128.419983pt;width:106.25pt;height:41.55pt;mso-position-horizontal-relative:page;mso-position-vertical-relative:page;z-index:-946096" type="#_x0000_t202" filled="false" stroked="false">
            <v:textbox inset="0,0,0,0">
              <w:txbxContent>
                <w:p>
                  <w:pPr>
                    <w:pStyle w:val="BodyText"/>
                    <w:spacing w:line="240" w:lineRule="auto" w:before="58"/>
                    <w:ind w:left="0" w:right="0"/>
                    <w:jc w:val="left"/>
                  </w:pPr>
                  <w:r>
                    <w:rPr/>
                    <w:t>计算机系统服务。</w:t>
                  </w:r>
                </w:p>
              </w:txbxContent>
            </v:textbox>
            <w10:wrap type="none"/>
          </v:shape>
        </w:pict>
      </w:r>
      <w:r>
        <w:rPr/>
        <w:pict>
          <v:shape style="position:absolute;margin-left:216.022995pt;margin-top:114.019981pt;width:105.05pt;height:17.5pt;mso-position-horizontal-relative:page;mso-position-vertical-relative:page;z-index:-946072" type="#_x0000_t202" filled="false" stroked="false">
            <v:textbox inset="0,0,0,0">
              <w:txbxContent>
                <w:p>
                  <w:pPr>
                    <w:pStyle w:val="BodyText"/>
                    <w:spacing w:line="240" w:lineRule="auto" w:before="113"/>
                    <w:ind w:left="0" w:right="0"/>
                    <w:jc w:val="left"/>
                  </w:pPr>
                  <w:r>
                    <w:rPr/>
                    <w:t>软件及辅助设备、</w:t>
                  </w:r>
                </w:p>
              </w:txbxContent>
            </v:textbox>
            <w10:wrap type="none"/>
          </v:shape>
        </w:pict>
      </w:r>
      <w:r>
        <w:rPr/>
        <w:pict>
          <v:shape style="position:absolute;margin-left:243.02301pt;margin-top:170.419983pt;width:79.25pt;height:41.55pt;mso-position-horizontal-relative:page;mso-position-vertical-relative:page;z-index:-946048" type="#_x0000_t202" filled="false" stroked="false">
            <v:textbox inset="0,0,0,0">
              <w:txbxContent>
                <w:p>
                  <w:pPr>
                    <w:spacing w:line="240" w:lineRule="auto" w:before="6"/>
                    <w:rPr>
                      <w:rFonts w:ascii="宋体" w:hAnsi="宋体" w:cs="宋体" w:eastAsia="宋体" w:hint="default"/>
                      <w:sz w:val="20"/>
                      <w:szCs w:val="20"/>
                    </w:rPr>
                  </w:pPr>
                </w:p>
                <w:p>
                  <w:pPr>
                    <w:pStyle w:val="BodyText"/>
                    <w:spacing w:line="232" w:lineRule="exact"/>
                    <w:ind w:left="0" w:right="680" w:firstLine="2"/>
                    <w:jc w:val="left"/>
                  </w:pPr>
                  <w:r>
                    <w:rPr/>
                    <w:t>技术服务； 数据处理；</w:t>
                  </w:r>
                </w:p>
              </w:txbxContent>
            </v:textbox>
            <w10:wrap type="none"/>
          </v:shape>
        </w:pict>
      </w:r>
      <w:r>
        <w:rPr/>
        <w:pict>
          <v:group style="position:absolute;margin-left:285.170013pt;margin-top:113.419983pt;width:37.15pt;height:98.55pt;mso-position-horizontal-relative:page;mso-position-vertical-relative:page;z-index:-946024" coordorigin="5703,2268" coordsize="743,1971">
            <v:group style="position:absolute;left:5715;top:2280;width:2;height:288" coordorigin="5715,2280" coordsize="2,288">
              <v:shape style="position:absolute;left:5715;top:2280;width:2;height:288" coordorigin="5715,2280" coordsize="0,288" path="m5715,2280l5715,2568e" filled="false" stroked="true" strokeweight="1.2pt" strokecolor="#ffffff">
                <v:path arrowok="t"/>
              </v:shape>
            </v:group>
            <v:group style="position:absolute;left:5703;top:2568;width:743;height:831" coordorigin="5703,2568" coordsize="743,831">
              <v:shape style="position:absolute;left:5703;top:2568;width:743;height:831" coordorigin="5703,2568" coordsize="743,831" path="m5703,3399l6445,3399,6445,2568,5703,2568,5703,3399xe" filled="true" fillcolor="#ffffff" stroked="false">
                <v:path arrowok="t"/>
                <v:fill type="solid"/>
              </v:shape>
            </v:group>
            <v:group style="position:absolute;left:5727;top:2280;width:695;height:288" coordorigin="5727,2280" coordsize="695,288">
              <v:shape style="position:absolute;left:5727;top:2280;width:695;height:288" coordorigin="5727,2280" coordsize="695,288" path="m5727,2568l6421,2568,6421,2280,5727,2280,5727,2568xe" filled="true" fillcolor="#ffffff" stroked="false">
                <v:path arrowok="t"/>
                <v:fill type="solid"/>
              </v:shape>
            </v:group>
            <v:group style="position:absolute;left:5703;top:3408;width:743;height:831" coordorigin="5703,3408" coordsize="743,831">
              <v:shape style="position:absolute;left:5703;top:3408;width:743;height:831" coordorigin="5703,3408" coordsize="743,831" path="m5703,4239l6445,4239,6445,3408,5703,3408,5703,4239xe" filled="true" fillcolor="#ffffff" stroked="false">
                <v:path arrowok="t"/>
                <v:fill type="solid"/>
              </v:shape>
            </v:group>
            <w10:wrap type="none"/>
          </v:group>
        </w:pict>
      </w:r>
    </w:p>
    <w:p>
      <w:pPr>
        <w:spacing w:after="0"/>
        <w:rPr>
          <w:sz w:val="2"/>
          <w:szCs w:val="2"/>
        </w:rPr>
        <w:sectPr>
          <w:pgSz w:w="11910" w:h="16840"/>
          <w:pgMar w:header="852" w:footer="980" w:top="1440" w:bottom="1160" w:left="980" w:right="980"/>
        </w:sectPr>
      </w:pPr>
    </w:p>
    <w:p>
      <w:pPr>
        <w:spacing w:line="240" w:lineRule="auto" w:before="2"/>
        <w:rPr>
          <w:rFonts w:ascii="Times New Roman" w:hAnsi="Times New Roman" w:cs="Times New Roman" w:eastAsia="Times New Roman"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08"/>
        <w:gridCol w:w="307"/>
        <w:gridCol w:w="274"/>
        <w:gridCol w:w="362"/>
        <w:gridCol w:w="696"/>
        <w:gridCol w:w="2218"/>
        <w:gridCol w:w="749"/>
        <w:gridCol w:w="564"/>
        <w:gridCol w:w="535"/>
        <w:gridCol w:w="552"/>
        <w:gridCol w:w="326"/>
        <w:gridCol w:w="610"/>
        <w:gridCol w:w="583"/>
        <w:gridCol w:w="1183"/>
      </w:tblGrid>
      <w:tr>
        <w:trPr>
          <w:trHeight w:val="195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37" w:lineRule="auto"/>
              <w:ind w:left="24" w:right="132"/>
              <w:jc w:val="both"/>
              <w:rPr>
                <w:rFonts w:ascii="宋体" w:hAnsi="宋体" w:cs="宋体" w:eastAsia="宋体" w:hint="default"/>
                <w:sz w:val="18"/>
                <w:szCs w:val="18"/>
              </w:rPr>
            </w:pPr>
            <w:r>
              <w:rPr>
                <w:rFonts w:ascii="宋体" w:hAnsi="宋体" w:cs="宋体" w:eastAsia="宋体" w:hint="default"/>
                <w:sz w:val="18"/>
                <w:szCs w:val="18"/>
              </w:rPr>
              <w:t>宁波普 金通信 设备有 限公司</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37" w:lineRule="auto"/>
              <w:ind w:left="24" w:right="91"/>
              <w:jc w:val="both"/>
              <w:rPr>
                <w:rFonts w:ascii="宋体" w:hAnsi="宋体" w:cs="宋体" w:eastAsia="宋体" w:hint="default"/>
                <w:sz w:val="18"/>
                <w:szCs w:val="18"/>
              </w:rPr>
            </w:pPr>
            <w:r>
              <w:rPr>
                <w:rFonts w:ascii="宋体" w:hAnsi="宋体" w:cs="宋体" w:eastAsia="宋体" w:hint="default"/>
                <w:sz w:val="18"/>
                <w:szCs w:val="18"/>
              </w:rPr>
              <w:t>孙 公 司</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13"/>
              <w:ind w:left="23" w:right="59"/>
              <w:jc w:val="left"/>
              <w:rPr>
                <w:rFonts w:ascii="宋体" w:hAnsi="宋体" w:cs="宋体" w:eastAsia="宋体" w:hint="default"/>
                <w:sz w:val="18"/>
                <w:szCs w:val="18"/>
              </w:rPr>
            </w:pPr>
            <w:r>
              <w:rPr>
                <w:rFonts w:ascii="宋体" w:hAnsi="宋体" w:cs="宋体" w:eastAsia="宋体" w:hint="default"/>
                <w:sz w:val="18"/>
                <w:szCs w:val="18"/>
              </w:rPr>
              <w:t>宁 波</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46"/>
              <w:jc w:val="both"/>
              <w:rPr>
                <w:rFonts w:ascii="宋体" w:hAnsi="宋体" w:cs="宋体" w:eastAsia="宋体" w:hint="default"/>
                <w:sz w:val="18"/>
                <w:szCs w:val="18"/>
              </w:rPr>
            </w:pPr>
            <w:r>
              <w:rPr>
                <w:rFonts w:ascii="宋体" w:hAnsi="宋体" w:cs="宋体" w:eastAsia="宋体" w:hint="default"/>
                <w:sz w:val="18"/>
                <w:szCs w:val="18"/>
              </w:rPr>
              <w:t>计 算 及 应 用 服 务 业</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4,000.00</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24" w:right="22"/>
              <w:jc w:val="left"/>
              <w:rPr>
                <w:rFonts w:ascii="宋体" w:hAnsi="宋体" w:cs="宋体" w:eastAsia="宋体" w:hint="default"/>
                <w:sz w:val="18"/>
                <w:szCs w:val="18"/>
              </w:rPr>
            </w:pPr>
            <w:r>
              <w:rPr>
                <w:rFonts w:ascii="宋体" w:hAnsi="宋体" w:cs="宋体" w:eastAsia="宋体" w:hint="default"/>
                <w:sz w:val="18"/>
                <w:szCs w:val="18"/>
              </w:rPr>
              <w:t>通信设备的制造、加工、测 试、维修；通信技术计算机 软硬件开发及相关技术服 务；仪器仪表批发、零售。</w:t>
            </w:r>
          </w:p>
          <w:p>
            <w:pPr>
              <w:pStyle w:val="TableParagraph"/>
              <w:spacing w:line="235" w:lineRule="auto" w:before="4"/>
              <w:ind w:left="24" w:right="22"/>
              <w:jc w:val="both"/>
              <w:rPr>
                <w:rFonts w:ascii="宋体" w:hAnsi="宋体" w:cs="宋体" w:eastAsia="宋体" w:hint="default"/>
                <w:sz w:val="18"/>
                <w:szCs w:val="18"/>
              </w:rPr>
            </w:pPr>
            <w:r>
              <w:rPr>
                <w:rFonts w:ascii="宋体" w:hAnsi="宋体" w:cs="宋体" w:eastAsia="宋体" w:hint="default"/>
                <w:sz w:val="18"/>
                <w:szCs w:val="18"/>
              </w:rPr>
              <w:t>（上述经营范围不含国家法 律法规规定禁止、限制和许 </w:t>
            </w:r>
            <w:r>
              <w:rPr>
                <w:rFonts w:ascii="宋体" w:hAnsi="宋体" w:cs="宋体" w:eastAsia="宋体" w:hint="default"/>
                <w:spacing w:val="-12"/>
                <w:sz w:val="18"/>
                <w:szCs w:val="18"/>
              </w:rPr>
              <w:t>可经营的项目。）</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3,200.00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是</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781.99</w:t>
            </w:r>
          </w:p>
        </w:tc>
        <w:tc>
          <w:tcPr>
            <w:tcW w:w="5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71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4"/>
              <w:ind w:left="24" w:right="22"/>
              <w:jc w:val="left"/>
              <w:rPr>
                <w:rFonts w:ascii="宋体" w:hAnsi="宋体" w:cs="宋体" w:eastAsia="宋体" w:hint="default"/>
                <w:sz w:val="18"/>
                <w:szCs w:val="18"/>
              </w:rPr>
            </w:pPr>
            <w:r>
              <w:rPr>
                <w:rFonts w:ascii="宋体" w:hAnsi="宋体" w:cs="宋体" w:eastAsia="宋体" w:hint="default"/>
                <w:sz w:val="18"/>
                <w:szCs w:val="18"/>
              </w:rPr>
              <w:t>宁波普 天通信 </w:t>
            </w:r>
            <w:r>
              <w:rPr>
                <w:rFonts w:ascii="宋体" w:hAnsi="宋体" w:cs="宋体" w:eastAsia="宋体" w:hint="default"/>
                <w:spacing w:val="-18"/>
                <w:sz w:val="18"/>
                <w:szCs w:val="18"/>
              </w:rPr>
              <w:t>技术（香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8"/>
                <w:sz w:val="18"/>
                <w:szCs w:val="18"/>
              </w:rPr>
              <w:t>港）有限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32" w:lineRule="exact"/>
              <w:ind w:left="24" w:right="91"/>
              <w:jc w:val="both"/>
              <w:rPr>
                <w:rFonts w:ascii="宋体" w:hAnsi="宋体" w:cs="宋体" w:eastAsia="宋体" w:hint="default"/>
                <w:sz w:val="18"/>
                <w:szCs w:val="18"/>
              </w:rPr>
            </w:pPr>
            <w:r>
              <w:rPr>
                <w:rFonts w:ascii="宋体" w:hAnsi="宋体" w:cs="宋体" w:eastAsia="宋体" w:hint="default"/>
                <w:sz w:val="18"/>
                <w:szCs w:val="18"/>
              </w:rPr>
              <w:t>孙 公 司</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32" w:lineRule="exact"/>
              <w:ind w:left="23" w:right="59"/>
              <w:jc w:val="left"/>
              <w:rPr>
                <w:rFonts w:ascii="宋体" w:hAnsi="宋体" w:cs="宋体" w:eastAsia="宋体" w:hint="default"/>
                <w:sz w:val="18"/>
                <w:szCs w:val="18"/>
              </w:rPr>
            </w:pPr>
            <w:r>
              <w:rPr>
                <w:rFonts w:ascii="宋体" w:hAnsi="宋体" w:cs="宋体" w:eastAsia="宋体" w:hint="default"/>
                <w:sz w:val="18"/>
                <w:szCs w:val="18"/>
              </w:rPr>
              <w:t>香 港</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37" w:lineRule="auto"/>
              <w:ind w:left="24" w:right="146"/>
              <w:jc w:val="both"/>
              <w:rPr>
                <w:rFonts w:ascii="宋体" w:hAnsi="宋体" w:cs="宋体" w:eastAsia="宋体" w:hint="default"/>
                <w:sz w:val="18"/>
                <w:szCs w:val="18"/>
              </w:rPr>
            </w:pPr>
            <w:r>
              <w:rPr>
                <w:rFonts w:ascii="宋体" w:hAnsi="宋体" w:cs="宋体" w:eastAsia="宋体" w:hint="default"/>
                <w:sz w:val="18"/>
                <w:szCs w:val="18"/>
              </w:rPr>
              <w:t>计 算 及 应 用 服 务 业</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32" w:lineRule="exact"/>
              <w:ind w:left="24" w:right="16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万港 币</w:t>
            </w:r>
          </w:p>
        </w:tc>
        <w:tc>
          <w:tcPr>
            <w:tcW w:w="2218"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是</w:t>
            </w:r>
          </w:p>
        </w:tc>
        <w:tc>
          <w:tcPr>
            <w:tcW w:w="610"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40" w:bottom="1160" w:left="980" w:right="980"/>
        </w:sectPr>
      </w:pPr>
    </w:p>
    <w:p>
      <w:pPr>
        <w:spacing w:line="240" w:lineRule="auto" w:before="9"/>
        <w:rPr>
          <w:rFonts w:ascii="Times New Roman" w:hAnsi="Times New Roman" w:cs="Times New Roman" w:eastAsia="Times New Roman" w:hint="default"/>
          <w:sz w:val="24"/>
          <w:szCs w:val="24"/>
        </w:rPr>
      </w:pPr>
    </w:p>
    <w:p>
      <w:pPr>
        <w:pStyle w:val="Heading3"/>
        <w:spacing w:line="240" w:lineRule="auto" w:before="36"/>
        <w:ind w:right="117"/>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117"/>
        <w:jc w:val="left"/>
      </w:pPr>
      <w:r>
        <w:rPr/>
        <w:t>报告期内，没有特殊目的主体或通过受托经营或承租等方式形成控制权的经营实体。</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right="117"/>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117"/>
        <w:jc w:val="left"/>
      </w:pPr>
      <w:r>
        <w:rPr/>
        <w:t>合并报表范围发生变更说明</w:t>
      </w:r>
    </w:p>
    <w:p>
      <w:pPr>
        <w:pStyle w:val="BodyText"/>
        <w:spacing w:line="338" w:lineRule="auto" w:before="115"/>
        <w:ind w:right="5692"/>
        <w:jc w:val="left"/>
      </w:pPr>
      <w:r>
        <w:rPr>
          <w:rFonts w:ascii="Times New Roman" w:hAnsi="Times New Roman" w:cs="Times New Roman" w:eastAsia="Times New Roman" w:hint="default"/>
          <w:b/>
          <w:bCs/>
        </w:rPr>
        <w:t>√ </w:t>
      </w:r>
      <w:r>
        <w:rPr>
          <w:rFonts w:ascii="宋体" w:hAnsi="宋体" w:cs="宋体" w:eastAsia="宋体" w:hint="default"/>
          <w:b/>
          <w:bCs/>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与上年相比本年（期）新增合并单位</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家，原因为：</w:t>
      </w:r>
    </w:p>
    <w:p>
      <w:pPr>
        <w:pStyle w:val="BodyText"/>
        <w:spacing w:line="338" w:lineRule="auto" w:before="19"/>
        <w:ind w:right="21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月，本公司子公司重庆新媒农信科技有限公司出资成立重庆新迈峰科技有限公司，注册资本</w:t>
      </w:r>
      <w:r>
        <w:rPr>
          <w:spacing w:val="-4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万元。该公 司自成立之日起纳入合并范围。</w:t>
      </w:r>
    </w:p>
    <w:p>
      <w:pPr>
        <w:pStyle w:val="BodyText"/>
        <w:spacing w:line="338" w:lineRule="auto" w:before="41"/>
        <w:ind w:right="21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月，本公司子公司重庆新媒农信科技有限公司出资成立重庆新媒亿网科技有限公司，注册资本</w:t>
      </w:r>
      <w:r>
        <w:rPr>
          <w:spacing w:val="-4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万元。该 公司自成立之日起纳入合并范围。</w:t>
      </w:r>
    </w:p>
    <w:p>
      <w:pPr>
        <w:pStyle w:val="BodyText"/>
        <w:spacing w:line="240" w:lineRule="auto" w:before="38"/>
        <w:ind w:right="117"/>
        <w:jc w:val="left"/>
      </w:pPr>
      <w:r>
        <w:rPr>
          <w:rFonts w:ascii="Times New Roman" w:hAnsi="Times New Roman" w:cs="Times New Roman" w:eastAsia="Times New Roman" w:hint="default"/>
        </w:rPr>
        <w:t>3</w:t>
      </w:r>
      <w:r>
        <w:rPr/>
        <w:t>、本公司子公司神州泰岳（香港）有限公司于</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月底完成外管局香港注册手续，注册资本</w:t>
      </w:r>
      <w:r>
        <w:rPr>
          <w:spacing w:val="-47"/>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万港币。该公司自</w:t>
      </w:r>
    </w:p>
    <w:p>
      <w:pPr>
        <w:pStyle w:val="BodyText"/>
        <w:spacing w:line="240" w:lineRule="auto" w:before="101"/>
        <w:ind w:right="117"/>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 </w:t>
      </w:r>
      <w:r>
        <w:rPr/>
        <w:t>日起纳入合并范围。</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3"/>
        <w:spacing w:line="240" w:lineRule="auto"/>
        <w:ind w:right="117"/>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right="117"/>
        <w:jc w:val="left"/>
      </w:pPr>
      <w:r>
        <w:rPr/>
        <w:t>本期新纳入合并范围的子公司、特殊目的主体、通过受托经营或承租等方式形成控制权的经营实体</w:t>
      </w:r>
    </w:p>
    <w:p>
      <w:pPr>
        <w:pStyle w:val="BodyText"/>
        <w:spacing w:line="240" w:lineRule="auto" w:before="38"/>
        <w:ind w:left="0" w:right="21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143"/>
        <w:gridCol w:w="2900"/>
        <w:gridCol w:w="2693"/>
      </w:tblGrid>
      <w:tr>
        <w:trPr>
          <w:trHeight w:val="403" w:hRule="exact"/>
        </w:trPr>
        <w:tc>
          <w:tcPr>
            <w:tcW w:w="4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0"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6"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重庆新迈峰科技有限公司</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995.49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sz w:val="18"/>
              </w:rPr>
              <w:t>-4.51</w:t>
            </w:r>
          </w:p>
        </w:tc>
      </w:tr>
      <w:tr>
        <w:trPr>
          <w:trHeight w:val="40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重庆新媒亿网科技有限公司</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998.41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-1.59</w:t>
            </w:r>
          </w:p>
        </w:tc>
      </w:tr>
      <w:tr>
        <w:trPr>
          <w:trHeight w:val="406"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神州泰岳（香港）有限公司</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529.30</w:t>
            </w:r>
          </w:p>
        </w:tc>
        <w:tc>
          <w:tcPr>
            <w:tcW w:w="26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5"/>
          <w:szCs w:val="15"/>
        </w:rPr>
      </w:pPr>
    </w:p>
    <w:p>
      <w:pPr>
        <w:pStyle w:val="BodyText"/>
        <w:spacing w:line="278" w:lineRule="auto" w:before="44"/>
        <w:ind w:right="1914"/>
        <w:jc w:val="left"/>
      </w:pPr>
      <w:r>
        <w:rPr/>
        <w:t>本期不再纳入合并范围的子公司、特殊目的主体、通过受托经营或承租等方式形成控制权的经营实体 无</w:t>
      </w:r>
    </w:p>
    <w:p>
      <w:pPr>
        <w:spacing w:line="240" w:lineRule="auto" w:before="8"/>
        <w:rPr>
          <w:rFonts w:ascii="宋体" w:hAnsi="宋体" w:cs="宋体" w:eastAsia="宋体" w:hint="default"/>
          <w:sz w:val="20"/>
          <w:szCs w:val="20"/>
        </w:rPr>
      </w:pPr>
    </w:p>
    <w:p>
      <w:pPr>
        <w:pStyle w:val="Heading3"/>
        <w:spacing w:line="240" w:lineRule="auto"/>
        <w:ind w:right="117"/>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117"/>
        <w:jc w:val="left"/>
      </w:pPr>
      <w:r>
        <w:rPr/>
        <w:t>无</w:t>
      </w:r>
    </w:p>
    <w:p>
      <w:pPr>
        <w:spacing w:line="240" w:lineRule="auto" w:before="10"/>
        <w:rPr>
          <w:rFonts w:ascii="宋体" w:hAnsi="宋体" w:cs="宋体" w:eastAsia="宋体" w:hint="default"/>
          <w:sz w:val="22"/>
          <w:szCs w:val="22"/>
        </w:rPr>
      </w:pPr>
    </w:p>
    <w:p>
      <w:pPr>
        <w:pStyle w:val="Heading3"/>
        <w:spacing w:line="240" w:lineRule="auto"/>
        <w:ind w:right="117"/>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right="117"/>
        <w:jc w:val="left"/>
      </w:pPr>
      <w:r>
        <w:rPr/>
        <w:t>无</w:t>
      </w:r>
    </w:p>
    <w:p>
      <w:pPr>
        <w:spacing w:line="240" w:lineRule="auto" w:before="10"/>
        <w:rPr>
          <w:rFonts w:ascii="宋体" w:hAnsi="宋体" w:cs="宋体" w:eastAsia="宋体" w:hint="default"/>
          <w:sz w:val="22"/>
          <w:szCs w:val="22"/>
        </w:rPr>
      </w:pPr>
    </w:p>
    <w:p>
      <w:pPr>
        <w:pStyle w:val="Heading3"/>
        <w:spacing w:line="240" w:lineRule="auto"/>
        <w:ind w:right="117"/>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117"/>
        <w:jc w:val="left"/>
      </w:pPr>
      <w:r>
        <w:rPr/>
        <w:t>无</w:t>
      </w:r>
    </w:p>
    <w:p>
      <w:pPr>
        <w:spacing w:line="240" w:lineRule="auto" w:before="10"/>
        <w:rPr>
          <w:rFonts w:ascii="宋体" w:hAnsi="宋体" w:cs="宋体" w:eastAsia="宋体" w:hint="default"/>
          <w:sz w:val="22"/>
          <w:szCs w:val="22"/>
        </w:rPr>
      </w:pPr>
    </w:p>
    <w:p>
      <w:pPr>
        <w:pStyle w:val="Heading3"/>
        <w:spacing w:line="240" w:lineRule="auto"/>
        <w:ind w:right="117"/>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117"/>
        <w:jc w:val="left"/>
      </w:pPr>
      <w:r>
        <w:rPr/>
        <w:t>无</w:t>
      </w:r>
    </w:p>
    <w:p>
      <w:pPr>
        <w:spacing w:after="0" w:line="240" w:lineRule="auto"/>
        <w:jc w:val="left"/>
        <w:sectPr>
          <w:pgSz w:w="11910" w:h="16840"/>
          <w:pgMar w:header="852" w:footer="980" w:top="1340" w:bottom="1160" w:left="980" w:right="920"/>
        </w:sectPr>
      </w:pPr>
    </w:p>
    <w:p>
      <w:pPr>
        <w:pStyle w:val="Heading3"/>
        <w:spacing w:line="240" w:lineRule="auto" w:before="62"/>
        <w:ind w:right="0"/>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10</w:t>
      </w:r>
      <w:r>
        <w:rPr/>
        <w:t>、境外经营实体主要报表项目的折算汇率</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2"/>
        <w:rPr>
          <w:rFonts w:ascii="宋体" w:hAnsi="宋体" w:cs="宋体" w:eastAsia="宋体" w:hint="default"/>
          <w:sz w:val="22"/>
          <w:szCs w:val="22"/>
        </w:rPr>
      </w:pPr>
    </w:p>
    <w:p>
      <w:pPr>
        <w:pStyle w:val="Heading2"/>
        <w:spacing w:line="240" w:lineRule="auto"/>
        <w:ind w:right="0"/>
        <w:jc w:val="left"/>
        <w:rPr>
          <w:b w:val="0"/>
          <w:bCs w:val="0"/>
        </w:rPr>
      </w:pPr>
      <w:r>
        <w:rPr/>
        <w:t>七、合并财务报表主要项目注释</w:t>
      </w:r>
      <w:r>
        <w:rPr>
          <w:b w:val="0"/>
          <w:bCs w:val="0"/>
        </w:rPr>
      </w:r>
    </w:p>
    <w:p>
      <w:pPr>
        <w:spacing w:line="240" w:lineRule="auto" w:before="6"/>
        <w:rPr>
          <w:rFonts w:ascii="宋体" w:hAnsi="宋体" w:cs="宋体" w:eastAsia="宋体" w:hint="default"/>
          <w:b/>
          <w:bCs/>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411"/>
        <w:jc w:val="right"/>
      </w:pPr>
      <w:r>
        <w:rPr/>
        <w:t>单位：</w:t>
      </w:r>
      <w:r>
        <w:rPr>
          <w:spacing w:val="1"/>
        </w:rPr>
        <w:t> </w:t>
      </w:r>
      <w:r>
        <w:rPr/>
        <w:t>元</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074"/>
        <w:gridCol w:w="1378"/>
        <w:gridCol w:w="965"/>
        <w:gridCol w:w="1517"/>
        <w:gridCol w:w="1378"/>
        <w:gridCol w:w="965"/>
        <w:gridCol w:w="1654"/>
      </w:tblGrid>
      <w:tr>
        <w:trPr>
          <w:trHeight w:val="185" w:hRule="exact"/>
        </w:trPr>
        <w:tc>
          <w:tcPr>
            <w:tcW w:w="2074" w:type="dxa"/>
            <w:tcBorders>
              <w:top w:val="single" w:sz="4" w:space="0" w:color="000000"/>
              <w:left w:val="single" w:sz="4" w:space="0" w:color="000000"/>
              <w:bottom w:val="nil" w:sz="6" w:space="0" w:color="auto"/>
              <w:right w:val="single" w:sz="4" w:space="0" w:color="000000"/>
            </w:tcBorders>
            <w:shd w:val="clear" w:color="auto" w:fill="D2D2D2"/>
          </w:tcPr>
          <w:p>
            <w:pPr/>
          </w:p>
        </w:tc>
        <w:tc>
          <w:tcPr>
            <w:tcW w:w="386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76" w:hRule="exact"/>
        </w:trPr>
        <w:tc>
          <w:tcPr>
            <w:tcW w:w="20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60" w:type="dxa"/>
            <w:gridSpan w:val="3"/>
            <w:vMerge/>
            <w:tcBorders>
              <w:left w:val="single" w:sz="4" w:space="0" w:color="000000"/>
              <w:bottom w:val="single" w:sz="4" w:space="0" w:color="000000"/>
              <w:right w:val="single" w:sz="4" w:space="0" w:color="000000"/>
            </w:tcBorders>
            <w:shd w:val="clear" w:color="auto" w:fill="D2D2D2"/>
          </w:tcPr>
          <w:p>
            <w:pPr/>
          </w:p>
        </w:tc>
        <w:tc>
          <w:tcPr>
            <w:tcW w:w="3997" w:type="dxa"/>
            <w:gridSpan w:val="3"/>
            <w:vMerge/>
            <w:tcBorders>
              <w:left w:val="single" w:sz="4" w:space="0" w:color="000000"/>
              <w:bottom w:val="single" w:sz="4" w:space="0" w:color="000000"/>
              <w:right w:val="single" w:sz="4" w:space="0" w:color="000000"/>
            </w:tcBorders>
            <w:shd w:val="clear" w:color="auto" w:fill="D2D2D2"/>
          </w:tcPr>
          <w:p>
            <w:pPr/>
          </w:p>
        </w:tc>
      </w:tr>
      <w:tr>
        <w:trPr>
          <w:trHeight w:val="139" w:hRule="exact"/>
        </w:trPr>
        <w:tc>
          <w:tcPr>
            <w:tcW w:w="2074" w:type="dxa"/>
            <w:vMerge/>
            <w:tcBorders>
              <w:left w:val="single" w:sz="4" w:space="0" w:color="000000"/>
              <w:bottom w:val="nil" w:sz="6" w:space="0" w:color="auto"/>
              <w:right w:val="single" w:sz="4" w:space="0" w:color="000000"/>
            </w:tcBorders>
            <w:shd w:val="clear" w:color="auto" w:fill="D2D2D2"/>
          </w:tcPr>
          <w:p>
            <w:pPr/>
          </w:p>
        </w:tc>
        <w:tc>
          <w:tcPr>
            <w:tcW w:w="13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324"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20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304"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32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206"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371"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23" w:hRule="exact"/>
        </w:trPr>
        <w:tc>
          <w:tcPr>
            <w:tcW w:w="20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8" w:type="dxa"/>
            <w:vMerge/>
            <w:tcBorders>
              <w:left w:val="single" w:sz="4" w:space="0" w:color="000000"/>
              <w:bottom w:val="single" w:sz="4" w:space="0" w:color="000000"/>
              <w:right w:val="single" w:sz="4" w:space="0" w:color="000000"/>
            </w:tcBorders>
            <w:shd w:val="clear" w:color="auto" w:fill="D2D2D2"/>
          </w:tcPr>
          <w:p>
            <w:pPr/>
          </w:p>
        </w:tc>
        <w:tc>
          <w:tcPr>
            <w:tcW w:w="965" w:type="dxa"/>
            <w:vMerge/>
            <w:tcBorders>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378" w:type="dxa"/>
            <w:vMerge/>
            <w:tcBorders>
              <w:left w:val="single" w:sz="4" w:space="0" w:color="000000"/>
              <w:bottom w:val="single" w:sz="4" w:space="0" w:color="000000"/>
              <w:right w:val="single" w:sz="4" w:space="0" w:color="000000"/>
            </w:tcBorders>
            <w:shd w:val="clear" w:color="auto" w:fill="D2D2D2"/>
          </w:tcPr>
          <w:p>
            <w:pPr/>
          </w:p>
        </w:tc>
        <w:tc>
          <w:tcPr>
            <w:tcW w:w="965" w:type="dxa"/>
            <w:vMerge/>
            <w:tcBorders>
              <w:left w:val="single" w:sz="4" w:space="0" w:color="000000"/>
              <w:bottom w:val="single" w:sz="4" w:space="0" w:color="000000"/>
              <w:right w:val="single" w:sz="4" w:space="0" w:color="000000"/>
            </w:tcBorders>
            <w:shd w:val="clear" w:color="auto" w:fill="D2D2D2"/>
          </w:tcPr>
          <w:p>
            <w:pPr/>
          </w:p>
        </w:tc>
        <w:tc>
          <w:tcPr>
            <w:tcW w:w="1654" w:type="dxa"/>
            <w:vMerge/>
            <w:tcBorders>
              <w:left w:val="single" w:sz="4" w:space="0" w:color="000000"/>
              <w:bottom w:val="single" w:sz="4" w:space="0" w:color="000000"/>
              <w:right w:val="single" w:sz="4" w:space="0" w:color="000000"/>
            </w:tcBorders>
            <w:shd w:val="clear" w:color="auto" w:fill="D2D2D2"/>
          </w:tcPr>
          <w:p>
            <w:pPr/>
          </w:p>
        </w:tc>
      </w:tr>
      <w:tr>
        <w:trPr>
          <w:trHeight w:val="355" w:hRule="exact"/>
        </w:trPr>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624" w:right="0"/>
              <w:jc w:val="left"/>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17" w:right="0"/>
              <w:jc w:val="left"/>
              <w:rPr>
                <w:rFonts w:ascii="Times New Roman" w:hAnsi="Times New Roman" w:cs="Times New Roman" w:eastAsia="Times New Roman" w:hint="default"/>
                <w:sz w:val="18"/>
                <w:szCs w:val="18"/>
              </w:rPr>
            </w:pPr>
            <w:r>
              <w:rPr>
                <w:rFonts w:ascii="Times New Roman"/>
                <w:sz w:val="18"/>
              </w:rPr>
              <w:t>--</w:t>
            </w:r>
          </w:p>
        </w:tc>
        <w:tc>
          <w:tcPr>
            <w:tcW w:w="151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67"/>
              <w:ind w:right="12"/>
              <w:jc w:val="right"/>
              <w:rPr>
                <w:rFonts w:ascii="Times New Roman" w:hAnsi="Times New Roman" w:cs="Times New Roman" w:eastAsia="Times New Roman" w:hint="default"/>
                <w:sz w:val="18"/>
                <w:szCs w:val="18"/>
              </w:rPr>
            </w:pPr>
            <w:r>
              <w:rPr>
                <w:rFonts w:ascii="Times New Roman"/>
                <w:spacing w:val="-1"/>
                <w:sz w:val="18"/>
              </w:rPr>
              <w:t>374,213.74</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623" w:right="0"/>
              <w:jc w:val="left"/>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18" w:right="0"/>
              <w:jc w:val="left"/>
              <w:rPr>
                <w:rFonts w:ascii="Times New Roman" w:hAnsi="Times New Roman" w:cs="Times New Roman" w:eastAsia="Times New Roman" w:hint="default"/>
                <w:sz w:val="18"/>
                <w:szCs w:val="18"/>
              </w:rPr>
            </w:pPr>
            <w:r>
              <w:rPr>
                <w:rFonts w:ascii="Times New Roman"/>
                <w:sz w:val="18"/>
              </w:rPr>
              <w:t>--</w:t>
            </w:r>
          </w:p>
        </w:tc>
        <w:tc>
          <w:tcPr>
            <w:tcW w:w="16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8"/>
                <w:szCs w:val="18"/>
              </w:rPr>
            </w:pPr>
            <w:r>
              <w:rPr>
                <w:rFonts w:ascii="Times New Roman"/>
                <w:spacing w:val="-1"/>
                <w:sz w:val="18"/>
              </w:rPr>
              <w:t>390,467.74</w:t>
            </w:r>
          </w:p>
        </w:tc>
      </w:tr>
      <w:tr>
        <w:trPr>
          <w:trHeight w:val="400" w:hRule="exact"/>
        </w:trPr>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0"/>
              <w:ind w:left="624" w:right="0"/>
              <w:jc w:val="left"/>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0"/>
              <w:ind w:left="417" w:right="0"/>
              <w:jc w:val="left"/>
              <w:rPr>
                <w:rFonts w:ascii="Times New Roman" w:hAnsi="Times New Roman" w:cs="Times New Roman" w:eastAsia="Times New Roman" w:hint="default"/>
                <w:sz w:val="18"/>
                <w:szCs w:val="18"/>
              </w:rPr>
            </w:pPr>
            <w:r>
              <w:rPr>
                <w:rFonts w:ascii="Times New Roman"/>
                <w:sz w:val="18"/>
              </w:rPr>
              <w:t>--</w:t>
            </w:r>
          </w:p>
        </w:tc>
        <w:tc>
          <w:tcPr>
            <w:tcW w:w="151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374,213.74</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0"/>
              <w:ind w:left="623" w:right="0"/>
              <w:jc w:val="left"/>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0"/>
              <w:ind w:left="418" w:right="0"/>
              <w:jc w:val="left"/>
              <w:rPr>
                <w:rFonts w:ascii="Times New Roman" w:hAnsi="Times New Roman" w:cs="Times New Roman" w:eastAsia="Times New Roman" w:hint="default"/>
                <w:sz w:val="18"/>
                <w:szCs w:val="18"/>
              </w:rPr>
            </w:pPr>
            <w:r>
              <w:rPr>
                <w:rFonts w:ascii="Times New Roman"/>
                <w:sz w:val="18"/>
              </w:rPr>
              <w:t>--</w:t>
            </w:r>
          </w:p>
        </w:tc>
        <w:tc>
          <w:tcPr>
            <w:tcW w:w="16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390,467.74</w:t>
            </w:r>
          </w:p>
        </w:tc>
      </w:tr>
      <w:tr>
        <w:trPr>
          <w:trHeight w:val="389" w:hRule="exact"/>
        </w:trPr>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624" w:right="0"/>
              <w:jc w:val="left"/>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417" w:right="0"/>
              <w:jc w:val="left"/>
              <w:rPr>
                <w:rFonts w:ascii="Times New Roman" w:hAnsi="Times New Roman" w:cs="Times New Roman" w:eastAsia="Times New Roman" w:hint="default"/>
                <w:sz w:val="18"/>
                <w:szCs w:val="18"/>
              </w:rPr>
            </w:pPr>
            <w:r>
              <w:rPr>
                <w:rFonts w:ascii="Times New Roman"/>
                <w:sz w:val="18"/>
              </w:rPr>
              <w:t>--</w:t>
            </w:r>
          </w:p>
        </w:tc>
        <w:tc>
          <w:tcPr>
            <w:tcW w:w="151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04"/>
              <w:ind w:right="13"/>
              <w:jc w:val="right"/>
              <w:rPr>
                <w:rFonts w:ascii="Times New Roman" w:hAnsi="Times New Roman" w:cs="Times New Roman" w:eastAsia="Times New Roman" w:hint="default"/>
                <w:sz w:val="18"/>
                <w:szCs w:val="18"/>
              </w:rPr>
            </w:pPr>
            <w:r>
              <w:rPr>
                <w:rFonts w:ascii="Times New Roman"/>
                <w:spacing w:val="-1"/>
                <w:sz w:val="18"/>
              </w:rPr>
              <w:t>1,371,396,028.71</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623" w:right="0"/>
              <w:jc w:val="left"/>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418" w:right="0"/>
              <w:jc w:val="left"/>
              <w:rPr>
                <w:rFonts w:ascii="Times New Roman" w:hAnsi="Times New Roman" w:cs="Times New Roman" w:eastAsia="Times New Roman" w:hint="default"/>
                <w:sz w:val="18"/>
                <w:szCs w:val="18"/>
              </w:rPr>
            </w:pPr>
            <w:r>
              <w:rPr>
                <w:rFonts w:ascii="Times New Roman"/>
                <w:sz w:val="18"/>
              </w:rPr>
              <w:t>--</w:t>
            </w:r>
          </w:p>
        </w:tc>
        <w:tc>
          <w:tcPr>
            <w:tcW w:w="16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pacing w:val="-1"/>
                <w:sz w:val="18"/>
              </w:rPr>
              <w:t>1,360,708,771.40</w:t>
            </w:r>
          </w:p>
        </w:tc>
      </w:tr>
      <w:tr>
        <w:trPr>
          <w:trHeight w:val="396" w:hRule="exact"/>
        </w:trPr>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624" w:right="0"/>
              <w:jc w:val="left"/>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417" w:right="0"/>
              <w:jc w:val="left"/>
              <w:rPr>
                <w:rFonts w:ascii="Times New Roman" w:hAnsi="Times New Roman" w:cs="Times New Roman" w:eastAsia="Times New Roman" w:hint="default"/>
                <w:sz w:val="18"/>
                <w:szCs w:val="18"/>
              </w:rPr>
            </w:pPr>
            <w:r>
              <w:rPr>
                <w:rFonts w:ascii="Times New Roman"/>
                <w:sz w:val="18"/>
              </w:rPr>
              <w:t>--</w:t>
            </w:r>
          </w:p>
        </w:tc>
        <w:tc>
          <w:tcPr>
            <w:tcW w:w="151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pacing w:val="-1"/>
                <w:sz w:val="18"/>
              </w:rPr>
              <w:t>1,371,380,766.55</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623" w:right="0"/>
              <w:jc w:val="left"/>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418" w:right="0"/>
              <w:jc w:val="left"/>
              <w:rPr>
                <w:rFonts w:ascii="Times New Roman" w:hAnsi="Times New Roman" w:cs="Times New Roman" w:eastAsia="Times New Roman" w:hint="default"/>
                <w:sz w:val="18"/>
                <w:szCs w:val="18"/>
              </w:rPr>
            </w:pPr>
            <w:r>
              <w:rPr>
                <w:rFonts w:ascii="Times New Roman"/>
                <w:sz w:val="18"/>
              </w:rPr>
              <w:t>--</w:t>
            </w:r>
          </w:p>
        </w:tc>
        <w:tc>
          <w:tcPr>
            <w:tcW w:w="16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sz w:val="18"/>
              </w:rPr>
              <w:t>1,360,534,323.97</w:t>
            </w:r>
          </w:p>
        </w:tc>
      </w:tr>
      <w:tr>
        <w:trPr>
          <w:trHeight w:val="426" w:hRule="exact"/>
        </w:trPr>
        <w:tc>
          <w:tcPr>
            <w:tcW w:w="2074" w:type="dxa"/>
            <w:tcBorders>
              <w:top w:val="single" w:sz="15" w:space="0" w:color="D2D2D2"/>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78" w:type="dxa"/>
            <w:tcBorders>
              <w:top w:val="single" w:sz="20" w:space="0" w:color="D2D2D2"/>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15,244.54</w:t>
            </w:r>
          </w:p>
        </w:tc>
        <w:tc>
          <w:tcPr>
            <w:tcW w:w="965" w:type="dxa"/>
            <w:tcBorders>
              <w:top w:val="single" w:sz="20" w:space="0" w:color="D2D2D2"/>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18"/>
                <w:szCs w:val="18"/>
              </w:rPr>
            </w:pPr>
            <w:r>
              <w:rPr>
                <w:rFonts w:ascii="Times New Roman"/>
                <w:spacing w:val="-1"/>
                <w:sz w:val="18"/>
              </w:rPr>
              <w:t>12,361.80</w:t>
            </w:r>
          </w:p>
        </w:tc>
        <w:tc>
          <w:tcPr>
            <w:tcW w:w="1378" w:type="dxa"/>
            <w:tcBorders>
              <w:top w:val="single" w:sz="20" w:space="0" w:color="D2D2D2"/>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9,366.58</w:t>
            </w:r>
          </w:p>
        </w:tc>
        <w:tc>
          <w:tcPr>
            <w:tcW w:w="965" w:type="dxa"/>
            <w:tcBorders>
              <w:top w:val="single" w:sz="20" w:space="0" w:color="D2D2D2"/>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18"/>
                <w:szCs w:val="18"/>
              </w:rPr>
            </w:pPr>
            <w:r>
              <w:rPr>
                <w:rFonts w:ascii="Times New Roman"/>
                <w:w w:val="95"/>
                <w:sz w:val="18"/>
              </w:rPr>
              <w:t>7,593.49</w:t>
            </w:r>
          </w:p>
        </w:tc>
      </w:tr>
      <w:tr>
        <w:trPr>
          <w:trHeight w:val="401"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294.21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629%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w w:val="95"/>
                <w:sz w:val="18"/>
              </w:rPr>
              <w:t>1,849.26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26,480.97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z w:val="18"/>
              </w:rPr>
              <w:t>630%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166,853.94</w:t>
            </w:r>
          </w:p>
        </w:tc>
      </w:tr>
      <w:tr>
        <w:trPr>
          <w:trHeight w:val="398"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126.37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4"/>
              <w:jc w:val="right"/>
              <w:rPr>
                <w:rFonts w:ascii="Times New Roman" w:hAnsi="Times New Roman" w:cs="Times New Roman" w:eastAsia="Times New Roman" w:hint="default"/>
                <w:sz w:val="18"/>
                <w:szCs w:val="18"/>
              </w:rPr>
            </w:pPr>
            <w:r>
              <w:rPr>
                <w:rFonts w:ascii="Times New Roman"/>
                <w:sz w:val="18"/>
              </w:rPr>
              <w:t>832%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w w:val="95"/>
                <w:sz w:val="18"/>
              </w:rPr>
              <w:t>1,051.10</w:t>
            </w:r>
          </w:p>
        </w:tc>
        <w:tc>
          <w:tcPr>
            <w:tcW w:w="137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387" w:hRule="exact"/>
        </w:trPr>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624" w:right="0"/>
              <w:jc w:val="left"/>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417" w:right="0"/>
              <w:jc w:val="left"/>
              <w:rPr>
                <w:rFonts w:ascii="Times New Roman" w:hAnsi="Times New Roman" w:cs="Times New Roman" w:eastAsia="Times New Roman" w:hint="default"/>
                <w:sz w:val="18"/>
                <w:szCs w:val="18"/>
              </w:rPr>
            </w:pPr>
            <w:r>
              <w:rPr>
                <w:rFonts w:ascii="Times New Roman"/>
                <w:sz w:val="18"/>
              </w:rPr>
              <w:t>--</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4,402,460.26</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623" w:right="0"/>
              <w:jc w:val="left"/>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418" w:right="0"/>
              <w:jc w:val="left"/>
              <w:rPr>
                <w:rFonts w:ascii="Times New Roman" w:hAnsi="Times New Roman" w:cs="Times New Roman" w:eastAsia="Times New Roman" w:hint="default"/>
                <w:sz w:val="18"/>
                <w:szCs w:val="18"/>
              </w:rPr>
            </w:pPr>
            <w:r>
              <w:rPr>
                <w:rFonts w:ascii="Times New Roman"/>
                <w:sz w:val="18"/>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18"/>
                <w:szCs w:val="18"/>
              </w:rPr>
            </w:pPr>
            <w:r>
              <w:rPr>
                <w:rFonts w:ascii="Times New Roman"/>
                <w:spacing w:val="-1"/>
                <w:sz w:val="18"/>
              </w:rPr>
              <w:t>5,502,468.03</w:t>
            </w:r>
          </w:p>
        </w:tc>
      </w:tr>
      <w:tr>
        <w:trPr>
          <w:trHeight w:val="400" w:hRule="exact"/>
        </w:trPr>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left="624" w:right="0"/>
              <w:jc w:val="left"/>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left="417" w:right="0"/>
              <w:jc w:val="left"/>
              <w:rPr>
                <w:rFonts w:ascii="Times New Roman" w:hAnsi="Times New Roman" w:cs="Times New Roman" w:eastAsia="Times New Roman" w:hint="default"/>
                <w:sz w:val="18"/>
                <w:szCs w:val="18"/>
              </w:rPr>
            </w:pPr>
            <w:r>
              <w:rPr>
                <w:rFonts w:ascii="Times New Roman"/>
                <w:sz w:val="18"/>
              </w:rPr>
              <w:t>--</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4,402,460.26</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left="623" w:right="0"/>
              <w:jc w:val="left"/>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left="418" w:right="0"/>
              <w:jc w:val="left"/>
              <w:rPr>
                <w:rFonts w:ascii="Times New Roman" w:hAnsi="Times New Roman" w:cs="Times New Roman" w:eastAsia="Times New Roman" w:hint="default"/>
                <w:sz w:val="18"/>
                <w:szCs w:val="18"/>
              </w:rPr>
            </w:pPr>
            <w:r>
              <w:rPr>
                <w:rFonts w:ascii="Times New Roman"/>
                <w:sz w:val="18"/>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5,502,468.03</w:t>
            </w:r>
          </w:p>
        </w:tc>
      </w:tr>
      <w:tr>
        <w:trPr>
          <w:trHeight w:val="416" w:hRule="exact"/>
        </w:trPr>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24" w:right="0"/>
              <w:jc w:val="left"/>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17" w:right="0"/>
              <w:jc w:val="left"/>
              <w:rPr>
                <w:rFonts w:ascii="Times New Roman" w:hAnsi="Times New Roman" w:cs="Times New Roman" w:eastAsia="Times New Roman" w:hint="default"/>
                <w:sz w:val="18"/>
                <w:szCs w:val="18"/>
              </w:rPr>
            </w:pPr>
            <w:r>
              <w:rPr>
                <w:rFonts w:ascii="Times New Roman"/>
                <w:sz w:val="18"/>
              </w:rPr>
              <w:t>--</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1,376,172,702.71</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23" w:right="0"/>
              <w:jc w:val="left"/>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18" w:right="0"/>
              <w:jc w:val="left"/>
              <w:rPr>
                <w:rFonts w:ascii="Times New Roman" w:hAnsi="Times New Roman" w:cs="Times New Roman" w:eastAsia="Times New Roman" w:hint="default"/>
                <w:sz w:val="18"/>
                <w:szCs w:val="18"/>
              </w:rPr>
            </w:pPr>
            <w:r>
              <w:rPr>
                <w:rFonts w:ascii="Times New Roman"/>
                <w:sz w:val="18"/>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1,366,601,707.17</w:t>
            </w:r>
          </w:p>
        </w:tc>
      </w:tr>
    </w:tbl>
    <w:p>
      <w:pPr>
        <w:pStyle w:val="BodyText"/>
        <w:spacing w:line="203" w:lineRule="exact"/>
        <w:ind w:left="861" w:right="0"/>
        <w:jc w:val="left"/>
      </w:pPr>
      <w:r>
        <w:rPr/>
        <w:t>其中受限制的货币资金明细如下：</w:t>
      </w:r>
    </w:p>
    <w:p>
      <w:pPr>
        <w:spacing w:line="240" w:lineRule="auto" w:before="1"/>
        <w:rPr>
          <w:rFonts w:ascii="宋体" w:hAnsi="宋体" w:cs="宋体" w:eastAsia="宋体" w:hint="default"/>
          <w:sz w:val="11"/>
          <w:szCs w:val="11"/>
        </w:rPr>
      </w:pPr>
    </w:p>
    <w:tbl>
      <w:tblPr>
        <w:tblW w:w="0" w:type="auto"/>
        <w:jc w:val="left"/>
        <w:tblInd w:w="717" w:type="dxa"/>
        <w:tblLayout w:type="fixed"/>
        <w:tblCellMar>
          <w:top w:w="0" w:type="dxa"/>
          <w:left w:w="0" w:type="dxa"/>
          <w:bottom w:w="0" w:type="dxa"/>
          <w:right w:w="0" w:type="dxa"/>
        </w:tblCellMar>
        <w:tblLook w:val="01E0"/>
      </w:tblPr>
      <w:tblGrid>
        <w:gridCol w:w="3485"/>
        <w:gridCol w:w="2141"/>
        <w:gridCol w:w="2077"/>
      </w:tblGrid>
      <w:tr>
        <w:trPr>
          <w:trHeight w:val="386" w:hRule="exact"/>
        </w:trPr>
        <w:tc>
          <w:tcPr>
            <w:tcW w:w="3485"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70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671"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4" w:hRule="exact"/>
        </w:trPr>
        <w:tc>
          <w:tcPr>
            <w:tcW w:w="3485"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 w:right="0"/>
              <w:jc w:val="left"/>
              <w:rPr>
                <w:rFonts w:ascii="宋体" w:hAnsi="宋体" w:cs="宋体" w:eastAsia="宋体" w:hint="default"/>
                <w:sz w:val="18"/>
                <w:szCs w:val="18"/>
              </w:rPr>
            </w:pPr>
            <w:r>
              <w:rPr>
                <w:rFonts w:ascii="宋体" w:hAnsi="宋体" w:cs="宋体" w:eastAsia="宋体" w:hint="default"/>
                <w:sz w:val="18"/>
                <w:szCs w:val="18"/>
              </w:rPr>
              <w:t>银行保函保证金</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4,370,554.57</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5,238,607.32</w:t>
            </w:r>
          </w:p>
        </w:tc>
      </w:tr>
      <w:tr>
        <w:trPr>
          <w:trHeight w:val="386" w:hRule="exact"/>
        </w:trPr>
        <w:tc>
          <w:tcPr>
            <w:tcW w:w="3485" w:type="dxa"/>
            <w:tcBorders>
              <w:top w:val="single" w:sz="6" w:space="0" w:color="000000"/>
              <w:left w:val="single" w:sz="6" w:space="0" w:color="000000"/>
              <w:bottom w:val="single" w:sz="6" w:space="0" w:color="000000"/>
              <w:right w:val="single" w:sz="6" w:space="0" w:color="000000"/>
            </w:tcBorders>
          </w:tcPr>
          <w:p>
            <w:pPr>
              <w:pStyle w:val="TableParagraph"/>
              <w:tabs>
                <w:tab w:pos="539" w:val="left" w:leader="none"/>
              </w:tabs>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4,370,554.57</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5,238,607.32</w:t>
            </w:r>
          </w:p>
        </w:tc>
      </w:tr>
    </w:tbl>
    <w:p>
      <w:pPr>
        <w:pStyle w:val="BodyText"/>
        <w:spacing w:line="217" w:lineRule="exact"/>
        <w:ind w:left="767" w:right="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日，本公司存放于境外的货币资金为人民币</w:t>
      </w:r>
      <w:r>
        <w:rPr>
          <w:rFonts w:ascii="Times New Roman" w:hAnsi="Times New Roman" w:cs="Times New Roman" w:eastAsia="Times New Roman" w:hint="default"/>
        </w:rPr>
        <w:t>15,262.16</w:t>
      </w:r>
      <w:r>
        <w:rPr/>
        <w:t>元。</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3"/>
        <w:spacing w:line="240" w:lineRule="auto"/>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9"/>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）交易性金融资产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）变现有限制的交易性金融资产</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无</w:t>
      </w:r>
    </w:p>
    <w:p>
      <w:pPr>
        <w:spacing w:after="0" w:line="240" w:lineRule="auto"/>
        <w:jc w:val="left"/>
        <w:sectPr>
          <w:pgSz w:w="11910" w:h="16840"/>
          <w:pgMar w:header="852" w:footer="980" w:top="1340" w:bottom="1160" w:left="980" w:right="720"/>
        </w:sectPr>
      </w:pPr>
    </w:p>
    <w:p>
      <w:pPr>
        <w:pStyle w:val="Heading3"/>
        <w:spacing w:line="240" w:lineRule="auto" w:before="62"/>
        <w:ind w:right="0"/>
        <w:jc w:val="left"/>
        <w:rPr>
          <w:b w:val="0"/>
          <w:bCs w:val="0"/>
        </w:rPr>
      </w:pPr>
      <w:r>
        <w:rPr/>
        <w:t>（</w:t>
      </w:r>
      <w:r>
        <w:rPr>
          <w:rFonts w:ascii="Times New Roman" w:hAnsi="Times New Roman" w:cs="Times New Roman" w:eastAsia="Times New Roman" w:hint="default"/>
        </w:rPr>
        <w:t>3</w:t>
      </w:r>
      <w:r>
        <w:rPr/>
        <w:t>）套期工具及对相关套期交易的说明</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29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324"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2"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457,900.00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18,323,009.00</w:t>
            </w:r>
          </w:p>
        </w:tc>
      </w:tr>
      <w:tr>
        <w:trPr>
          <w:trHeight w:val="324"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1,050,000.00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1,507,900.00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18,323,009.00</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2"/>
        <w:rPr>
          <w:rFonts w:ascii="宋体" w:hAnsi="宋体" w:cs="宋体" w:eastAsia="宋体" w:hint="default"/>
          <w:sz w:val="24"/>
          <w:szCs w:val="24"/>
        </w:rPr>
      </w:pPr>
    </w:p>
    <w:p>
      <w:pPr>
        <w:pStyle w:val="Heading3"/>
        <w:spacing w:line="272" w:lineRule="exact"/>
        <w:ind w:right="0"/>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62"/>
        </w:rPr>
        <w:t> </w:t>
      </w:r>
      <w:r>
        <w:rPr>
          <w:spacing w:val="-62"/>
        </w:rPr>
      </w:r>
      <w:r>
        <w:rPr/>
        <w:t>情况</w:t>
      </w:r>
      <w:r>
        <w:rPr>
          <w:b w:val="0"/>
          <w:bCs w:val="0"/>
        </w:rPr>
      </w:r>
    </w:p>
    <w:p>
      <w:pPr>
        <w:spacing w:line="240" w:lineRule="auto" w:before="1"/>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29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000"/>
        <w:gridCol w:w="929"/>
        <w:gridCol w:w="931"/>
        <w:gridCol w:w="929"/>
        <w:gridCol w:w="929"/>
        <w:gridCol w:w="950"/>
        <w:gridCol w:w="929"/>
        <w:gridCol w:w="1160"/>
        <w:gridCol w:w="1063"/>
      </w:tblGrid>
      <w:tr>
        <w:trPr>
          <w:trHeight w:val="324"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3" w:hRule="exact"/>
        </w:trPr>
        <w:tc>
          <w:tcPr>
            <w:tcW w:w="2000" w:type="dxa"/>
            <w:vMerge/>
            <w:tcBorders>
              <w:left w:val="single" w:sz="4" w:space="0" w:color="000000"/>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2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3"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9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24" w:hRule="exact"/>
        </w:trPr>
        <w:tc>
          <w:tcPr>
            <w:tcW w:w="982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50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93" w:right="0"/>
              <w:jc w:val="left"/>
              <w:rPr>
                <w:rFonts w:ascii="Times New Roman" w:hAnsi="Times New Roman" w:cs="Times New Roman" w:eastAsia="Times New Roman" w:hint="default"/>
                <w:sz w:val="18"/>
                <w:szCs w:val="18"/>
              </w:rPr>
            </w:pPr>
            <w:r>
              <w:rPr>
                <w:rFonts w:ascii="Times New Roman"/>
                <w:sz w:val="18"/>
              </w:rPr>
              <w:t>736,167,11</w:t>
            </w:r>
          </w:p>
          <w:p>
            <w:pPr>
              <w:pStyle w:val="TableParagraph"/>
              <w:spacing w:line="207" w:lineRule="exact"/>
              <w:ind w:left="583" w:right="0"/>
              <w:jc w:val="left"/>
              <w:rPr>
                <w:rFonts w:ascii="Times New Roman" w:hAnsi="Times New Roman" w:cs="Times New Roman" w:eastAsia="Times New Roman" w:hint="default"/>
                <w:sz w:val="18"/>
                <w:szCs w:val="18"/>
              </w:rPr>
            </w:pPr>
            <w:r>
              <w:rPr>
                <w:rFonts w:ascii="Times New Roman"/>
                <w:sz w:val="18"/>
              </w:rPr>
              <w:t>8.32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6"/>
              <w:jc w:val="right"/>
              <w:rPr>
                <w:rFonts w:ascii="Times New Roman" w:hAnsi="Times New Roman" w:cs="Times New Roman" w:eastAsia="Times New Roman" w:hint="default"/>
                <w:sz w:val="18"/>
                <w:szCs w:val="18"/>
              </w:rPr>
            </w:pPr>
            <w:r>
              <w:rPr>
                <w:rFonts w:ascii="Times New Roman"/>
                <w:sz w:val="18"/>
              </w:rPr>
              <w:t>95.04%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57,728,876.</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40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7.84%</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105" w:right="0"/>
              <w:jc w:val="left"/>
              <w:rPr>
                <w:rFonts w:ascii="Times New Roman" w:hAnsi="Times New Roman" w:cs="Times New Roman" w:eastAsia="Times New Roman" w:hint="default"/>
                <w:sz w:val="18"/>
                <w:szCs w:val="18"/>
              </w:rPr>
            </w:pPr>
            <w:r>
              <w:rPr>
                <w:rFonts w:ascii="Times New Roman"/>
                <w:sz w:val="18"/>
              </w:rPr>
              <w:t>620,591,31</w:t>
            </w:r>
          </w:p>
          <w:p>
            <w:pPr>
              <w:pStyle w:val="TableParagraph"/>
              <w:spacing w:line="207" w:lineRule="exact"/>
              <w:ind w:left="602" w:right="0"/>
              <w:jc w:val="left"/>
              <w:rPr>
                <w:rFonts w:ascii="Times New Roman" w:hAnsi="Times New Roman" w:cs="Times New Roman" w:eastAsia="Times New Roman" w:hint="default"/>
                <w:sz w:val="18"/>
                <w:szCs w:val="18"/>
              </w:rPr>
            </w:pPr>
            <w:r>
              <w:rPr>
                <w:rFonts w:ascii="Times New Roman"/>
                <w:sz w:val="18"/>
              </w:rPr>
              <w:t>0.07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77" w:right="0"/>
              <w:jc w:val="left"/>
              <w:rPr>
                <w:rFonts w:ascii="Times New Roman" w:hAnsi="Times New Roman" w:cs="Times New Roman" w:eastAsia="Times New Roman" w:hint="default"/>
                <w:sz w:val="18"/>
                <w:szCs w:val="18"/>
              </w:rPr>
            </w:pPr>
            <w:r>
              <w:rPr>
                <w:rFonts w:ascii="Times New Roman"/>
                <w:sz w:val="18"/>
              </w:rPr>
              <w:t>100%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72" w:right="0"/>
              <w:jc w:val="center"/>
              <w:rPr>
                <w:rFonts w:ascii="Times New Roman" w:hAnsi="Times New Roman" w:cs="Times New Roman" w:eastAsia="Times New Roman" w:hint="default"/>
                <w:sz w:val="18"/>
                <w:szCs w:val="18"/>
              </w:rPr>
            </w:pPr>
            <w:r>
              <w:rPr>
                <w:rFonts w:ascii="Times New Roman"/>
                <w:sz w:val="18"/>
              </w:rPr>
              <w:t>43,701,210.83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66" w:right="0"/>
              <w:jc w:val="left"/>
              <w:rPr>
                <w:rFonts w:ascii="Times New Roman" w:hAnsi="Times New Roman" w:cs="Times New Roman" w:eastAsia="Times New Roman" w:hint="default"/>
                <w:sz w:val="18"/>
                <w:szCs w:val="18"/>
              </w:rPr>
            </w:pPr>
            <w:r>
              <w:rPr>
                <w:rFonts w:ascii="Times New Roman"/>
                <w:sz w:val="18"/>
              </w:rPr>
              <w:t>7.04%</w:t>
            </w:r>
          </w:p>
        </w:tc>
      </w:tr>
      <w:tr>
        <w:trPr>
          <w:trHeight w:val="50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9"/>
              <w:jc w:val="right"/>
              <w:rPr>
                <w:rFonts w:ascii="Times New Roman" w:hAnsi="Times New Roman" w:cs="Times New Roman" w:eastAsia="Times New Roman" w:hint="default"/>
                <w:sz w:val="18"/>
                <w:szCs w:val="18"/>
              </w:rPr>
            </w:pPr>
            <w:r>
              <w:rPr>
                <w:rFonts w:ascii="Times New Roman"/>
                <w:spacing w:val="-1"/>
                <w:sz w:val="18"/>
              </w:rPr>
              <w:t>38,428,147.</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70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4.96%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9"/>
              <w:jc w:val="right"/>
              <w:rPr>
                <w:rFonts w:ascii="Times New Roman" w:hAnsi="Times New Roman" w:cs="Times New Roman" w:eastAsia="Times New Roman" w:hint="default"/>
                <w:sz w:val="18"/>
                <w:szCs w:val="18"/>
              </w:rPr>
            </w:pPr>
            <w:r>
              <w:rPr>
                <w:rFonts w:ascii="Times New Roman"/>
                <w:spacing w:val="-1"/>
                <w:sz w:val="18"/>
              </w:rPr>
              <w:t>2,652,830.7</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6"/>
              <w:jc w:val="right"/>
              <w:rPr>
                <w:rFonts w:ascii="Times New Roman" w:hAnsi="Times New Roman" w:cs="Times New Roman" w:eastAsia="Times New Roman" w:hint="default"/>
                <w:sz w:val="18"/>
                <w:szCs w:val="18"/>
              </w:rPr>
            </w:pPr>
            <w:r>
              <w:rPr>
                <w:rFonts w:ascii="Times New Roman"/>
                <w:sz w:val="18"/>
              </w:rPr>
              <w:t>6.9%</w:t>
            </w:r>
          </w:p>
        </w:tc>
        <w:tc>
          <w:tcPr>
            <w:tcW w:w="950"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40" w:bottom="1160" w:left="980" w:right="840"/>
        </w:sectPr>
      </w:pPr>
    </w:p>
    <w:p>
      <w:pPr>
        <w:spacing w:line="240" w:lineRule="auto" w:before="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8"/>
        <w:gridCol w:w="929"/>
        <w:gridCol w:w="931"/>
        <w:gridCol w:w="929"/>
        <w:gridCol w:w="929"/>
        <w:gridCol w:w="950"/>
        <w:gridCol w:w="929"/>
        <w:gridCol w:w="1160"/>
        <w:gridCol w:w="1063"/>
      </w:tblGrid>
      <w:tr>
        <w:trPr>
          <w:trHeight w:val="504"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6" w:right="0"/>
              <w:jc w:val="left"/>
              <w:rPr>
                <w:rFonts w:ascii="Times New Roman" w:hAnsi="Times New Roman" w:cs="Times New Roman" w:eastAsia="Times New Roman" w:hint="default"/>
                <w:sz w:val="18"/>
                <w:szCs w:val="18"/>
              </w:rPr>
            </w:pPr>
            <w:r>
              <w:rPr>
                <w:rFonts w:ascii="Times New Roman"/>
                <w:sz w:val="18"/>
              </w:rPr>
              <w:t>774,595,26</w:t>
            </w:r>
          </w:p>
          <w:p>
            <w:pPr>
              <w:pStyle w:val="TableParagraph"/>
              <w:spacing w:line="240" w:lineRule="auto"/>
              <w:ind w:left="583" w:right="0"/>
              <w:jc w:val="left"/>
              <w:rPr>
                <w:rFonts w:ascii="Times New Roman" w:hAnsi="Times New Roman" w:cs="Times New Roman" w:eastAsia="Times New Roman" w:hint="default"/>
                <w:sz w:val="18"/>
                <w:szCs w:val="18"/>
              </w:rPr>
            </w:pPr>
            <w:r>
              <w:rPr>
                <w:rFonts w:ascii="Times New Roman"/>
                <w:sz w:val="18"/>
              </w:rPr>
              <w:t>6.02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80" w:right="0"/>
              <w:jc w:val="lef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Times New Roman" w:hAnsi="Times New Roman" w:cs="Times New Roman" w:eastAsia="Times New Roman" w:hint="default"/>
                <w:sz w:val="18"/>
                <w:szCs w:val="18"/>
              </w:rPr>
            </w:pPr>
            <w:r>
              <w:rPr>
                <w:rFonts w:ascii="Times New Roman"/>
                <w:spacing w:val="-1"/>
                <w:sz w:val="18"/>
              </w:rPr>
              <w:t>60,381,707.</w:t>
            </w: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23" w:right="0"/>
              <w:jc w:val="left"/>
              <w:rPr>
                <w:rFonts w:ascii="Times New Roman" w:hAnsi="Times New Roman" w:cs="Times New Roman" w:eastAsia="Times New Roman" w:hint="default"/>
                <w:sz w:val="18"/>
                <w:szCs w:val="18"/>
              </w:rPr>
            </w:pPr>
            <w:r>
              <w:rPr>
                <w:rFonts w:ascii="Times New Roman"/>
                <w:sz w:val="18"/>
              </w:rPr>
              <w:t>7.8%</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Times New Roman" w:hAnsi="Times New Roman" w:cs="Times New Roman" w:eastAsia="Times New Roman" w:hint="default"/>
                <w:sz w:val="18"/>
                <w:szCs w:val="18"/>
              </w:rPr>
            </w:pPr>
            <w:r>
              <w:rPr>
                <w:rFonts w:ascii="Times New Roman"/>
                <w:sz w:val="18"/>
              </w:rPr>
              <w:t>620,591,31</w:t>
            </w:r>
          </w:p>
          <w:p>
            <w:pPr>
              <w:pStyle w:val="TableParagraph"/>
              <w:spacing w:line="240" w:lineRule="auto"/>
              <w:ind w:left="602" w:right="0"/>
              <w:jc w:val="left"/>
              <w:rPr>
                <w:rFonts w:ascii="Times New Roman" w:hAnsi="Times New Roman" w:cs="Times New Roman" w:eastAsia="Times New Roman" w:hint="default"/>
                <w:sz w:val="18"/>
                <w:szCs w:val="18"/>
              </w:rPr>
            </w:pPr>
            <w:r>
              <w:rPr>
                <w:rFonts w:ascii="Times New Roman"/>
                <w:sz w:val="18"/>
              </w:rPr>
              <w:t>0.07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77" w:right="0"/>
              <w:jc w:val="left"/>
              <w:rPr>
                <w:rFonts w:ascii="Times New Roman" w:hAnsi="Times New Roman" w:cs="Times New Roman" w:eastAsia="Times New Roman" w:hint="default"/>
                <w:sz w:val="18"/>
                <w:szCs w:val="18"/>
              </w:rPr>
            </w:pPr>
            <w:r>
              <w:rPr>
                <w:rFonts w:ascii="Times New Roman"/>
                <w:sz w:val="18"/>
              </w:rPr>
              <w:t>100%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72" w:right="0"/>
              <w:jc w:val="center"/>
              <w:rPr>
                <w:rFonts w:ascii="Times New Roman" w:hAnsi="Times New Roman" w:cs="Times New Roman" w:eastAsia="Times New Roman" w:hint="default"/>
                <w:sz w:val="18"/>
                <w:szCs w:val="18"/>
              </w:rPr>
            </w:pPr>
            <w:r>
              <w:rPr>
                <w:rFonts w:ascii="Times New Roman"/>
                <w:sz w:val="18"/>
              </w:rPr>
              <w:t>43,701,210.83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66" w:right="0"/>
              <w:jc w:val="left"/>
              <w:rPr>
                <w:rFonts w:ascii="Times New Roman" w:hAnsi="Times New Roman" w:cs="Times New Roman" w:eastAsia="Times New Roman" w:hint="default"/>
                <w:sz w:val="18"/>
                <w:szCs w:val="18"/>
              </w:rPr>
            </w:pPr>
            <w:r>
              <w:rPr>
                <w:rFonts w:ascii="Times New Roman"/>
                <w:sz w:val="18"/>
              </w:rPr>
              <w:t>7.04%</w:t>
            </w:r>
          </w:p>
        </w:tc>
      </w:tr>
      <w:tr>
        <w:trPr>
          <w:trHeight w:val="504"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86" w:right="0"/>
              <w:jc w:val="left"/>
              <w:rPr>
                <w:rFonts w:ascii="Times New Roman" w:hAnsi="Times New Roman" w:cs="Times New Roman" w:eastAsia="Times New Roman" w:hint="default"/>
                <w:sz w:val="18"/>
                <w:szCs w:val="18"/>
              </w:rPr>
            </w:pPr>
            <w:r>
              <w:rPr>
                <w:rFonts w:ascii="Times New Roman"/>
                <w:sz w:val="18"/>
              </w:rPr>
              <w:t>774,595,26</w:t>
            </w:r>
          </w:p>
          <w:p>
            <w:pPr>
              <w:pStyle w:val="TableParagraph"/>
              <w:spacing w:line="207" w:lineRule="exact"/>
              <w:ind w:left="583" w:right="0"/>
              <w:jc w:val="left"/>
              <w:rPr>
                <w:rFonts w:ascii="Times New Roman" w:hAnsi="Times New Roman" w:cs="Times New Roman" w:eastAsia="Times New Roman" w:hint="default"/>
                <w:sz w:val="18"/>
                <w:szCs w:val="18"/>
              </w:rPr>
            </w:pPr>
            <w:r>
              <w:rPr>
                <w:rFonts w:ascii="Times New Roman"/>
                <w:sz w:val="18"/>
              </w:rPr>
              <w:t>6.02</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60,381,707.</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19</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left="2" w:right="0"/>
              <w:jc w:val="center"/>
              <w:rPr>
                <w:rFonts w:ascii="Times New Roman" w:hAnsi="Times New Roman" w:cs="Times New Roman" w:eastAsia="Times New Roman" w:hint="default"/>
                <w:sz w:val="18"/>
                <w:szCs w:val="18"/>
              </w:rPr>
            </w:pPr>
            <w:r>
              <w:rPr>
                <w:rFonts w:ascii="Times New Roman"/>
                <w:sz w:val="18"/>
              </w:rPr>
              <w:t>--</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105" w:right="0"/>
              <w:jc w:val="left"/>
              <w:rPr>
                <w:rFonts w:ascii="Times New Roman" w:hAnsi="Times New Roman" w:cs="Times New Roman" w:eastAsia="Times New Roman" w:hint="default"/>
                <w:sz w:val="18"/>
                <w:szCs w:val="18"/>
              </w:rPr>
            </w:pPr>
            <w:r>
              <w:rPr>
                <w:rFonts w:ascii="Times New Roman"/>
                <w:sz w:val="18"/>
              </w:rPr>
              <w:t>620,591,31</w:t>
            </w:r>
          </w:p>
          <w:p>
            <w:pPr>
              <w:pStyle w:val="TableParagraph"/>
              <w:spacing w:line="207" w:lineRule="exact"/>
              <w:ind w:left="602" w:right="0"/>
              <w:jc w:val="left"/>
              <w:rPr>
                <w:rFonts w:ascii="Times New Roman" w:hAnsi="Times New Roman" w:cs="Times New Roman" w:eastAsia="Times New Roman" w:hint="default"/>
                <w:sz w:val="18"/>
                <w:szCs w:val="18"/>
              </w:rPr>
            </w:pPr>
            <w:r>
              <w:rPr>
                <w:rFonts w:ascii="Times New Roman"/>
                <w:sz w:val="18"/>
              </w:rPr>
              <w:t>0.07</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left="2" w:right="0"/>
              <w:jc w:val="center"/>
              <w:rPr>
                <w:rFonts w:ascii="Times New Roman" w:hAnsi="Times New Roman" w:cs="Times New Roman" w:eastAsia="Times New Roman" w:hint="default"/>
                <w:sz w:val="18"/>
                <w:szCs w:val="18"/>
              </w:rPr>
            </w:pPr>
            <w:r>
              <w:rPr>
                <w:rFonts w:ascii="Times New Roman"/>
                <w:sz w:val="18"/>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72" w:right="0"/>
              <w:jc w:val="center"/>
              <w:rPr>
                <w:rFonts w:ascii="Times New Roman" w:hAnsi="Times New Roman" w:cs="Times New Roman" w:eastAsia="Times New Roman" w:hint="default"/>
                <w:sz w:val="18"/>
                <w:szCs w:val="18"/>
              </w:rPr>
            </w:pPr>
            <w:r>
              <w:rPr>
                <w:rFonts w:ascii="Times New Roman"/>
                <w:sz w:val="18"/>
              </w:rPr>
              <w:t>43,701,210.83</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03" w:lineRule="exact"/>
        <w:ind w:right="0"/>
        <w:jc w:val="left"/>
      </w:pPr>
      <w:r>
        <w:rPr/>
        <w:t>应收账款种类的说明</w:t>
      </w:r>
    </w:p>
    <w:p>
      <w:pPr>
        <w:pStyle w:val="BodyText"/>
        <w:spacing w:line="240" w:lineRule="auto" w:before="115"/>
        <w:ind w:right="0"/>
        <w:jc w:val="left"/>
      </w:pPr>
      <w:r>
        <w:rPr/>
        <w:t>期末单项金额重大并单项计提坏账准备的应收账款</w:t>
      </w:r>
    </w:p>
    <w:p>
      <w:pPr>
        <w:pStyle w:val="BodyText"/>
        <w:spacing w:line="338" w:lineRule="auto" w:before="115"/>
        <w:ind w:right="6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42"/>
        <w:ind w:left="0" w:right="47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455"/>
        <w:gridCol w:w="1594"/>
        <w:gridCol w:w="923"/>
        <w:gridCol w:w="1740"/>
        <w:gridCol w:w="1454"/>
        <w:gridCol w:w="925"/>
        <w:gridCol w:w="1465"/>
      </w:tblGrid>
      <w:tr>
        <w:trPr>
          <w:trHeight w:val="324" w:hRule="exact"/>
        </w:trPr>
        <w:tc>
          <w:tcPr>
            <w:tcW w:w="1455"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8" w:hRule="exact"/>
        </w:trPr>
        <w:tc>
          <w:tcPr>
            <w:tcW w:w="14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25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455" w:type="dxa"/>
            <w:vMerge/>
            <w:tcBorders>
              <w:left w:val="single" w:sz="4" w:space="0" w:color="000000"/>
              <w:bottom w:val="nil" w:sz="6" w:space="0" w:color="auto"/>
              <w:right w:val="single" w:sz="4" w:space="0" w:color="000000"/>
            </w:tcBorders>
            <w:shd w:val="clear" w:color="auto" w:fill="D2D2D2"/>
          </w:tcPr>
          <w:p>
            <w:pPr/>
          </w:p>
        </w:tc>
        <w:tc>
          <w:tcPr>
            <w:tcW w:w="2517" w:type="dxa"/>
            <w:gridSpan w:val="2"/>
            <w:vMerge/>
            <w:tcBorders>
              <w:left w:val="single" w:sz="4" w:space="0" w:color="000000"/>
              <w:bottom w:val="single" w:sz="4" w:space="0" w:color="000000"/>
              <w:right w:val="single" w:sz="4" w:space="0" w:color="000000"/>
            </w:tcBorders>
            <w:shd w:val="clear" w:color="auto" w:fill="D2D2D2"/>
          </w:tcPr>
          <w:p>
            <w:pPr/>
          </w:p>
        </w:tc>
        <w:tc>
          <w:tcPr>
            <w:tcW w:w="17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79" w:type="dxa"/>
            <w:gridSpan w:val="2"/>
            <w:vMerge/>
            <w:tcBorders>
              <w:left w:val="single" w:sz="4" w:space="0" w:color="000000"/>
              <w:bottom w:val="single" w:sz="4" w:space="0" w:color="000000"/>
              <w:right w:val="single" w:sz="4" w:space="0" w:color="000000"/>
            </w:tcBorders>
            <w:shd w:val="clear" w:color="auto" w:fill="D2D2D2"/>
          </w:tcPr>
          <w:p>
            <w:pPr/>
          </w:p>
        </w:tc>
        <w:tc>
          <w:tcPr>
            <w:tcW w:w="14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56" w:hRule="exact"/>
        </w:trPr>
        <w:tc>
          <w:tcPr>
            <w:tcW w:w="1455" w:type="dxa"/>
            <w:vMerge w:val="restart"/>
            <w:tcBorders>
              <w:top w:val="nil" w:sz="6" w:space="0" w:color="auto"/>
              <w:left w:val="single" w:sz="4" w:space="0" w:color="000000"/>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40" w:type="dxa"/>
            <w:vMerge/>
            <w:tcBorders>
              <w:left w:val="single" w:sz="4" w:space="0" w:color="000000"/>
              <w:bottom w:val="nil" w:sz="6" w:space="0" w:color="auto"/>
              <w:right w:val="single" w:sz="4" w:space="0" w:color="000000"/>
            </w:tcBorders>
            <w:shd w:val="clear" w:color="auto" w:fill="D2D2D2"/>
          </w:tcPr>
          <w:p>
            <w:pPr/>
          </w:p>
        </w:tc>
        <w:tc>
          <w:tcPr>
            <w:tcW w:w="14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5" w:type="dxa"/>
            <w:vMerge/>
            <w:tcBorders>
              <w:left w:val="single" w:sz="4" w:space="0" w:color="000000"/>
              <w:bottom w:val="nil" w:sz="6" w:space="0" w:color="auto"/>
              <w:right w:val="single" w:sz="4" w:space="0" w:color="000000"/>
            </w:tcBorders>
            <w:shd w:val="clear" w:color="auto" w:fill="D2D2D2"/>
          </w:tcPr>
          <w:p>
            <w:pPr/>
          </w:p>
        </w:tc>
      </w:tr>
      <w:tr>
        <w:trPr>
          <w:trHeight w:val="173" w:hRule="exact"/>
        </w:trPr>
        <w:tc>
          <w:tcPr>
            <w:tcW w:w="145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4"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4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4" w:hRule="exact"/>
        </w:trPr>
        <w:tc>
          <w:tcPr>
            <w:tcW w:w="955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311"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1"/>
              <w:jc w:val="center"/>
              <w:rPr>
                <w:rFonts w:ascii="Times New Roman" w:hAnsi="Times New Roman" w:cs="Times New Roman" w:eastAsia="Times New Roman" w:hint="default"/>
                <w:sz w:val="18"/>
                <w:szCs w:val="18"/>
              </w:rPr>
            </w:pPr>
            <w:r>
              <w:rPr>
                <w:rFonts w:ascii="Times New Roman"/>
                <w:sz w:val="18"/>
              </w:rPr>
              <w:t>--</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400" w:right="0"/>
              <w:jc w:val="left"/>
              <w:rPr>
                <w:rFonts w:ascii="Times New Roman" w:hAnsi="Times New Roman" w:cs="Times New Roman" w:eastAsia="Times New Roman" w:hint="default"/>
                <w:sz w:val="18"/>
                <w:szCs w:val="18"/>
              </w:rPr>
            </w:pPr>
            <w:r>
              <w:rPr>
                <w:rFonts w:ascii="Times New Roman"/>
                <w:sz w:val="18"/>
              </w:rPr>
              <w:t>--</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sz w:val="18"/>
              </w:rPr>
              <w:t>--</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5"/>
              <w:jc w:val="center"/>
              <w:rPr>
                <w:rFonts w:ascii="Times New Roman" w:hAnsi="Times New Roman" w:cs="Times New Roman" w:eastAsia="Times New Roman" w:hint="default"/>
                <w:sz w:val="18"/>
                <w:szCs w:val="18"/>
              </w:rPr>
            </w:pPr>
            <w:r>
              <w:rPr>
                <w:rFonts w:ascii="Times New Roman"/>
                <w:sz w:val="18"/>
              </w:rPr>
              <w:t>--</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9" w:right="0"/>
              <w:jc w:val="center"/>
              <w:rPr>
                <w:rFonts w:ascii="Times New Roman" w:hAnsi="Times New Roman" w:cs="Times New Roman" w:eastAsia="Times New Roman" w:hint="default"/>
                <w:sz w:val="18"/>
                <w:szCs w:val="18"/>
              </w:rPr>
            </w:pPr>
            <w:r>
              <w:rPr>
                <w:rFonts w:ascii="Times New Roman"/>
                <w:sz w:val="18"/>
              </w:rPr>
              <w:t>--</w:t>
            </w:r>
          </w:p>
        </w:tc>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6" w:right="0"/>
              <w:jc w:val="center"/>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594" w:type="dxa"/>
            <w:tcBorders>
              <w:top w:val="single" w:sz="9" w:space="0" w:color="D2D2D2"/>
              <w:left w:val="single" w:sz="12" w:space="0" w:color="D2D2D2"/>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652,851,445.12</w:t>
            </w:r>
          </w:p>
        </w:tc>
        <w:tc>
          <w:tcPr>
            <w:tcW w:w="923"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8"/>
              <w:ind w:right="11"/>
              <w:jc w:val="right"/>
              <w:rPr>
                <w:rFonts w:ascii="Times New Roman" w:hAnsi="Times New Roman" w:cs="Times New Roman" w:eastAsia="Times New Roman" w:hint="default"/>
                <w:sz w:val="18"/>
                <w:szCs w:val="18"/>
              </w:rPr>
            </w:pPr>
            <w:r>
              <w:rPr>
                <w:rFonts w:ascii="Times New Roman"/>
                <w:sz w:val="18"/>
              </w:rPr>
              <w:t>88.68%</w:t>
            </w:r>
          </w:p>
        </w:tc>
        <w:tc>
          <w:tcPr>
            <w:tcW w:w="174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8"/>
              <w:ind w:right="28"/>
              <w:jc w:val="right"/>
              <w:rPr>
                <w:rFonts w:ascii="Times New Roman" w:hAnsi="Times New Roman" w:cs="Times New Roman" w:eastAsia="Times New Roman" w:hint="default"/>
                <w:sz w:val="18"/>
                <w:szCs w:val="18"/>
              </w:rPr>
            </w:pPr>
            <w:r>
              <w:rPr>
                <w:rFonts w:ascii="Times New Roman"/>
                <w:spacing w:val="-1"/>
                <w:sz w:val="18"/>
              </w:rPr>
              <w:t>32,642,572.25</w:t>
            </w:r>
          </w:p>
        </w:tc>
        <w:tc>
          <w:tcPr>
            <w:tcW w:w="1454"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541,906,637.14</w:t>
            </w:r>
          </w:p>
        </w:tc>
        <w:tc>
          <w:tcPr>
            <w:tcW w:w="925"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8"/>
              <w:ind w:right="11"/>
              <w:jc w:val="right"/>
              <w:rPr>
                <w:rFonts w:ascii="Times New Roman" w:hAnsi="Times New Roman" w:cs="Times New Roman" w:eastAsia="Times New Roman" w:hint="default"/>
                <w:sz w:val="18"/>
                <w:szCs w:val="18"/>
              </w:rPr>
            </w:pPr>
            <w:r>
              <w:rPr>
                <w:rFonts w:ascii="Times New Roman"/>
                <w:sz w:val="18"/>
              </w:rPr>
              <w:t>87.32%</w:t>
            </w:r>
          </w:p>
        </w:tc>
        <w:tc>
          <w:tcPr>
            <w:tcW w:w="1465"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27,095,331.85</w:t>
            </w:r>
          </w:p>
        </w:tc>
      </w:tr>
      <w:tr>
        <w:trPr>
          <w:trHeight w:val="324"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32,364,292.92</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1"/>
              <w:jc w:val="right"/>
              <w:rPr>
                <w:rFonts w:ascii="Times New Roman" w:hAnsi="Times New Roman" w:cs="Times New Roman" w:eastAsia="Times New Roman" w:hint="default"/>
                <w:sz w:val="18"/>
                <w:szCs w:val="18"/>
              </w:rPr>
            </w:pPr>
            <w:r>
              <w:rPr>
                <w:rFonts w:ascii="Times New Roman"/>
                <w:sz w:val="18"/>
              </w:rPr>
              <w:t>4.4%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8"/>
              <w:jc w:val="right"/>
              <w:rPr>
                <w:rFonts w:ascii="Times New Roman" w:hAnsi="Times New Roman" w:cs="Times New Roman" w:eastAsia="Times New Roman" w:hint="default"/>
                <w:sz w:val="18"/>
                <w:szCs w:val="18"/>
              </w:rPr>
            </w:pPr>
            <w:r>
              <w:rPr>
                <w:rFonts w:ascii="Times New Roman"/>
                <w:spacing w:val="-1"/>
                <w:sz w:val="18"/>
              </w:rPr>
              <w:t>3,236,429.29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58,324,554.73</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
              <w:jc w:val="right"/>
              <w:rPr>
                <w:rFonts w:ascii="Times New Roman" w:hAnsi="Times New Roman" w:cs="Times New Roman" w:eastAsia="Times New Roman" w:hint="default"/>
                <w:sz w:val="18"/>
                <w:szCs w:val="18"/>
              </w:rPr>
            </w:pPr>
            <w:r>
              <w:rPr>
                <w:rFonts w:ascii="Times New Roman"/>
                <w:sz w:val="18"/>
              </w:rPr>
              <w:t>9.4%</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5,832,455.48</w:t>
            </w:r>
          </w:p>
        </w:tc>
      </w:tr>
      <w:tr>
        <w:trPr>
          <w:trHeight w:val="322"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36,922,734.87</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3"/>
              <w:jc w:val="right"/>
              <w:rPr>
                <w:rFonts w:ascii="Times New Roman" w:hAnsi="Times New Roman" w:cs="Times New Roman" w:eastAsia="Times New Roman" w:hint="default"/>
                <w:sz w:val="18"/>
                <w:szCs w:val="18"/>
              </w:rPr>
            </w:pPr>
            <w:r>
              <w:rPr>
                <w:rFonts w:ascii="Times New Roman"/>
                <w:sz w:val="18"/>
              </w:rPr>
              <w:t>5.02%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8"/>
              <w:jc w:val="right"/>
              <w:rPr>
                <w:rFonts w:ascii="Times New Roman" w:hAnsi="Times New Roman" w:cs="Times New Roman" w:eastAsia="Times New Roman" w:hint="default"/>
                <w:sz w:val="18"/>
                <w:szCs w:val="18"/>
              </w:rPr>
            </w:pPr>
            <w:r>
              <w:rPr>
                <w:rFonts w:ascii="Times New Roman"/>
                <w:spacing w:val="-1"/>
                <w:sz w:val="18"/>
              </w:rPr>
              <w:t>11,076,820.46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10,393,539.05</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3"/>
              <w:jc w:val="right"/>
              <w:rPr>
                <w:rFonts w:ascii="Times New Roman" w:hAnsi="Times New Roman" w:cs="Times New Roman" w:eastAsia="Times New Roman" w:hint="default"/>
                <w:sz w:val="18"/>
                <w:szCs w:val="18"/>
              </w:rPr>
            </w:pPr>
            <w:r>
              <w:rPr>
                <w:rFonts w:ascii="Times New Roman"/>
                <w:sz w:val="18"/>
              </w:rPr>
              <w:t>1.67%</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3,118,061.72</w:t>
            </w:r>
          </w:p>
        </w:tc>
      </w:tr>
      <w:tr>
        <w:trPr>
          <w:trHeight w:val="324"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5,047,112.26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z w:val="18"/>
              </w:rPr>
              <w:t>0.69%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8"/>
              <w:jc w:val="right"/>
              <w:rPr>
                <w:rFonts w:ascii="Times New Roman" w:hAnsi="Times New Roman" w:cs="Times New Roman" w:eastAsia="Times New Roman" w:hint="default"/>
                <w:sz w:val="18"/>
                <w:szCs w:val="18"/>
              </w:rPr>
            </w:pPr>
            <w:r>
              <w:rPr>
                <w:rFonts w:ascii="Times New Roman"/>
                <w:spacing w:val="-1"/>
                <w:sz w:val="18"/>
              </w:rPr>
              <w:t>2,523,556.13</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4,546,886.65</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z w:val="18"/>
              </w:rPr>
              <w:t>0.73%</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2,273,443.33</w:t>
            </w:r>
          </w:p>
        </w:tc>
      </w:tr>
      <w:tr>
        <w:trPr>
          <w:trHeight w:val="324"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3,660,174.42</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1"/>
              <w:jc w:val="right"/>
              <w:rPr>
                <w:rFonts w:ascii="Times New Roman" w:hAnsi="Times New Roman" w:cs="Times New Roman" w:eastAsia="Times New Roman" w:hint="default"/>
                <w:sz w:val="18"/>
                <w:szCs w:val="18"/>
              </w:rPr>
            </w:pPr>
            <w:r>
              <w:rPr>
                <w:rFonts w:ascii="Times New Roman"/>
                <w:sz w:val="18"/>
              </w:rPr>
              <w:t>0.5%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8"/>
              <w:jc w:val="right"/>
              <w:rPr>
                <w:rFonts w:ascii="Times New Roman" w:hAnsi="Times New Roman" w:cs="Times New Roman" w:eastAsia="Times New Roman" w:hint="default"/>
                <w:sz w:val="18"/>
                <w:szCs w:val="18"/>
              </w:rPr>
            </w:pPr>
            <w:r>
              <w:rPr>
                <w:rFonts w:ascii="Times New Roman"/>
                <w:spacing w:val="-1"/>
                <w:sz w:val="18"/>
              </w:rPr>
              <w:t>2,928,139.54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188,870.26</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z w:val="18"/>
              </w:rPr>
              <w:t>0.03%</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151,096.21</w:t>
            </w:r>
          </w:p>
        </w:tc>
      </w:tr>
      <w:tr>
        <w:trPr>
          <w:trHeight w:val="324"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5,321,358.73</w:t>
            </w:r>
          </w:p>
        </w:tc>
        <w:tc>
          <w:tcPr>
            <w:tcW w:w="923"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z w:val="18"/>
              </w:rPr>
              <w:t>0.71%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8"/>
              <w:jc w:val="right"/>
              <w:rPr>
                <w:rFonts w:ascii="Times New Roman" w:hAnsi="Times New Roman" w:cs="Times New Roman" w:eastAsia="Times New Roman" w:hint="default"/>
                <w:sz w:val="18"/>
                <w:szCs w:val="18"/>
              </w:rPr>
            </w:pPr>
            <w:r>
              <w:rPr>
                <w:rFonts w:ascii="Times New Roman"/>
                <w:spacing w:val="-1"/>
                <w:sz w:val="18"/>
              </w:rPr>
              <w:t>5,321,358.73</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5,230,822.24</w:t>
            </w:r>
          </w:p>
        </w:tc>
        <w:tc>
          <w:tcPr>
            <w:tcW w:w="925"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z w:val="18"/>
              </w:rPr>
              <w:t>0.85%</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5,230,822.24</w:t>
            </w:r>
          </w:p>
        </w:tc>
      </w:tr>
      <w:tr>
        <w:trPr>
          <w:trHeight w:val="324"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45"/>
              <w:ind w:right="8"/>
              <w:jc w:val="right"/>
              <w:rPr>
                <w:rFonts w:ascii="Times New Roman" w:hAnsi="Times New Roman" w:cs="Times New Roman" w:eastAsia="Times New Roman" w:hint="default"/>
                <w:sz w:val="18"/>
                <w:szCs w:val="18"/>
              </w:rPr>
            </w:pPr>
            <w:r>
              <w:rPr>
                <w:rFonts w:ascii="Times New Roman"/>
                <w:spacing w:val="-1"/>
                <w:sz w:val="18"/>
              </w:rPr>
              <w:t>736,167,118.32</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400" w:right="0"/>
              <w:jc w:val="left"/>
              <w:rPr>
                <w:rFonts w:ascii="Times New Roman" w:hAnsi="Times New Roman" w:cs="Times New Roman" w:eastAsia="Times New Roman" w:hint="default"/>
                <w:sz w:val="18"/>
                <w:szCs w:val="18"/>
              </w:rPr>
            </w:pPr>
            <w:r>
              <w:rPr>
                <w:rFonts w:ascii="Times New Roman"/>
                <w:sz w:val="18"/>
              </w:rPr>
              <w:t>--</w:t>
            </w:r>
          </w:p>
        </w:tc>
        <w:tc>
          <w:tcPr>
            <w:tcW w:w="174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28"/>
              <w:jc w:val="right"/>
              <w:rPr>
                <w:rFonts w:ascii="Times New Roman" w:hAnsi="Times New Roman" w:cs="Times New Roman" w:eastAsia="Times New Roman" w:hint="default"/>
                <w:sz w:val="18"/>
                <w:szCs w:val="18"/>
              </w:rPr>
            </w:pPr>
            <w:r>
              <w:rPr>
                <w:rFonts w:ascii="Times New Roman"/>
                <w:spacing w:val="-1"/>
                <w:sz w:val="18"/>
              </w:rPr>
              <w:t>57,728,876.40</w:t>
            </w:r>
          </w:p>
        </w:tc>
        <w:tc>
          <w:tcPr>
            <w:tcW w:w="1454"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45"/>
              <w:ind w:right="7"/>
              <w:jc w:val="right"/>
              <w:rPr>
                <w:rFonts w:ascii="Times New Roman" w:hAnsi="Times New Roman" w:cs="Times New Roman" w:eastAsia="Times New Roman" w:hint="default"/>
                <w:sz w:val="18"/>
                <w:szCs w:val="18"/>
              </w:rPr>
            </w:pPr>
            <w:r>
              <w:rPr>
                <w:rFonts w:ascii="Times New Roman"/>
                <w:spacing w:val="-1"/>
                <w:sz w:val="18"/>
              </w:rPr>
              <w:t>620,591,310.07</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9" w:right="0"/>
              <w:jc w:val="center"/>
              <w:rPr>
                <w:rFonts w:ascii="Times New Roman" w:hAnsi="Times New Roman" w:cs="Times New Roman" w:eastAsia="Times New Roman" w:hint="default"/>
                <w:sz w:val="18"/>
                <w:szCs w:val="18"/>
              </w:rPr>
            </w:pPr>
            <w:r>
              <w:rPr>
                <w:rFonts w:ascii="Times New Roman"/>
                <w:sz w:val="18"/>
              </w:rPr>
              <w:t>--</w:t>
            </w:r>
          </w:p>
        </w:tc>
        <w:tc>
          <w:tcPr>
            <w:tcW w:w="1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43,701,210.83</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40" w:bottom="1160" w:left="980" w:right="840"/>
        </w:sectPr>
      </w:pPr>
    </w:p>
    <w:p>
      <w:pPr>
        <w:pStyle w:val="BodyText"/>
        <w:spacing w:line="240" w:lineRule="auto" w:before="8"/>
        <w:ind w:right="-20"/>
        <w:jc w:val="left"/>
      </w:pPr>
      <w:r>
        <w:rPr/>
        <w:t>组合中，采用余额百分比法计提坏账准备的应收账款</w:t>
      </w:r>
    </w:p>
    <w:p>
      <w:pPr>
        <w:pStyle w:val="BodyText"/>
        <w:spacing w:line="264" w:lineRule="auto" w:before="35"/>
        <w:ind w:right="3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240" w:lineRule="auto" w:before="2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280" w:bottom="1160" w:left="980" w:right="840"/>
          <w:cols w:num="2" w:equalWidth="0">
            <w:col w:w="4293" w:space="4536"/>
            <w:col w:w="1261"/>
          </w:cols>
        </w:sectPr>
      </w:pP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061"/>
        <w:gridCol w:w="3255"/>
        <w:gridCol w:w="3255"/>
      </w:tblGrid>
      <w:tr>
        <w:trPr>
          <w:trHeight w:val="324"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27,446,221.86</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1,372,311.09</w:t>
            </w:r>
          </w:p>
        </w:tc>
      </w:tr>
      <w:tr>
        <w:trPr>
          <w:trHeight w:val="324"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10,070,290.23</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1,007,029.02</w:t>
            </w:r>
          </w:p>
        </w:tc>
      </w:tr>
      <w:tr>
        <w:trPr>
          <w:trHeight w:val="324"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911,635.61</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273,490.68</w:t>
            </w:r>
          </w:p>
        </w:tc>
      </w:tr>
      <w:tr>
        <w:trPr>
          <w:trHeight w:val="324"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38,428,147.70</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2,652,830.79</w:t>
            </w:r>
          </w:p>
        </w:tc>
      </w:tr>
    </w:tbl>
    <w:p>
      <w:pPr>
        <w:pStyle w:val="BodyText"/>
        <w:spacing w:line="240" w:lineRule="auto" w:before="8"/>
        <w:ind w:right="0"/>
        <w:jc w:val="left"/>
      </w:pPr>
      <w:r>
        <w:rPr/>
        <w:t>期末单项金额虽不重大但单项计提坏账准备的应收账款</w:t>
      </w:r>
    </w:p>
    <w:p>
      <w:pPr>
        <w:pStyle w:val="BodyText"/>
        <w:spacing w:line="240" w:lineRule="auto" w:before="3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无</w:t>
      </w:r>
    </w:p>
    <w:p>
      <w:pPr>
        <w:spacing w:after="0" w:line="240" w:lineRule="auto"/>
        <w:jc w:val="left"/>
        <w:sectPr>
          <w:type w:val="continuous"/>
          <w:pgSz w:w="11910" w:h="16840"/>
          <w:pgMar w:top="1280" w:bottom="1160" w:left="980" w:right="840"/>
        </w:sectPr>
      </w:pPr>
    </w:p>
    <w:p>
      <w:pPr>
        <w:pStyle w:val="Heading3"/>
        <w:spacing w:line="240" w:lineRule="auto" w:before="62"/>
        <w:ind w:right="0"/>
        <w:jc w:val="left"/>
        <w:rPr>
          <w:b w:val="0"/>
          <w:bCs w:val="0"/>
        </w:rPr>
      </w:pPr>
      <w:r>
        <w:rPr/>
        <w:pict>
          <v:shape style="position:absolute;margin-left:433.869995pt;margin-top:270.355621pt;width:101.2pt;height:24.2pt;mso-position-horizontal-relative:page;mso-position-vertical-relative:page;z-index:-945976" type="#_x0000_t202" filled="false" stroked="false">
            <v:textbox inset="0,0,0,0">
              <w:txbxContent>
                <w:p>
                  <w:pPr>
                    <w:pStyle w:val="BodyText"/>
                    <w:spacing w:line="180" w:lineRule="exact"/>
                    <w:ind w:left="0" w:right="0"/>
                    <w:jc w:val="left"/>
                  </w:pPr>
                  <w:r>
                    <w:rPr/>
                    <w:t>；</w:t>
                  </w:r>
                </w:p>
              </w:txbxContent>
            </v:textbox>
            <w10:wrap type="none"/>
          </v:shape>
        </w:pict>
      </w:r>
      <w:r>
        <w:rPr/>
        <w:pict>
          <v:group style="position:absolute;margin-left:439.869995pt;margin-top:270.529968pt;width:95.2pt;height:24pt;mso-position-horizontal-relative:page;mso-position-vertical-relative:page;z-index:-945904" coordorigin="8797,5411" coordsize="1904,480">
            <v:shape style="position:absolute;left:8797;top:5411;width:1904;height:480" coordorigin="8797,5411" coordsize="1904,480" path="m8797,5891l10701,5891,10701,5411,8797,5411,8797,5891xe" filled="true" fillcolor="#ffffff" stroked="false">
              <v:path arrowok="t"/>
              <v:fill type="solid"/>
            </v:shape>
            <w10:wrap type="none"/>
          </v:group>
        </w:pict>
      </w: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51"/>
        <w:jc w:val="right"/>
      </w:pPr>
      <w:r>
        <w:rPr/>
        <w:pict>
          <v:shape style="position:absolute;margin-left:424.869995pt;margin-top:50.991745pt;width:109pt;height:17.350pt;mso-position-horizontal-relative:page;mso-position-vertical-relative:paragraph;z-index:-946000" type="#_x0000_t202" filled="false" stroked="false">
            <v:textbox inset="0,0,0,0">
              <w:txbxContent>
                <w:p>
                  <w:pPr>
                    <w:pStyle w:val="BodyText"/>
                    <w:spacing w:line="240" w:lineRule="auto" w:before="111"/>
                    <w:ind w:left="0" w:right="0"/>
                    <w:jc w:val="left"/>
                  </w:pPr>
                  <w:r>
                    <w:rPr/>
                    <w:t>元。</w:t>
                  </w:r>
                </w:p>
              </w:txbxContent>
            </v:textbox>
            <w10:wrap type="none"/>
          </v:shape>
        </w:pict>
      </w:r>
      <w:r>
        <w:rPr/>
        <w:pict>
          <v:group style="position:absolute;margin-left:439.869995pt;margin-top:50.439747pt;width:95.2pt;height:21.45pt;mso-position-horizontal-relative:page;mso-position-vertical-relative:paragraph;z-index:-945928" coordorigin="8797,1009" coordsize="1904,429">
            <v:group style="position:absolute;left:8808;top:1020;width:2;height:288" coordorigin="8808,1020" coordsize="2,288">
              <v:shape style="position:absolute;left:8808;top:1020;width:2;height:288" coordorigin="8808,1020" coordsize="0,288" path="m8808,1020l8808,1308e" filled="false" stroked="true" strokeweight="1.104pt" strokecolor="#ffffff">
                <v:path arrowok="t"/>
              </v:shape>
            </v:group>
            <v:group style="position:absolute;left:8797;top:1308;width:1904;height:130" coordorigin="8797,1308" coordsize="1904,130">
              <v:shape style="position:absolute;left:8797;top:1308;width:1904;height:130" coordorigin="8797,1308" coordsize="1904,130" path="m8797,1437l10701,1437,10701,1308,8797,1308,8797,1437xe" filled="true" fillcolor="#ffffff" stroked="false">
                <v:path arrowok="t"/>
                <v:fill type="solid"/>
              </v:shape>
            </v:group>
            <v:group style="position:absolute;left:8820;top:1020;width:1858;height:288" coordorigin="8820,1020" coordsize="1858,288">
              <v:shape style="position:absolute;left:8820;top:1020;width:1858;height:288" coordorigin="8820,1020" coordsize="1858,288" path="m8820,1308l10677,1308,10677,1020,8820,1020,8820,1308xe" filled="true" fillcolor="#ffffff" stroked="false">
                <v:path arrowok="t"/>
                <v:fill type="solid"/>
              </v:shape>
            </v:group>
            <w10:wrap type="none"/>
          </v:group>
        </w:pict>
      </w: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53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22"/>
              <w:ind w:right="0"/>
              <w:jc w:val="center"/>
              <w:rPr>
                <w:rFonts w:ascii="Times New Roman" w:hAnsi="Times New Roman" w:cs="Times New Roman" w:eastAsia="Times New Roman" w:hint="default"/>
                <w:sz w:val="18"/>
                <w:szCs w:val="18"/>
              </w:rPr>
            </w:pPr>
            <w:r>
              <w:rPr>
                <w:rFonts w:ascii="Times New Roman"/>
                <w:sz w:val="18"/>
              </w:rPr>
              <w:t>(%)</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81"/>
              <w:jc w:val="left"/>
              <w:rPr>
                <w:rFonts w:ascii="宋体" w:hAnsi="宋体" w:cs="宋体" w:eastAsia="宋体" w:hint="default"/>
                <w:sz w:val="18"/>
                <w:szCs w:val="18"/>
              </w:rPr>
            </w:pPr>
            <w:r>
              <w:rPr>
                <w:rFonts w:ascii="宋体" w:hAnsi="宋体" w:cs="宋体" w:eastAsia="宋体" w:hint="default"/>
                <w:sz w:val="18"/>
                <w:szCs w:val="18"/>
              </w:rPr>
              <w:t>中国移动通信集团广东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主要客户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439,844,752.91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439,618,948.98</w:t>
            </w:r>
          </w:p>
          <w:p>
            <w:pPr>
              <w:pStyle w:val="TableParagraph"/>
              <w:spacing w:line="241"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宋体" w:hAnsi="宋体" w:cs="宋体" w:eastAsia="宋体" w:hint="default"/>
                <w:spacing w:val="-9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56.79%</w:t>
            </w:r>
          </w:p>
        </w:tc>
      </w:tr>
      <w:tr>
        <w:trPr>
          <w:trHeight w:val="125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47"/>
              <w:ind w:left="24" w:right="81"/>
              <w:jc w:val="left"/>
              <w:rPr>
                <w:rFonts w:ascii="宋体" w:hAnsi="宋体" w:cs="宋体" w:eastAsia="宋体" w:hint="default"/>
                <w:sz w:val="18"/>
                <w:szCs w:val="18"/>
              </w:rPr>
            </w:pPr>
            <w:r>
              <w:rPr>
                <w:rFonts w:ascii="宋体" w:hAnsi="宋体" w:cs="宋体" w:eastAsia="宋体" w:hint="default"/>
                <w:sz w:val="18"/>
                <w:szCs w:val="18"/>
              </w:rPr>
              <w:t>中国移动通信集团重庆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20,062,469.11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13,685,986.25</w:t>
            </w:r>
          </w:p>
          <w:p>
            <w:pPr>
              <w:pStyle w:val="TableParagraph"/>
              <w:spacing w:line="234"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1,308,576.16</w:t>
            </w:r>
          </w:p>
          <w:p>
            <w:pPr>
              <w:pStyle w:val="TableParagraph"/>
              <w:spacing w:line="234"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5,019,906.70</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48,000.00</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2.59%</w:t>
            </w:r>
          </w:p>
        </w:tc>
      </w:tr>
      <w:tr>
        <w:trPr>
          <w:trHeight w:val="125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4" w:lineRule="exact" w:before="146"/>
              <w:ind w:left="24" w:right="81"/>
              <w:jc w:val="left"/>
              <w:rPr>
                <w:rFonts w:ascii="宋体" w:hAnsi="宋体" w:cs="宋体" w:eastAsia="宋体" w:hint="default"/>
                <w:sz w:val="18"/>
                <w:szCs w:val="18"/>
              </w:rPr>
            </w:pPr>
            <w:r>
              <w:rPr>
                <w:rFonts w:ascii="宋体" w:hAnsi="宋体" w:cs="宋体" w:eastAsia="宋体" w:hint="default"/>
                <w:sz w:val="18"/>
                <w:szCs w:val="18"/>
              </w:rPr>
              <w:t>中国移动通信集团湖南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19,039,041.31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9,620,016.10</w:t>
            </w:r>
          </w:p>
          <w:p>
            <w:pPr>
              <w:pStyle w:val="TableParagraph"/>
              <w:spacing w:line="234"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1,946,685.60</w:t>
            </w:r>
          </w:p>
          <w:p>
            <w:pPr>
              <w:pStyle w:val="TableParagraph"/>
              <w:spacing w:line="225" w:lineRule="auto" w:before="4"/>
              <w:ind w:left="23" w:right="62"/>
              <w:jc w:val="both"/>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6,744,217.60 </w:t>
            </w:r>
            <w:r>
              <w:rPr>
                <w:rFonts w:ascii="宋体" w:hAnsi="宋体" w:cs="宋体" w:eastAsia="宋体" w:hint="default"/>
                <w:spacing w:val="-19"/>
                <w:sz w:val="18"/>
                <w:szCs w:val="18"/>
              </w:rPr>
              <w:t>元；</w:t>
            </w:r>
            <w:r>
              <w:rPr>
                <w:rFonts w:ascii="Times New Roman" w:hAnsi="Times New Roman" w:cs="Times New Roman" w:eastAsia="Times New Roman" w:hint="default"/>
                <w:spacing w:val="-19"/>
                <w:sz w:val="18"/>
                <w:szCs w:val="18"/>
              </w:rPr>
              <w:t>3-4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1"/>
                <w:sz w:val="18"/>
                <w:szCs w:val="18"/>
              </w:rPr>
              <w:t>442,548.01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285,574.00 </w:t>
            </w:r>
            <w:r>
              <w:rPr>
                <w:rFonts w:ascii="宋体" w:hAnsi="宋体" w:cs="宋体" w:eastAsia="宋体" w:hint="default"/>
                <w:sz w:val="18"/>
                <w:szCs w:val="18"/>
              </w:rPr>
              <w:t>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2.46%</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81"/>
              <w:jc w:val="left"/>
              <w:rPr>
                <w:rFonts w:ascii="宋体" w:hAnsi="宋体" w:cs="宋体" w:eastAsia="宋体" w:hint="default"/>
                <w:sz w:val="18"/>
                <w:szCs w:val="18"/>
              </w:rPr>
            </w:pPr>
            <w:r>
              <w:rPr>
                <w:rFonts w:ascii="宋体" w:hAnsi="宋体" w:cs="宋体" w:eastAsia="宋体" w:hint="default"/>
                <w:sz w:val="18"/>
                <w:szCs w:val="18"/>
              </w:rPr>
              <w:t>北京实利通和科技发展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主要客户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14,426,570.00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w:t>
            </w:r>
          </w:p>
        </w:tc>
      </w:tr>
      <w:tr>
        <w:trPr>
          <w:trHeight w:val="103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4" w:right="81"/>
              <w:jc w:val="left"/>
              <w:rPr>
                <w:rFonts w:ascii="宋体" w:hAnsi="宋体" w:cs="宋体" w:eastAsia="宋体" w:hint="default"/>
                <w:sz w:val="18"/>
                <w:szCs w:val="18"/>
              </w:rPr>
            </w:pPr>
            <w:r>
              <w:rPr>
                <w:rFonts w:ascii="宋体" w:hAnsi="宋体" w:cs="宋体" w:eastAsia="宋体" w:hint="default"/>
                <w:sz w:val="18"/>
                <w:szCs w:val="18"/>
              </w:rPr>
              <w:t>中国移动通信集团辽宁 有限公司</w:t>
            </w:r>
          </w:p>
        </w:tc>
        <w:tc>
          <w:tcPr>
            <w:tcW w:w="1913" w:type="dxa"/>
            <w:tcBorders>
              <w:top w:val="single" w:sz="4" w:space="0" w:color="000000"/>
              <w:left w:val="single" w:sz="4" w:space="0" w:color="000000"/>
              <w:bottom w:val="single" w:sz="6"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主要客户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2"/>
              <w:jc w:val="right"/>
              <w:rPr>
                <w:rFonts w:ascii="Times New Roman" w:hAnsi="Times New Roman" w:cs="Times New Roman" w:eastAsia="Times New Roman" w:hint="default"/>
                <w:sz w:val="18"/>
                <w:szCs w:val="18"/>
              </w:rPr>
            </w:pPr>
            <w:r>
              <w:rPr>
                <w:rFonts w:ascii="Times New Roman"/>
                <w:spacing w:val="-1"/>
                <w:sz w:val="18"/>
              </w:rPr>
              <w:t>11,939,721.07</w:t>
            </w:r>
          </w:p>
        </w:tc>
        <w:tc>
          <w:tcPr>
            <w:tcW w:w="1913" w:type="dxa"/>
            <w:tcBorders>
              <w:top w:val="single" w:sz="4" w:space="0" w:color="000000"/>
              <w:left w:val="single" w:sz="4" w:space="0" w:color="000000"/>
              <w:bottom w:val="single" w:sz="6" w:space="0" w:color="D2D2D2"/>
              <w:right w:val="single" w:sz="4" w:space="0" w:color="000000"/>
            </w:tcBorders>
          </w:tcPr>
          <w:p>
            <w:pPr>
              <w:pStyle w:val="TableParagraph"/>
              <w:spacing w:line="242" w:lineRule="exact"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9,990,993.27</w:t>
            </w:r>
          </w:p>
          <w:p>
            <w:pPr>
              <w:pStyle w:val="TableParagraph"/>
              <w:spacing w:line="234"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1,082,633.40</w:t>
            </w:r>
          </w:p>
          <w:p>
            <w:pPr>
              <w:pStyle w:val="TableParagraph"/>
              <w:spacing w:line="232"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宋体" w:hAnsi="宋体" w:cs="宋体" w:eastAsia="宋体" w:hint="default"/>
                <w:spacing w:val="-9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p>
          <w:p>
            <w:pPr>
              <w:pStyle w:val="TableParagraph"/>
              <w:spacing w:line="24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84,000.40 </w:t>
            </w:r>
            <w:r>
              <w:rPr>
                <w:rFonts w:ascii="宋体" w:hAnsi="宋体" w:cs="宋体" w:eastAsia="宋体" w:hint="default"/>
                <w:sz w:val="18"/>
                <w:szCs w:val="18"/>
              </w:rPr>
              <w:t>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z w:val="18"/>
              </w:rPr>
              <w:t>1.54%</w:t>
            </w:r>
          </w:p>
        </w:tc>
      </w:tr>
      <w:tr>
        <w:trPr>
          <w:trHeight w:val="31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18"/>
                <w:szCs w:val="18"/>
              </w:rPr>
            </w:pPr>
            <w:r>
              <w:rPr>
                <w:rFonts w:ascii="Times New Roman"/>
                <w:spacing w:val="-1"/>
                <w:sz w:val="18"/>
              </w:rPr>
              <w:t>505,312,554.40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0"/>
              <w:ind w:right="18"/>
              <w:jc w:val="right"/>
              <w:rPr>
                <w:rFonts w:ascii="Times New Roman" w:hAnsi="Times New Roman" w:cs="Times New Roman" w:eastAsia="Times New Roman" w:hint="default"/>
                <w:sz w:val="18"/>
                <w:szCs w:val="18"/>
              </w:rPr>
            </w:pPr>
            <w:r>
              <w:rPr>
                <w:rFonts w:ascii="Times New Roman"/>
                <w:sz w:val="18"/>
              </w:rPr>
              <w:t>65.24%</w:t>
            </w:r>
          </w:p>
        </w:tc>
      </w:tr>
    </w:tbl>
    <w:p>
      <w:pPr>
        <w:spacing w:line="240" w:lineRule="auto" w:before="1"/>
        <w:rPr>
          <w:rFonts w:ascii="宋体" w:hAnsi="宋体" w:cs="宋体" w:eastAsia="宋体" w:hint="default"/>
          <w:sz w:val="18"/>
          <w:szCs w:val="18"/>
        </w:rPr>
      </w:pPr>
    </w:p>
    <w:p>
      <w:pPr>
        <w:pStyle w:val="Heading3"/>
        <w:spacing w:line="240" w:lineRule="auto" w:before="36"/>
        <w:ind w:right="0"/>
        <w:jc w:val="left"/>
        <w:rPr>
          <w:b w:val="0"/>
          <w:bCs w:val="0"/>
        </w:rPr>
      </w:pPr>
      <w:r>
        <w:rPr/>
        <w:pict>
          <v:shape style="position:absolute;margin-left:424.869995pt;margin-top:-60.696327pt;width:109pt;height:17.5pt;mso-position-horizontal-relative:page;mso-position-vertical-relative:paragraph;z-index:-945952" type="#_x0000_t202" filled="false" stroked="false">
            <v:textbox inset="0,0,0,0">
              <w:txbxContent>
                <w:p>
                  <w:pPr>
                    <w:pStyle w:val="BodyText"/>
                    <w:spacing w:line="240" w:lineRule="auto" w:before="113"/>
                    <w:ind w:left="0" w:right="0"/>
                    <w:jc w:val="left"/>
                  </w:pPr>
                  <w:r>
                    <w:rPr/>
                    <w:t>元；</w:t>
                  </w:r>
                </w:p>
              </w:txbxContent>
            </v:textbox>
            <w10:wrap type="none"/>
          </v:shape>
        </w:pict>
      </w:r>
      <w:r>
        <w:rPr/>
        <w:pict>
          <v:group style="position:absolute;margin-left:439.869995pt;margin-top:-61.248325pt;width:95.2pt;height:33.1pt;mso-position-horizontal-relative:page;mso-position-vertical-relative:paragraph;z-index:-945880" coordorigin="8797,-1225" coordsize="1904,662">
            <v:group style="position:absolute;left:8808;top:-1214;width:2;height:288" coordorigin="8808,-1214" coordsize="2,288">
              <v:shape style="position:absolute;left:8808;top:-1214;width:2;height:288" coordorigin="8808,-1214" coordsize="0,288" path="m8808,-1214l8808,-926e" filled="false" stroked="true" strokeweight="1.104pt" strokecolor="#ffffff">
                <v:path arrowok="t"/>
              </v:shape>
            </v:group>
            <v:group style="position:absolute;left:8797;top:-926;width:1904;height:363" coordorigin="8797,-926" coordsize="1904,363">
              <v:shape style="position:absolute;left:8797;top:-926;width:1904;height:363" coordorigin="8797,-926" coordsize="1904,363" path="m8797,-564l10701,-564,10701,-926,8797,-926,8797,-564xe" filled="true" fillcolor="#ffffff" stroked="false">
                <v:path arrowok="t"/>
                <v:fill type="solid"/>
              </v:shape>
            </v:group>
            <v:group style="position:absolute;left:8820;top:-1214;width:1858;height:288" coordorigin="8820,-1214" coordsize="1858,288">
              <v:shape style="position:absolute;left:8820;top:-1214;width:1858;height:288" coordorigin="8820,-1214" coordsize="1858,288" path="m8820,-926l10677,-926,10677,-1214,8820,-1214,8820,-926xe" filled="true" fillcolor="#ffffff" stroked="false">
                <v:path arrowok="t"/>
                <v:fill type="solid"/>
              </v:shape>
            </v:group>
            <w10:wrap type="none"/>
          </v:group>
        </w:pict>
      </w:r>
      <w:r>
        <w:rPr/>
        <w:t>（</w:t>
      </w:r>
      <w:r>
        <w:rPr>
          <w:rFonts w:ascii="Times New Roman" w:hAnsi="Times New Roman" w:cs="Times New Roman" w:eastAsia="Times New Roman" w:hint="default"/>
        </w:rPr>
        <w:t>6</w:t>
      </w:r>
      <w:r>
        <w:rPr/>
        <w:t>）应收关联方账款情况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324" w:hRule="exact"/>
        </w:trPr>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1904" w:type="dxa"/>
            <w:vMerge/>
            <w:tcBorders>
              <w:left w:val="single" w:sz="4" w:space="0" w:color="000000"/>
              <w:right w:val="single" w:sz="4" w:space="0" w:color="000000"/>
            </w:tcBorders>
            <w:shd w:val="clear" w:color="auto" w:fill="D2D2D2"/>
          </w:tcPr>
          <w:p>
            <w:pP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904"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24"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324"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1" w:right="0"/>
              <w:jc w:val="center"/>
              <w:rPr>
                <w:rFonts w:ascii="Times New Roman" w:hAnsi="Times New Roman" w:cs="Times New Roman" w:eastAsia="Times New Roman" w:hint="default"/>
                <w:sz w:val="18"/>
                <w:szCs w:val="18"/>
              </w:rPr>
            </w:pPr>
            <w:r>
              <w:rPr>
                <w:rFonts w:ascii="Times New Roman"/>
                <w:sz w:val="18"/>
              </w:rPr>
              <w:t>6,804,827.99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0" w:right="0"/>
              <w:jc w:val="center"/>
              <w:rPr>
                <w:rFonts w:ascii="Times New Roman" w:hAnsi="Times New Roman" w:cs="Times New Roman" w:eastAsia="Times New Roman" w:hint="default"/>
                <w:sz w:val="18"/>
                <w:szCs w:val="18"/>
              </w:rPr>
            </w:pPr>
            <w:r>
              <w:rPr>
                <w:rFonts w:ascii="Times New Roman"/>
                <w:sz w:val="18"/>
              </w:rPr>
              <w:t>1,090,381.27</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16.02%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7" w:right="0"/>
              <w:jc w:val="center"/>
              <w:rPr>
                <w:rFonts w:ascii="Times New Roman" w:hAnsi="Times New Roman" w:cs="Times New Roman" w:eastAsia="Times New Roman" w:hint="default"/>
                <w:sz w:val="18"/>
                <w:szCs w:val="18"/>
              </w:rPr>
            </w:pPr>
            <w:r>
              <w:rPr>
                <w:rFonts w:ascii="Times New Roman"/>
                <w:sz w:val="18"/>
              </w:rPr>
              <w:t>8,556,874.11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1,026,174.39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11.99%</w:t>
            </w:r>
          </w:p>
        </w:tc>
      </w:tr>
      <w:tr>
        <w:trPr>
          <w:trHeight w:val="33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1" w:right="0"/>
              <w:jc w:val="center"/>
              <w:rPr>
                <w:rFonts w:ascii="Times New Roman" w:hAnsi="Times New Roman" w:cs="Times New Roman" w:eastAsia="Times New Roman" w:hint="default"/>
                <w:sz w:val="18"/>
                <w:szCs w:val="18"/>
              </w:rPr>
            </w:pPr>
            <w:r>
              <w:rPr>
                <w:rFonts w:ascii="Times New Roman"/>
                <w:sz w:val="18"/>
              </w:rPr>
              <w:t>6,804,827.99</w:t>
            </w:r>
          </w:p>
        </w:tc>
        <w:tc>
          <w:tcPr>
            <w:tcW w:w="792"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0" w:right="0"/>
              <w:jc w:val="center"/>
              <w:rPr>
                <w:rFonts w:ascii="Times New Roman" w:hAnsi="Times New Roman" w:cs="Times New Roman" w:eastAsia="Times New Roman" w:hint="default"/>
                <w:sz w:val="18"/>
                <w:szCs w:val="18"/>
              </w:rPr>
            </w:pPr>
            <w:r>
              <w:rPr>
                <w:rFonts w:ascii="Times New Roman"/>
                <w:sz w:val="18"/>
              </w:rPr>
              <w:t>1,090,381.27</w:t>
            </w:r>
          </w:p>
        </w:tc>
        <w:tc>
          <w:tcPr>
            <w:tcW w:w="795"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16.02%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7" w:right="0"/>
              <w:jc w:val="center"/>
              <w:rPr>
                <w:rFonts w:ascii="Times New Roman" w:hAnsi="Times New Roman" w:cs="Times New Roman" w:eastAsia="Times New Roman" w:hint="default"/>
                <w:sz w:val="18"/>
                <w:szCs w:val="18"/>
              </w:rPr>
            </w:pPr>
            <w:r>
              <w:rPr>
                <w:rFonts w:ascii="Times New Roman"/>
                <w:sz w:val="18"/>
              </w:rPr>
              <w:t>8,556,874.11</w:t>
            </w:r>
          </w:p>
        </w:tc>
        <w:tc>
          <w:tcPr>
            <w:tcW w:w="926"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1,026,174.39</w:t>
            </w:r>
          </w:p>
        </w:tc>
        <w:tc>
          <w:tcPr>
            <w:tcW w:w="790"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11.99%</w:t>
            </w:r>
          </w:p>
        </w:tc>
      </w:tr>
      <w:tr>
        <w:trPr>
          <w:trHeight w:val="31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2" w:right="0"/>
              <w:jc w:val="center"/>
              <w:rPr>
                <w:rFonts w:ascii="Times New Roman" w:hAnsi="Times New Roman" w:cs="Times New Roman" w:eastAsia="Times New Roman" w:hint="default"/>
                <w:sz w:val="18"/>
                <w:szCs w:val="18"/>
              </w:rPr>
            </w:pPr>
            <w:r>
              <w:rPr>
                <w:rFonts w:ascii="Times New Roman"/>
                <w:sz w:val="18"/>
              </w:rPr>
              <w:t>6,804,827.99</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9"/>
              <w:ind w:left="72" w:right="0"/>
              <w:jc w:val="center"/>
              <w:rPr>
                <w:rFonts w:ascii="Times New Roman" w:hAnsi="Times New Roman" w:cs="Times New Roman" w:eastAsia="Times New Roman" w:hint="default"/>
                <w:sz w:val="18"/>
                <w:szCs w:val="18"/>
              </w:rPr>
            </w:pPr>
            <w:r>
              <w:rPr>
                <w:rFonts w:ascii="Times New Roman"/>
                <w:sz w:val="18"/>
              </w:rPr>
              <w:t>1,090,381.27</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7" w:right="0"/>
              <w:jc w:val="center"/>
              <w:rPr>
                <w:rFonts w:ascii="Times New Roman" w:hAnsi="Times New Roman" w:cs="Times New Roman" w:eastAsia="Times New Roman" w:hint="default"/>
                <w:sz w:val="18"/>
                <w:szCs w:val="18"/>
              </w:rPr>
            </w:pPr>
            <w:r>
              <w:rPr>
                <w:rFonts w:ascii="Times New Roman"/>
                <w:sz w:val="18"/>
              </w:rPr>
              <w:t>8,556,874.11</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1,026,174.39</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480" w:lineRule="auto" w:before="94"/>
        <w:ind w:right="5634"/>
        <w:jc w:val="left"/>
      </w:pPr>
      <w:r>
        <w:rPr/>
        <w:t>其他应收款种类的说明 期末单项金额重大并单项计提坏账准备的其他应收款</w:t>
      </w:r>
    </w:p>
    <w:p>
      <w:pPr>
        <w:pStyle w:val="BodyText"/>
        <w:spacing w:line="453" w:lineRule="auto" w:before="52"/>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7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852" w:footer="980" w:top="1340" w:bottom="1160" w:left="980" w:right="980"/>
        </w:sectPr>
      </w:pPr>
    </w:p>
    <w:p>
      <w:pPr>
        <w:pStyle w:val="BodyText"/>
        <w:spacing w:line="240" w:lineRule="auto" w:before="61"/>
        <w:ind w:left="0" w:right="151"/>
        <w:jc w:val="right"/>
      </w:pPr>
      <w:r>
        <w:rPr/>
        <w:pict>
          <v:shape style="position:absolute;margin-left:424.149994pt;margin-top:706.965637pt;width:109.75pt;height:17.7pt;mso-position-horizontal-relative:page;mso-position-vertical-relative:page;z-index:-945832" type="#_x0000_t202" filled="false" stroked="false">
            <v:textbox inset="0,0,0,0">
              <w:txbxContent>
                <w:p>
                  <w:pPr>
                    <w:pStyle w:val="BodyText"/>
                    <w:spacing w:line="180" w:lineRule="exact"/>
                    <w:ind w:left="0" w:right="0"/>
                    <w:jc w:val="left"/>
                  </w:pPr>
                  <w:r>
                    <w:rPr/>
                    <w:t>元；</w:t>
                  </w:r>
                </w:p>
              </w:txbxContent>
            </v:textbox>
            <w10:wrap type="none"/>
          </v:shape>
        </w:pict>
      </w:r>
      <w:r>
        <w:rPr/>
        <w:pict>
          <v:group style="position:absolute;margin-left:56.400002pt;margin-top:18.121696pt;width:479.05pt;height:205.5pt;mso-position-horizontal-relative:page;mso-position-vertical-relative:paragraph;z-index:-945760" coordorigin="1128,362" coordsize="9581,4110">
            <v:group style="position:absolute;left:1140;top:377;width:1837;height:428" coordorigin="1140,377" coordsize="1837,428">
              <v:shape style="position:absolute;left:1140;top:377;width:1837;height:428" coordorigin="1140,377" coordsize="1837,428" path="m1140,804l2976,804,2976,377,1140,377,1140,804xe" filled="true" fillcolor="#d2d2d2" stroked="false">
                <v:path arrowok="t"/>
                <v:fill type="solid"/>
              </v:shape>
            </v:group>
            <v:group style="position:absolute;left:1151;top:804;width:2;height:315" coordorigin="1151,804" coordsize="2,315">
              <v:shape style="position:absolute;left:1151;top:804;width:2;height:315" coordorigin="1151,804" coordsize="0,315" path="m1151,804l1151,1119e" filled="false" stroked="true" strokeweight="1.08pt" strokecolor="#d2d2d2">
                <v:path arrowok="t"/>
              </v:shape>
            </v:group>
            <v:group style="position:absolute;left:2964;top:804;width:2;height:315" coordorigin="2964,804" coordsize="2,315">
              <v:shape style="position:absolute;left:2964;top:804;width:2;height:315" coordorigin="2964,804" coordsize="0,315" path="m2964,804l2964,1119e" filled="false" stroked="true" strokeweight="1.2pt" strokecolor="#d2d2d2">
                <v:path arrowok="t"/>
              </v:shape>
            </v:group>
            <v:group style="position:absolute;left:1140;top:1119;width:1837;height:425" coordorigin="1140,1119" coordsize="1837,425">
              <v:shape style="position:absolute;left:1140;top:1119;width:1837;height:425" coordorigin="1140,1119" coordsize="1837,425" path="m1140,1544l2976,1544,2976,1119,1140,1119,1140,1544xe" filled="true" fillcolor="#d2d2d2" stroked="false">
                <v:path arrowok="t"/>
                <v:fill type="solid"/>
              </v:shape>
            </v:group>
            <v:group style="position:absolute;left:1162;top:804;width:1791;height:315" coordorigin="1162,804" coordsize="1791,315">
              <v:shape style="position:absolute;left:1162;top:804;width:1791;height:315" coordorigin="1162,804" coordsize="1791,315" path="m1162,1119l2952,1119,2952,804,1162,804,1162,1119xe" filled="true" fillcolor="#d2d2d2" stroked="false">
                <v:path arrowok="t"/>
                <v:fill type="solid"/>
              </v:shape>
            </v:group>
            <v:group style="position:absolute;left:2998;top:377;width:2;height:315" coordorigin="2998,377" coordsize="2,315">
              <v:shape style="position:absolute;left:2998;top:377;width:2;height:315" coordorigin="2998,377" coordsize="0,315" path="m2998,377l2998,692e" filled="false" stroked="true" strokeweight="1.2pt" strokecolor="#d2d2d2">
                <v:path arrowok="t"/>
              </v:shape>
            </v:group>
            <v:group style="position:absolute;left:6913;top:377;width:2;height:315" coordorigin="6913,377" coordsize="2,315">
              <v:shape style="position:absolute;left:6913;top:377;width:2;height:315" coordorigin="6913,377" coordsize="0,315" path="m6913,377l6913,692e" filled="false" stroked="true" strokeweight="1.2pt" strokecolor="#d2d2d2">
                <v:path arrowok="t"/>
              </v:shape>
            </v:group>
            <v:group style="position:absolute;left:3010;top:377;width:3892;height:315" coordorigin="3010,377" coordsize="3892,315">
              <v:shape style="position:absolute;left:3010;top:377;width:3892;height:315" coordorigin="3010,377" coordsize="3892,315" path="m3010,692l6901,692,6901,377,3010,377,3010,692xe" filled="true" fillcolor="#d2d2d2" stroked="false">
                <v:path arrowok="t"/>
                <v:fill type="solid"/>
              </v:shape>
            </v:group>
            <v:group style="position:absolute;left:6946;top:377;width:2;height:315" coordorigin="6946,377" coordsize="2,315">
              <v:shape style="position:absolute;left:6946;top:377;width:2;height:315" coordorigin="6946,377" coordsize="0,315" path="m6946,377l6946,692e" filled="false" stroked="true" strokeweight="1.08pt" strokecolor="#d2d2d2">
                <v:path arrowok="t"/>
              </v:shape>
            </v:group>
            <v:group style="position:absolute;left:10687;top:377;width:2;height:315" coordorigin="10687,377" coordsize="2,315">
              <v:shape style="position:absolute;left:10687;top:377;width:2;height:315" coordorigin="10687,377" coordsize="0,315" path="m10687,377l10687,692e" filled="false" stroked="true" strokeweight="1.2pt" strokecolor="#d2d2d2">
                <v:path arrowok="t"/>
              </v:shape>
            </v:group>
            <v:group style="position:absolute;left:6957;top:377;width:3718;height:315" coordorigin="6957,377" coordsize="3718,315">
              <v:shape style="position:absolute;left:6957;top:377;width:3718;height:315" coordorigin="6957,377" coordsize="3718,315" path="m6957,692l10675,692,10675,377,6957,377,6957,692xe" filled="true" fillcolor="#d2d2d2" stroked="false">
                <v:path arrowok="t"/>
                <v:fill type="solid"/>
              </v:shape>
            </v:group>
            <v:group style="position:absolute;left:1138;top:372;width:1839;height:2" coordorigin="1138,372" coordsize="1839,2">
              <v:shape style="position:absolute;left:1138;top:372;width:1839;height:2" coordorigin="1138,372" coordsize="1839,0" path="m1138,372l2976,372e" filled="false" stroked="true" strokeweight=".48pt" strokecolor="#000000">
                <v:path arrowok="t"/>
              </v:shape>
            </v:group>
            <v:group style="position:absolute;left:2986;top:372;width:3937;height:2" coordorigin="2986,372" coordsize="3937,2">
              <v:shape style="position:absolute;left:2986;top:372;width:3937;height:2" coordorigin="2986,372" coordsize="3937,0" path="m2986,372l6923,372e" filled="false" stroked="true" strokeweight=".48pt" strokecolor="#000000">
                <v:path arrowok="t"/>
              </v:shape>
            </v:group>
            <v:group style="position:absolute;left:6933;top:372;width:3766;height:2" coordorigin="6933,372" coordsize="3766,2">
              <v:shape style="position:absolute;left:6933;top:372;width:3766;height:2" coordorigin="6933,372" coordsize="3766,0" path="m6933,372l10699,372e" filled="false" stroked="true" strokeweight=".48pt" strokecolor="#000000">
                <v:path arrowok="t"/>
              </v:shape>
            </v:group>
            <v:group style="position:absolute;left:2998;top:701;width:2;height:312" coordorigin="2998,701" coordsize="2,312">
              <v:shape style="position:absolute;left:2998;top:701;width:2;height:312" coordorigin="2998,701" coordsize="0,312" path="m2998,701l2998,1013e" filled="false" stroked="true" strokeweight="1.2pt" strokecolor="#d2d2d2">
                <v:path arrowok="t"/>
              </v:shape>
            </v:group>
            <v:group style="position:absolute;left:5465;top:701;width:2;height:312" coordorigin="5465,701" coordsize="2,312">
              <v:shape style="position:absolute;left:5465;top:701;width:2;height:312" coordorigin="5465,701" coordsize="0,312" path="m5465,701l5465,1013e" filled="false" stroked="true" strokeweight="1.08pt" strokecolor="#d2d2d2">
                <v:path arrowok="t"/>
              </v:shape>
            </v:group>
            <v:group style="position:absolute;left:3010;top:701;width:2444;height:312" coordorigin="3010,701" coordsize="2444,312">
              <v:shape style="position:absolute;left:3010;top:701;width:2444;height:312" coordorigin="3010,701" coordsize="2444,312" path="m3010,1013l5454,1013,5454,701,3010,701,3010,1013xe" filled="true" fillcolor="#d2d2d2" stroked="false">
                <v:path arrowok="t"/>
                <v:fill type="solid"/>
              </v:shape>
            </v:group>
            <v:group style="position:absolute;left:5485;top:701;width:1441;height:264" coordorigin="5485,701" coordsize="1441,264">
              <v:shape style="position:absolute;left:5485;top:701;width:1441;height:264" coordorigin="5485,701" coordsize="1441,264" path="m5485,965l6925,965,6925,701,5485,701,5485,965xe" filled="true" fillcolor="#d2d2d2" stroked="false">
                <v:path arrowok="t"/>
                <v:fill type="solid"/>
              </v:shape>
            </v:group>
            <v:group style="position:absolute;left:5497;top:965;width:2;height:315" coordorigin="5497,965" coordsize="2,315">
              <v:shape style="position:absolute;left:5497;top:965;width:2;height:315" coordorigin="5497,965" coordsize="0,315" path="m5497,965l5497,1280e" filled="false" stroked="true" strokeweight="1.2pt" strokecolor="#d2d2d2">
                <v:path arrowok="t"/>
              </v:shape>
            </v:group>
            <v:group style="position:absolute;left:6913;top:965;width:2;height:315" coordorigin="6913,965" coordsize="2,315">
              <v:shape style="position:absolute;left:6913;top:965;width:2;height:315" coordorigin="6913,965" coordsize="0,315" path="m6913,965l6913,1280e" filled="false" stroked="true" strokeweight="1.2pt" strokecolor="#d2d2d2">
                <v:path arrowok="t"/>
              </v:shape>
            </v:group>
            <v:group style="position:absolute;left:5485;top:1280;width:1441;height:264" coordorigin="5485,1280" coordsize="1441,264">
              <v:shape style="position:absolute;left:5485;top:1280;width:1441;height:264" coordorigin="5485,1280" coordsize="1441,264" path="m5485,1544l6925,1544,6925,1280,5485,1280,5485,1544xe" filled="true" fillcolor="#d2d2d2" stroked="false">
                <v:path arrowok="t"/>
                <v:fill type="solid"/>
              </v:shape>
            </v:group>
            <v:group style="position:absolute;left:5509;top:965;width:1393;height:315" coordorigin="5509,965" coordsize="1393,315">
              <v:shape style="position:absolute;left:5509;top:965;width:1393;height:315" coordorigin="5509,965" coordsize="1393,315" path="m5509,1280l6901,1280,6901,965,5509,965,5509,1280xe" filled="true" fillcolor="#d2d2d2" stroked="false">
                <v:path arrowok="t"/>
                <v:fill type="solid"/>
              </v:shape>
            </v:group>
            <v:group style="position:absolute;left:6946;top:701;width:2;height:312" coordorigin="6946,701" coordsize="2,312">
              <v:shape style="position:absolute;left:6946;top:701;width:2;height:312" coordorigin="6946,701" coordsize="0,312" path="m6946,701l6946,1013e" filled="false" stroked="true" strokeweight="1.08pt" strokecolor="#d2d2d2">
                <v:path arrowok="t"/>
              </v:shape>
            </v:group>
            <v:group style="position:absolute;left:9019;top:701;width:2;height:312" coordorigin="9019,701" coordsize="2,312">
              <v:shape style="position:absolute;left:9019;top:701;width:2;height:312" coordorigin="9019,701" coordsize="0,312" path="m9019,701l9019,1013e" filled="false" stroked="true" strokeweight="1.2pt" strokecolor="#d2d2d2">
                <v:path arrowok="t"/>
              </v:shape>
            </v:group>
            <v:group style="position:absolute;left:6957;top:701;width:2050;height:312" coordorigin="6957,701" coordsize="2050,312">
              <v:shape style="position:absolute;left:6957;top:701;width:2050;height:312" coordorigin="6957,701" coordsize="2050,312" path="m6957,1013l9007,1013,9007,701,6957,701,6957,1013xe" filled="true" fillcolor="#d2d2d2" stroked="false">
                <v:path arrowok="t"/>
                <v:fill type="solid"/>
              </v:shape>
            </v:group>
            <v:group style="position:absolute;left:9040;top:701;width:1659;height:264" coordorigin="9040,701" coordsize="1659,264">
              <v:shape style="position:absolute;left:9040;top:701;width:1659;height:264" coordorigin="9040,701" coordsize="1659,264" path="m9040,965l10699,965,10699,701,9040,701,9040,965xe" filled="true" fillcolor="#d2d2d2" stroked="false">
                <v:path arrowok="t"/>
                <v:fill type="solid"/>
              </v:shape>
            </v:group>
            <v:group style="position:absolute;left:9052;top:965;width:2;height:315" coordorigin="9052,965" coordsize="2,315">
              <v:shape style="position:absolute;left:9052;top:965;width:2;height:315" coordorigin="9052,965" coordsize="0,315" path="m9052,965l9052,1280e" filled="false" stroked="true" strokeweight="1.2pt" strokecolor="#d2d2d2">
                <v:path arrowok="t"/>
              </v:shape>
            </v:group>
            <v:group style="position:absolute;left:10687;top:965;width:2;height:315" coordorigin="10687,965" coordsize="2,315">
              <v:shape style="position:absolute;left:10687;top:965;width:2;height:315" coordorigin="10687,965" coordsize="0,315" path="m10687,965l10687,1280e" filled="false" stroked="true" strokeweight="1.2pt" strokecolor="#d2d2d2">
                <v:path arrowok="t"/>
              </v:shape>
            </v:group>
            <v:group style="position:absolute;left:9040;top:1280;width:1659;height:264" coordorigin="9040,1280" coordsize="1659,264">
              <v:shape style="position:absolute;left:9040;top:1280;width:1659;height:264" coordorigin="9040,1280" coordsize="1659,264" path="m9040,1544l10699,1544,10699,1280,9040,1280,9040,1544xe" filled="true" fillcolor="#d2d2d2" stroked="false">
                <v:path arrowok="t"/>
                <v:fill type="solid"/>
              </v:shape>
            </v:group>
            <v:group style="position:absolute;left:9064;top:965;width:1611;height:315" coordorigin="9064,965" coordsize="1611,315">
              <v:shape style="position:absolute;left:9064;top:965;width:1611;height:315" coordorigin="9064,965" coordsize="1611,315" path="m9064,1280l10675,1280,10675,965,9064,965,9064,1280xe" filled="true" fillcolor="#d2d2d2" stroked="false">
                <v:path arrowok="t"/>
                <v:fill type="solid"/>
              </v:shape>
            </v:group>
            <v:group style="position:absolute;left:2986;top:696;width:2490;height:2" coordorigin="2986,696" coordsize="2490,2">
              <v:shape style="position:absolute;left:2986;top:696;width:2490;height:2" coordorigin="2986,696" coordsize="2490,0" path="m2986,696l5475,696e" filled="false" stroked="true" strokeweight=".48pt" strokecolor="#000000">
                <v:path arrowok="t"/>
              </v:shape>
            </v:group>
            <v:group style="position:absolute;left:5485;top:696;width:1439;height:2" coordorigin="5485,696" coordsize="1439,2">
              <v:shape style="position:absolute;left:5485;top:696;width:1439;height:2" coordorigin="5485,696" coordsize="1439,0" path="m5485,696l6923,696e" filled="false" stroked="true" strokeweight=".48pt" strokecolor="#000000">
                <v:path arrowok="t"/>
              </v:shape>
            </v:group>
            <v:group style="position:absolute;left:6933;top:696;width:2098;height:2" coordorigin="6933,696" coordsize="2098,2">
              <v:shape style="position:absolute;left:6933;top:696;width:2098;height:2" coordorigin="6933,696" coordsize="2098,0" path="m6933,696l9031,696e" filled="false" stroked="true" strokeweight=".48pt" strokecolor="#000000">
                <v:path arrowok="t"/>
              </v:shape>
            </v:group>
            <v:group style="position:absolute;left:9040;top:696;width:1659;height:2" coordorigin="9040,696" coordsize="1659,2">
              <v:shape style="position:absolute;left:9040;top:696;width:1659;height:2" coordorigin="9040,696" coordsize="1659,0" path="m9040,696l10699,696e" filled="false" stroked="true" strokeweight=".48pt" strokecolor="#000000">
                <v:path arrowok="t"/>
              </v:shape>
            </v:group>
            <v:group style="position:absolute;left:2986;top:1025;width:1832;height:104" coordorigin="2986,1025" coordsize="1832,104">
              <v:shape style="position:absolute;left:2986;top:1025;width:1832;height:104" coordorigin="2986,1025" coordsize="1832,104" path="m2986,1128l4818,1128,4818,1025,2986,1025,2986,1128xe" filled="true" fillcolor="#d2d2d2" stroked="false">
                <v:path arrowok="t"/>
                <v:fill type="solid"/>
              </v:shape>
            </v:group>
            <v:group style="position:absolute;left:2998;top:1128;width:2;height:312" coordorigin="2998,1128" coordsize="2,312">
              <v:shape style="position:absolute;left:2998;top:1128;width:2;height:312" coordorigin="2998,1128" coordsize="0,312" path="m2998,1128l2998,1440e" filled="false" stroked="true" strokeweight="1.2pt" strokecolor="#d2d2d2">
                <v:path arrowok="t"/>
              </v:shape>
            </v:group>
            <v:group style="position:absolute;left:4806;top:1128;width:2;height:312" coordorigin="4806,1128" coordsize="2,312">
              <v:shape style="position:absolute;left:4806;top:1128;width:2;height:312" coordorigin="4806,1128" coordsize="0,312" path="m4806,1128l4806,1440e" filled="false" stroked="true" strokeweight="1.2pt" strokecolor="#d2d2d2">
                <v:path arrowok="t"/>
              </v:shape>
            </v:group>
            <v:group style="position:absolute;left:2986;top:1440;width:1832;height:104" coordorigin="2986,1440" coordsize="1832,104">
              <v:shape style="position:absolute;left:2986;top:1440;width:1832;height:104" coordorigin="2986,1440" coordsize="1832,104" path="m2986,1544l4818,1544,4818,1440,2986,1440,2986,1544xe" filled="true" fillcolor="#d2d2d2" stroked="false">
                <v:path arrowok="t"/>
                <v:fill type="solid"/>
              </v:shape>
            </v:group>
            <v:group style="position:absolute;left:3010;top:1128;width:1784;height:312" coordorigin="3010,1128" coordsize="1784,312">
              <v:shape style="position:absolute;left:3010;top:1128;width:1784;height:312" coordorigin="3010,1128" coordsize="1784,312" path="m3010,1440l4794,1440,4794,1128,3010,1128,3010,1440xe" filled="true" fillcolor="#d2d2d2" stroked="false">
                <v:path arrowok="t"/>
                <v:fill type="solid"/>
              </v:shape>
            </v:group>
            <v:group style="position:absolute;left:4839;top:1025;width:2;height:519" coordorigin="4839,1025" coordsize="2,519">
              <v:shape style="position:absolute;left:4839;top:1025;width:2;height:519" coordorigin="4839,1025" coordsize="0,519" path="m4839,1025l4839,1544e" filled="false" stroked="true" strokeweight="1.2pt" strokecolor="#d2d2d2">
                <v:path arrowok="t"/>
              </v:shape>
            </v:group>
            <v:group style="position:absolute;left:5465;top:1025;width:2;height:519" coordorigin="5465,1025" coordsize="2,519">
              <v:shape style="position:absolute;left:5465;top:1025;width:2;height:519" coordorigin="5465,1025" coordsize="0,519" path="m5465,1025l5465,1544e" filled="false" stroked="true" strokeweight="1.08pt" strokecolor="#d2d2d2">
                <v:path arrowok="t"/>
              </v:shape>
            </v:group>
            <v:group style="position:absolute;left:4851;top:1025;width:603;height:274" coordorigin="4851,1025" coordsize="603,274">
              <v:shape style="position:absolute;left:4851;top:1025;width:603;height:274" coordorigin="4851,1025" coordsize="603,274" path="m4851,1299l5454,1299,5454,1025,4851,1025,4851,1299xe" filled="true" fillcolor="#d2d2d2" stroked="false">
                <v:path arrowok="t"/>
                <v:fill type="solid"/>
              </v:shape>
            </v:group>
            <v:group style="position:absolute;left:4851;top:1299;width:603;height:245" coordorigin="4851,1299" coordsize="603,245">
              <v:shape style="position:absolute;left:4851;top:1299;width:603;height:245" coordorigin="4851,1299" coordsize="603,245" path="m4851,1544l5454,1544,5454,1299,4851,1299,4851,1544xe" filled="true" fillcolor="#d2d2d2" stroked="false">
                <v:path arrowok="t"/>
                <v:fill type="solid"/>
              </v:shape>
            </v:group>
            <v:group style="position:absolute;left:6935;top:1025;width:1438;height:104" coordorigin="6935,1025" coordsize="1438,104">
              <v:shape style="position:absolute;left:6935;top:1025;width:1438;height:104" coordorigin="6935,1025" coordsize="1438,104" path="m6935,1128l8373,1128,8373,1025,6935,1025,6935,1128xe" filled="true" fillcolor="#d2d2d2" stroked="false">
                <v:path arrowok="t"/>
                <v:fill type="solid"/>
              </v:shape>
            </v:group>
            <v:group style="position:absolute;left:6946;top:1128;width:2;height:312" coordorigin="6946,1128" coordsize="2,312">
              <v:shape style="position:absolute;left:6946;top:1128;width:2;height:312" coordorigin="6946,1128" coordsize="0,312" path="m6946,1128l6946,1440e" filled="false" stroked="true" strokeweight="1.08pt" strokecolor="#d2d2d2">
                <v:path arrowok="t"/>
              </v:shape>
            </v:group>
            <v:group style="position:absolute;left:8362;top:1128;width:2;height:312" coordorigin="8362,1128" coordsize="2,312">
              <v:shape style="position:absolute;left:8362;top:1128;width:2;height:312" coordorigin="8362,1128" coordsize="0,312" path="m8362,1128l8362,1440e" filled="false" stroked="true" strokeweight="1.08pt" strokecolor="#d2d2d2">
                <v:path arrowok="t"/>
              </v:shape>
            </v:group>
            <v:group style="position:absolute;left:6935;top:1440;width:1438;height:104" coordorigin="6935,1440" coordsize="1438,104">
              <v:shape style="position:absolute;left:6935;top:1440;width:1438;height:104" coordorigin="6935,1440" coordsize="1438,104" path="m6935,1544l8373,1544,8373,1440,6935,1440,6935,1544xe" filled="true" fillcolor="#d2d2d2" stroked="false">
                <v:path arrowok="t"/>
                <v:fill type="solid"/>
              </v:shape>
            </v:group>
            <v:group style="position:absolute;left:6957;top:1128;width:1395;height:312" coordorigin="6957,1128" coordsize="1395,312">
              <v:shape style="position:absolute;left:6957;top:1128;width:1395;height:312" coordorigin="6957,1128" coordsize="1395,312" path="m6957,1440l8351,1440,8351,1128,6957,1128,6957,1440xe" filled="true" fillcolor="#d2d2d2" stroked="false">
                <v:path arrowok="t"/>
                <v:fill type="solid"/>
              </v:shape>
            </v:group>
            <v:group style="position:absolute;left:8394;top:1025;width:2;height:519" coordorigin="8394,1025" coordsize="2,519">
              <v:shape style="position:absolute;left:8394;top:1025;width:2;height:519" coordorigin="8394,1025" coordsize="0,519" path="m8394,1025l8394,1544e" filled="false" stroked="true" strokeweight="1.2pt" strokecolor="#d2d2d2">
                <v:path arrowok="t"/>
              </v:shape>
            </v:group>
            <v:group style="position:absolute;left:9019;top:1025;width:2;height:519" coordorigin="9019,1025" coordsize="2,519">
              <v:shape style="position:absolute;left:9019;top:1025;width:2;height:519" coordorigin="9019,1025" coordsize="0,519" path="m9019,1025l9019,1544e" filled="false" stroked="true" strokeweight="1.2pt" strokecolor="#d2d2d2">
                <v:path arrowok="t"/>
              </v:shape>
            </v:group>
            <v:group style="position:absolute;left:8406;top:1025;width:601;height:274" coordorigin="8406,1025" coordsize="601,274">
              <v:shape style="position:absolute;left:8406;top:1025;width:601;height:274" coordorigin="8406,1025" coordsize="601,274" path="m8406,1299l9007,1299,9007,1025,8406,1025,8406,1299xe" filled="true" fillcolor="#d2d2d2" stroked="false">
                <v:path arrowok="t"/>
                <v:fill type="solid"/>
              </v:shape>
            </v:group>
            <v:group style="position:absolute;left:8406;top:1299;width:601;height:245" coordorigin="8406,1299" coordsize="601,245">
              <v:shape style="position:absolute;left:8406;top:1299;width:601;height:245" coordorigin="8406,1299" coordsize="601,245" path="m8406,1544l9007,1544,9007,1299,8406,1299,8406,1544xe" filled="true" fillcolor="#d2d2d2" stroked="false">
                <v:path arrowok="t"/>
                <v:fill type="solid"/>
              </v:shape>
            </v:group>
            <v:group style="position:absolute;left:2986;top:1018;width:1832;height:2" coordorigin="2986,1018" coordsize="1832,2">
              <v:shape style="position:absolute;left:2986;top:1018;width:1832;height:2" coordorigin="2986,1018" coordsize="1832,0" path="m2986,1018l4818,1018e" filled="false" stroked="true" strokeweight=".48pt" strokecolor="#000000">
                <v:path arrowok="t"/>
              </v:shape>
            </v:group>
            <v:group style="position:absolute;left:4827;top:1018;width:648;height:2" coordorigin="4827,1018" coordsize="648,2">
              <v:shape style="position:absolute;left:4827;top:1018;width:648;height:2" coordorigin="4827,1018" coordsize="648,0" path="m4827,1018l5475,1018e" filled="false" stroked="true" strokeweight=".48pt" strokecolor="#000000">
                <v:path arrowok="t"/>
              </v:shape>
            </v:group>
            <v:group style="position:absolute;left:6933;top:1018;width:1440;height:2" coordorigin="6933,1018" coordsize="1440,2">
              <v:shape style="position:absolute;left:6933;top:1018;width:1440;height:2" coordorigin="6933,1018" coordsize="1440,0" path="m6933,1018l8373,1018e" filled="false" stroked="true" strokeweight=".48pt" strokecolor="#000000">
                <v:path arrowok="t"/>
              </v:shape>
            </v:group>
            <v:group style="position:absolute;left:8382;top:1018;width:649;height:2" coordorigin="8382,1018" coordsize="649,2">
              <v:shape style="position:absolute;left:8382;top:1018;width:649;height:2" coordorigin="8382,1018" coordsize="649,0" path="m8382,1018l9031,1018e" filled="false" stroked="true" strokeweight=".48pt" strokecolor="#000000">
                <v:path arrowok="t"/>
              </v:shape>
            </v:group>
            <v:group style="position:absolute;left:2981;top:367;width:2;height:1186" coordorigin="2981,367" coordsize="2,1186">
              <v:shape style="position:absolute;left:2981;top:367;width:2;height:1186" coordorigin="2981,367" coordsize="0,1186" path="m2981,367l2981,1553e" filled="false" stroked="true" strokeweight=".48pt" strokecolor="#000000">
                <v:path arrowok="t"/>
              </v:shape>
            </v:group>
            <v:group style="position:absolute;left:4823;top:1013;width:2;height:540" coordorigin="4823,1013" coordsize="2,540">
              <v:shape style="position:absolute;left:4823;top:1013;width:2;height:540" coordorigin="4823,1013" coordsize="0,540" path="m4823,1013l4823,1553e" filled="false" stroked="true" strokeweight=".48pt" strokecolor="#000000">
                <v:path arrowok="t"/>
              </v:shape>
            </v:group>
            <v:group style="position:absolute;left:5480;top:692;width:2;height:862" coordorigin="5480,692" coordsize="2,862">
              <v:shape style="position:absolute;left:5480;top:692;width:2;height:862" coordorigin="5480,692" coordsize="0,862" path="m5480,692l5480,1553e" filled="false" stroked="true" strokeweight=".48pt" strokecolor="#000000">
                <v:path arrowok="t"/>
              </v:shape>
            </v:group>
            <v:group style="position:absolute;left:6928;top:367;width:2;height:1186" coordorigin="6928,367" coordsize="2,1186">
              <v:shape style="position:absolute;left:6928;top:367;width:2;height:1186" coordorigin="6928,367" coordsize="0,1186" path="m6928,367l6928,1553e" filled="false" stroked="true" strokeweight=".48pt" strokecolor="#000000">
                <v:path arrowok="t"/>
              </v:shape>
            </v:group>
            <v:group style="position:absolute;left:8377;top:1013;width:2;height:540" coordorigin="8377,1013" coordsize="2,540">
              <v:shape style="position:absolute;left:8377;top:1013;width:2;height:540" coordorigin="8377,1013" coordsize="0,540" path="m8377,1013l8377,1553e" filled="false" stroked="true" strokeweight=".48pt" strokecolor="#000000">
                <v:path arrowok="t"/>
              </v:shape>
            </v:group>
            <v:group style="position:absolute;left:9036;top:692;width:2;height:862" coordorigin="9036,692" coordsize="2,862">
              <v:shape style="position:absolute;left:9036;top:692;width:2;height:862" coordorigin="9036,692" coordsize="0,862" path="m9036,692l9036,1553e" filled="false" stroked="true" strokeweight=".48pt" strokecolor="#000000">
                <v:path arrowok="t"/>
              </v:shape>
            </v:group>
            <v:group style="position:absolute;left:1151;top:1556;width:2;height:312" coordorigin="1151,1556" coordsize="2,312">
              <v:shape style="position:absolute;left:1151;top:1556;width:2;height:312" coordorigin="1151,1556" coordsize="0,312" path="m1151,1556l1151,1868e" filled="false" stroked="true" strokeweight="1.08pt" strokecolor="#d2d2d2">
                <v:path arrowok="t"/>
              </v:shape>
            </v:group>
            <v:group style="position:absolute;left:10687;top:1556;width:2;height:312" coordorigin="10687,1556" coordsize="2,312">
              <v:shape style="position:absolute;left:10687;top:1556;width:2;height:312" coordorigin="10687,1556" coordsize="0,312" path="m10687,1556l10687,1868e" filled="false" stroked="true" strokeweight="1.2pt" strokecolor="#d2d2d2">
                <v:path arrowok="t"/>
              </v:shape>
            </v:group>
            <v:group style="position:absolute;left:1162;top:1556;width:9514;height:312" coordorigin="1162,1556" coordsize="9514,312">
              <v:shape style="position:absolute;left:1162;top:1556;width:9514;height:312" coordorigin="1162,1556" coordsize="9514,312" path="m1162,1868l10675,1868,10675,1556,1162,1556,1162,1868xe" filled="true" fillcolor="#d2d2d2" stroked="false">
                <v:path arrowok="t"/>
                <v:fill type="solid"/>
              </v:shape>
            </v:group>
            <v:group style="position:absolute;left:1138;top:1548;width:1839;height:2" coordorigin="1138,1548" coordsize="1839,2">
              <v:shape style="position:absolute;left:1138;top:1548;width:1839;height:2" coordorigin="1138,1548" coordsize="1839,0" path="m1138,1548l2976,1548e" filled="false" stroked="true" strokeweight=".48pt" strokecolor="#000000">
                <v:path arrowok="t"/>
              </v:shape>
            </v:group>
            <v:group style="position:absolute;left:2986;top:1548;width:1832;height:2" coordorigin="2986,1548" coordsize="1832,2">
              <v:shape style="position:absolute;left:2986;top:1548;width:1832;height:2" coordorigin="2986,1548" coordsize="1832,0" path="m2986,1548l4818,1548e" filled="false" stroked="true" strokeweight=".48pt" strokecolor="#000000">
                <v:path arrowok="t"/>
              </v:shape>
            </v:group>
            <v:group style="position:absolute;left:4827;top:1548;width:648;height:2" coordorigin="4827,1548" coordsize="648,2">
              <v:shape style="position:absolute;left:4827;top:1548;width:648;height:2" coordorigin="4827,1548" coordsize="648,0" path="m4827,1548l5475,1548e" filled="false" stroked="true" strokeweight=".48pt" strokecolor="#000000">
                <v:path arrowok="t"/>
              </v:shape>
            </v:group>
            <v:group style="position:absolute;left:5485;top:1548;width:1439;height:2" coordorigin="5485,1548" coordsize="1439,2">
              <v:shape style="position:absolute;left:5485;top:1548;width:1439;height:2" coordorigin="5485,1548" coordsize="1439,0" path="m5485,1548l6923,1548e" filled="false" stroked="true" strokeweight=".48pt" strokecolor="#000000">
                <v:path arrowok="t"/>
              </v:shape>
            </v:group>
            <v:group style="position:absolute;left:6933;top:1548;width:1440;height:2" coordorigin="6933,1548" coordsize="1440,2">
              <v:shape style="position:absolute;left:6933;top:1548;width:1440;height:2" coordorigin="6933,1548" coordsize="1440,0" path="m6933,1548l8373,1548e" filled="false" stroked="true" strokeweight=".48pt" strokecolor="#000000">
                <v:path arrowok="t"/>
              </v:shape>
            </v:group>
            <v:group style="position:absolute;left:8382;top:1548;width:649;height:2" coordorigin="8382,1548" coordsize="649,2">
              <v:shape style="position:absolute;left:8382;top:1548;width:649;height:2" coordorigin="8382,1548" coordsize="649,0" path="m8382,1548l9031,1548e" filled="false" stroked="true" strokeweight=".48pt" strokecolor="#000000">
                <v:path arrowok="t"/>
              </v:shape>
            </v:group>
            <v:group style="position:absolute;left:9040;top:1548;width:1659;height:2" coordorigin="9040,1548" coordsize="1659,2">
              <v:shape style="position:absolute;left:9040;top:1548;width:1659;height:2" coordorigin="9040,1548" coordsize="1659,0" path="m9040,1548l10699,1548e" filled="false" stroked="true" strokeweight=".48pt" strokecolor="#000000">
                <v:path arrowok="t"/>
              </v:shape>
            </v:group>
            <v:group style="position:absolute;left:1151;top:1877;width:2;height:315" coordorigin="1151,1877" coordsize="2,315">
              <v:shape style="position:absolute;left:1151;top:1877;width:2;height:315" coordorigin="1151,1877" coordsize="0,315" path="m1151,1877l1151,2192e" filled="false" stroked="true" strokeweight="1.08pt" strokecolor="#d2d2d2">
                <v:path arrowok="t"/>
              </v:shape>
            </v:group>
            <v:group style="position:absolute;left:2964;top:1877;width:2;height:315" coordorigin="2964,1877" coordsize="2,315">
              <v:shape style="position:absolute;left:2964;top:1877;width:2;height:315" coordorigin="2964,1877" coordsize="0,315" path="m2964,1877l2964,2192e" filled="false" stroked="true" strokeweight="1.2pt" strokecolor="#d2d2d2">
                <v:path arrowok="t"/>
              </v:shape>
            </v:group>
            <v:group style="position:absolute;left:1162;top:1877;width:1791;height:315" coordorigin="1162,1877" coordsize="1791,315">
              <v:shape style="position:absolute;left:1162;top:1877;width:1791;height:315" coordorigin="1162,1877" coordsize="1791,315" path="m1162,2192l2952,2192,2952,1877,1162,1877,1162,2192xe" filled="true" fillcolor="#d2d2d2" stroked="false">
                <v:path arrowok="t"/>
                <v:fill type="solid"/>
              </v:shape>
            </v:group>
            <v:group style="position:absolute;left:2986;top:1884;width:1832;height:2" coordorigin="2986,1884" coordsize="1832,2">
              <v:shape style="position:absolute;left:2986;top:1884;width:1832;height:2" coordorigin="2986,1884" coordsize="1832,0" path="m2986,1884l4818,1884e" filled="false" stroked="true" strokeweight=".72pt" strokecolor="#d2d2d2">
                <v:path arrowok="t"/>
              </v:shape>
            </v:group>
            <v:group style="position:absolute;left:2998;top:1892;width:2;height:286" coordorigin="2998,1892" coordsize="2,286">
              <v:shape style="position:absolute;left:2998;top:1892;width:2;height:286" coordorigin="2998,1892" coordsize="0,286" path="m2998,1892l2998,2177e" filled="false" stroked="true" strokeweight="1.2pt" strokecolor="#d2d2d2">
                <v:path arrowok="t"/>
              </v:shape>
            </v:group>
            <v:group style="position:absolute;left:4806;top:1892;width:2;height:286" coordorigin="4806,1892" coordsize="2,286">
              <v:shape style="position:absolute;left:4806;top:1892;width:2;height:286" coordorigin="4806,1892" coordsize="0,286" path="m4806,1892l4806,2177e" filled="false" stroked="true" strokeweight="1.2pt" strokecolor="#d2d2d2">
                <v:path arrowok="t"/>
              </v:shape>
            </v:group>
            <v:group style="position:absolute;left:2986;top:2184;width:1832;height:2" coordorigin="2986,2184" coordsize="1832,2">
              <v:shape style="position:absolute;left:2986;top:2184;width:1832;height:2" coordorigin="2986,2184" coordsize="1832,0" path="m2986,2184l4818,2184e" filled="false" stroked="true" strokeweight=".72pt" strokecolor="#d2d2d2">
                <v:path arrowok="t"/>
              </v:shape>
            </v:group>
            <v:group style="position:absolute;left:3010;top:1892;width:1784;height:286" coordorigin="3010,1892" coordsize="1784,286">
              <v:shape style="position:absolute;left:3010;top:1892;width:1784;height:286" coordorigin="3010,1892" coordsize="1784,286" path="m3010,2177l4794,2177,4794,1892,3010,1892,3010,2177xe" filled="true" fillcolor="#d2d2d2" stroked="false">
                <v:path arrowok="t"/>
                <v:fill type="solid"/>
              </v:shape>
            </v:group>
            <v:group style="position:absolute;left:4827;top:1884;width:648;height:2" coordorigin="4827,1884" coordsize="648,2">
              <v:shape style="position:absolute;left:4827;top:1884;width:648;height:2" coordorigin="4827,1884" coordsize="648,0" path="m4827,1884l5475,1884e" filled="false" stroked="true" strokeweight=".72pt" strokecolor="#d2d2d2">
                <v:path arrowok="t"/>
              </v:shape>
            </v:group>
            <v:group style="position:absolute;left:4839;top:1892;width:2;height:286" coordorigin="4839,1892" coordsize="2,286">
              <v:shape style="position:absolute;left:4839;top:1892;width:2;height:286" coordorigin="4839,1892" coordsize="0,286" path="m4839,1892l4839,2177e" filled="false" stroked="true" strokeweight="1.2pt" strokecolor="#d2d2d2">
                <v:path arrowok="t"/>
              </v:shape>
            </v:group>
            <v:group style="position:absolute;left:5465;top:1892;width:2;height:286" coordorigin="5465,1892" coordsize="2,286">
              <v:shape style="position:absolute;left:5465;top:1892;width:2;height:286" coordorigin="5465,1892" coordsize="0,286" path="m5465,1892l5465,2177e" filled="false" stroked="true" strokeweight="1.08pt" strokecolor="#d2d2d2">
                <v:path arrowok="t"/>
              </v:shape>
            </v:group>
            <v:group style="position:absolute;left:4827;top:2184;width:648;height:2" coordorigin="4827,2184" coordsize="648,2">
              <v:shape style="position:absolute;left:4827;top:2184;width:648;height:2" coordorigin="4827,2184" coordsize="648,0" path="m4827,2184l5475,2184e" filled="false" stroked="true" strokeweight=".72pt" strokecolor="#d2d2d2">
                <v:path arrowok="t"/>
              </v:shape>
            </v:group>
            <v:group style="position:absolute;left:4851;top:1892;width:603;height:286" coordorigin="4851,1892" coordsize="603,286">
              <v:shape style="position:absolute;left:4851;top:1892;width:603;height:286" coordorigin="4851,1892" coordsize="603,286" path="m4851,2177l5454,2177,5454,1892,4851,1892,4851,2177xe" filled="true" fillcolor="#d2d2d2" stroked="false">
                <v:path arrowok="t"/>
                <v:fill type="solid"/>
              </v:shape>
            </v:group>
            <v:group style="position:absolute;left:5485;top:1884;width:1441;height:2" coordorigin="5485,1884" coordsize="1441,2">
              <v:shape style="position:absolute;left:5485;top:1884;width:1441;height:2" coordorigin="5485,1884" coordsize="1441,0" path="m5485,1884l6925,1884e" filled="false" stroked="true" strokeweight=".72pt" strokecolor="#d2d2d2">
                <v:path arrowok="t"/>
              </v:shape>
            </v:group>
            <v:group style="position:absolute;left:5497;top:1892;width:2;height:286" coordorigin="5497,1892" coordsize="2,286">
              <v:shape style="position:absolute;left:5497;top:1892;width:2;height:286" coordorigin="5497,1892" coordsize="0,286" path="m5497,1892l5497,2177e" filled="false" stroked="true" strokeweight="1.2pt" strokecolor="#d2d2d2">
                <v:path arrowok="t"/>
              </v:shape>
            </v:group>
            <v:group style="position:absolute;left:6913;top:1892;width:2;height:286" coordorigin="6913,1892" coordsize="2,286">
              <v:shape style="position:absolute;left:6913;top:1892;width:2;height:286" coordorigin="6913,1892" coordsize="0,286" path="m6913,1892l6913,2177e" filled="false" stroked="true" strokeweight="1.2pt" strokecolor="#d2d2d2">
                <v:path arrowok="t"/>
              </v:shape>
            </v:group>
            <v:group style="position:absolute;left:5485;top:2184;width:1441;height:2" coordorigin="5485,2184" coordsize="1441,2">
              <v:shape style="position:absolute;left:5485;top:2184;width:1441;height:2" coordorigin="5485,2184" coordsize="1441,0" path="m5485,2184l6925,2184e" filled="false" stroked="true" strokeweight=".72pt" strokecolor="#d2d2d2">
                <v:path arrowok="t"/>
              </v:shape>
            </v:group>
            <v:group style="position:absolute;left:5509;top:1892;width:1393;height:286" coordorigin="5509,1892" coordsize="1393,286">
              <v:shape style="position:absolute;left:5509;top:1892;width:1393;height:286" coordorigin="5509,1892" coordsize="1393,286" path="m5509,2177l6901,2177,6901,1892,5509,1892,5509,2177xe" filled="true" fillcolor="#d2d2d2" stroked="false">
                <v:path arrowok="t"/>
                <v:fill type="solid"/>
              </v:shape>
            </v:group>
            <v:group style="position:absolute;left:6935;top:1884;width:1438;height:2" coordorigin="6935,1884" coordsize="1438,2">
              <v:shape style="position:absolute;left:6935;top:1884;width:1438;height:2" coordorigin="6935,1884" coordsize="1438,0" path="m6935,1884l8373,1884e" filled="false" stroked="true" strokeweight=".72pt" strokecolor="#d2d2d2">
                <v:path arrowok="t"/>
              </v:shape>
            </v:group>
            <v:group style="position:absolute;left:6946;top:1892;width:2;height:286" coordorigin="6946,1892" coordsize="2,286">
              <v:shape style="position:absolute;left:6946;top:1892;width:2;height:286" coordorigin="6946,1892" coordsize="0,286" path="m6946,1892l6946,2177e" filled="false" stroked="true" strokeweight="1.08pt" strokecolor="#d2d2d2">
                <v:path arrowok="t"/>
              </v:shape>
            </v:group>
            <v:group style="position:absolute;left:8362;top:1892;width:2;height:286" coordorigin="8362,1892" coordsize="2,286">
              <v:shape style="position:absolute;left:8362;top:1892;width:2;height:286" coordorigin="8362,1892" coordsize="0,286" path="m8362,1892l8362,2177e" filled="false" stroked="true" strokeweight="1.08pt" strokecolor="#d2d2d2">
                <v:path arrowok="t"/>
              </v:shape>
            </v:group>
            <v:group style="position:absolute;left:6935;top:2184;width:1438;height:2" coordorigin="6935,2184" coordsize="1438,2">
              <v:shape style="position:absolute;left:6935;top:2184;width:1438;height:2" coordorigin="6935,2184" coordsize="1438,0" path="m6935,2184l8373,2184e" filled="false" stroked="true" strokeweight=".72pt" strokecolor="#d2d2d2">
                <v:path arrowok="t"/>
              </v:shape>
            </v:group>
            <v:group style="position:absolute;left:6957;top:1892;width:1395;height:286" coordorigin="6957,1892" coordsize="1395,286">
              <v:shape style="position:absolute;left:6957;top:1892;width:1395;height:286" coordorigin="6957,1892" coordsize="1395,286" path="m6957,2177l8351,2177,8351,1892,6957,1892,6957,2177xe" filled="true" fillcolor="#d2d2d2" stroked="false">
                <v:path arrowok="t"/>
                <v:fill type="solid"/>
              </v:shape>
            </v:group>
            <v:group style="position:absolute;left:8382;top:1884;width:649;height:2" coordorigin="8382,1884" coordsize="649,2">
              <v:shape style="position:absolute;left:8382;top:1884;width:649;height:2" coordorigin="8382,1884" coordsize="649,0" path="m8382,1884l9031,1884e" filled="false" stroked="true" strokeweight=".72pt" strokecolor="#d2d2d2">
                <v:path arrowok="t"/>
              </v:shape>
            </v:group>
            <v:group style="position:absolute;left:8394;top:1892;width:2;height:286" coordorigin="8394,1892" coordsize="2,286">
              <v:shape style="position:absolute;left:8394;top:1892;width:2;height:286" coordorigin="8394,1892" coordsize="0,286" path="m8394,1892l8394,2177e" filled="false" stroked="true" strokeweight="1.2pt" strokecolor="#d2d2d2">
                <v:path arrowok="t"/>
              </v:shape>
            </v:group>
            <v:group style="position:absolute;left:9019;top:1892;width:2;height:286" coordorigin="9019,1892" coordsize="2,286">
              <v:shape style="position:absolute;left:9019;top:1892;width:2;height:286" coordorigin="9019,1892" coordsize="0,286" path="m9019,1892l9019,2177e" filled="false" stroked="true" strokeweight="1.2pt" strokecolor="#d2d2d2">
                <v:path arrowok="t"/>
              </v:shape>
            </v:group>
            <v:group style="position:absolute;left:8382;top:2184;width:649;height:2" coordorigin="8382,2184" coordsize="649,2">
              <v:shape style="position:absolute;left:8382;top:2184;width:649;height:2" coordorigin="8382,2184" coordsize="649,0" path="m8382,2184l9031,2184e" filled="false" stroked="true" strokeweight=".72pt" strokecolor="#d2d2d2">
                <v:path arrowok="t"/>
              </v:shape>
            </v:group>
            <v:group style="position:absolute;left:8406;top:1892;width:601;height:286" coordorigin="8406,1892" coordsize="601,286">
              <v:shape style="position:absolute;left:8406;top:1892;width:601;height:286" coordorigin="8406,1892" coordsize="601,286" path="m8406,2177l9007,2177,9007,1892,8406,1892,8406,2177xe" filled="true" fillcolor="#d2d2d2" stroked="false">
                <v:path arrowok="t"/>
                <v:fill type="solid"/>
              </v:shape>
            </v:group>
            <v:group style="position:absolute;left:9040;top:1884;width:1659;height:2" coordorigin="9040,1884" coordsize="1659,2">
              <v:shape style="position:absolute;left:9040;top:1884;width:1659;height:2" coordorigin="9040,1884" coordsize="1659,0" path="m9040,1884l10699,1884e" filled="false" stroked="true" strokeweight=".72pt" strokecolor="#d2d2d2">
                <v:path arrowok="t"/>
              </v:shape>
            </v:group>
            <v:group style="position:absolute;left:9052;top:1892;width:2;height:286" coordorigin="9052,1892" coordsize="2,286">
              <v:shape style="position:absolute;left:9052;top:1892;width:2;height:286" coordorigin="9052,1892" coordsize="0,286" path="m9052,1892l9052,2177e" filled="false" stroked="true" strokeweight="1.2pt" strokecolor="#d2d2d2">
                <v:path arrowok="t"/>
              </v:shape>
            </v:group>
            <v:group style="position:absolute;left:10687;top:1892;width:2;height:286" coordorigin="10687,1892" coordsize="2,286">
              <v:shape style="position:absolute;left:10687;top:1892;width:2;height:286" coordorigin="10687,1892" coordsize="0,286" path="m10687,1892l10687,2177e" filled="false" stroked="true" strokeweight="1.2pt" strokecolor="#d2d2d2">
                <v:path arrowok="t"/>
              </v:shape>
            </v:group>
            <v:group style="position:absolute;left:9040;top:2184;width:1659;height:2" coordorigin="9040,2184" coordsize="1659,2">
              <v:shape style="position:absolute;left:9040;top:2184;width:1659;height:2" coordorigin="9040,2184" coordsize="1659,0" path="m9040,2184l10699,2184e" filled="false" stroked="true" strokeweight=".72pt" strokecolor="#d2d2d2">
                <v:path arrowok="t"/>
              </v:shape>
            </v:group>
            <v:group style="position:absolute;left:9064;top:1892;width:1611;height:286" coordorigin="9064,1892" coordsize="1611,286">
              <v:shape style="position:absolute;left:9064;top:1892;width:1611;height:286" coordorigin="9064,1892" coordsize="1611,286" path="m9064,2177l10675,2177,10675,1892,9064,1892,9064,2177xe" filled="true" fillcolor="#d2d2d2" stroked="false">
                <v:path arrowok="t"/>
                <v:fill type="solid"/>
              </v:shape>
            </v:group>
            <v:group style="position:absolute;left:1138;top:1872;width:1839;height:2" coordorigin="1138,1872" coordsize="1839,2">
              <v:shape style="position:absolute;left:1138;top:1872;width:1839;height:2" coordorigin="1138,1872" coordsize="1839,0" path="m1138,1872l2976,1872e" filled="false" stroked="true" strokeweight=".48pt" strokecolor="#000000">
                <v:path arrowok="t"/>
              </v:shape>
            </v:group>
            <v:group style="position:absolute;left:2986;top:1872;width:1832;height:2" coordorigin="2986,1872" coordsize="1832,2">
              <v:shape style="position:absolute;left:2986;top:1872;width:1832;height:2" coordorigin="2986,1872" coordsize="1832,0" path="m2986,1872l4818,1872e" filled="false" stroked="true" strokeweight=".48pt" strokecolor="#000000">
                <v:path arrowok="t"/>
              </v:shape>
            </v:group>
            <v:group style="position:absolute;left:4827;top:1872;width:648;height:2" coordorigin="4827,1872" coordsize="648,2">
              <v:shape style="position:absolute;left:4827;top:1872;width:648;height:2" coordorigin="4827,1872" coordsize="648,0" path="m4827,1872l5475,1872e" filled="false" stroked="true" strokeweight=".48pt" strokecolor="#000000">
                <v:path arrowok="t"/>
              </v:shape>
            </v:group>
            <v:group style="position:absolute;left:5485;top:1872;width:1439;height:2" coordorigin="5485,1872" coordsize="1439,2">
              <v:shape style="position:absolute;left:5485;top:1872;width:1439;height:2" coordorigin="5485,1872" coordsize="1439,0" path="m5485,1872l6923,1872e" filled="false" stroked="true" strokeweight=".48pt" strokecolor="#000000">
                <v:path arrowok="t"/>
              </v:shape>
            </v:group>
            <v:group style="position:absolute;left:6933;top:1872;width:1440;height:2" coordorigin="6933,1872" coordsize="1440,2">
              <v:shape style="position:absolute;left:6933;top:1872;width:1440;height:2" coordorigin="6933,1872" coordsize="1440,0" path="m6933,1872l8373,1872e" filled="false" stroked="true" strokeweight=".48pt" strokecolor="#000000">
                <v:path arrowok="t"/>
              </v:shape>
            </v:group>
            <v:group style="position:absolute;left:8382;top:1872;width:649;height:2" coordorigin="8382,1872" coordsize="649,2">
              <v:shape style="position:absolute;left:8382;top:1872;width:649;height:2" coordorigin="8382,1872" coordsize="649,0" path="m8382,1872l9031,1872e" filled="false" stroked="true" strokeweight=".48pt" strokecolor="#000000">
                <v:path arrowok="t"/>
              </v:shape>
            </v:group>
            <v:group style="position:absolute;left:9040;top:1872;width:1659;height:2" coordorigin="9040,1872" coordsize="1659,2">
              <v:shape style="position:absolute;left:9040;top:1872;width:1659;height:2" coordorigin="9040,1872" coordsize="1659,0" path="m9040,1872l10699,1872e" filled="false" stroked="true" strokeweight=".48pt" strokecolor="#000000">
                <v:path arrowok="t"/>
              </v:shape>
            </v:group>
            <v:group style="position:absolute;left:1151;top:2201;width:2;height:315" coordorigin="1151,2201" coordsize="2,315">
              <v:shape style="position:absolute;left:1151;top:2201;width:2;height:315" coordorigin="1151,2201" coordsize="0,315" path="m1151,2201l1151,2516e" filled="false" stroked="true" strokeweight="1.08pt" strokecolor="#d2d2d2">
                <v:path arrowok="t"/>
              </v:shape>
            </v:group>
            <v:group style="position:absolute;left:2964;top:2201;width:2;height:315" coordorigin="2964,2201" coordsize="2,315">
              <v:shape style="position:absolute;left:2964;top:2201;width:2;height:315" coordorigin="2964,2201" coordsize="0,315" path="m2964,2201l2964,2516e" filled="false" stroked="true" strokeweight="1.2pt" strokecolor="#d2d2d2">
                <v:path arrowok="t"/>
              </v:shape>
            </v:group>
            <v:group style="position:absolute;left:1162;top:2201;width:1791;height:315" coordorigin="1162,2201" coordsize="1791,315">
              <v:shape style="position:absolute;left:1162;top:2201;width:1791;height:315" coordorigin="1162,2201" coordsize="1791,315" path="m1162,2516l2952,2516,2952,2201,1162,2201,1162,2516xe" filled="true" fillcolor="#d2d2d2" stroked="false">
                <v:path arrowok="t"/>
                <v:fill type="solid"/>
              </v:shape>
            </v:group>
            <v:group style="position:absolute;left:1138;top:2196;width:1839;height:2" coordorigin="1138,2196" coordsize="1839,2">
              <v:shape style="position:absolute;left:1138;top:2196;width:1839;height:2" coordorigin="1138,2196" coordsize="1839,0" path="m1138,2196l2976,2196e" filled="false" stroked="true" strokeweight=".48pt" strokecolor="#000000">
                <v:path arrowok="t"/>
              </v:shape>
            </v:group>
            <v:group style="position:absolute;left:2986;top:2196;width:1832;height:2" coordorigin="2986,2196" coordsize="1832,2">
              <v:shape style="position:absolute;left:2986;top:2196;width:1832;height:2" coordorigin="2986,2196" coordsize="1832,0" path="m2986,2196l4818,2196e" filled="false" stroked="true" strokeweight=".48pt" strokecolor="#000000">
                <v:path arrowok="t"/>
              </v:shape>
            </v:group>
            <v:group style="position:absolute;left:4827;top:2196;width:648;height:2" coordorigin="4827,2196" coordsize="648,2">
              <v:shape style="position:absolute;left:4827;top:2196;width:648;height:2" coordorigin="4827,2196" coordsize="648,0" path="m4827,2196l5475,2196e" filled="false" stroked="true" strokeweight=".48pt" strokecolor="#000000">
                <v:path arrowok="t"/>
              </v:shape>
            </v:group>
            <v:group style="position:absolute;left:5485;top:2196;width:1439;height:2" coordorigin="5485,2196" coordsize="1439,2">
              <v:shape style="position:absolute;left:5485;top:2196;width:1439;height:2" coordorigin="5485,2196" coordsize="1439,0" path="m5485,2196l6923,2196e" filled="false" stroked="true" strokeweight=".48pt" strokecolor="#000000">
                <v:path arrowok="t"/>
              </v:shape>
            </v:group>
            <v:group style="position:absolute;left:6933;top:2196;width:1440;height:2" coordorigin="6933,2196" coordsize="1440,2">
              <v:shape style="position:absolute;left:6933;top:2196;width:1440;height:2" coordorigin="6933,2196" coordsize="1440,0" path="m6933,2196l8373,2196e" filled="false" stroked="true" strokeweight=".48pt" strokecolor="#000000">
                <v:path arrowok="t"/>
              </v:shape>
            </v:group>
            <v:group style="position:absolute;left:8382;top:2196;width:649;height:2" coordorigin="8382,2196" coordsize="649,2">
              <v:shape style="position:absolute;left:8382;top:2196;width:649;height:2" coordorigin="8382,2196" coordsize="649,0" path="m8382,2196l9031,2196e" filled="false" stroked="true" strokeweight=".48pt" strokecolor="#000000">
                <v:path arrowok="t"/>
              </v:shape>
            </v:group>
            <v:group style="position:absolute;left:9040;top:2196;width:1659;height:2" coordorigin="9040,2196" coordsize="1659,2">
              <v:shape style="position:absolute;left:9040;top:2196;width:1659;height:2" coordorigin="9040,2196" coordsize="1659,0" path="m9040,2196l10699,2196e" filled="false" stroked="true" strokeweight=".48pt" strokecolor="#000000">
                <v:path arrowok="t"/>
              </v:shape>
            </v:group>
            <v:group style="position:absolute;left:1151;top:2525;width:2;height:315" coordorigin="1151,2525" coordsize="2,315">
              <v:shape style="position:absolute;left:1151;top:2525;width:2;height:315" coordorigin="1151,2525" coordsize="0,315" path="m1151,2525l1151,2840e" filled="false" stroked="true" strokeweight="1.08pt" strokecolor="#d2d2d2">
                <v:path arrowok="t"/>
              </v:shape>
            </v:group>
            <v:group style="position:absolute;left:2964;top:2525;width:2;height:315" coordorigin="2964,2525" coordsize="2,315">
              <v:shape style="position:absolute;left:2964;top:2525;width:2;height:315" coordorigin="2964,2525" coordsize="0,315" path="m2964,2525l2964,2840e" filled="false" stroked="true" strokeweight="1.2pt" strokecolor="#d2d2d2">
                <v:path arrowok="t"/>
              </v:shape>
            </v:group>
            <v:group style="position:absolute;left:1162;top:2525;width:1791;height:315" coordorigin="1162,2525" coordsize="1791,315">
              <v:shape style="position:absolute;left:1162;top:2525;width:1791;height:315" coordorigin="1162,2525" coordsize="1791,315" path="m1162,2840l2952,2840,2952,2525,1162,2525,1162,2840xe" filled="true" fillcolor="#d2d2d2" stroked="false">
                <v:path arrowok="t"/>
                <v:fill type="solid"/>
              </v:shape>
            </v:group>
            <v:group style="position:absolute;left:1138;top:2520;width:1839;height:2" coordorigin="1138,2520" coordsize="1839,2">
              <v:shape style="position:absolute;left:1138;top:2520;width:1839;height:2" coordorigin="1138,2520" coordsize="1839,0" path="m1138,2520l2976,2520e" filled="false" stroked="true" strokeweight=".48pt" strokecolor="#000000">
                <v:path arrowok="t"/>
              </v:shape>
            </v:group>
            <v:group style="position:absolute;left:2986;top:2520;width:1832;height:2" coordorigin="2986,2520" coordsize="1832,2">
              <v:shape style="position:absolute;left:2986;top:2520;width:1832;height:2" coordorigin="2986,2520" coordsize="1832,0" path="m2986,2520l4818,2520e" filled="false" stroked="true" strokeweight=".48pt" strokecolor="#000000">
                <v:path arrowok="t"/>
              </v:shape>
            </v:group>
            <v:group style="position:absolute;left:4827;top:2520;width:648;height:2" coordorigin="4827,2520" coordsize="648,2">
              <v:shape style="position:absolute;left:4827;top:2520;width:648;height:2" coordorigin="4827,2520" coordsize="648,0" path="m4827,2520l5475,2520e" filled="false" stroked="true" strokeweight=".48pt" strokecolor="#000000">
                <v:path arrowok="t"/>
              </v:shape>
            </v:group>
            <v:group style="position:absolute;left:5485;top:2520;width:1439;height:2" coordorigin="5485,2520" coordsize="1439,2">
              <v:shape style="position:absolute;left:5485;top:2520;width:1439;height:2" coordorigin="5485,2520" coordsize="1439,0" path="m5485,2520l6923,2520e" filled="false" stroked="true" strokeweight=".48pt" strokecolor="#000000">
                <v:path arrowok="t"/>
              </v:shape>
            </v:group>
            <v:group style="position:absolute;left:6933;top:2520;width:1440;height:2" coordorigin="6933,2520" coordsize="1440,2">
              <v:shape style="position:absolute;left:6933;top:2520;width:1440;height:2" coordorigin="6933,2520" coordsize="1440,0" path="m6933,2520l8373,2520e" filled="false" stroked="true" strokeweight=".48pt" strokecolor="#000000">
                <v:path arrowok="t"/>
              </v:shape>
            </v:group>
            <v:group style="position:absolute;left:8382;top:2520;width:649;height:2" coordorigin="8382,2520" coordsize="649,2">
              <v:shape style="position:absolute;left:8382;top:2520;width:649;height:2" coordorigin="8382,2520" coordsize="649,0" path="m8382,2520l9031,2520e" filled="false" stroked="true" strokeweight=".48pt" strokecolor="#000000">
                <v:path arrowok="t"/>
              </v:shape>
            </v:group>
            <v:group style="position:absolute;left:9040;top:2520;width:1659;height:2" coordorigin="9040,2520" coordsize="1659,2">
              <v:shape style="position:absolute;left:9040;top:2520;width:1659;height:2" coordorigin="9040,2520" coordsize="1659,0" path="m9040,2520l10699,2520e" filled="false" stroked="true" strokeweight=".48pt" strokecolor="#000000">
                <v:path arrowok="t"/>
              </v:shape>
            </v:group>
            <v:group style="position:absolute;left:1151;top:2849;width:2;height:312" coordorigin="1151,2849" coordsize="2,312">
              <v:shape style="position:absolute;left:1151;top:2849;width:2;height:312" coordorigin="1151,2849" coordsize="0,312" path="m1151,2849l1151,3161e" filled="false" stroked="true" strokeweight="1.08pt" strokecolor="#d2d2d2">
                <v:path arrowok="t"/>
              </v:shape>
            </v:group>
            <v:group style="position:absolute;left:2964;top:2849;width:2;height:312" coordorigin="2964,2849" coordsize="2,312">
              <v:shape style="position:absolute;left:2964;top:2849;width:2;height:312" coordorigin="2964,2849" coordsize="0,312" path="m2964,2849l2964,3161e" filled="false" stroked="true" strokeweight="1.2pt" strokecolor="#d2d2d2">
                <v:path arrowok="t"/>
              </v:shape>
            </v:group>
            <v:group style="position:absolute;left:1162;top:2849;width:1791;height:312" coordorigin="1162,2849" coordsize="1791,312">
              <v:shape style="position:absolute;left:1162;top:2849;width:1791;height:312" coordorigin="1162,2849" coordsize="1791,312" path="m1162,3161l2952,3161,2952,2849,1162,2849,1162,3161xe" filled="true" fillcolor="#d2d2d2" stroked="false">
                <v:path arrowok="t"/>
                <v:fill type="solid"/>
              </v:shape>
            </v:group>
            <v:group style="position:absolute;left:1138;top:2844;width:1839;height:2" coordorigin="1138,2844" coordsize="1839,2">
              <v:shape style="position:absolute;left:1138;top:2844;width:1839;height:2" coordorigin="1138,2844" coordsize="1839,0" path="m1138,2844l2976,2844e" filled="false" stroked="true" strokeweight=".48pt" strokecolor="#000000">
                <v:path arrowok="t"/>
              </v:shape>
            </v:group>
            <v:group style="position:absolute;left:2986;top:2844;width:1832;height:2" coordorigin="2986,2844" coordsize="1832,2">
              <v:shape style="position:absolute;left:2986;top:2844;width:1832;height:2" coordorigin="2986,2844" coordsize="1832,0" path="m2986,2844l4818,2844e" filled="false" stroked="true" strokeweight=".48pt" strokecolor="#000000">
                <v:path arrowok="t"/>
              </v:shape>
            </v:group>
            <v:group style="position:absolute;left:4827;top:2844;width:648;height:2" coordorigin="4827,2844" coordsize="648,2">
              <v:shape style="position:absolute;left:4827;top:2844;width:648;height:2" coordorigin="4827,2844" coordsize="648,0" path="m4827,2844l5475,2844e" filled="false" stroked="true" strokeweight=".48pt" strokecolor="#000000">
                <v:path arrowok="t"/>
              </v:shape>
            </v:group>
            <v:group style="position:absolute;left:5485;top:2844;width:1439;height:2" coordorigin="5485,2844" coordsize="1439,2">
              <v:shape style="position:absolute;left:5485;top:2844;width:1439;height:2" coordorigin="5485,2844" coordsize="1439,0" path="m5485,2844l6923,2844e" filled="false" stroked="true" strokeweight=".48pt" strokecolor="#000000">
                <v:path arrowok="t"/>
              </v:shape>
            </v:group>
            <v:group style="position:absolute;left:6933;top:2844;width:1440;height:2" coordorigin="6933,2844" coordsize="1440,2">
              <v:shape style="position:absolute;left:6933;top:2844;width:1440;height:2" coordorigin="6933,2844" coordsize="1440,0" path="m6933,2844l8373,2844e" filled="false" stroked="true" strokeweight=".48pt" strokecolor="#000000">
                <v:path arrowok="t"/>
              </v:shape>
            </v:group>
            <v:group style="position:absolute;left:8382;top:2844;width:649;height:2" coordorigin="8382,2844" coordsize="649,2">
              <v:shape style="position:absolute;left:8382;top:2844;width:649;height:2" coordorigin="8382,2844" coordsize="649,0" path="m8382,2844l9031,2844e" filled="false" stroked="true" strokeweight=".48pt" strokecolor="#000000">
                <v:path arrowok="t"/>
              </v:shape>
            </v:group>
            <v:group style="position:absolute;left:9040;top:2844;width:1659;height:2" coordorigin="9040,2844" coordsize="1659,2">
              <v:shape style="position:absolute;left:9040;top:2844;width:1659;height:2" coordorigin="9040,2844" coordsize="1659,0" path="m9040,2844l10699,2844e" filled="false" stroked="true" strokeweight=".48pt" strokecolor="#000000">
                <v:path arrowok="t"/>
              </v:shape>
            </v:group>
            <v:group style="position:absolute;left:1151;top:3171;width:2;height:315" coordorigin="1151,3171" coordsize="2,315">
              <v:shape style="position:absolute;left:1151;top:3171;width:2;height:315" coordorigin="1151,3171" coordsize="0,315" path="m1151,3171l1151,3485e" filled="false" stroked="true" strokeweight="1.08pt" strokecolor="#d2d2d2">
                <v:path arrowok="t"/>
              </v:shape>
            </v:group>
            <v:group style="position:absolute;left:2964;top:3171;width:2;height:315" coordorigin="2964,3171" coordsize="2,315">
              <v:shape style="position:absolute;left:2964;top:3171;width:2;height:315" coordorigin="2964,3171" coordsize="0,315" path="m2964,3171l2964,3485e" filled="false" stroked="true" strokeweight="1.2pt" strokecolor="#d2d2d2">
                <v:path arrowok="t"/>
              </v:shape>
            </v:group>
            <v:group style="position:absolute;left:1162;top:3171;width:1791;height:315" coordorigin="1162,3171" coordsize="1791,315">
              <v:shape style="position:absolute;left:1162;top:3171;width:1791;height:315" coordorigin="1162,3171" coordsize="1791,315" path="m1162,3485l2952,3485,2952,3171,1162,3171,1162,3485xe" filled="true" fillcolor="#d2d2d2" stroked="false">
                <v:path arrowok="t"/>
                <v:fill type="solid"/>
              </v:shape>
            </v:group>
            <v:group style="position:absolute;left:1138;top:3166;width:1839;height:2" coordorigin="1138,3166" coordsize="1839,2">
              <v:shape style="position:absolute;left:1138;top:3166;width:1839;height:2" coordorigin="1138,3166" coordsize="1839,0" path="m1138,3166l2976,3166e" filled="false" stroked="true" strokeweight=".48pt" strokecolor="#000000">
                <v:path arrowok="t"/>
              </v:shape>
            </v:group>
            <v:group style="position:absolute;left:2986;top:3166;width:1832;height:2" coordorigin="2986,3166" coordsize="1832,2">
              <v:shape style="position:absolute;left:2986;top:3166;width:1832;height:2" coordorigin="2986,3166" coordsize="1832,0" path="m2986,3166l4818,3166e" filled="false" stroked="true" strokeweight=".48pt" strokecolor="#000000">
                <v:path arrowok="t"/>
              </v:shape>
            </v:group>
            <v:group style="position:absolute;left:4827;top:3166;width:648;height:2" coordorigin="4827,3166" coordsize="648,2">
              <v:shape style="position:absolute;left:4827;top:3166;width:648;height:2" coordorigin="4827,3166" coordsize="648,0" path="m4827,3166l5475,3166e" filled="false" stroked="true" strokeweight=".48pt" strokecolor="#000000">
                <v:path arrowok="t"/>
              </v:shape>
            </v:group>
            <v:group style="position:absolute;left:5485;top:3166;width:1439;height:2" coordorigin="5485,3166" coordsize="1439,2">
              <v:shape style="position:absolute;left:5485;top:3166;width:1439;height:2" coordorigin="5485,3166" coordsize="1439,0" path="m5485,3166l6923,3166e" filled="false" stroked="true" strokeweight=".48pt" strokecolor="#000000">
                <v:path arrowok="t"/>
              </v:shape>
            </v:group>
            <v:group style="position:absolute;left:6933;top:3166;width:1440;height:2" coordorigin="6933,3166" coordsize="1440,2">
              <v:shape style="position:absolute;left:6933;top:3166;width:1440;height:2" coordorigin="6933,3166" coordsize="1440,0" path="m6933,3166l8373,3166e" filled="false" stroked="true" strokeweight=".48pt" strokecolor="#000000">
                <v:path arrowok="t"/>
              </v:shape>
            </v:group>
            <v:group style="position:absolute;left:8382;top:3166;width:649;height:2" coordorigin="8382,3166" coordsize="649,2">
              <v:shape style="position:absolute;left:8382;top:3166;width:649;height:2" coordorigin="8382,3166" coordsize="649,0" path="m8382,3166l9031,3166e" filled="false" stroked="true" strokeweight=".48pt" strokecolor="#000000">
                <v:path arrowok="t"/>
              </v:shape>
            </v:group>
            <v:group style="position:absolute;left:9040;top:3166;width:1659;height:2" coordorigin="9040,3166" coordsize="1659,2">
              <v:shape style="position:absolute;left:9040;top:3166;width:1659;height:2" coordorigin="9040,3166" coordsize="1659,0" path="m9040,3166l10699,3166e" filled="false" stroked="true" strokeweight=".48pt" strokecolor="#000000">
                <v:path arrowok="t"/>
              </v:shape>
            </v:group>
            <v:group style="position:absolute;left:1151;top:3495;width:2;height:315" coordorigin="1151,3495" coordsize="2,315">
              <v:shape style="position:absolute;left:1151;top:3495;width:2;height:315" coordorigin="1151,3495" coordsize="0,315" path="m1151,3495l1151,3809e" filled="false" stroked="true" strokeweight="1.08pt" strokecolor="#d2d2d2">
                <v:path arrowok="t"/>
              </v:shape>
            </v:group>
            <v:group style="position:absolute;left:2964;top:3495;width:2;height:315" coordorigin="2964,3495" coordsize="2,315">
              <v:shape style="position:absolute;left:2964;top:3495;width:2;height:315" coordorigin="2964,3495" coordsize="0,315" path="m2964,3495l2964,3809e" filled="false" stroked="true" strokeweight="1.2pt" strokecolor="#d2d2d2">
                <v:path arrowok="t"/>
              </v:shape>
            </v:group>
            <v:group style="position:absolute;left:1162;top:3495;width:1791;height:315" coordorigin="1162,3495" coordsize="1791,315">
              <v:shape style="position:absolute;left:1162;top:3495;width:1791;height:315" coordorigin="1162,3495" coordsize="1791,315" path="m1162,3809l2952,3809,2952,3495,1162,3495,1162,3809xe" filled="true" fillcolor="#d2d2d2" stroked="false">
                <v:path arrowok="t"/>
                <v:fill type="solid"/>
              </v:shape>
            </v:group>
            <v:group style="position:absolute;left:1138;top:3490;width:1839;height:2" coordorigin="1138,3490" coordsize="1839,2">
              <v:shape style="position:absolute;left:1138;top:3490;width:1839;height:2" coordorigin="1138,3490" coordsize="1839,0" path="m1138,3490l2976,3490e" filled="false" stroked="true" strokeweight=".48pt" strokecolor="#000000">
                <v:path arrowok="t"/>
              </v:shape>
            </v:group>
            <v:group style="position:absolute;left:2986;top:3490;width:1832;height:2" coordorigin="2986,3490" coordsize="1832,2">
              <v:shape style="position:absolute;left:2986;top:3490;width:1832;height:2" coordorigin="2986,3490" coordsize="1832,0" path="m2986,3490l4818,3490e" filled="false" stroked="true" strokeweight=".48pt" strokecolor="#000000">
                <v:path arrowok="t"/>
              </v:shape>
            </v:group>
            <v:group style="position:absolute;left:4827;top:3490;width:648;height:2" coordorigin="4827,3490" coordsize="648,2">
              <v:shape style="position:absolute;left:4827;top:3490;width:648;height:2" coordorigin="4827,3490" coordsize="648,0" path="m4827,3490l5475,3490e" filled="false" stroked="true" strokeweight=".48pt" strokecolor="#000000">
                <v:path arrowok="t"/>
              </v:shape>
            </v:group>
            <v:group style="position:absolute;left:5485;top:3490;width:1439;height:2" coordorigin="5485,3490" coordsize="1439,2">
              <v:shape style="position:absolute;left:5485;top:3490;width:1439;height:2" coordorigin="5485,3490" coordsize="1439,0" path="m5485,3490l6923,3490e" filled="false" stroked="true" strokeweight=".48pt" strokecolor="#000000">
                <v:path arrowok="t"/>
              </v:shape>
            </v:group>
            <v:group style="position:absolute;left:6933;top:3490;width:1440;height:2" coordorigin="6933,3490" coordsize="1440,2">
              <v:shape style="position:absolute;left:6933;top:3490;width:1440;height:2" coordorigin="6933,3490" coordsize="1440,0" path="m6933,3490l8373,3490e" filled="false" stroked="true" strokeweight=".48pt" strokecolor="#000000">
                <v:path arrowok="t"/>
              </v:shape>
            </v:group>
            <v:group style="position:absolute;left:8382;top:3490;width:649;height:2" coordorigin="8382,3490" coordsize="649,2">
              <v:shape style="position:absolute;left:8382;top:3490;width:649;height:2" coordorigin="8382,3490" coordsize="649,0" path="m8382,3490l9031,3490e" filled="false" stroked="true" strokeweight=".48pt" strokecolor="#000000">
                <v:path arrowok="t"/>
              </v:shape>
            </v:group>
            <v:group style="position:absolute;left:9040;top:3490;width:1659;height:2" coordorigin="9040,3490" coordsize="1659,2">
              <v:shape style="position:absolute;left:9040;top:3490;width:1659;height:2" coordorigin="9040,3490" coordsize="1659,0" path="m9040,3490l10699,3490e" filled="false" stroked="true" strokeweight=".48pt" strokecolor="#000000">
                <v:path arrowok="t"/>
              </v:shape>
            </v:group>
            <v:group style="position:absolute;left:2981;top:1868;width:2;height:1952" coordorigin="2981,1868" coordsize="2,1952">
              <v:shape style="position:absolute;left:2981;top:1868;width:2;height:1952" coordorigin="2981,1868" coordsize="0,1952" path="m2981,1868l2981,3819e" filled="false" stroked="true" strokeweight=".48pt" strokecolor="#000000">
                <v:path arrowok="t"/>
              </v:shape>
            </v:group>
            <v:group style="position:absolute;left:6928;top:1868;width:2;height:1952" coordorigin="6928,1868" coordsize="2,1952">
              <v:shape style="position:absolute;left:6928;top:1868;width:2;height:1952" coordorigin="6928,1868" coordsize="0,1952" path="m6928,1868l6928,3819e" filled="false" stroked="true" strokeweight=".48pt" strokecolor="#000000">
                <v:path arrowok="t"/>
              </v:shape>
            </v:group>
            <v:group style="position:absolute;left:1151;top:3819;width:2;height:315" coordorigin="1151,3819" coordsize="2,315">
              <v:shape style="position:absolute;left:1151;top:3819;width:2;height:315" coordorigin="1151,3819" coordsize="0,315" path="m1151,3819l1151,4134e" filled="false" stroked="true" strokeweight="1.08pt" strokecolor="#d2d2d2">
                <v:path arrowok="t"/>
              </v:shape>
            </v:group>
            <v:group style="position:absolute;left:2964;top:3819;width:2;height:315" coordorigin="2964,3819" coordsize="2,315">
              <v:shape style="position:absolute;left:2964;top:3819;width:2;height:315" coordorigin="2964,3819" coordsize="0,315" path="m2964,3819l2964,4134e" filled="false" stroked="true" strokeweight="1.2pt" strokecolor="#d2d2d2">
                <v:path arrowok="t"/>
              </v:shape>
            </v:group>
            <v:group style="position:absolute;left:1162;top:3819;width:1791;height:315" coordorigin="1162,3819" coordsize="1791,315">
              <v:shape style="position:absolute;left:1162;top:3819;width:1791;height:315" coordorigin="1162,3819" coordsize="1791,315" path="m1162,4134l2952,4134,2952,3819,1162,3819,1162,4134xe" filled="true" fillcolor="#d2d2d2" stroked="false">
                <v:path arrowok="t"/>
                <v:fill type="solid"/>
              </v:shape>
            </v:group>
            <v:group style="position:absolute;left:1138;top:3814;width:1839;height:2" coordorigin="1138,3814" coordsize="1839,2">
              <v:shape style="position:absolute;left:1138;top:3814;width:1839;height:2" coordorigin="1138,3814" coordsize="1839,0" path="m1138,3814l2976,3814e" filled="false" stroked="true" strokeweight=".48pt" strokecolor="#000000">
                <v:path arrowok="t"/>
              </v:shape>
            </v:group>
            <v:group style="position:absolute;left:2986;top:3814;width:1832;height:2" coordorigin="2986,3814" coordsize="1832,2">
              <v:shape style="position:absolute;left:2986;top:3814;width:1832;height:2" coordorigin="2986,3814" coordsize="1832,0" path="m2986,3814l4818,3814e" filled="false" stroked="true" strokeweight=".48pt" strokecolor="#000000">
                <v:path arrowok="t"/>
              </v:shape>
            </v:group>
            <v:group style="position:absolute;left:4827;top:3814;width:648;height:2" coordorigin="4827,3814" coordsize="648,2">
              <v:shape style="position:absolute;left:4827;top:3814;width:648;height:2" coordorigin="4827,3814" coordsize="648,0" path="m4827,3814l5475,3814e" filled="false" stroked="true" strokeweight=".48pt" strokecolor="#000000">
                <v:path arrowok="t"/>
              </v:shape>
            </v:group>
            <v:group style="position:absolute;left:5485;top:3814;width:1439;height:2" coordorigin="5485,3814" coordsize="1439,2">
              <v:shape style="position:absolute;left:5485;top:3814;width:1439;height:2" coordorigin="5485,3814" coordsize="1439,0" path="m5485,3814l6923,3814e" filled="false" stroked="true" strokeweight=".48pt" strokecolor="#000000">
                <v:path arrowok="t"/>
              </v:shape>
            </v:group>
            <v:group style="position:absolute;left:6933;top:3814;width:1440;height:2" coordorigin="6933,3814" coordsize="1440,2">
              <v:shape style="position:absolute;left:6933;top:3814;width:1440;height:2" coordorigin="6933,3814" coordsize="1440,0" path="m6933,3814l8373,3814e" filled="false" stroked="true" strokeweight=".48pt" strokecolor="#000000">
                <v:path arrowok="t"/>
              </v:shape>
            </v:group>
            <v:group style="position:absolute;left:8382;top:3814;width:649;height:2" coordorigin="8382,3814" coordsize="649,2">
              <v:shape style="position:absolute;left:8382;top:3814;width:649;height:2" coordorigin="8382,3814" coordsize="649,0" path="m8382,3814l9031,3814e" filled="false" stroked="true" strokeweight=".48pt" strokecolor="#000000">
                <v:path arrowok="t"/>
              </v:shape>
            </v:group>
            <v:group style="position:absolute;left:9040;top:3814;width:1659;height:2" coordorigin="9040,3814" coordsize="1659,2">
              <v:shape style="position:absolute;left:9040;top:3814;width:1659;height:2" coordorigin="9040,3814" coordsize="1659,0" path="m9040,3814l10699,3814e" filled="false" stroked="true" strokeweight=".48pt" strokecolor="#000000">
                <v:path arrowok="t"/>
              </v:shape>
            </v:group>
            <v:group style="position:absolute;left:1151;top:4143;width:2;height:312" coordorigin="1151,4143" coordsize="2,312">
              <v:shape style="position:absolute;left:1151;top:4143;width:2;height:312" coordorigin="1151,4143" coordsize="0,312" path="m1151,4143l1151,4455e" filled="false" stroked="true" strokeweight="1.08pt" strokecolor="#d2d2d2">
                <v:path arrowok="t"/>
              </v:shape>
            </v:group>
            <v:group style="position:absolute;left:2964;top:4143;width:2;height:312" coordorigin="2964,4143" coordsize="2,312">
              <v:shape style="position:absolute;left:2964;top:4143;width:2;height:312" coordorigin="2964,4143" coordsize="0,312" path="m2964,4143l2964,4455e" filled="false" stroked="true" strokeweight="1.2pt" strokecolor="#d2d2d2">
                <v:path arrowok="t"/>
              </v:shape>
            </v:group>
            <v:group style="position:absolute;left:1162;top:4143;width:1791;height:312" coordorigin="1162,4143" coordsize="1791,312">
              <v:shape style="position:absolute;left:1162;top:4143;width:1791;height:312" coordorigin="1162,4143" coordsize="1791,312" path="m1162,4455l2952,4455,2952,4143,1162,4143,1162,4455xe" filled="true" fillcolor="#d2d2d2" stroked="false">
                <v:path arrowok="t"/>
                <v:fill type="solid"/>
              </v:shape>
            </v:group>
            <v:group style="position:absolute;left:4827;top:4149;width:648;height:2" coordorigin="4827,4149" coordsize="648,2">
              <v:shape style="position:absolute;left:4827;top:4149;width:648;height:2" coordorigin="4827,4149" coordsize="648,0" path="m4827,4149l5475,4149e" filled="false" stroked="true" strokeweight=".6pt" strokecolor="#d2d2d2">
                <v:path arrowok="t"/>
              </v:shape>
            </v:group>
            <v:group style="position:absolute;left:4839;top:4155;width:2;height:288" coordorigin="4839,4155" coordsize="2,288">
              <v:shape style="position:absolute;left:4839;top:4155;width:2;height:288" coordorigin="4839,4155" coordsize="0,288" path="m4839,4155l4839,4443e" filled="false" stroked="true" strokeweight="1.2pt" strokecolor="#d2d2d2">
                <v:path arrowok="t"/>
              </v:shape>
            </v:group>
            <v:group style="position:absolute;left:5465;top:4155;width:2;height:288" coordorigin="5465,4155" coordsize="2,288">
              <v:shape style="position:absolute;left:5465;top:4155;width:2;height:288" coordorigin="5465,4155" coordsize="0,288" path="m5465,4155l5465,4443e" filled="false" stroked="true" strokeweight="1.08pt" strokecolor="#d2d2d2">
                <v:path arrowok="t"/>
              </v:shape>
            </v:group>
            <v:group style="position:absolute;left:4827;top:4449;width:648;height:2" coordorigin="4827,4449" coordsize="648,2">
              <v:shape style="position:absolute;left:4827;top:4449;width:648;height:2" coordorigin="4827,4449" coordsize="648,0" path="m4827,4449l5475,4449e" filled="false" stroked="true" strokeweight=".6pt" strokecolor="#d2d2d2">
                <v:path arrowok="t"/>
              </v:shape>
            </v:group>
            <v:group style="position:absolute;left:4851;top:4155;width:603;height:288" coordorigin="4851,4155" coordsize="603,288">
              <v:shape style="position:absolute;left:4851;top:4155;width:603;height:288" coordorigin="4851,4155" coordsize="603,288" path="m4851,4443l5454,4443,5454,4155,4851,4155,4851,4443xe" filled="true" fillcolor="#d2d2d2" stroked="false">
                <v:path arrowok="t"/>
                <v:fill type="solid"/>
              </v:shape>
            </v:group>
            <v:group style="position:absolute;left:8382;top:4149;width:649;height:2" coordorigin="8382,4149" coordsize="649,2">
              <v:shape style="position:absolute;left:8382;top:4149;width:649;height:2" coordorigin="8382,4149" coordsize="649,0" path="m8382,4149l9031,4149e" filled="false" stroked="true" strokeweight=".6pt" strokecolor="#d2d2d2">
                <v:path arrowok="t"/>
              </v:shape>
            </v:group>
            <v:group style="position:absolute;left:8394;top:4155;width:2;height:288" coordorigin="8394,4155" coordsize="2,288">
              <v:shape style="position:absolute;left:8394;top:4155;width:2;height:288" coordorigin="8394,4155" coordsize="0,288" path="m8394,4155l8394,4443e" filled="false" stroked="true" strokeweight="1.2pt" strokecolor="#d2d2d2">
                <v:path arrowok="t"/>
              </v:shape>
            </v:group>
            <v:group style="position:absolute;left:9019;top:4155;width:2;height:288" coordorigin="9019,4155" coordsize="2,288">
              <v:shape style="position:absolute;left:9019;top:4155;width:2;height:288" coordorigin="9019,4155" coordsize="0,288" path="m9019,4155l9019,4443e" filled="false" stroked="true" strokeweight="1.2pt" strokecolor="#d2d2d2">
                <v:path arrowok="t"/>
              </v:shape>
            </v:group>
            <v:group style="position:absolute;left:8382;top:4449;width:649;height:2" coordorigin="8382,4449" coordsize="649,2">
              <v:shape style="position:absolute;left:8382;top:4449;width:649;height:2" coordorigin="8382,4449" coordsize="649,0" path="m8382,4449l9031,4449e" filled="false" stroked="true" strokeweight=".6pt" strokecolor="#d2d2d2">
                <v:path arrowok="t"/>
              </v:shape>
            </v:group>
            <v:group style="position:absolute;left:8406;top:4155;width:601;height:288" coordorigin="8406,4155" coordsize="601,288">
              <v:shape style="position:absolute;left:8406;top:4155;width:601;height:288" coordorigin="8406,4155" coordsize="601,288" path="m8406,4443l9007,4443,9007,4155,8406,4155,8406,4443xe" filled="true" fillcolor="#d2d2d2" stroked="false">
                <v:path arrowok="t"/>
                <v:fill type="solid"/>
              </v:shape>
            </v:group>
            <v:group style="position:absolute;left:1138;top:4139;width:1839;height:2" coordorigin="1138,4139" coordsize="1839,2">
              <v:shape style="position:absolute;left:1138;top:4139;width:1839;height:2" coordorigin="1138,4139" coordsize="1839,0" path="m1138,4139l2976,4139e" filled="false" stroked="true" strokeweight=".48pt" strokecolor="#000000">
                <v:path arrowok="t"/>
              </v:shape>
            </v:group>
            <v:group style="position:absolute;left:2986;top:4139;width:1832;height:2" coordorigin="2986,4139" coordsize="1832,2">
              <v:shape style="position:absolute;left:2986;top:4139;width:1832;height:2" coordorigin="2986,4139" coordsize="1832,0" path="m2986,4139l4818,4139e" filled="false" stroked="true" strokeweight=".48pt" strokecolor="#000000">
                <v:path arrowok="t"/>
              </v:shape>
            </v:group>
            <v:group style="position:absolute;left:4827;top:4139;width:648;height:2" coordorigin="4827,4139" coordsize="648,2">
              <v:shape style="position:absolute;left:4827;top:4139;width:648;height:2" coordorigin="4827,4139" coordsize="648,0" path="m4827,4139l5475,4139e" filled="false" stroked="true" strokeweight=".48pt" strokecolor="#000000">
                <v:path arrowok="t"/>
              </v:shape>
            </v:group>
            <v:group style="position:absolute;left:5485;top:4139;width:1439;height:2" coordorigin="5485,4139" coordsize="1439,2">
              <v:shape style="position:absolute;left:5485;top:4139;width:1439;height:2" coordorigin="5485,4139" coordsize="1439,0" path="m5485,4139l6923,4139e" filled="false" stroked="true" strokeweight=".48pt" strokecolor="#000000">
                <v:path arrowok="t"/>
              </v:shape>
            </v:group>
            <v:group style="position:absolute;left:6933;top:4139;width:1440;height:2" coordorigin="6933,4139" coordsize="1440,2">
              <v:shape style="position:absolute;left:6933;top:4139;width:1440;height:2" coordorigin="6933,4139" coordsize="1440,0" path="m6933,4139l8373,4139e" filled="false" stroked="true" strokeweight=".48pt" strokecolor="#000000">
                <v:path arrowok="t"/>
              </v:shape>
            </v:group>
            <v:group style="position:absolute;left:8382;top:4139;width:649;height:2" coordorigin="8382,4139" coordsize="649,2">
              <v:shape style="position:absolute;left:8382;top:4139;width:649;height:2" coordorigin="8382,4139" coordsize="649,0" path="m8382,4139l9031,4139e" filled="false" stroked="true" strokeweight=".48pt" strokecolor="#000000">
                <v:path arrowok="t"/>
              </v:shape>
            </v:group>
            <v:group style="position:absolute;left:9040;top:4139;width:1659;height:2" coordorigin="9040,4139" coordsize="1659,2">
              <v:shape style="position:absolute;left:9040;top:4139;width:1659;height:2" coordorigin="9040,4139" coordsize="1659,0" path="m9040,4139l10699,4139e" filled="false" stroked="true" strokeweight=".48pt" strokecolor="#000000">
                <v:path arrowok="t"/>
              </v:shape>
            </v:group>
            <v:group style="position:absolute;left:1133;top:367;width:2;height:4101" coordorigin="1133,367" coordsize="2,4101">
              <v:shape style="position:absolute;left:1133;top:367;width:2;height:4101" coordorigin="1133,367" coordsize="0,4101" path="m1133,367l1133,4467e" filled="false" stroked="true" strokeweight=".48pt" strokecolor="#000000">
                <v:path arrowok="t"/>
              </v:shape>
            </v:group>
            <v:group style="position:absolute;left:1138;top:4463;width:1839;height:2" coordorigin="1138,4463" coordsize="1839,2">
              <v:shape style="position:absolute;left:1138;top:4463;width:1839;height:2" coordorigin="1138,4463" coordsize="1839,0" path="m1138,4463l2976,4463e" filled="false" stroked="true" strokeweight=".48pt" strokecolor="#000000">
                <v:path arrowok="t"/>
              </v:shape>
            </v:group>
            <v:group style="position:absolute;left:2981;top:3819;width:2;height:649" coordorigin="2981,3819" coordsize="2,649">
              <v:shape style="position:absolute;left:2981;top:3819;width:2;height:649" coordorigin="2981,3819" coordsize="0,649" path="m2981,3819l2981,4467e" filled="false" stroked="true" strokeweight=".48pt" strokecolor="#000000">
                <v:path arrowok="t"/>
              </v:shape>
            </v:group>
            <v:group style="position:absolute;left:2986;top:4463;width:1832;height:2" coordorigin="2986,4463" coordsize="1832,2">
              <v:shape style="position:absolute;left:2986;top:4463;width:1832;height:2" coordorigin="2986,4463" coordsize="1832,0" path="m2986,4463l4818,4463e" filled="false" stroked="true" strokeweight=".48pt" strokecolor="#000000">
                <v:path arrowok="t"/>
              </v:shape>
            </v:group>
            <v:group style="position:absolute;left:4823;top:1868;width:2;height:2600" coordorigin="4823,1868" coordsize="2,2600">
              <v:shape style="position:absolute;left:4823;top:1868;width:2;height:2600" coordorigin="4823,1868" coordsize="0,2600" path="m4823,1868l4823,4467e" filled="false" stroked="true" strokeweight=".48pt" strokecolor="#000000">
                <v:path arrowok="t"/>
              </v:shape>
            </v:group>
            <v:group style="position:absolute;left:4827;top:4463;width:648;height:2" coordorigin="4827,4463" coordsize="648,2">
              <v:shape style="position:absolute;left:4827;top:4463;width:648;height:2" coordorigin="4827,4463" coordsize="648,0" path="m4827,4463l5475,4463e" filled="false" stroked="true" strokeweight=".48pt" strokecolor="#000000">
                <v:path arrowok="t"/>
              </v:shape>
            </v:group>
            <v:group style="position:absolute;left:5480;top:1868;width:2;height:2600" coordorigin="5480,1868" coordsize="2,2600">
              <v:shape style="position:absolute;left:5480;top:1868;width:2;height:2600" coordorigin="5480,1868" coordsize="0,2600" path="m5480,1868l5480,4467e" filled="false" stroked="true" strokeweight=".48pt" strokecolor="#000000">
                <v:path arrowok="t"/>
              </v:shape>
            </v:group>
            <v:group style="position:absolute;left:5485;top:4463;width:1439;height:2" coordorigin="5485,4463" coordsize="1439,2">
              <v:shape style="position:absolute;left:5485;top:4463;width:1439;height:2" coordorigin="5485,4463" coordsize="1439,0" path="m5485,4463l6923,4463e" filled="false" stroked="true" strokeweight=".48pt" strokecolor="#000000">
                <v:path arrowok="t"/>
              </v:shape>
            </v:group>
            <v:group style="position:absolute;left:6928;top:3819;width:2;height:649" coordorigin="6928,3819" coordsize="2,649">
              <v:shape style="position:absolute;left:6928;top:3819;width:2;height:649" coordorigin="6928,3819" coordsize="0,649" path="m6928,3819l6928,4467e" filled="false" stroked="true" strokeweight=".48pt" strokecolor="#000000">
                <v:path arrowok="t"/>
              </v:shape>
            </v:group>
            <v:group style="position:absolute;left:6933;top:4463;width:1440;height:2" coordorigin="6933,4463" coordsize="1440,2">
              <v:shape style="position:absolute;left:6933;top:4463;width:1440;height:2" coordorigin="6933,4463" coordsize="1440,0" path="m6933,4463l8373,4463e" filled="false" stroked="true" strokeweight=".48pt" strokecolor="#000000">
                <v:path arrowok="t"/>
              </v:shape>
            </v:group>
            <v:group style="position:absolute;left:8377;top:1868;width:2;height:2600" coordorigin="8377,1868" coordsize="2,2600">
              <v:shape style="position:absolute;left:8377;top:1868;width:2;height:2600" coordorigin="8377,1868" coordsize="0,2600" path="m8377,1868l8377,4467e" filled="false" stroked="true" strokeweight=".48pt" strokecolor="#000000">
                <v:path arrowok="t"/>
              </v:shape>
            </v:group>
            <v:group style="position:absolute;left:8382;top:4463;width:649;height:2" coordorigin="8382,4463" coordsize="649,2">
              <v:shape style="position:absolute;left:8382;top:4463;width:649;height:2" coordorigin="8382,4463" coordsize="649,0" path="m8382,4463l9031,4463e" filled="false" stroked="true" strokeweight=".48pt" strokecolor="#000000">
                <v:path arrowok="t"/>
              </v:shape>
            </v:group>
            <v:group style="position:absolute;left:9036;top:1868;width:2;height:2600" coordorigin="9036,1868" coordsize="2,2600">
              <v:shape style="position:absolute;left:9036;top:1868;width:2;height:2600" coordorigin="9036,1868" coordsize="0,2600" path="m9036,1868l9036,4467e" filled="false" stroked="true" strokeweight=".48pt" strokecolor="#000000">
                <v:path arrowok="t"/>
              </v:shape>
            </v:group>
            <v:group style="position:absolute;left:9040;top:4463;width:1659;height:2" coordorigin="9040,4463" coordsize="1659,2">
              <v:shape style="position:absolute;left:9040;top:4463;width:1659;height:2" coordorigin="9040,4463" coordsize="1659,0" path="m9040,4463l10699,4463e" filled="false" stroked="true" strokeweight=".48pt" strokecolor="#000000">
                <v:path arrowok="t"/>
              </v:shape>
            </v:group>
            <v:group style="position:absolute;left:10704;top:367;width:2;height:4101" coordorigin="10704,367" coordsize="2,4101">
              <v:shape style="position:absolute;left:10704;top:367;width:2;height:4101" coordorigin="10704,367" coordsize="0,4101" path="m10704,367l10704,4467e" filled="false" stroked="true" strokeweight=".48pt" strokecolor="#000000">
                <v:path arrowok="t"/>
              </v:shape>
              <v:shape style="position:absolute;left:3723;top:119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7473;top:119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w10:wrap type="none"/>
          </v:group>
        </w:pict>
      </w:r>
      <w:r>
        <w:rPr/>
        <w:pict>
          <v:shape style="position:absolute;margin-left:56.400002pt;margin-top:675.459961pt;width:479.4pt;height:84pt;mso-position-horizontal-relative:page;mso-position-vertical-relative:page;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6"/>
                    <w:gridCol w:w="1913"/>
                    <w:gridCol w:w="1916"/>
                    <w:gridCol w:w="1913"/>
                    <w:gridCol w:w="1916"/>
                  </w:tblGrid>
                  <w:tr>
                    <w:trPr>
                      <w:trHeight w:val="557"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中招国际招标公司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549,500.00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460,000.00</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89,500.00 </w:t>
                        </w:r>
                        <w:r>
                          <w:rPr>
                            <w:rFonts w:ascii="宋体" w:hAnsi="宋体" w:cs="宋体" w:eastAsia="宋体" w:hint="default"/>
                            <w:sz w:val="18"/>
                            <w:szCs w:val="18"/>
                          </w:rPr>
                          <w:t>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8.08%</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81"/>
                          <w:jc w:val="left"/>
                          <w:rPr>
                            <w:rFonts w:ascii="宋体" w:hAnsi="宋体" w:cs="宋体" w:eastAsia="宋体" w:hint="default"/>
                            <w:sz w:val="18"/>
                            <w:szCs w:val="18"/>
                          </w:rPr>
                        </w:pPr>
                        <w:r>
                          <w:rPr>
                            <w:rFonts w:ascii="宋体" w:hAnsi="宋体" w:cs="宋体" w:eastAsia="宋体" w:hint="default"/>
                            <w:sz w:val="18"/>
                            <w:szCs w:val="18"/>
                          </w:rPr>
                          <w:t>中国人民银行集中采购 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345,769.90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5.08%</w:t>
                        </w:r>
                      </w:p>
                    </w:tc>
                  </w:tr>
                </w:tbl>
                <w:p>
                  <w:pPr/>
                </w:p>
              </w:txbxContent>
            </v:textbox>
            <w10:wrap type="none"/>
          </v:shape>
        </w:pict>
      </w:r>
      <w:r>
        <w:rPr/>
        <w:t>单位：</w:t>
      </w:r>
      <w:r>
        <w:rPr>
          <w:spacing w:val="1"/>
        </w:rPr>
        <w:t> </w:t>
      </w:r>
      <w:r>
        <w:rPr/>
        <w:t>元</w:t>
      </w:r>
    </w:p>
    <w:p>
      <w:pPr>
        <w:spacing w:line="240" w:lineRule="auto" w:before="10"/>
        <w:rPr>
          <w:rFonts w:ascii="宋体" w:hAnsi="宋体" w:cs="宋体" w:eastAsia="宋体" w:hint="default"/>
          <w:sz w:val="5"/>
          <w:szCs w:val="5"/>
        </w:rPr>
      </w:pPr>
    </w:p>
    <w:tbl>
      <w:tblPr>
        <w:tblW w:w="0" w:type="auto"/>
        <w:jc w:val="left"/>
        <w:tblInd w:w="164" w:type="dxa"/>
        <w:tblLayout w:type="fixed"/>
        <w:tblCellMar>
          <w:top w:w="0" w:type="dxa"/>
          <w:left w:w="0" w:type="dxa"/>
          <w:bottom w:w="0" w:type="dxa"/>
          <w:right w:w="0" w:type="dxa"/>
        </w:tblCellMar>
        <w:tblLook w:val="01E0"/>
      </w:tblPr>
      <w:tblGrid>
        <w:gridCol w:w="7891"/>
        <w:gridCol w:w="1738"/>
      </w:tblGrid>
      <w:tr>
        <w:trPr>
          <w:trHeight w:val="1247" w:hRule="exact"/>
        </w:trPr>
        <w:tc>
          <w:tcPr>
            <w:tcW w:w="9628" w:type="dxa"/>
            <w:gridSpan w:val="2"/>
            <w:tcBorders>
              <w:top w:val="nil" w:sz="6" w:space="0" w:color="auto"/>
              <w:left w:val="nil" w:sz="6" w:space="0" w:color="auto"/>
              <w:bottom w:val="nil" w:sz="6" w:space="0" w:color="auto"/>
              <w:right w:val="nil" w:sz="6" w:space="0" w:color="auto"/>
            </w:tcBorders>
            <w:shd w:val="clear" w:color="auto" w:fill="D2D2D2"/>
          </w:tcPr>
          <w:p>
            <w:pPr>
              <w:pStyle w:val="TableParagraph"/>
              <w:tabs>
                <w:tab w:pos="5712" w:val="left" w:leader="none"/>
              </w:tabs>
              <w:spacing w:line="240" w:lineRule="auto" w:before="13"/>
              <w:ind w:left="1853" w:right="0"/>
              <w:jc w:val="center"/>
              <w:rPr>
                <w:rFonts w:ascii="宋体" w:hAnsi="宋体" w:cs="宋体" w:eastAsia="宋体" w:hint="default"/>
                <w:sz w:val="18"/>
                <w:szCs w:val="18"/>
              </w:rPr>
            </w:pPr>
            <w:r>
              <w:rPr>
                <w:rFonts w:ascii="宋体" w:hAnsi="宋体" w:cs="宋体" w:eastAsia="宋体" w:hint="default"/>
                <w:sz w:val="18"/>
                <w:szCs w:val="18"/>
              </w:rPr>
              <w:t>期末数</w:t>
              <w:tab/>
              <w:t>期初数</w:t>
            </w:r>
          </w:p>
          <w:p>
            <w:pPr>
              <w:pStyle w:val="TableParagraph"/>
              <w:tabs>
                <w:tab w:pos="2727" w:val="left" w:leader="none"/>
                <w:tab w:pos="6476" w:val="left" w:leader="none"/>
              </w:tabs>
              <w:spacing w:line="300" w:lineRule="exact" w:before="88"/>
              <w:ind w:left="732" w:right="0"/>
              <w:jc w:val="left"/>
              <w:rPr>
                <w:rFonts w:ascii="宋体" w:hAnsi="宋体" w:cs="宋体" w:eastAsia="宋体" w:hint="default"/>
                <w:sz w:val="18"/>
                <w:szCs w:val="18"/>
              </w:rPr>
            </w:pPr>
            <w:r>
              <w:rPr>
                <w:rFonts w:ascii="宋体" w:hAnsi="宋体" w:cs="宋体" w:eastAsia="宋体" w:hint="default"/>
                <w:position w:val="-9"/>
                <w:sz w:val="18"/>
                <w:szCs w:val="18"/>
              </w:rPr>
              <w:t>账龄</w:t>
              <w:tab/>
            </w:r>
            <w:r>
              <w:rPr>
                <w:rFonts w:ascii="宋体" w:hAnsi="宋体" w:cs="宋体" w:eastAsia="宋体" w:hint="default"/>
                <w:sz w:val="18"/>
                <w:szCs w:val="18"/>
              </w:rPr>
              <w:t>账面余额</w:t>
              <w:tab/>
              <w:t>账面余额</w:t>
            </w:r>
          </w:p>
          <w:p>
            <w:pPr>
              <w:pStyle w:val="TableParagraph"/>
              <w:tabs>
                <w:tab w:pos="4700" w:val="left" w:leader="none"/>
                <w:tab w:pos="7381" w:val="left" w:leader="none"/>
                <w:tab w:pos="8365" w:val="left" w:leader="none"/>
              </w:tabs>
              <w:spacing w:line="260" w:lineRule="exact"/>
              <w:ind w:left="3826" w:right="0"/>
              <w:jc w:val="left"/>
              <w:rPr>
                <w:rFonts w:ascii="宋体" w:hAnsi="宋体" w:cs="宋体" w:eastAsia="宋体" w:hint="default"/>
                <w:sz w:val="18"/>
                <w:szCs w:val="18"/>
              </w:rPr>
            </w:pPr>
            <w:r>
              <w:rPr>
                <w:rFonts w:ascii="宋体" w:hAnsi="宋体" w:cs="宋体" w:eastAsia="宋体" w:hint="default"/>
                <w:position w:val="-5"/>
                <w:sz w:val="18"/>
                <w:szCs w:val="18"/>
              </w:rPr>
              <w:t>比例</w:t>
              <w:tab/>
            </w:r>
            <w:r>
              <w:rPr>
                <w:rFonts w:ascii="宋体" w:hAnsi="宋体" w:cs="宋体" w:eastAsia="宋体" w:hint="default"/>
                <w:sz w:val="18"/>
                <w:szCs w:val="18"/>
              </w:rPr>
              <w:t>坏账准备</w:t>
              <w:tab/>
            </w:r>
            <w:r>
              <w:rPr>
                <w:rFonts w:ascii="宋体" w:hAnsi="宋体" w:cs="宋体" w:eastAsia="宋体" w:hint="default"/>
                <w:position w:val="-5"/>
                <w:sz w:val="18"/>
                <w:szCs w:val="18"/>
              </w:rPr>
              <w:t>比例</w:t>
              <w:tab/>
            </w:r>
            <w:r>
              <w:rPr>
                <w:rFonts w:ascii="宋体" w:hAnsi="宋体" w:cs="宋体" w:eastAsia="宋体" w:hint="default"/>
                <w:sz w:val="18"/>
                <w:szCs w:val="18"/>
              </w:rPr>
              <w:t>坏账准备</w:t>
            </w:r>
          </w:p>
          <w:p>
            <w:pPr>
              <w:pStyle w:val="TableParagraph"/>
              <w:tabs>
                <w:tab w:pos="7426" w:val="left" w:leader="none"/>
              </w:tabs>
              <w:spacing w:line="240" w:lineRule="auto" w:before="22"/>
              <w:ind w:left="3872" w:right="0"/>
              <w:jc w:val="left"/>
              <w:rPr>
                <w:rFonts w:ascii="Times New Roman" w:hAnsi="Times New Roman" w:cs="Times New Roman" w:eastAsia="Times New Roman" w:hint="default"/>
                <w:sz w:val="18"/>
                <w:szCs w:val="18"/>
              </w:rPr>
            </w:pPr>
            <w:r>
              <w:rPr>
                <w:rFonts w:ascii="Times New Roman"/>
                <w:spacing w:val="-1"/>
                <w:sz w:val="18"/>
              </w:rPr>
              <w:t>(%)</w:t>
              <w:tab/>
              <w:t>(%)</w:t>
            </w:r>
          </w:p>
        </w:tc>
      </w:tr>
      <w:tr>
        <w:trPr>
          <w:trHeight w:val="260" w:hRule="exact"/>
        </w:trPr>
        <w:tc>
          <w:tcPr>
            <w:tcW w:w="7891"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94"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738" w:type="dxa"/>
            <w:tcBorders>
              <w:top w:val="nil" w:sz="6" w:space="0" w:color="auto"/>
              <w:left w:val="nil" w:sz="6" w:space="0" w:color="auto"/>
              <w:bottom w:val="nil" w:sz="6" w:space="0" w:color="auto"/>
              <w:right w:val="nil" w:sz="6" w:space="0" w:color="auto"/>
            </w:tcBorders>
            <w:shd w:val="clear" w:color="auto" w:fill="D2D2D2"/>
          </w:tcPr>
          <w:p>
            <w:pPr/>
          </w:p>
        </w:tc>
      </w:tr>
      <w:tr>
        <w:trPr>
          <w:trHeight w:val="310" w:hRule="exact"/>
        </w:trPr>
        <w:tc>
          <w:tcPr>
            <w:tcW w:w="7891"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38" w:type="dxa"/>
            <w:tcBorders>
              <w:top w:val="nil" w:sz="6" w:space="0" w:color="auto"/>
              <w:left w:val="nil" w:sz="6" w:space="0" w:color="auto"/>
              <w:bottom w:val="nil" w:sz="6" w:space="0" w:color="auto"/>
              <w:right w:val="nil" w:sz="6" w:space="0" w:color="auto"/>
            </w:tcBorders>
            <w:shd w:val="clear" w:color="auto" w:fill="D2D2D2"/>
          </w:tcPr>
          <w:p>
            <w:pPr/>
          </w:p>
        </w:tc>
      </w:tr>
      <w:tr>
        <w:trPr>
          <w:trHeight w:val="331" w:hRule="exact"/>
        </w:trPr>
        <w:tc>
          <w:tcPr>
            <w:tcW w:w="7891" w:type="dxa"/>
            <w:tcBorders>
              <w:top w:val="nil" w:sz="6" w:space="0" w:color="auto"/>
              <w:left w:val="nil" w:sz="6" w:space="0" w:color="auto"/>
              <w:bottom w:val="nil" w:sz="6" w:space="0" w:color="auto"/>
              <w:right w:val="nil" w:sz="6" w:space="0" w:color="auto"/>
            </w:tcBorders>
          </w:tcPr>
          <w:p>
            <w:pPr>
              <w:pStyle w:val="TableParagraph"/>
              <w:tabs>
                <w:tab w:pos="2705" w:val="left" w:leader="none"/>
                <w:tab w:pos="4944" w:val="left" w:leader="none"/>
                <w:tab w:pos="6258" w:val="left" w:leader="none"/>
                <w:tab w:pos="7532" w:val="left" w:leader="none"/>
              </w:tabs>
              <w:spacing w:line="240" w:lineRule="auto" w:before="20"/>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tab/>
            </w:r>
            <w:r>
              <w:rPr>
                <w:rFonts w:ascii="Times New Roman" w:hAnsi="Times New Roman" w:cs="Times New Roman" w:eastAsia="Times New Roman" w:hint="default"/>
                <w:spacing w:val="-1"/>
                <w:sz w:val="18"/>
                <w:szCs w:val="18"/>
              </w:rPr>
              <w:t>4,696,692.25</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69.02%</w:t>
              <w:tab/>
            </w:r>
            <w:r>
              <w:rPr>
                <w:rFonts w:ascii="Times New Roman" w:hAnsi="Times New Roman" w:cs="Times New Roman" w:eastAsia="Times New Roman" w:hint="default"/>
                <w:spacing w:val="-1"/>
                <w:sz w:val="18"/>
                <w:szCs w:val="18"/>
              </w:rPr>
              <w:t>234,834.68</w:t>
              <w:tab/>
              <w:t>5,733,191.86</w:t>
              <w:tab/>
            </w:r>
            <w:r>
              <w:rPr>
                <w:rFonts w:ascii="Times New Roman" w:hAnsi="Times New Roman" w:cs="Times New Roman" w:eastAsia="Times New Roman" w:hint="default"/>
                <w:spacing w:val="1"/>
                <w:sz w:val="18"/>
                <w:szCs w:val="18"/>
              </w:rPr>
              <w:t>67%</w:t>
            </w:r>
            <w:r>
              <w:rPr>
                <w:rFonts w:ascii="Times New Roman" w:hAnsi="Times New Roman" w:cs="Times New Roman" w:eastAsia="Times New Roman" w:hint="default"/>
                <w:sz w:val="18"/>
                <w:szCs w:val="18"/>
              </w:rPr>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830" w:right="0"/>
              <w:jc w:val="left"/>
              <w:rPr>
                <w:rFonts w:ascii="Times New Roman" w:hAnsi="Times New Roman" w:cs="Times New Roman" w:eastAsia="Times New Roman" w:hint="default"/>
                <w:sz w:val="18"/>
                <w:szCs w:val="18"/>
              </w:rPr>
            </w:pPr>
            <w:r>
              <w:rPr>
                <w:rFonts w:ascii="Times New Roman"/>
                <w:sz w:val="18"/>
              </w:rPr>
              <w:t>286,659.61</w:t>
            </w:r>
          </w:p>
        </w:tc>
      </w:tr>
      <w:tr>
        <w:trPr>
          <w:trHeight w:val="324" w:hRule="exact"/>
        </w:trPr>
        <w:tc>
          <w:tcPr>
            <w:tcW w:w="7891" w:type="dxa"/>
            <w:tcBorders>
              <w:top w:val="nil" w:sz="6" w:space="0" w:color="auto"/>
              <w:left w:val="nil" w:sz="6" w:space="0" w:color="auto"/>
              <w:bottom w:val="nil" w:sz="6" w:space="0" w:color="auto"/>
              <w:right w:val="nil" w:sz="6" w:space="0" w:color="auto"/>
            </w:tcBorders>
          </w:tcPr>
          <w:p>
            <w:pPr>
              <w:pStyle w:val="TableParagraph"/>
              <w:tabs>
                <w:tab w:pos="2840" w:val="left" w:leader="none"/>
                <w:tab w:pos="5036" w:val="left" w:leader="none"/>
                <w:tab w:pos="6258" w:val="left" w:leader="none"/>
              </w:tabs>
              <w:spacing w:line="240" w:lineRule="auto" w:before="13"/>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tab/>
            </w:r>
            <w:r>
              <w:rPr>
                <w:rFonts w:ascii="Times New Roman" w:hAnsi="Times New Roman" w:cs="Times New Roman" w:eastAsia="Times New Roman" w:hint="default"/>
                <w:spacing w:val="-1"/>
                <w:sz w:val="18"/>
                <w:szCs w:val="18"/>
              </w:rPr>
              <w:t>789,568.87</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pacing w:val="-2"/>
                <w:sz w:val="18"/>
                <w:szCs w:val="18"/>
              </w:rPr>
              <w:t>11.6%</w:t>
              <w:tab/>
            </w:r>
            <w:r>
              <w:rPr>
                <w:rFonts w:ascii="Times New Roman" w:hAnsi="Times New Roman" w:cs="Times New Roman" w:eastAsia="Times New Roman" w:hint="default"/>
                <w:spacing w:val="-1"/>
                <w:sz w:val="18"/>
                <w:szCs w:val="18"/>
              </w:rPr>
              <w:t>78,956.88</w:t>
              <w:tab/>
              <w:t>1,572,465.65</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18.38%</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30" w:right="0"/>
              <w:jc w:val="left"/>
              <w:rPr>
                <w:rFonts w:ascii="Times New Roman" w:hAnsi="Times New Roman" w:cs="Times New Roman" w:eastAsia="Times New Roman" w:hint="default"/>
                <w:sz w:val="18"/>
                <w:szCs w:val="18"/>
              </w:rPr>
            </w:pPr>
            <w:r>
              <w:rPr>
                <w:rFonts w:ascii="Times New Roman"/>
                <w:sz w:val="18"/>
              </w:rPr>
              <w:t>157,246.60</w:t>
            </w:r>
          </w:p>
        </w:tc>
      </w:tr>
      <w:tr>
        <w:trPr>
          <w:trHeight w:val="322" w:hRule="exact"/>
        </w:trPr>
        <w:tc>
          <w:tcPr>
            <w:tcW w:w="7891" w:type="dxa"/>
            <w:tcBorders>
              <w:top w:val="nil" w:sz="6" w:space="0" w:color="auto"/>
              <w:left w:val="nil" w:sz="6" w:space="0" w:color="auto"/>
              <w:bottom w:val="nil" w:sz="6" w:space="0" w:color="auto"/>
              <w:right w:val="nil" w:sz="6" w:space="0" w:color="auto"/>
            </w:tcBorders>
          </w:tcPr>
          <w:p>
            <w:pPr>
              <w:pStyle w:val="TableParagraph"/>
              <w:tabs>
                <w:tab w:pos="2840" w:val="left" w:leader="none"/>
                <w:tab w:pos="5036" w:val="left" w:leader="none"/>
                <w:tab w:pos="6392" w:val="left" w:leader="none"/>
              </w:tabs>
              <w:spacing w:line="240" w:lineRule="auto" w:before="13"/>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tab/>
            </w:r>
            <w:r>
              <w:rPr>
                <w:rFonts w:ascii="Times New Roman" w:hAnsi="Times New Roman" w:cs="Times New Roman" w:eastAsia="Times New Roman" w:hint="default"/>
                <w:spacing w:val="-1"/>
                <w:sz w:val="18"/>
                <w:szCs w:val="18"/>
              </w:rPr>
              <w:t>241,179.82</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3.54%</w:t>
              <w:tab/>
            </w:r>
            <w:r>
              <w:rPr>
                <w:rFonts w:ascii="Times New Roman" w:hAnsi="Times New Roman" w:cs="Times New Roman" w:eastAsia="Times New Roman" w:hint="default"/>
                <w:spacing w:val="-1"/>
                <w:sz w:val="18"/>
                <w:szCs w:val="18"/>
              </w:rPr>
              <w:t>72,353.95</w:t>
              <w:tab/>
              <w:t>866,594.10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10.13%</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30" w:right="0"/>
              <w:jc w:val="left"/>
              <w:rPr>
                <w:rFonts w:ascii="Times New Roman" w:hAnsi="Times New Roman" w:cs="Times New Roman" w:eastAsia="Times New Roman" w:hint="default"/>
                <w:sz w:val="18"/>
                <w:szCs w:val="18"/>
              </w:rPr>
            </w:pPr>
            <w:r>
              <w:rPr>
                <w:rFonts w:ascii="Times New Roman"/>
                <w:sz w:val="18"/>
              </w:rPr>
              <w:t>259,978.23</w:t>
            </w:r>
          </w:p>
        </w:tc>
      </w:tr>
      <w:tr>
        <w:trPr>
          <w:trHeight w:val="324" w:hRule="exact"/>
        </w:trPr>
        <w:tc>
          <w:tcPr>
            <w:tcW w:w="7891" w:type="dxa"/>
            <w:tcBorders>
              <w:top w:val="nil" w:sz="6" w:space="0" w:color="auto"/>
              <w:left w:val="nil" w:sz="6" w:space="0" w:color="auto"/>
              <w:bottom w:val="nil" w:sz="6" w:space="0" w:color="auto"/>
              <w:right w:val="nil" w:sz="6" w:space="0" w:color="auto"/>
            </w:tcBorders>
          </w:tcPr>
          <w:p>
            <w:pPr>
              <w:pStyle w:val="TableParagraph"/>
              <w:tabs>
                <w:tab w:pos="2840" w:val="left" w:leader="none"/>
                <w:tab w:pos="4944" w:val="left" w:leader="none"/>
                <w:tab w:pos="6392" w:val="left" w:leader="none"/>
                <w:tab w:pos="7486" w:val="left" w:leader="none"/>
              </w:tabs>
              <w:spacing w:line="240" w:lineRule="auto" w:before="13"/>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tab/>
            </w:r>
            <w:r>
              <w:rPr>
                <w:rFonts w:ascii="Times New Roman" w:hAnsi="Times New Roman" w:cs="Times New Roman" w:eastAsia="Times New Roman" w:hint="default"/>
                <w:spacing w:val="-1"/>
                <w:sz w:val="18"/>
                <w:szCs w:val="18"/>
              </w:rPr>
              <w:t>706,284.55</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10.38%</w:t>
              <w:tab/>
            </w:r>
            <w:r>
              <w:rPr>
                <w:rFonts w:ascii="Times New Roman" w:hAnsi="Times New Roman" w:cs="Times New Roman" w:eastAsia="Times New Roman" w:hint="default"/>
                <w:spacing w:val="-1"/>
                <w:sz w:val="18"/>
                <w:szCs w:val="18"/>
              </w:rPr>
              <w:t>353,142.28</w:t>
              <w:tab/>
              <w:t>102,465.10</w:t>
              <w:tab/>
            </w:r>
            <w:r>
              <w:rPr>
                <w:rFonts w:ascii="Times New Roman" w:hAnsi="Times New Roman" w:cs="Times New Roman" w:eastAsia="Times New Roman" w:hint="default"/>
                <w:sz w:val="18"/>
                <w:szCs w:val="18"/>
              </w:rPr>
              <w:t>1.2%</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21" w:right="0"/>
              <w:jc w:val="left"/>
              <w:rPr>
                <w:rFonts w:ascii="Times New Roman" w:hAnsi="Times New Roman" w:cs="Times New Roman" w:eastAsia="Times New Roman" w:hint="default"/>
                <w:sz w:val="18"/>
                <w:szCs w:val="18"/>
              </w:rPr>
            </w:pPr>
            <w:r>
              <w:rPr>
                <w:rFonts w:ascii="Times New Roman"/>
                <w:sz w:val="18"/>
              </w:rPr>
              <w:t>51,232.55</w:t>
            </w:r>
          </w:p>
        </w:tc>
      </w:tr>
      <w:tr>
        <w:trPr>
          <w:trHeight w:val="324" w:hRule="exact"/>
        </w:trPr>
        <w:tc>
          <w:tcPr>
            <w:tcW w:w="7891" w:type="dxa"/>
            <w:tcBorders>
              <w:top w:val="nil" w:sz="6" w:space="0" w:color="auto"/>
              <w:left w:val="nil" w:sz="6" w:space="0" w:color="auto"/>
              <w:bottom w:val="nil" w:sz="6" w:space="0" w:color="auto"/>
              <w:right w:val="nil" w:sz="6" w:space="0" w:color="auto"/>
            </w:tcBorders>
          </w:tcPr>
          <w:p>
            <w:pPr>
              <w:pStyle w:val="TableParagraph"/>
              <w:tabs>
                <w:tab w:pos="2840" w:val="left" w:leader="none"/>
                <w:tab w:pos="5036" w:val="left" w:leader="none"/>
                <w:tab w:pos="6483" w:val="left" w:leader="none"/>
              </w:tabs>
              <w:spacing w:line="240" w:lineRule="auto" w:before="13"/>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tab/>
            </w:r>
            <w:r>
              <w:rPr>
                <w:rFonts w:ascii="Times New Roman" w:hAnsi="Times New Roman" w:cs="Times New Roman" w:eastAsia="Times New Roman" w:hint="default"/>
                <w:spacing w:val="-1"/>
                <w:sz w:val="18"/>
                <w:szCs w:val="18"/>
              </w:rPr>
              <w:t>100,045.10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1.47%</w:t>
              <w:tab/>
            </w:r>
            <w:r>
              <w:rPr>
                <w:rFonts w:ascii="Times New Roman" w:hAnsi="Times New Roman" w:cs="Times New Roman" w:eastAsia="Times New Roman" w:hint="default"/>
                <w:spacing w:val="-1"/>
                <w:sz w:val="18"/>
                <w:szCs w:val="18"/>
              </w:rPr>
              <w:t>80,036.08</w:t>
              <w:tab/>
              <w:t>55,500.00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0.65%</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21" w:right="0"/>
              <w:jc w:val="left"/>
              <w:rPr>
                <w:rFonts w:ascii="Times New Roman" w:hAnsi="Times New Roman" w:cs="Times New Roman" w:eastAsia="Times New Roman" w:hint="default"/>
                <w:sz w:val="18"/>
                <w:szCs w:val="18"/>
              </w:rPr>
            </w:pPr>
            <w:r>
              <w:rPr>
                <w:rFonts w:ascii="Times New Roman"/>
                <w:sz w:val="18"/>
              </w:rPr>
              <w:t>44,400.00</w:t>
            </w:r>
          </w:p>
        </w:tc>
      </w:tr>
      <w:tr>
        <w:trPr>
          <w:trHeight w:val="325" w:hRule="exact"/>
        </w:trPr>
        <w:tc>
          <w:tcPr>
            <w:tcW w:w="7891" w:type="dxa"/>
            <w:tcBorders>
              <w:top w:val="nil" w:sz="6" w:space="0" w:color="auto"/>
              <w:left w:val="nil" w:sz="6" w:space="0" w:color="auto"/>
              <w:bottom w:val="nil" w:sz="6" w:space="0" w:color="auto"/>
              <w:right w:val="nil" w:sz="6" w:space="0" w:color="auto"/>
            </w:tcBorders>
          </w:tcPr>
          <w:p>
            <w:pPr>
              <w:pStyle w:val="TableParagraph"/>
              <w:tabs>
                <w:tab w:pos="2840" w:val="left" w:leader="none"/>
                <w:tab w:pos="4944" w:val="left" w:leader="none"/>
                <w:tab w:pos="6392" w:val="left" w:leader="none"/>
              </w:tabs>
              <w:spacing w:line="240" w:lineRule="auto" w:before="13"/>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tab/>
            </w:r>
            <w:r>
              <w:rPr>
                <w:rFonts w:ascii="Times New Roman" w:hAnsi="Times New Roman" w:cs="Times New Roman" w:eastAsia="Times New Roman" w:hint="default"/>
                <w:spacing w:val="-1"/>
                <w:sz w:val="18"/>
                <w:szCs w:val="18"/>
              </w:rPr>
              <w:t>271,057.40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3.99%</w:t>
              <w:tab/>
            </w:r>
            <w:r>
              <w:rPr>
                <w:rFonts w:ascii="Times New Roman" w:hAnsi="Times New Roman" w:cs="Times New Roman" w:eastAsia="Times New Roman" w:hint="default"/>
                <w:spacing w:val="-1"/>
                <w:sz w:val="18"/>
                <w:szCs w:val="18"/>
              </w:rPr>
              <w:t>271,057.40</w:t>
              <w:tab/>
              <w:t>226,657.40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2.64%</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30" w:right="0"/>
              <w:jc w:val="left"/>
              <w:rPr>
                <w:rFonts w:ascii="Times New Roman" w:hAnsi="Times New Roman" w:cs="Times New Roman" w:eastAsia="Times New Roman" w:hint="default"/>
                <w:sz w:val="18"/>
                <w:szCs w:val="18"/>
              </w:rPr>
            </w:pPr>
            <w:r>
              <w:rPr>
                <w:rFonts w:ascii="Times New Roman"/>
                <w:sz w:val="18"/>
              </w:rPr>
              <w:t>226,657.40</w:t>
            </w:r>
          </w:p>
        </w:tc>
      </w:tr>
      <w:tr>
        <w:trPr>
          <w:trHeight w:val="324" w:hRule="exact"/>
        </w:trPr>
        <w:tc>
          <w:tcPr>
            <w:tcW w:w="7891" w:type="dxa"/>
            <w:tcBorders>
              <w:top w:val="nil" w:sz="6" w:space="0" w:color="auto"/>
              <w:left w:val="nil" w:sz="6" w:space="0" w:color="auto"/>
              <w:bottom w:val="nil" w:sz="6" w:space="0" w:color="auto"/>
              <w:right w:val="nil" w:sz="6" w:space="0" w:color="auto"/>
            </w:tcBorders>
          </w:tcPr>
          <w:p>
            <w:pPr>
              <w:pStyle w:val="TableParagraph"/>
              <w:tabs>
                <w:tab w:pos="2705" w:val="left" w:leader="none"/>
                <w:tab w:pos="3946" w:val="left" w:leader="none"/>
                <w:tab w:pos="4810" w:val="left" w:leader="none"/>
                <w:tab w:pos="6265" w:val="left" w:leader="none"/>
                <w:tab w:pos="7501" w:val="left" w:leader="none"/>
              </w:tabs>
              <w:spacing w:line="240" w:lineRule="auto" w:before="1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6,804,827.99</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1,090,381.27</w:t>
              <w:tab/>
              <w:t>8,556,874.11</w:t>
              <w:tab/>
            </w:r>
            <w:r>
              <w:rPr>
                <w:rFonts w:ascii="Times New Roman" w:hAnsi="Times New Roman" w:cs="Times New Roman" w:eastAsia="Times New Roman" w:hint="default"/>
                <w:sz w:val="18"/>
                <w:szCs w:val="18"/>
              </w:rPr>
              <w:t>--</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96" w:right="0"/>
              <w:jc w:val="left"/>
              <w:rPr>
                <w:rFonts w:ascii="Times New Roman" w:hAnsi="Times New Roman" w:cs="Times New Roman" w:eastAsia="Times New Roman" w:hint="default"/>
                <w:sz w:val="18"/>
                <w:szCs w:val="18"/>
              </w:rPr>
            </w:pPr>
            <w:r>
              <w:rPr>
                <w:rFonts w:ascii="Times New Roman"/>
                <w:sz w:val="18"/>
              </w:rPr>
              <w:t>1,026,174.39</w:t>
            </w:r>
          </w:p>
        </w:tc>
      </w:tr>
      <w:tr>
        <w:trPr>
          <w:trHeight w:val="414" w:hRule="exact"/>
        </w:trPr>
        <w:tc>
          <w:tcPr>
            <w:tcW w:w="789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3" w:right="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tc>
        <w:tc>
          <w:tcPr>
            <w:tcW w:w="1738" w:type="dxa"/>
            <w:tcBorders>
              <w:top w:val="nil" w:sz="6" w:space="0" w:color="auto"/>
              <w:left w:val="nil" w:sz="6" w:space="0" w:color="auto"/>
              <w:bottom w:val="nil" w:sz="6" w:space="0" w:color="auto"/>
              <w:right w:val="nil" w:sz="6" w:space="0" w:color="auto"/>
            </w:tcBorders>
          </w:tcPr>
          <w:p>
            <w:pPr/>
          </w:p>
        </w:tc>
      </w:tr>
      <w:tr>
        <w:trPr>
          <w:trHeight w:val="359" w:hRule="exact"/>
        </w:trPr>
        <w:tc>
          <w:tcPr>
            <w:tcW w:w="789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tc>
        <w:tc>
          <w:tcPr>
            <w:tcW w:w="1738" w:type="dxa"/>
            <w:tcBorders>
              <w:top w:val="nil" w:sz="6" w:space="0" w:color="auto"/>
              <w:left w:val="nil" w:sz="6" w:space="0" w:color="auto"/>
              <w:bottom w:val="nil" w:sz="6" w:space="0" w:color="auto"/>
              <w:right w:val="nil" w:sz="6" w:space="0" w:color="auto"/>
            </w:tcBorders>
          </w:tcPr>
          <w:p>
            <w:pPr/>
          </w:p>
        </w:tc>
      </w:tr>
      <w:tr>
        <w:trPr>
          <w:trHeight w:val="349" w:hRule="exact"/>
        </w:trPr>
        <w:tc>
          <w:tcPr>
            <w:tcW w:w="789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3" w:right="0"/>
              <w:jc w:val="left"/>
              <w:rPr>
                <w:rFonts w:ascii="宋体" w:hAnsi="宋体" w:cs="宋体" w:eastAsia="宋体" w:hint="default"/>
                <w:sz w:val="18"/>
                <w:szCs w:val="18"/>
              </w:rPr>
            </w:pPr>
            <w:r>
              <w:rPr>
                <w:rFonts w:ascii="宋体" w:hAnsi="宋体" w:cs="宋体" w:eastAsia="宋体" w:hint="default"/>
                <w:sz w:val="18"/>
                <w:szCs w:val="18"/>
              </w:rPr>
              <w:t>组合中，采用其他方法计提坏账准备的其他应收款</w:t>
            </w:r>
          </w:p>
        </w:tc>
        <w:tc>
          <w:tcPr>
            <w:tcW w:w="1738" w:type="dxa"/>
            <w:tcBorders>
              <w:top w:val="nil" w:sz="6" w:space="0" w:color="auto"/>
              <w:left w:val="nil" w:sz="6" w:space="0" w:color="auto"/>
              <w:bottom w:val="nil" w:sz="6" w:space="0" w:color="auto"/>
              <w:right w:val="nil" w:sz="6" w:space="0" w:color="auto"/>
            </w:tcBorders>
          </w:tcPr>
          <w:p>
            <w:pPr/>
          </w:p>
        </w:tc>
      </w:tr>
      <w:tr>
        <w:trPr>
          <w:trHeight w:val="707" w:hRule="exact"/>
        </w:trPr>
        <w:tc>
          <w:tcPr>
            <w:tcW w:w="7891" w:type="dxa"/>
            <w:tcBorders>
              <w:top w:val="nil" w:sz="6" w:space="0" w:color="auto"/>
              <w:left w:val="nil" w:sz="6" w:space="0" w:color="auto"/>
              <w:bottom w:val="nil" w:sz="6" w:space="0" w:color="auto"/>
              <w:right w:val="nil" w:sz="6" w:space="0" w:color="auto"/>
            </w:tcBorders>
          </w:tcPr>
          <w:p>
            <w:pPr>
              <w:pStyle w:val="TableParagraph"/>
              <w:spacing w:line="340" w:lineRule="auto" w:before="31"/>
              <w:ind w:left="-13" w:right="340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期末单项金额虽不重大但单项计提坏账准备的其他应收款</w:t>
            </w:r>
          </w:p>
        </w:tc>
        <w:tc>
          <w:tcPr>
            <w:tcW w:w="1738" w:type="dxa"/>
            <w:tcBorders>
              <w:top w:val="nil" w:sz="6" w:space="0" w:color="auto"/>
              <w:left w:val="nil" w:sz="6" w:space="0" w:color="auto"/>
              <w:bottom w:val="nil" w:sz="6" w:space="0" w:color="auto"/>
              <w:right w:val="nil" w:sz="6" w:space="0" w:color="auto"/>
            </w:tcBorders>
          </w:tcPr>
          <w:p>
            <w:pPr/>
          </w:p>
        </w:tc>
      </w:tr>
      <w:tr>
        <w:trPr>
          <w:trHeight w:val="452" w:hRule="exact"/>
        </w:trPr>
        <w:tc>
          <w:tcPr>
            <w:tcW w:w="789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tc>
        <w:tc>
          <w:tcPr>
            <w:tcW w:w="1738" w:type="dxa"/>
            <w:tcBorders>
              <w:top w:val="nil" w:sz="6" w:space="0" w:color="auto"/>
              <w:left w:val="nil" w:sz="6" w:space="0" w:color="auto"/>
              <w:bottom w:val="nil" w:sz="6" w:space="0" w:color="auto"/>
              <w:right w:val="nil" w:sz="6" w:space="0" w:color="auto"/>
            </w:tcBorders>
          </w:tcPr>
          <w:p>
            <w:pPr/>
          </w:p>
        </w:tc>
      </w:tr>
      <w:tr>
        <w:trPr>
          <w:trHeight w:val="569" w:hRule="exact"/>
        </w:trPr>
        <w:tc>
          <w:tcPr>
            <w:tcW w:w="789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3"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）本报告期转回或收回的其他应收款情况</w:t>
            </w:r>
            <w:r>
              <w:rPr>
                <w:rFonts w:ascii="宋体" w:hAnsi="宋体" w:cs="宋体" w:eastAsia="宋体" w:hint="default"/>
                <w:sz w:val="21"/>
                <w:szCs w:val="21"/>
              </w:rPr>
            </w:r>
          </w:p>
        </w:tc>
        <w:tc>
          <w:tcPr>
            <w:tcW w:w="1738" w:type="dxa"/>
            <w:tcBorders>
              <w:top w:val="nil" w:sz="6" w:space="0" w:color="auto"/>
              <w:left w:val="nil" w:sz="6" w:space="0" w:color="auto"/>
              <w:bottom w:val="nil" w:sz="6" w:space="0" w:color="auto"/>
              <w:right w:val="nil" w:sz="6" w:space="0" w:color="auto"/>
            </w:tcBorders>
          </w:tcPr>
          <w:p>
            <w:pPr/>
          </w:p>
        </w:tc>
      </w:tr>
      <w:tr>
        <w:trPr>
          <w:trHeight w:val="532" w:hRule="exact"/>
        </w:trPr>
        <w:tc>
          <w:tcPr>
            <w:tcW w:w="789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38" w:type="dxa"/>
            <w:tcBorders>
              <w:top w:val="nil" w:sz="6" w:space="0" w:color="auto"/>
              <w:left w:val="nil" w:sz="6" w:space="0" w:color="auto"/>
              <w:bottom w:val="nil" w:sz="6" w:space="0" w:color="auto"/>
              <w:right w:val="nil" w:sz="6" w:space="0" w:color="auto"/>
            </w:tcBorders>
          </w:tcPr>
          <w:p>
            <w:pPr/>
          </w:p>
        </w:tc>
      </w:tr>
      <w:tr>
        <w:trPr>
          <w:trHeight w:val="575" w:hRule="exact"/>
        </w:trPr>
        <w:tc>
          <w:tcPr>
            <w:tcW w:w="7891"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3"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）本报告期实际核销的其他应收款情况</w:t>
            </w:r>
            <w:r>
              <w:rPr>
                <w:rFonts w:ascii="宋体" w:hAnsi="宋体" w:cs="宋体" w:eastAsia="宋体" w:hint="default"/>
                <w:sz w:val="21"/>
                <w:szCs w:val="21"/>
              </w:rPr>
            </w:r>
          </w:p>
        </w:tc>
        <w:tc>
          <w:tcPr>
            <w:tcW w:w="1738" w:type="dxa"/>
            <w:tcBorders>
              <w:top w:val="nil" w:sz="6" w:space="0" w:color="auto"/>
              <w:left w:val="nil" w:sz="6" w:space="0" w:color="auto"/>
              <w:bottom w:val="nil" w:sz="6" w:space="0" w:color="auto"/>
              <w:right w:val="nil" w:sz="6" w:space="0" w:color="auto"/>
            </w:tcBorders>
          </w:tcPr>
          <w:p>
            <w:pPr/>
          </w:p>
        </w:tc>
      </w:tr>
      <w:tr>
        <w:trPr>
          <w:trHeight w:val="532" w:hRule="exact"/>
        </w:trPr>
        <w:tc>
          <w:tcPr>
            <w:tcW w:w="789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38" w:type="dxa"/>
            <w:tcBorders>
              <w:top w:val="nil" w:sz="6" w:space="0" w:color="auto"/>
              <w:left w:val="nil" w:sz="6" w:space="0" w:color="auto"/>
              <w:bottom w:val="nil" w:sz="6" w:space="0" w:color="auto"/>
              <w:right w:val="nil" w:sz="6" w:space="0" w:color="auto"/>
            </w:tcBorders>
          </w:tcPr>
          <w:p>
            <w:pPr/>
          </w:p>
        </w:tc>
      </w:tr>
      <w:tr>
        <w:trPr>
          <w:trHeight w:val="575" w:hRule="exact"/>
        </w:trPr>
        <w:tc>
          <w:tcPr>
            <w:tcW w:w="7891"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3"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）本报告期其他应收款中持有公司</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tc>
        <w:tc>
          <w:tcPr>
            <w:tcW w:w="1738" w:type="dxa"/>
            <w:tcBorders>
              <w:top w:val="nil" w:sz="6" w:space="0" w:color="auto"/>
              <w:left w:val="nil" w:sz="6" w:space="0" w:color="auto"/>
              <w:bottom w:val="nil" w:sz="6" w:space="0" w:color="auto"/>
              <w:right w:val="nil" w:sz="6" w:space="0" w:color="auto"/>
            </w:tcBorders>
          </w:tcPr>
          <w:p>
            <w:pPr/>
          </w:p>
        </w:tc>
      </w:tr>
      <w:tr>
        <w:trPr>
          <w:trHeight w:val="532" w:hRule="exact"/>
        </w:trPr>
        <w:tc>
          <w:tcPr>
            <w:tcW w:w="789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38" w:type="dxa"/>
            <w:tcBorders>
              <w:top w:val="nil" w:sz="6" w:space="0" w:color="auto"/>
              <w:left w:val="nil" w:sz="6" w:space="0" w:color="auto"/>
              <w:bottom w:val="nil" w:sz="6" w:space="0" w:color="auto"/>
              <w:right w:val="nil" w:sz="6" w:space="0" w:color="auto"/>
            </w:tcBorders>
          </w:tcPr>
          <w:p>
            <w:pPr/>
          </w:p>
        </w:tc>
      </w:tr>
      <w:tr>
        <w:trPr>
          <w:trHeight w:val="576" w:hRule="exact"/>
        </w:trPr>
        <w:tc>
          <w:tcPr>
            <w:tcW w:w="7891"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3"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）金额较大的其他应收款的性质或内容</w:t>
            </w:r>
            <w:r>
              <w:rPr>
                <w:rFonts w:ascii="宋体" w:hAnsi="宋体" w:cs="宋体" w:eastAsia="宋体" w:hint="default"/>
                <w:sz w:val="21"/>
                <w:szCs w:val="21"/>
              </w:rPr>
            </w:r>
          </w:p>
        </w:tc>
        <w:tc>
          <w:tcPr>
            <w:tcW w:w="1738" w:type="dxa"/>
            <w:tcBorders>
              <w:top w:val="nil" w:sz="6" w:space="0" w:color="auto"/>
              <w:left w:val="nil" w:sz="6" w:space="0" w:color="auto"/>
              <w:bottom w:val="nil" w:sz="6" w:space="0" w:color="auto"/>
              <w:right w:val="nil" w:sz="6" w:space="0" w:color="auto"/>
            </w:tcBorders>
          </w:tcPr>
          <w:p>
            <w:pPr/>
          </w:p>
        </w:tc>
      </w:tr>
      <w:tr>
        <w:trPr>
          <w:trHeight w:val="533" w:hRule="exact"/>
        </w:trPr>
        <w:tc>
          <w:tcPr>
            <w:tcW w:w="7891"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38" w:type="dxa"/>
            <w:tcBorders>
              <w:top w:val="nil" w:sz="6" w:space="0" w:color="auto"/>
              <w:left w:val="nil" w:sz="6" w:space="0" w:color="auto"/>
              <w:bottom w:val="nil" w:sz="6" w:space="0" w:color="auto"/>
              <w:right w:val="nil" w:sz="6" w:space="0" w:color="auto"/>
            </w:tcBorders>
          </w:tcPr>
          <w:p>
            <w:pPr/>
          </w:p>
        </w:tc>
      </w:tr>
      <w:tr>
        <w:trPr>
          <w:trHeight w:val="575" w:hRule="exact"/>
        </w:trPr>
        <w:tc>
          <w:tcPr>
            <w:tcW w:w="7891"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3"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）其他应收款金额前五名单位情况</w:t>
            </w:r>
            <w:r>
              <w:rPr>
                <w:rFonts w:ascii="宋体" w:hAnsi="宋体" w:cs="宋体" w:eastAsia="宋体" w:hint="default"/>
                <w:sz w:val="21"/>
                <w:szCs w:val="21"/>
              </w:rPr>
            </w:r>
          </w:p>
        </w:tc>
        <w:tc>
          <w:tcPr>
            <w:tcW w:w="1738" w:type="dxa"/>
            <w:tcBorders>
              <w:top w:val="nil" w:sz="6" w:space="0" w:color="auto"/>
              <w:left w:val="nil" w:sz="6" w:space="0" w:color="auto"/>
              <w:bottom w:val="nil" w:sz="6" w:space="0" w:color="auto"/>
              <w:right w:val="nil" w:sz="6" w:space="0" w:color="auto"/>
            </w:tcBorders>
          </w:tcPr>
          <w:p>
            <w:pPr/>
          </w:p>
        </w:tc>
      </w:tr>
      <w:tr>
        <w:trPr>
          <w:trHeight w:val="451" w:hRule="exact"/>
        </w:trPr>
        <w:tc>
          <w:tcPr>
            <w:tcW w:w="7891"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926"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line="428" w:lineRule="exact"/>
        <w:ind w:left="7817"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95.2pt;height:21.45pt;mso-position-horizontal-relative:char;mso-position-vertical-relative:line" coordorigin="0,0" coordsize="1904,429">
            <v:group style="position:absolute;left:0;top:0;width:1904;height:130" coordorigin="0,0" coordsize="1904,130">
              <v:shape style="position:absolute;left:0;top:0;width:1904;height:130" coordorigin="0,0" coordsize="1904,130" path="m0,130l1904,130,1904,0,0,0,0,130xe" filled="true" fillcolor="#ffffff" stroked="false">
                <v:path arrowok="t"/>
                <v:fill type="solid"/>
              </v:shape>
            </v:group>
            <v:group style="position:absolute;left:11;top:130;width:2;height:288" coordorigin="11,130" coordsize="2,288">
              <v:shape style="position:absolute;left:11;top:130;width:2;height:288" coordorigin="11,130" coordsize="0,288" path="m11,130l11,418e" filled="false" stroked="true" strokeweight="1.104pt" strokecolor="#ffffff">
                <v:path arrowok="t"/>
              </v:shape>
            </v:group>
            <v:group style="position:absolute;left:22;top:130;width:1858;height:288" coordorigin="22,130" coordsize="1858,288">
              <v:shape style="position:absolute;left:22;top:130;width:1858;height:288" coordorigin="22,130" coordsize="1858,288" path="m22,418l1880,418,1880,130,22,130,22,418xe" filled="true" fillcolor="#ffffff" stroked="false">
                <v:path arrowok="t"/>
                <v:fill type="solid"/>
              </v:shape>
            </v:group>
          </v:group>
        </w:pict>
      </w:r>
      <w:r>
        <w:rPr>
          <w:rFonts w:ascii="宋体" w:hAnsi="宋体" w:cs="宋体" w:eastAsia="宋体" w:hint="default"/>
          <w:position w:val="-8"/>
          <w:sz w:val="20"/>
          <w:szCs w:val="20"/>
        </w:rPr>
      </w:r>
    </w:p>
    <w:p>
      <w:pPr>
        <w:spacing w:after="0" w:line="428" w:lineRule="exact"/>
        <w:rPr>
          <w:rFonts w:ascii="宋体" w:hAnsi="宋体" w:cs="宋体" w:eastAsia="宋体" w:hint="default"/>
          <w:sz w:val="20"/>
          <w:szCs w:val="20"/>
        </w:rPr>
        <w:sectPr>
          <w:pgSz w:w="11910" w:h="16840"/>
          <w:pgMar w:header="852" w:footer="980" w:top="1340" w:bottom="1160" w:left="980" w:right="980"/>
        </w:sectPr>
      </w:pP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32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鄞州区收付中心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4.41%</w:t>
            </w:r>
          </w:p>
        </w:tc>
      </w:tr>
      <w:tr>
        <w:trPr>
          <w:trHeight w:val="32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油费备用金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250,000.00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3.67%</w:t>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项目实施备用金</w:t>
            </w:r>
          </w:p>
        </w:tc>
        <w:tc>
          <w:tcPr>
            <w:tcW w:w="1913"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170,182.00</w:t>
            </w:r>
          </w:p>
        </w:tc>
        <w:tc>
          <w:tcPr>
            <w:tcW w:w="1913"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z w:val="18"/>
              </w:rPr>
              <w:t>2.5%</w:t>
            </w:r>
          </w:p>
        </w:tc>
      </w:tr>
      <w:tr>
        <w:trPr>
          <w:trHeight w:val="32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1,615,451.90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23.74%</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192"/>
        <w:gridCol w:w="3187"/>
        <w:gridCol w:w="1064"/>
        <w:gridCol w:w="3053"/>
        <w:gridCol w:w="1063"/>
      </w:tblGrid>
      <w:tr>
        <w:trPr>
          <w:trHeight w:val="166" w:hRule="exact"/>
        </w:trPr>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57" w:hRule="exact"/>
        </w:trPr>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57" w:hRule="exact"/>
        </w:trPr>
        <w:tc>
          <w:tcPr>
            <w:tcW w:w="1192" w:type="dxa"/>
            <w:vMerge/>
            <w:tcBorders>
              <w:left w:val="single" w:sz="4" w:space="0" w:color="000000"/>
              <w:bottom w:val="nil" w:sz="6" w:space="0" w:color="auto"/>
              <w:right w:val="single" w:sz="4" w:space="0" w:color="000000"/>
            </w:tcBorders>
            <w:shd w:val="clear" w:color="auto" w:fill="D2D2D2"/>
          </w:tcPr>
          <w:p>
            <w:pPr/>
          </w:p>
        </w:tc>
        <w:tc>
          <w:tcPr>
            <w:tcW w:w="31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66" w:hRule="exact"/>
        </w:trPr>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7"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37,860,788.27</w:t>
            </w:r>
          </w:p>
        </w:tc>
        <w:tc>
          <w:tcPr>
            <w:tcW w:w="1064" w:type="dxa"/>
            <w:tcBorders>
              <w:top w:val="single" w:sz="4" w:space="0" w:color="000000"/>
              <w:left w:val="single" w:sz="4" w:space="0" w:color="000000"/>
              <w:bottom w:val="single" w:sz="6" w:space="0" w:color="D2D2D2"/>
              <w:right w:val="single" w:sz="4" w:space="0" w:color="000000"/>
            </w:tcBorders>
          </w:tcPr>
          <w:p>
            <w:pPr>
              <w:pStyle w:val="TableParagraph"/>
              <w:spacing w:line="240" w:lineRule="auto" w:before="48"/>
              <w:ind w:left="609" w:right="0"/>
              <w:jc w:val="left"/>
              <w:rPr>
                <w:rFonts w:ascii="Times New Roman" w:hAnsi="Times New Roman" w:cs="Times New Roman" w:eastAsia="Times New Roman" w:hint="default"/>
                <w:sz w:val="18"/>
                <w:szCs w:val="18"/>
              </w:rPr>
            </w:pPr>
            <w:r>
              <w:rPr>
                <w:rFonts w:ascii="Times New Roman"/>
                <w:sz w:val="18"/>
              </w:rPr>
              <w:t>100%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29,625,008.11</w:t>
            </w:r>
          </w:p>
        </w:tc>
        <w:tc>
          <w:tcPr>
            <w:tcW w:w="1063" w:type="dxa"/>
            <w:tcBorders>
              <w:top w:val="single" w:sz="4" w:space="0" w:color="000000"/>
              <w:left w:val="single" w:sz="4" w:space="0" w:color="000000"/>
              <w:bottom w:val="single" w:sz="6" w:space="0" w:color="D2D2D2"/>
              <w:right w:val="single" w:sz="4" w:space="0" w:color="000000"/>
            </w:tcBorders>
          </w:tcPr>
          <w:p>
            <w:pPr>
              <w:pStyle w:val="TableParagraph"/>
              <w:spacing w:line="240" w:lineRule="auto" w:before="48"/>
              <w:ind w:left="609" w:right="0"/>
              <w:jc w:val="left"/>
              <w:rPr>
                <w:rFonts w:ascii="Times New Roman" w:hAnsi="Times New Roman" w:cs="Times New Roman" w:eastAsia="Times New Roman" w:hint="default"/>
                <w:sz w:val="18"/>
                <w:szCs w:val="18"/>
              </w:rPr>
            </w:pPr>
            <w:r>
              <w:rPr>
                <w:rFonts w:ascii="Times New Roman"/>
                <w:sz w:val="18"/>
              </w:rPr>
              <w:t>100%</w:t>
            </w:r>
          </w:p>
        </w:tc>
      </w:tr>
      <w:tr>
        <w:trPr>
          <w:trHeight w:val="324"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48"/>
              <w:ind w:right="7"/>
              <w:jc w:val="right"/>
              <w:rPr>
                <w:rFonts w:ascii="Times New Roman" w:hAnsi="Times New Roman" w:cs="Times New Roman" w:eastAsia="Times New Roman" w:hint="default"/>
                <w:sz w:val="18"/>
                <w:szCs w:val="18"/>
              </w:rPr>
            </w:pPr>
            <w:r>
              <w:rPr>
                <w:rFonts w:ascii="Times New Roman"/>
                <w:spacing w:val="-1"/>
                <w:sz w:val="18"/>
              </w:rPr>
              <w:t>37,860,788.27</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48"/>
              <w:ind w:right="8"/>
              <w:jc w:val="right"/>
              <w:rPr>
                <w:rFonts w:ascii="Times New Roman" w:hAnsi="Times New Roman" w:cs="Times New Roman" w:eastAsia="Times New Roman" w:hint="default"/>
                <w:sz w:val="18"/>
                <w:szCs w:val="18"/>
              </w:rPr>
            </w:pPr>
            <w:r>
              <w:rPr>
                <w:rFonts w:ascii="Times New Roman"/>
                <w:spacing w:val="-1"/>
                <w:sz w:val="18"/>
              </w:rPr>
              <w:t>29,625,008.11</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32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0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7,850,000.00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32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重庆市财政局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6,860,000.00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土地出让金</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39"/>
              <w:jc w:val="left"/>
              <w:rPr>
                <w:rFonts w:ascii="Times New Roman" w:hAnsi="Times New Roman" w:cs="Times New Roman" w:eastAsia="Times New Roman" w:hint="default"/>
                <w:sz w:val="18"/>
                <w:szCs w:val="18"/>
              </w:rPr>
            </w:pPr>
            <w:r>
              <w:rPr>
                <w:rFonts w:ascii="宋体" w:hAnsi="宋体" w:cs="宋体" w:eastAsia="宋体" w:hint="default"/>
                <w:sz w:val="18"/>
                <w:szCs w:val="18"/>
              </w:rPr>
              <w:t>博思软件</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 司</w:t>
            </w:r>
            <w:r>
              <w:rPr>
                <w:rFonts w:ascii="Times New Roman" w:hAnsi="Times New Roman" w:cs="Times New Roman" w:eastAsia="Times New Roman" w:hint="default"/>
                <w:sz w:val="18"/>
                <w:szCs w:val="18"/>
              </w:rPr>
              <w:t>(BMC)</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6,007,078.83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4" w:right="0"/>
              <w:jc w:val="left"/>
              <w:rPr>
                <w:rFonts w:ascii="宋体" w:hAnsi="宋体" w:cs="宋体" w:eastAsia="宋体" w:hint="default"/>
                <w:sz w:val="18"/>
                <w:szCs w:val="18"/>
              </w:rPr>
            </w:pPr>
            <w:r>
              <w:rPr>
                <w:rFonts w:ascii="宋体" w:hAnsi="宋体" w:cs="宋体" w:eastAsia="宋体" w:hint="default"/>
                <w:sz w:val="18"/>
                <w:szCs w:val="18"/>
              </w:rPr>
              <w:t>信亦宏达网络存储技术</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2,530,000.00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56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81"/>
              <w:jc w:val="left"/>
              <w:rPr>
                <w:rFonts w:ascii="宋体" w:hAnsi="宋体" w:cs="宋体" w:eastAsia="宋体" w:hint="default"/>
                <w:sz w:val="18"/>
                <w:szCs w:val="18"/>
              </w:rPr>
            </w:pPr>
            <w:r>
              <w:rPr>
                <w:rFonts w:ascii="宋体" w:hAnsi="宋体" w:cs="宋体" w:eastAsia="宋体" w:hint="default"/>
                <w:sz w:val="18"/>
                <w:szCs w:val="18"/>
              </w:rPr>
              <w:t>益海嘉里食品营销有限 公司天津分公司</w:t>
            </w:r>
          </w:p>
        </w:tc>
        <w:tc>
          <w:tcPr>
            <w:tcW w:w="1913" w:type="dxa"/>
            <w:tcBorders>
              <w:top w:val="single" w:sz="4" w:space="0" w:color="000000"/>
              <w:left w:val="single" w:sz="4" w:space="0" w:color="000000"/>
              <w:bottom w:val="single" w:sz="6" w:space="0" w:color="D2D2D2"/>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1,785,695.92</w:t>
            </w:r>
          </w:p>
        </w:tc>
        <w:tc>
          <w:tcPr>
            <w:tcW w:w="1913" w:type="dxa"/>
            <w:tcBorders>
              <w:top w:val="single" w:sz="4" w:space="0" w:color="000000"/>
              <w:left w:val="single" w:sz="4" w:space="0" w:color="000000"/>
              <w:bottom w:val="single" w:sz="6" w:space="0" w:color="D2D2D2"/>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6" w:space="0" w:color="D2D2D2"/>
              <w:right w:val="single" w:sz="4" w:space="0" w:color="000000"/>
            </w:tcBorders>
          </w:tcPr>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31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18"/>
                <w:szCs w:val="18"/>
              </w:rPr>
            </w:pPr>
            <w:r>
              <w:rPr>
                <w:rFonts w:ascii="Times New Roman"/>
                <w:spacing w:val="-1"/>
                <w:sz w:val="18"/>
              </w:rPr>
              <w:t>25,032,774.75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）本报告期预付款项中持有本公司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after="0" w:line="240" w:lineRule="auto"/>
        <w:jc w:val="left"/>
        <w:sectPr>
          <w:pgSz w:w="11910" w:h="16840"/>
          <w:pgMar w:header="852" w:footer="980" w:top="1340" w:bottom="1160" w:left="980" w:right="980"/>
        </w:sectPr>
      </w:pPr>
    </w:p>
    <w:p>
      <w:pPr>
        <w:pStyle w:val="Heading3"/>
        <w:spacing w:line="240" w:lineRule="auto" w:before="62"/>
        <w:ind w:right="0"/>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99"/>
        <w:gridCol w:w="1462"/>
        <w:gridCol w:w="1193"/>
        <w:gridCol w:w="1330"/>
        <w:gridCol w:w="1327"/>
        <w:gridCol w:w="1330"/>
        <w:gridCol w:w="1327"/>
      </w:tblGrid>
      <w:tr>
        <w:trPr>
          <w:trHeight w:val="16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54" w:hRule="exact"/>
        </w:trPr>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1,628,396.15</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1,628,396.15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1,243,957.41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1,243,957.41</w:t>
            </w:r>
          </w:p>
        </w:tc>
      </w:tr>
      <w:tr>
        <w:trPr>
          <w:trHeight w:val="32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24,486.14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24,486.14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50,819.64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27,628.50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23,191.14</w:t>
            </w:r>
          </w:p>
        </w:tc>
      </w:tr>
      <w:tr>
        <w:trPr>
          <w:trHeight w:val="32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w w:val="95"/>
                <w:sz w:val="18"/>
              </w:rPr>
              <w:t>5,898.50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w w:val="95"/>
                <w:sz w:val="18"/>
              </w:rPr>
              <w:t>5,898.50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w w:val="95"/>
                <w:sz w:val="18"/>
              </w:rPr>
              <w:t>5,898.50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w w:val="95"/>
                <w:sz w:val="18"/>
              </w:rPr>
              <w:t>5,898.50</w:t>
            </w:r>
          </w:p>
        </w:tc>
      </w:tr>
      <w:tr>
        <w:trPr>
          <w:trHeight w:val="32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外购软硬件及服务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94,491,705.40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94,491,705.40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98,508,671.03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98,508,671.03</w:t>
            </w:r>
          </w:p>
        </w:tc>
      </w:tr>
      <w:tr>
        <w:trPr>
          <w:trHeight w:val="32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9,357,807.44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130,540.74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9,227,266.70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266,926.58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168,702.30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98,224.28</w:t>
            </w:r>
          </w:p>
        </w:tc>
      </w:tr>
      <w:tr>
        <w:trPr>
          <w:trHeight w:val="325"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105,508,293.63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155,026.88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105,353,266.75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100,076,273.16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196,330.80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99,879,942.36</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738"/>
        <w:gridCol w:w="1616"/>
        <w:gridCol w:w="1615"/>
        <w:gridCol w:w="1414"/>
        <w:gridCol w:w="1431"/>
        <w:gridCol w:w="1757"/>
      </w:tblGrid>
      <w:tr>
        <w:trPr>
          <w:trHeight w:val="324" w:hRule="exact"/>
        </w:trPr>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24" w:hRule="exact"/>
        </w:trPr>
        <w:tc>
          <w:tcPr>
            <w:tcW w:w="1738"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c>
          <w:tcPr>
            <w:tcW w:w="1615" w:type="dxa"/>
            <w:vMerge/>
            <w:tcBorders>
              <w:left w:val="single" w:sz="4" w:space="0" w:color="000000"/>
              <w:bottom w:val="single" w:sz="4" w:space="0" w:color="000000"/>
              <w:right w:val="single" w:sz="4" w:space="0" w:color="000000"/>
            </w:tcBorders>
            <w:shd w:val="clear" w:color="auto" w:fill="D2D2D2"/>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27,628.50</w:t>
            </w: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w w:val="95"/>
                <w:sz w:val="18"/>
              </w:rPr>
              <w:t>3,142.36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24,486.14</w:t>
            </w:r>
          </w:p>
        </w:tc>
      </w:tr>
      <w:tr>
        <w:trPr>
          <w:trHeight w:val="324"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168,702.30</w:t>
            </w: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38,161.56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130,540.74</w:t>
            </w:r>
          </w:p>
        </w:tc>
      </w:tr>
      <w:tr>
        <w:trPr>
          <w:trHeight w:val="324"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196,330.80</w:t>
            </w: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41,303.92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155,026.88</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3"/>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557"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101" w:right="111"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396" w:right="99"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240" w:lineRule="auto" w:before="8"/>
        <w:ind w:right="0"/>
        <w:jc w:val="left"/>
      </w:pPr>
      <w:r>
        <w:rPr/>
        <w:t>存货的说明</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457"/>
        <w:gridCol w:w="2924"/>
        <w:gridCol w:w="3190"/>
      </w:tblGrid>
      <w:tr>
        <w:trPr>
          <w:trHeight w:val="324"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541"/>
              <w:jc w:val="right"/>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2"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395,378.39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541"/>
              <w:jc w:val="righ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395,378.39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87"/>
        <w:ind w:right="149"/>
        <w:jc w:val="both"/>
      </w:pPr>
      <w:r>
        <w:rPr/>
        <w:t>根据财政部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月发布的财会</w:t>
      </w:r>
      <w:r>
        <w:rPr>
          <w:rFonts w:ascii="Times New Roman" w:hAnsi="Times New Roman" w:cs="Times New Roman" w:eastAsia="Times New Roman" w:hint="default"/>
        </w:rPr>
        <w:t>[2012]13</w:t>
      </w:r>
      <w:r>
        <w:rPr/>
        <w:t>号《营业税改征增值税试点有关企业会计处理规定》的规定，公司全资子公司北</w:t>
      </w:r>
      <w:r>
        <w:rPr>
          <w:spacing w:val="-34"/>
        </w:rPr>
        <w:t> </w:t>
      </w:r>
      <w:r>
        <w:rPr>
          <w:spacing w:val="-34"/>
        </w:rPr>
      </w:r>
      <w:r>
        <w:rPr/>
        <w:t>京新媒传信科技有限公司将期末不得从应税服务的销项税额中抵扣的增值税留抵税额</w:t>
      </w:r>
      <w:r>
        <w:rPr>
          <w:rFonts w:ascii="Times New Roman" w:hAnsi="Times New Roman" w:cs="Times New Roman" w:eastAsia="Times New Roman" w:hint="default"/>
        </w:rPr>
        <w:t>395,378.39</w:t>
      </w:r>
      <w:r>
        <w:rPr/>
        <w:t>元在其他流动资产中列示。</w:t>
      </w:r>
      <w:r>
        <w:rPr>
          <w:spacing w:val="-82"/>
        </w:rPr>
        <w:t> </w:t>
      </w:r>
      <w:r>
        <w:rPr/>
        <w:t>预计上述增值税留抵税额以后年度仍可允许抵扣。</w:t>
      </w:r>
    </w:p>
    <w:p>
      <w:pPr>
        <w:spacing w:line="240" w:lineRule="auto" w:before="12"/>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both"/>
      </w:pPr>
      <w:r>
        <w:rPr/>
        <w:t>无</w:t>
      </w:r>
    </w:p>
    <w:p>
      <w:pPr>
        <w:spacing w:after="0" w:line="240" w:lineRule="auto"/>
        <w:jc w:val="both"/>
        <w:sectPr>
          <w:pgSz w:w="11910" w:h="16840"/>
          <w:pgMar w:header="852" w:footer="980" w:top="1340" w:bottom="1160" w:left="980" w:right="980"/>
        </w:sectPr>
      </w:pPr>
    </w:p>
    <w:p>
      <w:pPr>
        <w:pStyle w:val="Heading3"/>
        <w:spacing w:line="240" w:lineRule="auto" w:before="62"/>
        <w:ind w:right="0"/>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3"/>
        <w:gridCol w:w="1198"/>
        <w:gridCol w:w="1198"/>
      </w:tblGrid>
      <w:tr>
        <w:trPr>
          <w:trHeight w:val="79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0"/>
              <w:ind w:left="504" w:right="53"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0"/>
              <w:ind w:left="369" w:right="50"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52" w:right="5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0"/>
              <w:ind w:left="501" w:right="48"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0"/>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323"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23"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9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82"/>
              <w:jc w:val="both"/>
              <w:rPr>
                <w:rFonts w:ascii="宋体" w:hAnsi="宋体" w:cs="宋体" w:eastAsia="宋体" w:hint="default"/>
                <w:sz w:val="18"/>
                <w:szCs w:val="18"/>
              </w:rPr>
            </w:pPr>
            <w:r>
              <w:rPr>
                <w:rFonts w:ascii="宋体" w:hAnsi="宋体" w:cs="宋体" w:eastAsia="宋体" w:hint="default"/>
                <w:sz w:val="18"/>
                <w:szCs w:val="18"/>
              </w:rPr>
              <w:t>大连华信计算 机技术股份有 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144,526.41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51,041.60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93,484.81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120,486.55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17,482.92</w:t>
            </w:r>
          </w:p>
        </w:tc>
      </w:tr>
      <w:tr>
        <w:trPr>
          <w:trHeight w:val="79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82"/>
              <w:jc w:val="both"/>
              <w:rPr>
                <w:rFonts w:ascii="宋体" w:hAnsi="宋体" w:cs="宋体" w:eastAsia="宋体" w:hint="default"/>
                <w:sz w:val="18"/>
                <w:szCs w:val="18"/>
              </w:rPr>
            </w:pPr>
            <w:r>
              <w:rPr>
                <w:rFonts w:ascii="宋体" w:hAnsi="宋体" w:cs="宋体" w:eastAsia="宋体" w:hint="default"/>
                <w:sz w:val="18"/>
                <w:szCs w:val="18"/>
              </w:rPr>
              <w:t>神州泰岳顶策 科技（北京） 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37.92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177.89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-479.94</w:t>
            </w:r>
          </w:p>
        </w:tc>
      </w:tr>
      <w:tr>
        <w:trPr>
          <w:trHeight w:val="79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82"/>
              <w:jc w:val="both"/>
              <w:rPr>
                <w:rFonts w:ascii="宋体" w:hAnsi="宋体" w:cs="宋体" w:eastAsia="宋体" w:hint="default"/>
                <w:sz w:val="18"/>
                <w:szCs w:val="18"/>
              </w:rPr>
            </w:pPr>
            <w:r>
              <w:rPr>
                <w:rFonts w:ascii="宋体" w:hAnsi="宋体" w:cs="宋体" w:eastAsia="宋体" w:hint="default"/>
                <w:sz w:val="18"/>
                <w:szCs w:val="18"/>
              </w:rPr>
              <w:t>北京盈海益讯 科技发展有限 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445.10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428.31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-171.69</w:t>
            </w:r>
          </w:p>
        </w:tc>
      </w:tr>
      <w:tr>
        <w:trPr>
          <w:trHeight w:val="55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82"/>
              <w:jc w:val="left"/>
              <w:rPr>
                <w:rFonts w:ascii="宋体" w:hAnsi="宋体" w:cs="宋体" w:eastAsia="宋体" w:hint="default"/>
                <w:sz w:val="18"/>
                <w:szCs w:val="18"/>
              </w:rPr>
            </w:pPr>
            <w:r>
              <w:rPr>
                <w:rFonts w:ascii="宋体" w:hAnsi="宋体" w:cs="宋体" w:eastAsia="宋体" w:hint="default"/>
                <w:sz w:val="18"/>
                <w:szCs w:val="18"/>
              </w:rPr>
              <w:t>北京华泰德丰 技术有限公司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1,135.93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43.30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1,092.63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653.53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-871.78</w:t>
            </w:r>
          </w:p>
        </w:tc>
      </w:tr>
    </w:tbl>
    <w:p>
      <w:pPr>
        <w:spacing w:line="240" w:lineRule="auto" w:before="8"/>
        <w:rPr>
          <w:rFonts w:ascii="宋体" w:hAnsi="宋体" w:cs="宋体" w:eastAsia="宋体" w:hint="default"/>
          <w:sz w:val="17"/>
          <w:szCs w:val="17"/>
        </w:rPr>
      </w:pPr>
    </w:p>
    <w:p>
      <w:pPr>
        <w:pStyle w:val="Heading3"/>
        <w:spacing w:line="240" w:lineRule="auto" w:before="36"/>
        <w:ind w:right="0"/>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490"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5"/>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4"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232"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39"/>
              <w:jc w:val="both"/>
              <w:rPr>
                <w:rFonts w:ascii="宋体" w:hAnsi="宋体" w:cs="宋体" w:eastAsia="宋体" w:hint="default"/>
                <w:sz w:val="18"/>
                <w:szCs w:val="18"/>
              </w:rPr>
            </w:pPr>
            <w:r>
              <w:rPr>
                <w:rFonts w:ascii="宋体" w:hAnsi="宋体" w:cs="宋体" w:eastAsia="宋体" w:hint="default"/>
                <w:sz w:val="18"/>
                <w:szCs w:val="18"/>
              </w:rPr>
              <w:t>大连华信 计算机技 术股份有 限公司</w:t>
            </w:r>
          </w:p>
          <w:p>
            <w:pPr>
              <w:pStyle w:val="TableParagraph"/>
              <w:spacing w:line="240" w:lineRule="auto" w:before="20"/>
              <w:ind w:left="24" w:right="0"/>
              <w:jc w:val="both"/>
              <w:rPr>
                <w:rFonts w:ascii="Times New Roman" w:hAnsi="Times New Roman" w:cs="Times New Roman" w:eastAsia="Times New Roman" w:hint="default"/>
                <w:sz w:val="18"/>
                <w:szCs w:val="18"/>
              </w:rPr>
            </w:pPr>
            <w:r>
              <w:rPr>
                <w:rFonts w:ascii="Times New Roman"/>
                <w:spacing w:val="-4"/>
                <w:sz w:val="18"/>
              </w:rPr>
              <w:t>*1</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72,303,84</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96,425,85</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4.96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12,067,12</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3.99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108,492,9</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78.95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.00</w:t>
            </w:r>
          </w:p>
        </w:tc>
      </w:tr>
      <w:tr>
        <w:trPr>
          <w:trHeight w:val="1231"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39"/>
              <w:jc w:val="left"/>
              <w:rPr>
                <w:rFonts w:ascii="宋体" w:hAnsi="宋体" w:cs="宋体" w:eastAsia="宋体" w:hint="default"/>
                <w:sz w:val="18"/>
                <w:szCs w:val="18"/>
              </w:rPr>
            </w:pPr>
            <w:r>
              <w:rPr>
                <w:rFonts w:ascii="宋体" w:hAnsi="宋体" w:cs="宋体" w:eastAsia="宋体" w:hint="default"/>
                <w:sz w:val="18"/>
                <w:szCs w:val="18"/>
              </w:rPr>
              <w:t>神州泰岳 顶策科技</w:t>
            </w:r>
          </w:p>
          <w:p>
            <w:pPr>
              <w:pStyle w:val="TableParagraph"/>
              <w:spacing w:line="236" w:lineRule="exact" w:before="18"/>
              <w:ind w:left="24" w:right="39"/>
              <w:jc w:val="left"/>
              <w:rPr>
                <w:rFonts w:ascii="宋体" w:hAnsi="宋体" w:cs="宋体" w:eastAsia="宋体" w:hint="default"/>
                <w:sz w:val="18"/>
                <w:szCs w:val="18"/>
              </w:rPr>
            </w:pPr>
            <w:r>
              <w:rPr>
                <w:rFonts w:ascii="宋体" w:hAnsi="宋体" w:cs="宋体" w:eastAsia="宋体" w:hint="default"/>
                <w:sz w:val="18"/>
                <w:szCs w:val="18"/>
              </w:rPr>
              <w:t>（北京） 有限公司</w:t>
            </w:r>
          </w:p>
          <w:p>
            <w:pPr>
              <w:pStyle w:val="TableParagraph"/>
              <w:spacing w:line="205" w:lineRule="exact"/>
              <w:ind w:left="24" w:right="0"/>
              <w:jc w:val="left"/>
              <w:rPr>
                <w:rFonts w:ascii="Times New Roman" w:hAnsi="Times New Roman" w:cs="Times New Roman" w:eastAsia="Times New Roman" w:hint="default"/>
                <w:sz w:val="18"/>
                <w:szCs w:val="18"/>
              </w:rPr>
            </w:pPr>
            <w:r>
              <w:rPr>
                <w:rFonts w:ascii="Times New Roman"/>
                <w:spacing w:val="-4"/>
                <w:sz w:val="18"/>
              </w:rPr>
              <w:t>*2</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05" w:lineRule="exact"/>
              <w:ind w:left="45" w:right="0"/>
              <w:jc w:val="left"/>
              <w:rPr>
                <w:rFonts w:ascii="Times New Roman" w:hAnsi="Times New Roman" w:cs="Times New Roman" w:eastAsia="Times New Roman" w:hint="default"/>
                <w:sz w:val="18"/>
                <w:szCs w:val="18"/>
              </w:rPr>
            </w:pPr>
            <w:r>
              <w:rPr>
                <w:rFonts w:ascii="Times New Roman"/>
                <w:sz w:val="18"/>
              </w:rPr>
              <w:t>14,850,00</w:t>
            </w:r>
          </w:p>
          <w:p>
            <w:pPr>
              <w:pStyle w:val="TableParagraph"/>
              <w:spacing w:line="205" w:lineRule="exact"/>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05" w:lineRule="exact"/>
              <w:ind w:left="45" w:right="0"/>
              <w:jc w:val="left"/>
              <w:rPr>
                <w:rFonts w:ascii="Times New Roman" w:hAnsi="Times New Roman" w:cs="Times New Roman" w:eastAsia="Times New Roman" w:hint="default"/>
                <w:sz w:val="18"/>
                <w:szCs w:val="18"/>
              </w:rPr>
            </w:pPr>
            <w:r>
              <w:rPr>
                <w:rFonts w:ascii="Times New Roman"/>
                <w:sz w:val="18"/>
              </w:rPr>
              <w:t>12,351,53</w:t>
            </w:r>
          </w:p>
          <w:p>
            <w:pPr>
              <w:pStyle w:val="TableParagraph"/>
              <w:spacing w:line="205" w:lineRule="exact"/>
              <w:ind w:left="451" w:right="0"/>
              <w:jc w:val="left"/>
              <w:rPr>
                <w:rFonts w:ascii="Times New Roman" w:hAnsi="Times New Roman" w:cs="Times New Roman" w:eastAsia="Times New Roman" w:hint="default"/>
                <w:sz w:val="18"/>
                <w:szCs w:val="18"/>
              </w:rPr>
            </w:pPr>
            <w:r>
              <w:rPr>
                <w:rFonts w:ascii="Times New Roman"/>
                <w:sz w:val="18"/>
              </w:rPr>
              <w:t>8.76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05" w:lineRule="exact"/>
              <w:ind w:left="76" w:right="0"/>
              <w:jc w:val="left"/>
              <w:rPr>
                <w:rFonts w:ascii="Times New Roman" w:hAnsi="Times New Roman" w:cs="Times New Roman" w:eastAsia="Times New Roman" w:hint="default"/>
                <w:sz w:val="18"/>
                <w:szCs w:val="18"/>
              </w:rPr>
            </w:pPr>
            <w:r>
              <w:rPr>
                <w:rFonts w:ascii="Times New Roman"/>
                <w:sz w:val="18"/>
              </w:rPr>
              <w:t>-1,327,68</w:t>
            </w:r>
          </w:p>
          <w:p>
            <w:pPr>
              <w:pStyle w:val="TableParagraph"/>
              <w:spacing w:line="205" w:lineRule="exact"/>
              <w:ind w:left="451" w:right="0"/>
              <w:jc w:val="left"/>
              <w:rPr>
                <w:rFonts w:ascii="Times New Roman" w:hAnsi="Times New Roman" w:cs="Times New Roman" w:eastAsia="Times New Roman" w:hint="default"/>
                <w:sz w:val="18"/>
                <w:szCs w:val="18"/>
              </w:rPr>
            </w:pPr>
            <w:r>
              <w:rPr>
                <w:rFonts w:ascii="Times New Roman"/>
                <w:sz w:val="18"/>
              </w:rPr>
              <w:t>9.93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05" w:lineRule="exact"/>
              <w:ind w:left="52" w:right="0"/>
              <w:jc w:val="left"/>
              <w:rPr>
                <w:rFonts w:ascii="Times New Roman" w:hAnsi="Times New Roman" w:cs="Times New Roman" w:eastAsia="Times New Roman" w:hint="default"/>
                <w:sz w:val="18"/>
                <w:szCs w:val="18"/>
              </w:rPr>
            </w:pPr>
            <w:r>
              <w:rPr>
                <w:rFonts w:ascii="Times New Roman"/>
                <w:sz w:val="18"/>
              </w:rPr>
              <w:t>11,023,84</w:t>
            </w:r>
          </w:p>
          <w:p>
            <w:pPr>
              <w:pStyle w:val="TableParagraph"/>
              <w:spacing w:line="205" w:lineRule="exact"/>
              <w:ind w:left="451" w:right="0"/>
              <w:jc w:val="left"/>
              <w:rPr>
                <w:rFonts w:ascii="Times New Roman" w:hAnsi="Times New Roman" w:cs="Times New Roman" w:eastAsia="Times New Roman" w:hint="default"/>
                <w:sz w:val="18"/>
                <w:szCs w:val="18"/>
              </w:rPr>
            </w:pPr>
            <w:r>
              <w:rPr>
                <w:rFonts w:ascii="Times New Roman"/>
                <w:sz w:val="18"/>
              </w:rPr>
              <w:t>8.83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29.72%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51"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39"/>
              <w:jc w:val="both"/>
              <w:rPr>
                <w:rFonts w:ascii="宋体" w:hAnsi="宋体" w:cs="宋体" w:eastAsia="宋体" w:hint="default"/>
                <w:sz w:val="18"/>
                <w:szCs w:val="18"/>
              </w:rPr>
            </w:pPr>
            <w:r>
              <w:rPr>
                <w:rFonts w:ascii="宋体" w:hAnsi="宋体" w:cs="宋体" w:eastAsia="宋体" w:hint="default"/>
                <w:sz w:val="18"/>
                <w:szCs w:val="18"/>
              </w:rPr>
              <w:t>北京盈海 益讯科技 发展有限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56"/>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56"/>
              <w:ind w:right="21"/>
              <w:jc w:val="right"/>
              <w:rPr>
                <w:rFonts w:ascii="Times New Roman" w:hAnsi="Times New Roman" w:cs="Times New Roman" w:eastAsia="Times New Roman" w:hint="default"/>
                <w:sz w:val="18"/>
                <w:szCs w:val="18"/>
              </w:rPr>
            </w:pPr>
            <w:r>
              <w:rPr>
                <w:rFonts w:ascii="Times New Roman"/>
                <w:spacing w:val="-1"/>
                <w:sz w:val="18"/>
              </w:rPr>
              <w:t>2,484,927</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56"/>
              <w:ind w:right="19"/>
              <w:jc w:val="right"/>
              <w:rPr>
                <w:rFonts w:ascii="Times New Roman" w:hAnsi="Times New Roman" w:cs="Times New Roman" w:eastAsia="Times New Roman" w:hint="default"/>
                <w:sz w:val="18"/>
                <w:szCs w:val="18"/>
              </w:rPr>
            </w:pPr>
            <w:r>
              <w:rPr>
                <w:rFonts w:ascii="Times New Roman"/>
                <w:spacing w:val="-1"/>
                <w:sz w:val="18"/>
              </w:rPr>
              <w:t>2,484,927</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.40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40" w:bottom="1160" w:left="980" w:right="980"/>
        </w:sectPr>
      </w:pP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28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39"/>
              <w:jc w:val="both"/>
              <w:rPr>
                <w:rFonts w:ascii="宋体" w:hAnsi="宋体" w:cs="宋体" w:eastAsia="宋体" w:hint="default"/>
                <w:sz w:val="18"/>
                <w:szCs w:val="18"/>
              </w:rPr>
            </w:pPr>
            <w:r>
              <w:rPr>
                <w:rFonts w:ascii="宋体" w:hAnsi="宋体" w:cs="宋体" w:eastAsia="宋体" w:hint="default"/>
                <w:sz w:val="18"/>
                <w:szCs w:val="18"/>
              </w:rPr>
              <w:t>北京华泰 德丰技术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7,600,000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7,464,747</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.39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07" w:lineRule="exact"/>
              <w:ind w:left="76" w:right="0"/>
              <w:jc w:val="left"/>
              <w:rPr>
                <w:rFonts w:ascii="Times New Roman" w:hAnsi="Times New Roman" w:cs="Times New Roman" w:eastAsia="Times New Roman" w:hint="default"/>
                <w:sz w:val="18"/>
                <w:szCs w:val="18"/>
              </w:rPr>
            </w:pPr>
            <w:r>
              <w:rPr>
                <w:rFonts w:ascii="Times New Roman"/>
                <w:sz w:val="18"/>
              </w:rPr>
              <w:t>-3,312,77</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1.42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4,151,975</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.97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594"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4" w:right="59"/>
              <w:jc w:val="left"/>
              <w:rPr>
                <w:rFonts w:ascii="Times New Roman" w:hAnsi="Times New Roman" w:cs="Times New Roman" w:eastAsia="Times New Roman" w:hint="default"/>
                <w:sz w:val="18"/>
                <w:szCs w:val="18"/>
              </w:rPr>
            </w:pPr>
            <w:r>
              <w:rPr>
                <w:rFonts w:ascii="Times New Roman"/>
                <w:sz w:val="18"/>
              </w:rPr>
              <w:t>Bridge</w:t>
            </w:r>
            <w:r>
              <w:rPr>
                <w:rFonts w:ascii="Times New Roman"/>
                <w:w w:val="99"/>
                <w:sz w:val="18"/>
              </w:rPr>
              <w:t> </w:t>
            </w:r>
            <w:r>
              <w:rPr>
                <w:rFonts w:ascii="Times New Roman"/>
                <w:sz w:val="18"/>
              </w:rPr>
              <w:t>Minds</w:t>
            </w:r>
            <w:r>
              <w:rPr>
                <w:rFonts w:ascii="Times New Roman"/>
                <w:w w:val="99"/>
                <w:sz w:val="18"/>
              </w:rPr>
              <w:t> </w:t>
            </w:r>
            <w:r>
              <w:rPr>
                <w:rFonts w:ascii="Times New Roman"/>
                <w:sz w:val="18"/>
              </w:rPr>
              <w:t>Consultin</w:t>
            </w:r>
            <w:r>
              <w:rPr>
                <w:rFonts w:ascii="Times New Roman"/>
                <w:sz w:val="18"/>
              </w:rPr>
              <w:t> g Pte</w:t>
            </w:r>
            <w:r>
              <w:rPr>
                <w:rFonts w:ascii="Times New Roman"/>
                <w:spacing w:val="-2"/>
                <w:sz w:val="18"/>
              </w:rPr>
              <w:t> </w:t>
            </w:r>
            <w:r>
              <w:rPr>
                <w:rFonts w:ascii="Times New Roman"/>
                <w:sz w:val="18"/>
              </w:rPr>
              <w:t>Ltd</w:t>
            </w:r>
          </w:p>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（智桥资</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讯公司）</w:t>
            </w:r>
          </w:p>
          <w:p>
            <w:pPr>
              <w:pStyle w:val="TableParagraph"/>
              <w:spacing w:line="240" w:lineRule="auto" w:before="22"/>
              <w:ind w:left="24" w:right="0"/>
              <w:jc w:val="left"/>
              <w:rPr>
                <w:rFonts w:ascii="Times New Roman" w:hAnsi="Times New Roman" w:cs="Times New Roman" w:eastAsia="Times New Roman" w:hint="default"/>
                <w:sz w:val="18"/>
                <w:szCs w:val="18"/>
              </w:rPr>
            </w:pPr>
            <w:r>
              <w:rPr>
                <w:rFonts w:ascii="Times New Roman"/>
                <w:spacing w:val="-4"/>
                <w:sz w:val="18"/>
              </w:rPr>
              <w:t>*3</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5,293,010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5,293,010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5,293,010</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.60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46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39"/>
              <w:jc w:val="both"/>
              <w:rPr>
                <w:rFonts w:ascii="宋体" w:hAnsi="宋体" w:cs="宋体" w:eastAsia="宋体" w:hint="default"/>
                <w:sz w:val="18"/>
                <w:szCs w:val="18"/>
              </w:rPr>
            </w:pPr>
            <w:r>
              <w:rPr>
                <w:rFonts w:ascii="宋体" w:hAnsi="宋体" w:cs="宋体" w:eastAsia="宋体" w:hint="default"/>
                <w:sz w:val="18"/>
                <w:szCs w:val="18"/>
              </w:rPr>
              <w:t>北京润佳 华商创新 投资管理 中心（有 限合伙）</w:t>
            </w:r>
          </w:p>
          <w:p>
            <w:pPr>
              <w:pStyle w:val="TableParagraph"/>
              <w:spacing w:line="240" w:lineRule="auto" w:before="21"/>
              <w:ind w:left="24" w:right="0"/>
              <w:jc w:val="both"/>
              <w:rPr>
                <w:rFonts w:ascii="Times New Roman" w:hAnsi="Times New Roman" w:cs="Times New Roman" w:eastAsia="Times New Roman" w:hint="default"/>
                <w:sz w:val="18"/>
                <w:szCs w:val="18"/>
              </w:rPr>
            </w:pPr>
            <w:r>
              <w:rPr>
                <w:rFonts w:ascii="Times New Roman"/>
                <w:spacing w:val="-4"/>
                <w:sz w:val="18"/>
              </w:rPr>
              <w:t>*4</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65,000,00</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65,000,00</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65,000,00</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53.5%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39"/>
              <w:jc w:val="both"/>
              <w:rPr>
                <w:rFonts w:ascii="宋体" w:hAnsi="宋体" w:cs="宋体" w:eastAsia="宋体" w:hint="default"/>
                <w:sz w:val="18"/>
                <w:szCs w:val="18"/>
              </w:rPr>
            </w:pPr>
            <w:r>
              <w:rPr>
                <w:rFonts w:ascii="宋体" w:hAnsi="宋体" w:cs="宋体" w:eastAsia="宋体" w:hint="default"/>
                <w:sz w:val="18"/>
                <w:szCs w:val="18"/>
              </w:rPr>
              <w:t>广东中科 白云投资 管理有限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pacing w:val="-3"/>
                <w:sz w:val="18"/>
              </w:rPr>
              <w:t>11.11%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8"/>
              <w:jc w:val="right"/>
              <w:rPr>
                <w:rFonts w:ascii="Times New Roman" w:hAnsi="Times New Roman" w:cs="Times New Roman" w:eastAsia="Times New Roman" w:hint="default"/>
                <w:sz w:val="18"/>
                <w:szCs w:val="18"/>
              </w:rPr>
            </w:pPr>
            <w:r>
              <w:rPr>
                <w:rFonts w:ascii="Times New Roman"/>
                <w:spacing w:val="-3"/>
                <w:sz w:val="18"/>
              </w:rPr>
              <w:t>11.11%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39"/>
              <w:jc w:val="both"/>
              <w:rPr>
                <w:rFonts w:ascii="宋体" w:hAnsi="宋体" w:cs="宋体" w:eastAsia="宋体" w:hint="default"/>
                <w:sz w:val="18"/>
                <w:szCs w:val="18"/>
              </w:rPr>
            </w:pPr>
            <w:r>
              <w:rPr>
                <w:rFonts w:ascii="宋体" w:hAnsi="宋体" w:cs="宋体" w:eastAsia="宋体" w:hint="default"/>
                <w:sz w:val="18"/>
                <w:szCs w:val="18"/>
              </w:rPr>
              <w:t>北京安德 伦技术开 发有限公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39"/>
              <w:jc w:val="both"/>
              <w:rPr>
                <w:rFonts w:ascii="宋体" w:hAnsi="宋体" w:cs="宋体" w:eastAsia="宋体" w:hint="default"/>
                <w:sz w:val="18"/>
                <w:szCs w:val="18"/>
              </w:rPr>
            </w:pPr>
            <w:r>
              <w:rPr>
                <w:rFonts w:ascii="宋体" w:hAnsi="宋体" w:cs="宋体" w:eastAsia="宋体" w:hint="default"/>
                <w:sz w:val="18"/>
                <w:szCs w:val="18"/>
              </w:rPr>
              <w:t>宁波互通 网络技术 服务有限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507"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36"/>
              <w:ind w:left="45" w:right="0"/>
              <w:jc w:val="left"/>
              <w:rPr>
                <w:rFonts w:ascii="Times New Roman" w:hAnsi="Times New Roman" w:cs="Times New Roman" w:eastAsia="Times New Roman" w:hint="default"/>
                <w:sz w:val="18"/>
                <w:szCs w:val="18"/>
              </w:rPr>
            </w:pPr>
            <w:r>
              <w:rPr>
                <w:rFonts w:ascii="Times New Roman"/>
                <w:sz w:val="18"/>
              </w:rPr>
              <w:t>368,446,8</w:t>
            </w:r>
          </w:p>
          <w:p>
            <w:pPr>
              <w:pStyle w:val="TableParagraph"/>
              <w:spacing w:line="206" w:lineRule="exact"/>
              <w:ind w:left="360" w:right="0"/>
              <w:jc w:val="left"/>
              <w:rPr>
                <w:rFonts w:ascii="Times New Roman" w:hAnsi="Times New Roman" w:cs="Times New Roman" w:eastAsia="Times New Roman" w:hint="default"/>
                <w:sz w:val="18"/>
                <w:szCs w:val="18"/>
              </w:rPr>
            </w:pPr>
            <w:r>
              <w:rPr>
                <w:rFonts w:ascii="Times New Roman"/>
                <w:sz w:val="18"/>
              </w:rPr>
              <w:t>50.60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36"/>
              <w:ind w:left="45" w:right="0"/>
              <w:jc w:val="left"/>
              <w:rPr>
                <w:rFonts w:ascii="Times New Roman" w:hAnsi="Times New Roman" w:cs="Times New Roman" w:eastAsia="Times New Roman" w:hint="default"/>
                <w:sz w:val="18"/>
                <w:szCs w:val="18"/>
              </w:rPr>
            </w:pPr>
            <w:r>
              <w:rPr>
                <w:rFonts w:ascii="Times New Roman"/>
                <w:sz w:val="18"/>
              </w:rPr>
              <w:t>316,642,1</w:t>
            </w:r>
          </w:p>
          <w:p>
            <w:pPr>
              <w:pStyle w:val="TableParagraph"/>
              <w:spacing w:line="206" w:lineRule="exact"/>
              <w:ind w:left="367" w:right="0"/>
              <w:jc w:val="left"/>
              <w:rPr>
                <w:rFonts w:ascii="Times New Roman" w:hAnsi="Times New Roman" w:cs="Times New Roman" w:eastAsia="Times New Roman" w:hint="default"/>
                <w:sz w:val="18"/>
                <w:szCs w:val="18"/>
              </w:rPr>
            </w:pPr>
            <w:r>
              <w:rPr>
                <w:rFonts w:ascii="Times New Roman"/>
                <w:sz w:val="18"/>
              </w:rPr>
              <w:t>41.11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36"/>
              <w:ind w:left="45" w:right="0"/>
              <w:jc w:val="left"/>
              <w:rPr>
                <w:rFonts w:ascii="Times New Roman" w:hAnsi="Times New Roman" w:cs="Times New Roman" w:eastAsia="Times New Roman" w:hint="default"/>
                <w:sz w:val="18"/>
                <w:szCs w:val="18"/>
              </w:rPr>
            </w:pPr>
            <w:r>
              <w:rPr>
                <w:rFonts w:ascii="Times New Roman"/>
                <w:sz w:val="18"/>
              </w:rPr>
              <w:t>80,204,60</w:t>
            </w:r>
          </w:p>
          <w:p>
            <w:pPr>
              <w:pStyle w:val="TableParagraph"/>
              <w:spacing w:line="206" w:lineRule="exact"/>
              <w:ind w:left="451" w:right="0"/>
              <w:jc w:val="left"/>
              <w:rPr>
                <w:rFonts w:ascii="Times New Roman" w:hAnsi="Times New Roman" w:cs="Times New Roman" w:eastAsia="Times New Roman" w:hint="default"/>
                <w:sz w:val="18"/>
                <w:szCs w:val="18"/>
              </w:rPr>
            </w:pPr>
            <w:r>
              <w:rPr>
                <w:rFonts w:ascii="Times New Roman"/>
                <w:sz w:val="18"/>
              </w:rPr>
              <w:t>0.64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36"/>
              <w:ind w:left="45" w:right="0"/>
              <w:jc w:val="left"/>
              <w:rPr>
                <w:rFonts w:ascii="Times New Roman" w:hAnsi="Times New Roman" w:cs="Times New Roman" w:eastAsia="Times New Roman" w:hint="default"/>
                <w:sz w:val="18"/>
                <w:szCs w:val="18"/>
              </w:rPr>
            </w:pPr>
            <w:r>
              <w:rPr>
                <w:rFonts w:ascii="Times New Roman"/>
                <w:sz w:val="18"/>
              </w:rPr>
              <w:t>396,846,7</w:t>
            </w:r>
          </w:p>
          <w:p>
            <w:pPr>
              <w:pStyle w:val="TableParagraph"/>
              <w:spacing w:line="206" w:lineRule="exact"/>
              <w:ind w:left="360" w:right="0"/>
              <w:jc w:val="left"/>
              <w:rPr>
                <w:rFonts w:ascii="Times New Roman" w:hAnsi="Times New Roman" w:cs="Times New Roman" w:eastAsia="Times New Roman" w:hint="default"/>
                <w:sz w:val="18"/>
                <w:szCs w:val="18"/>
              </w:rPr>
            </w:pPr>
            <w:r>
              <w:rPr>
                <w:rFonts w:ascii="Times New Roman"/>
                <w:sz w:val="18"/>
              </w:rPr>
              <w:t>41.75</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36"/>
              <w:ind w:right="19"/>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06" w:lineRule="exact"/>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36"/>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06" w:lineRule="exact"/>
              <w:ind w:right="18"/>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7"/>
        <w:rPr>
          <w:rFonts w:ascii="宋体" w:hAnsi="宋体" w:cs="宋体" w:eastAsia="宋体" w:hint="default"/>
          <w:sz w:val="17"/>
          <w:szCs w:val="17"/>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pStyle w:val="BodyText"/>
        <w:spacing w:line="520" w:lineRule="exact" w:before="76"/>
        <w:ind w:right="8014"/>
        <w:jc w:val="left"/>
      </w:pPr>
      <w:r>
        <w:rPr/>
        <w:t>无 长期股权投资的说明：</w:t>
      </w:r>
    </w:p>
    <w:p>
      <w:pPr>
        <w:pStyle w:val="BodyText"/>
        <w:spacing w:line="240" w:lineRule="auto" w:before="36"/>
        <w:ind w:right="94"/>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5"/>
        </w:rPr>
        <w:t> </w:t>
      </w:r>
      <w:r>
        <w:rPr/>
        <w:t>大连华信计算机技术股份有限公司于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月回购部分股份并注销，导致公司对其投资比例由</w:t>
      </w:r>
      <w:r>
        <w:rPr>
          <w:rFonts w:ascii="Times New Roman" w:hAnsi="Times New Roman" w:cs="Times New Roman" w:eastAsia="Times New Roman" w:hint="default"/>
        </w:rPr>
        <w:t>8.00%</w:t>
      </w:r>
      <w:r>
        <w:rPr/>
        <w:t>上升至</w:t>
      </w:r>
      <w:r>
        <w:rPr>
          <w:rFonts w:ascii="Times New Roman" w:hAnsi="Times New Roman" w:cs="Times New Roman" w:eastAsia="Times New Roman" w:hint="default"/>
        </w:rPr>
        <w:t>8.91%</w:t>
      </w:r>
      <w:r>
        <w:rPr/>
        <w:t>。</w:t>
      </w:r>
    </w:p>
    <w:p>
      <w:pPr>
        <w:pStyle w:val="BodyText"/>
        <w:spacing w:line="338" w:lineRule="auto" w:before="101"/>
        <w:ind w:right="10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事天讯通（北京）信息技术有限公司于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月更名为神州泰岳顶策科技（北京）有限公司（以下简称：神州顶策）。 </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月，公司与其他神州顶策股东签订《股份调整协议》，协议约定各股东以无偿方式按约定比例转让神州顶策相应的</w:t>
      </w:r>
      <w:r>
        <w:rPr>
          <w:spacing w:val="-60"/>
        </w:rPr>
        <w:t> </w:t>
      </w:r>
      <w:r>
        <w:rPr>
          <w:spacing w:val="-60"/>
        </w:rPr>
      </w:r>
      <w:r>
        <w:rPr/>
        <w:t>股份。公司于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月完成上述股权变更，更变后公司对其投资比例由</w:t>
      </w:r>
      <w:r>
        <w:rPr>
          <w:rFonts w:ascii="Times New Roman" w:hAnsi="Times New Roman" w:cs="Times New Roman" w:eastAsia="Times New Roman" w:hint="default"/>
        </w:rPr>
        <w:t>18.94%</w:t>
      </w:r>
      <w:r>
        <w:rPr/>
        <w:t>上升至</w:t>
      </w:r>
      <w:r>
        <w:rPr>
          <w:rFonts w:ascii="Times New Roman" w:hAnsi="Times New Roman" w:cs="Times New Roman" w:eastAsia="Times New Roman" w:hint="default"/>
        </w:rPr>
        <w:t>29.72%</w:t>
      </w:r>
      <w:r>
        <w:rPr/>
        <w:t>，且具有重大影响，由成本法 核算变更为权益法核算。因核算方法发生变更，根据会计准则的规定，调整长期股权投资年初余额</w:t>
      </w:r>
      <w:r>
        <w:rPr>
          <w:rFonts w:ascii="Times New Roman" w:hAnsi="Times New Roman" w:cs="Times New Roman" w:eastAsia="Times New Roman" w:hint="default"/>
        </w:rPr>
        <w:t>-2,498,461.24</w:t>
      </w:r>
      <w:r>
        <w:rPr/>
        <w:t>元，未分配 利润年初余额</w:t>
      </w:r>
      <w:r>
        <w:rPr>
          <w:rFonts w:ascii="Times New Roman" w:hAnsi="Times New Roman" w:cs="Times New Roman" w:eastAsia="Times New Roman" w:hint="default"/>
        </w:rPr>
        <w:t>-2,248,615.12</w:t>
      </w:r>
      <w:r>
        <w:rPr/>
        <w:t>元，盈余公积年初余额</w:t>
      </w:r>
      <w:r>
        <w:rPr>
          <w:rFonts w:ascii="Times New Roman" w:hAnsi="Times New Roman" w:cs="Times New Roman" w:eastAsia="Times New Roman" w:hint="default"/>
        </w:rPr>
        <w:t>-249,846.12</w:t>
      </w:r>
      <w:r>
        <w:rPr/>
        <w:t>元。</w:t>
      </w:r>
    </w:p>
    <w:p>
      <w:pPr>
        <w:pStyle w:val="BodyText"/>
        <w:spacing w:line="338" w:lineRule="auto" w:before="19"/>
        <w:ind w:right="94"/>
        <w:jc w:val="left"/>
      </w:pPr>
      <w:r>
        <w:rPr>
          <w:rFonts w:ascii="Times New Roman" w:hAnsi="Times New Roman" w:cs="Times New Roman" w:eastAsia="Times New Roman" w:hint="default"/>
        </w:rPr>
        <w:t>*3 </w:t>
      </w:r>
      <w:r>
        <w:rPr>
          <w:spacing w:val="4"/>
        </w:rPr>
        <w:t>公司全资子公司神州泰岳（香港）有限公司于</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11</w:t>
      </w:r>
      <w:r>
        <w:rPr>
          <w:spacing w:val="4"/>
        </w:rPr>
        <w:t>月收购自然人</w:t>
      </w:r>
      <w:r>
        <w:rPr>
          <w:rFonts w:ascii="Times New Roman" w:hAnsi="Times New Roman" w:cs="Times New Roman" w:eastAsia="Times New Roman" w:hint="default"/>
          <w:spacing w:val="4"/>
        </w:rPr>
        <w:t>MARY </w:t>
      </w:r>
      <w:r>
        <w:rPr>
          <w:rFonts w:ascii="Times New Roman" w:hAnsi="Times New Roman" w:cs="Times New Roman" w:eastAsia="Times New Roman" w:hint="default"/>
        </w:rPr>
        <w:t>GOH POH SUANG</w:t>
      </w:r>
      <w:r>
        <w:rPr/>
        <w:t>持有的</w:t>
      </w:r>
      <w:r>
        <w:rPr>
          <w:rFonts w:ascii="Times New Roman" w:hAnsi="Times New Roman" w:cs="Times New Roman" w:eastAsia="Times New Roman" w:hint="default"/>
        </w:rPr>
        <w:t>Bridge</w:t>
      </w:r>
      <w:r>
        <w:rPr>
          <w:rFonts w:ascii="Times New Roman" w:hAnsi="Times New Roman" w:cs="Times New Roman" w:eastAsia="Times New Roman" w:hint="default"/>
          <w:spacing w:val="-13"/>
        </w:rPr>
        <w:t> </w:t>
      </w:r>
      <w:r>
        <w:rPr>
          <w:rFonts w:ascii="Times New Roman" w:hAnsi="Times New Roman" w:cs="Times New Roman" w:eastAsia="Times New Roman" w:hint="default"/>
        </w:rPr>
        <w:t>Minds</w:t>
      </w:r>
      <w:r>
        <w:rPr>
          <w:rFonts w:ascii="Times New Roman" w:hAnsi="Times New Roman" w:cs="Times New Roman" w:eastAsia="Times New Roman" w:hint="default"/>
          <w:w w:val="99"/>
        </w:rPr>
        <w:t> </w:t>
      </w:r>
      <w:r>
        <w:rPr>
          <w:rFonts w:ascii="Times New Roman" w:hAnsi="Times New Roman" w:cs="Times New Roman" w:eastAsia="Times New Roman" w:hint="default"/>
        </w:rPr>
        <w:t>Consulting Pte Ltd</w:t>
      </w:r>
      <w:r>
        <w:rPr>
          <w:rFonts w:ascii="Times New Roman" w:hAnsi="Times New Roman" w:cs="Times New Roman" w:eastAsia="Times New Roman" w:hint="default"/>
          <w:spacing w:val="-7"/>
        </w:rPr>
        <w:t> </w:t>
      </w:r>
      <w:r>
        <w:rPr>
          <w:rFonts w:ascii="Times New Roman" w:hAnsi="Times New Roman" w:cs="Times New Roman" w:eastAsia="Times New Roman" w:hint="default"/>
        </w:rPr>
        <w:t>25%</w:t>
      </w:r>
      <w:r>
        <w:rPr/>
        <w:t>股权，由于公司对其不具有重大影响，按成本法核算。</w:t>
      </w:r>
    </w:p>
    <w:p>
      <w:pPr>
        <w:pStyle w:val="BodyText"/>
        <w:spacing w:line="240" w:lineRule="auto" w:before="17"/>
        <w:ind w:right="0"/>
        <w:jc w:val="left"/>
      </w:pPr>
      <w:r>
        <w:rPr>
          <w:rFonts w:ascii="Times New Roman" w:hAnsi="Times New Roman" w:cs="Times New Roman" w:eastAsia="Times New Roman" w:hint="default"/>
        </w:rPr>
        <w:t>*4  </w:t>
      </w:r>
      <w:r>
        <w:rPr>
          <w:rFonts w:ascii="Times New Roman" w:hAnsi="Times New Roman" w:cs="Times New Roman" w:eastAsia="Times New Roman" w:hint="default"/>
          <w:spacing w:val="31"/>
        </w:rPr>
        <w:t> </w:t>
      </w:r>
      <w:r>
        <w:rPr>
          <w:spacing w:val="-3"/>
        </w:rPr>
        <w:t>根据合伙协议，公司为有限合伙人，不参与合伙企业的经营管理，对其无法实施控制且不具有重大影响，按成本法核算。</w:t>
      </w:r>
    </w:p>
    <w:p>
      <w:pPr>
        <w:spacing w:after="0" w:line="240" w:lineRule="auto"/>
        <w:jc w:val="left"/>
        <w:sectPr>
          <w:pgSz w:w="11910" w:h="16840"/>
          <w:pgMar w:header="852" w:footer="980" w:top="1340" w:bottom="1160" w:left="980" w:right="940"/>
        </w:sectPr>
      </w:pPr>
    </w:p>
    <w:p>
      <w:pPr>
        <w:pStyle w:val="Heading3"/>
        <w:spacing w:line="240" w:lineRule="auto" w:before="59"/>
        <w:ind w:right="0"/>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708"/>
        <w:gridCol w:w="2003"/>
        <w:gridCol w:w="1863"/>
        <w:gridCol w:w="1860"/>
        <w:gridCol w:w="2127"/>
      </w:tblGrid>
      <w:tr>
        <w:trPr>
          <w:trHeight w:val="324"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22"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188,678,119.29</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188,678,119.29</w:t>
            </w:r>
          </w:p>
        </w:tc>
      </w:tr>
      <w:tr>
        <w:trPr>
          <w:trHeight w:val="324"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188,678,119.29</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188,678,119.29</w:t>
            </w:r>
          </w:p>
        </w:tc>
      </w:tr>
      <w:tr>
        <w:trPr>
          <w:trHeight w:val="557"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64"/>
              <w:jc w:val="left"/>
              <w:rPr>
                <w:rFonts w:ascii="宋体" w:hAnsi="宋体" w:cs="宋体" w:eastAsia="宋体" w:hint="default"/>
                <w:sz w:val="18"/>
                <w:szCs w:val="18"/>
              </w:rPr>
            </w:pPr>
            <w:r>
              <w:rPr>
                <w:rFonts w:ascii="宋体" w:hAnsi="宋体" w:cs="宋体" w:eastAsia="宋体" w:hint="default"/>
                <w:sz w:val="18"/>
                <w:szCs w:val="18"/>
              </w:rPr>
              <w:t>二、累计折旧和累计 摊销合计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4,234,468.17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4,081,462.20</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8,315,930.37</w:t>
            </w:r>
          </w:p>
        </w:tc>
      </w:tr>
      <w:tr>
        <w:trPr>
          <w:trHeight w:val="324"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4,234,468.17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4,081,462.20</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8,315,930.37</w:t>
            </w:r>
          </w:p>
        </w:tc>
      </w:tr>
      <w:tr>
        <w:trPr>
          <w:trHeight w:val="557"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2" w:right="64"/>
              <w:jc w:val="left"/>
              <w:rPr>
                <w:rFonts w:ascii="宋体" w:hAnsi="宋体" w:cs="宋体" w:eastAsia="宋体" w:hint="default"/>
                <w:sz w:val="18"/>
                <w:szCs w:val="18"/>
              </w:rPr>
            </w:pPr>
            <w:r>
              <w:rPr>
                <w:rFonts w:ascii="宋体" w:hAnsi="宋体" w:cs="宋体" w:eastAsia="宋体" w:hint="default"/>
                <w:sz w:val="18"/>
                <w:szCs w:val="18"/>
              </w:rPr>
              <w:t>三、投资性房地产账 面净值合计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184,443,651.12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-4,081,462.20</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180,362,188.92</w:t>
            </w:r>
          </w:p>
        </w:tc>
      </w:tr>
      <w:tr>
        <w:trPr>
          <w:trHeight w:val="32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184,443,651.12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-4,081,462.20</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180,362,188.92</w:t>
            </w:r>
          </w:p>
        </w:tc>
      </w:tr>
      <w:tr>
        <w:trPr>
          <w:trHeight w:val="557"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64"/>
              <w:jc w:val="left"/>
              <w:rPr>
                <w:rFonts w:ascii="宋体" w:hAnsi="宋体" w:cs="宋体" w:eastAsia="宋体" w:hint="default"/>
                <w:sz w:val="18"/>
                <w:szCs w:val="18"/>
              </w:rPr>
            </w:pPr>
            <w:r>
              <w:rPr>
                <w:rFonts w:ascii="宋体" w:hAnsi="宋体" w:cs="宋体" w:eastAsia="宋体" w:hint="default"/>
                <w:sz w:val="18"/>
                <w:szCs w:val="18"/>
              </w:rPr>
              <w:t>五、投资性房地产账 面价值合计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184,443,651.12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-4,081,462.20</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180,362,188.92</w:t>
            </w:r>
          </w:p>
        </w:tc>
      </w:tr>
      <w:tr>
        <w:trPr>
          <w:trHeight w:val="324"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184,443,651.12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-4,081,462.20</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180,362,188.92</w:t>
            </w:r>
          </w:p>
        </w:tc>
      </w:tr>
    </w:tbl>
    <w:p>
      <w:pPr>
        <w:pStyle w:val="BodyText"/>
        <w:spacing w:line="240" w:lineRule="auto" w:before="8"/>
        <w:ind w:left="0" w:right="151"/>
        <w:jc w:val="right"/>
      </w:pPr>
      <w:r>
        <w:rPr/>
        <w:t>单位：</w:t>
      </w:r>
      <w:r>
        <w:rPr>
          <w:spacing w:val="1"/>
        </w:rPr>
        <w:t> </w:t>
      </w:r>
      <w:r>
        <w:rPr/>
        <w:t>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5338"/>
        <w:gridCol w:w="4221"/>
      </w:tblGrid>
      <w:tr>
        <w:trPr>
          <w:trHeight w:val="311"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30"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12"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4,081,462.20</w:t>
            </w:r>
          </w:p>
        </w:tc>
      </w:tr>
      <w:tr>
        <w:trPr>
          <w:trHeight w:val="324"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投资性房地产本期减值准备计提额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129"/>
        <w:gridCol w:w="1462"/>
        <w:gridCol w:w="1327"/>
        <w:gridCol w:w="1594"/>
        <w:gridCol w:w="1597"/>
        <w:gridCol w:w="1459"/>
      </w:tblGrid>
      <w:tr>
        <w:trPr>
          <w:trHeight w:val="32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22"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370,295,318.45</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855" w:right="0"/>
              <w:jc w:val="left"/>
              <w:rPr>
                <w:rFonts w:ascii="Times New Roman" w:hAnsi="Times New Roman" w:cs="Times New Roman" w:eastAsia="Times New Roman" w:hint="default"/>
                <w:sz w:val="18"/>
                <w:szCs w:val="18"/>
              </w:rPr>
            </w:pPr>
            <w:r>
              <w:rPr>
                <w:rFonts w:ascii="Times New Roman"/>
                <w:sz w:val="18"/>
              </w:rPr>
              <w:t>32,553,740.01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2,117,347.39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400,731,711.07</w:t>
            </w: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289,309,039.19</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855" w:right="0"/>
              <w:jc w:val="left"/>
              <w:rPr>
                <w:rFonts w:ascii="Times New Roman" w:hAnsi="Times New Roman" w:cs="Times New Roman" w:eastAsia="Times New Roman" w:hint="default"/>
                <w:sz w:val="18"/>
                <w:szCs w:val="18"/>
              </w:rPr>
            </w:pPr>
            <w:r>
              <w:rPr>
                <w:rFonts w:ascii="Times New Roman"/>
                <w:sz w:val="18"/>
              </w:rPr>
              <w:t>20,160,000.00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309,469,039.19</w:t>
            </w: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10,069,261.42</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4,515,205.00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967,799.10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13,616,667.32</w:t>
            </w: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62,511,313.99</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7,750,535.01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1,149,548.29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69,112,300.71</w:t>
            </w:r>
          </w:p>
        </w:tc>
      </w:tr>
      <w:tr>
        <w:trPr>
          <w:trHeight w:val="322" w:hRule="exact"/>
        </w:trPr>
        <w:tc>
          <w:tcPr>
            <w:tcW w:w="2129"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8,405,703.85</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128,000.00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8,533,703.85</w:t>
            </w: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43,815,864.52</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21,509,948.37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1,875,182.27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63,450,630.62</w:t>
            </w: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11,351,460.55</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7,048,200.54</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18,399,661.09</w:t>
            </w:r>
          </w:p>
        </w:tc>
      </w:tr>
      <w:tr>
        <w:trPr>
          <w:trHeight w:val="322"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5,385,609.32</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1,631,253.51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918,145.92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6,098,716.91</w:t>
            </w: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25,039,840.33</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11,126,134.40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957,036.35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35,208,938.38</w:t>
            </w:r>
          </w:p>
        </w:tc>
      </w:tr>
      <w:tr>
        <w:trPr>
          <w:trHeight w:val="331" w:hRule="exact"/>
        </w:trPr>
        <w:tc>
          <w:tcPr>
            <w:tcW w:w="2129" w:type="dxa"/>
            <w:tcBorders>
              <w:top w:val="single" w:sz="4" w:space="0" w:color="000000"/>
              <w:left w:val="single" w:sz="4" w:space="0" w:color="000000"/>
              <w:bottom w:val="single" w:sz="6" w:space="0" w:color="D2D2D2"/>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2,038,954.32</w:t>
            </w:r>
          </w:p>
        </w:tc>
        <w:tc>
          <w:tcPr>
            <w:tcW w:w="1327" w:type="dxa"/>
            <w:tcBorders>
              <w:top w:val="single" w:sz="4" w:space="0" w:color="000000"/>
              <w:left w:val="single" w:sz="4" w:space="0" w:color="000000"/>
              <w:bottom w:val="single" w:sz="6" w:space="0" w:color="D2D2D2"/>
              <w:right w:val="single" w:sz="4" w:space="0" w:color="000000"/>
            </w:tcBorders>
          </w:tcPr>
          <w:p>
            <w:pPr/>
          </w:p>
        </w:tc>
        <w:tc>
          <w:tcPr>
            <w:tcW w:w="1594" w:type="dxa"/>
            <w:tcBorders>
              <w:top w:val="single" w:sz="4" w:space="0" w:color="000000"/>
              <w:left w:val="single" w:sz="4" w:space="0" w:color="000000"/>
              <w:bottom w:val="single" w:sz="6" w:space="0" w:color="D2D2D2"/>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1,704,359.92</w:t>
            </w:r>
          </w:p>
        </w:tc>
        <w:tc>
          <w:tcPr>
            <w:tcW w:w="1597" w:type="dxa"/>
            <w:tcBorders>
              <w:top w:val="single" w:sz="4" w:space="0" w:color="000000"/>
              <w:left w:val="single" w:sz="4" w:space="0" w:color="000000"/>
              <w:bottom w:val="single" w:sz="6" w:space="0" w:color="D2D2D2"/>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3,743,314.24</w:t>
            </w:r>
          </w:p>
        </w:tc>
      </w:tr>
      <w:tr>
        <w:trPr>
          <w:trHeight w:val="316"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318"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46"/>
              <w:ind w:right="10"/>
              <w:jc w:val="right"/>
              <w:rPr>
                <w:rFonts w:ascii="Times New Roman" w:hAnsi="Times New Roman" w:cs="Times New Roman" w:eastAsia="Times New Roman" w:hint="default"/>
                <w:sz w:val="18"/>
                <w:szCs w:val="18"/>
              </w:rPr>
            </w:pPr>
            <w:r>
              <w:rPr>
                <w:rFonts w:ascii="Times New Roman"/>
                <w:spacing w:val="-1"/>
                <w:sz w:val="18"/>
              </w:rPr>
              <w:t>326,479,453.93</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337,281,080.45</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40" w:bottom="1160" w:left="980" w:right="980"/>
        </w:sectPr>
      </w:pP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29"/>
        <w:gridCol w:w="1474"/>
        <w:gridCol w:w="4494"/>
        <w:gridCol w:w="1471"/>
      </w:tblGrid>
      <w:tr>
        <w:trPr>
          <w:trHeight w:val="316"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0"/>
              <w:ind w:right="22"/>
              <w:jc w:val="right"/>
              <w:rPr>
                <w:rFonts w:ascii="Times New Roman" w:hAnsi="Times New Roman" w:cs="Times New Roman" w:eastAsia="Times New Roman" w:hint="default"/>
                <w:sz w:val="18"/>
                <w:szCs w:val="18"/>
              </w:rPr>
            </w:pPr>
            <w:r>
              <w:rPr>
                <w:rFonts w:ascii="Times New Roman"/>
                <w:spacing w:val="-1"/>
                <w:sz w:val="18"/>
              </w:rPr>
              <w:t>277,957,578.64</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pacing w:val="-1"/>
                <w:sz w:val="18"/>
              </w:rPr>
              <w:t>291,069,378.10</w:t>
            </w: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7"/>
              <w:ind w:right="22"/>
              <w:jc w:val="right"/>
              <w:rPr>
                <w:rFonts w:ascii="Times New Roman" w:hAnsi="Times New Roman" w:cs="Times New Roman" w:eastAsia="Times New Roman" w:hint="default"/>
                <w:sz w:val="18"/>
                <w:szCs w:val="18"/>
              </w:rPr>
            </w:pPr>
            <w:r>
              <w:rPr>
                <w:rFonts w:ascii="Times New Roman"/>
                <w:spacing w:val="-1"/>
                <w:sz w:val="18"/>
              </w:rPr>
              <w:t>4,683,652.10</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7,517,950.41</w:t>
            </w: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37,471,473.66</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33,903,362.33</w:t>
            </w: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6,366,749.53</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4,790,389.61</w:t>
            </w:r>
          </w:p>
        </w:tc>
      </w:tr>
      <w:tr>
        <w:trPr>
          <w:trHeight w:val="32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
        </w:tc>
      </w:tr>
      <w:tr>
        <w:trPr>
          <w:trHeight w:val="32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326,479,453.93</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337,281,080.45</w:t>
            </w: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277,957,578.64</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291,069,378.10</w:t>
            </w:r>
          </w:p>
        </w:tc>
      </w:tr>
      <w:tr>
        <w:trPr>
          <w:trHeight w:val="32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4,683,652.10</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7,517,950.41</w:t>
            </w:r>
          </w:p>
        </w:tc>
      </w:tr>
      <w:tr>
        <w:trPr>
          <w:trHeight w:val="32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37,471,473.66</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33,903,362.33</w:t>
            </w:r>
          </w:p>
        </w:tc>
      </w:tr>
      <w:tr>
        <w:trPr>
          <w:trHeight w:val="31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6,366,749.53</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4,790,389.61</w:t>
            </w:r>
          </w:p>
        </w:tc>
      </w:tr>
    </w:tbl>
    <w:p>
      <w:pPr>
        <w:pStyle w:val="BodyText"/>
        <w:spacing w:line="240" w:lineRule="auto" w:before="15"/>
        <w:ind w:right="0"/>
        <w:jc w:val="left"/>
      </w:pPr>
      <w:r>
        <w:rPr/>
        <w:t>本期折旧额</w:t>
      </w:r>
      <w:r>
        <w:rPr>
          <w:spacing w:val="-48"/>
        </w:rPr>
        <w:t> </w:t>
      </w:r>
      <w:r>
        <w:rPr>
          <w:rFonts w:ascii="Times New Roman" w:hAnsi="Times New Roman" w:cs="Times New Roman" w:eastAsia="Times New Roman" w:hint="default"/>
        </w:rPr>
        <w:t>21,509,948.37</w:t>
      </w:r>
      <w:r>
        <w:rPr>
          <w:rFonts w:ascii="Times New Roman" w:hAnsi="Times New Roman" w:cs="Times New Roman" w:eastAsia="Times New Roman" w:hint="default"/>
          <w:spacing w:val="-2"/>
        </w:rPr>
        <w:t> </w:t>
      </w:r>
      <w:r>
        <w:rPr/>
        <w:t>元；本期由在建工程转入固定资产原价为元。</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324"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办公及研发用房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19,948,464.33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2" w:right="0"/>
              <w:jc w:val="center"/>
              <w:rPr>
                <w:rFonts w:ascii="Times New Roman" w:hAnsi="Times New Roman" w:cs="Times New Roman" w:eastAsia="Times New Roman" w:hint="default"/>
                <w:sz w:val="18"/>
                <w:szCs w:val="18"/>
              </w:rPr>
            </w:pPr>
            <w:r>
              <w:rPr>
                <w:rFonts w:ascii="Times New Roman"/>
                <w:sz w:val="18"/>
              </w:rPr>
              <w:t>19,948,464.33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8" w:right="0"/>
              <w:jc w:val="left"/>
              <w:rPr>
                <w:rFonts w:ascii="Times New Roman" w:hAnsi="Times New Roman" w:cs="Times New Roman" w:eastAsia="Times New Roman" w:hint="default"/>
                <w:sz w:val="18"/>
                <w:szCs w:val="18"/>
              </w:rPr>
            </w:pPr>
            <w:r>
              <w:rPr>
                <w:rFonts w:ascii="Times New Roman"/>
                <w:sz w:val="18"/>
              </w:rPr>
              <w:t>4,704,754.05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4,704,754.05</w:t>
            </w:r>
          </w:p>
        </w:tc>
      </w:tr>
      <w:tr>
        <w:trPr>
          <w:trHeight w:val="322"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19,948,464.33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2" w:right="0"/>
              <w:jc w:val="center"/>
              <w:rPr>
                <w:rFonts w:ascii="Times New Roman" w:hAnsi="Times New Roman" w:cs="Times New Roman" w:eastAsia="Times New Roman" w:hint="default"/>
                <w:sz w:val="18"/>
                <w:szCs w:val="18"/>
              </w:rPr>
            </w:pPr>
            <w:r>
              <w:rPr>
                <w:rFonts w:ascii="Times New Roman"/>
                <w:sz w:val="18"/>
              </w:rPr>
              <w:t>19,948,464.33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8" w:right="0"/>
              <w:jc w:val="left"/>
              <w:rPr>
                <w:rFonts w:ascii="Times New Roman" w:hAnsi="Times New Roman" w:cs="Times New Roman" w:eastAsia="Times New Roman" w:hint="default"/>
                <w:sz w:val="18"/>
                <w:szCs w:val="18"/>
              </w:rPr>
            </w:pPr>
            <w:r>
              <w:rPr>
                <w:rFonts w:ascii="Times New Roman"/>
                <w:sz w:val="18"/>
              </w:rPr>
              <w:t>4,704,754.05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4,704,754.05</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34"/>
        <w:gridCol w:w="737"/>
        <w:gridCol w:w="734"/>
        <w:gridCol w:w="735"/>
        <w:gridCol w:w="734"/>
        <w:gridCol w:w="737"/>
        <w:gridCol w:w="737"/>
        <w:gridCol w:w="735"/>
        <w:gridCol w:w="737"/>
        <w:gridCol w:w="737"/>
        <w:gridCol w:w="735"/>
        <w:gridCol w:w="737"/>
        <w:gridCol w:w="737"/>
      </w:tblGrid>
      <w:tr>
        <w:trPr>
          <w:trHeight w:val="1025"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272"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93" w:right="91"/>
              <w:jc w:val="center"/>
              <w:rPr>
                <w:rFonts w:ascii="Times New Roman" w:hAnsi="Times New Roman" w:cs="Times New Roman" w:eastAsia="Times New Roman" w:hint="default"/>
                <w:sz w:val="18"/>
                <w:szCs w:val="18"/>
              </w:rPr>
            </w:pPr>
            <w:r>
              <w:rPr>
                <w:rFonts w:ascii="宋体" w:hAnsi="宋体" w:cs="宋体" w:eastAsia="宋体" w:hint="default"/>
                <w:sz w:val="18"/>
                <w:szCs w:val="18"/>
              </w:rPr>
              <w:t>工程投 入占预 算比例 </w:t>
            </w:r>
            <w:r>
              <w:rPr>
                <w:rFonts w:ascii="Times New Roman" w:hAnsi="Times New Roman" w:cs="Times New Roman" w:eastAsia="Times New Roman" w:hint="default"/>
                <w:sz w:val="18"/>
                <w:szCs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47" w:right="4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29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普金厂</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 w:right="0"/>
              <w:jc w:val="center"/>
              <w:rPr>
                <w:rFonts w:ascii="Times New Roman" w:hAnsi="Times New Roman" w:cs="Times New Roman" w:eastAsia="Times New Roman" w:hint="default"/>
                <w:sz w:val="18"/>
                <w:szCs w:val="18"/>
              </w:rPr>
            </w:pPr>
            <w:r>
              <w:rPr>
                <w:rFonts w:ascii="Times New Roman"/>
                <w:sz w:val="18"/>
              </w:rPr>
              <w:t>4,704,75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sz w:val="18"/>
              </w:rPr>
              <w:t>15,243,7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3" w:right="0"/>
              <w:jc w:val="center"/>
              <w:rPr>
                <w:rFonts w:ascii="Times New Roman" w:hAnsi="Times New Roman" w:cs="Times New Roman" w:eastAsia="Times New Roman" w:hint="default"/>
                <w:sz w:val="18"/>
                <w:szCs w:val="18"/>
              </w:rPr>
            </w:pPr>
            <w:r>
              <w:rPr>
                <w:rFonts w:ascii="Times New Roman"/>
                <w:sz w:val="18"/>
              </w:rPr>
              <w:t>19,948,4</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80" w:top="1340" w:bottom="1160" w:left="980" w:right="980"/>
        </w:sectPr>
      </w:pP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516"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房建造</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388" w:right="0"/>
              <w:jc w:val="left"/>
              <w:rPr>
                <w:rFonts w:ascii="Times New Roman" w:hAnsi="Times New Roman" w:cs="Times New Roman" w:eastAsia="Times New Roman" w:hint="default"/>
                <w:sz w:val="18"/>
                <w:szCs w:val="18"/>
              </w:rPr>
            </w:pPr>
            <w:r>
              <w:rPr>
                <w:rFonts w:ascii="Times New Roman"/>
                <w:sz w:val="18"/>
              </w:rPr>
              <w:t>4.05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297" w:right="0"/>
              <w:jc w:val="left"/>
              <w:rPr>
                <w:rFonts w:ascii="Times New Roman" w:hAnsi="Times New Roman" w:cs="Times New Roman" w:eastAsia="Times New Roman" w:hint="default"/>
                <w:sz w:val="18"/>
                <w:szCs w:val="18"/>
              </w:rPr>
            </w:pPr>
            <w:r>
              <w:rPr>
                <w:rFonts w:ascii="Times New Roman"/>
                <w:sz w:val="18"/>
              </w:rPr>
              <w:t>10.28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300" w:right="0"/>
              <w:jc w:val="left"/>
              <w:rPr>
                <w:rFonts w:ascii="Times New Roman" w:hAnsi="Times New Roman" w:cs="Times New Roman" w:eastAsia="Times New Roman" w:hint="default"/>
                <w:sz w:val="18"/>
                <w:szCs w:val="18"/>
              </w:rPr>
            </w:pPr>
            <w:r>
              <w:rPr>
                <w:rFonts w:ascii="Times New Roman"/>
                <w:sz w:val="18"/>
              </w:rPr>
              <w:t>64.33</w:t>
            </w:r>
          </w:p>
        </w:tc>
      </w:tr>
      <w:tr>
        <w:trPr>
          <w:trHeight w:val="506"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36"/>
              <w:ind w:left="72" w:right="0"/>
              <w:jc w:val="left"/>
              <w:rPr>
                <w:rFonts w:ascii="Times New Roman" w:hAnsi="Times New Roman" w:cs="Times New Roman" w:eastAsia="Times New Roman" w:hint="default"/>
                <w:sz w:val="18"/>
                <w:szCs w:val="18"/>
              </w:rPr>
            </w:pPr>
            <w:r>
              <w:rPr>
                <w:rFonts w:ascii="Times New Roman"/>
                <w:sz w:val="18"/>
              </w:rPr>
              <w:t>4,704,75</w:t>
            </w:r>
          </w:p>
          <w:p>
            <w:pPr>
              <w:pStyle w:val="TableParagraph"/>
              <w:spacing w:line="205" w:lineRule="exact"/>
              <w:ind w:left="388" w:right="0"/>
              <w:jc w:val="left"/>
              <w:rPr>
                <w:rFonts w:ascii="Times New Roman" w:hAnsi="Times New Roman" w:cs="Times New Roman" w:eastAsia="Times New Roman" w:hint="default"/>
                <w:sz w:val="18"/>
                <w:szCs w:val="18"/>
              </w:rPr>
            </w:pPr>
            <w:r>
              <w:rPr>
                <w:rFonts w:ascii="Times New Roman"/>
                <w:sz w:val="18"/>
              </w:rPr>
              <w:t>4.05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36"/>
              <w:ind w:left="71" w:right="0"/>
              <w:jc w:val="left"/>
              <w:rPr>
                <w:rFonts w:ascii="Times New Roman" w:hAnsi="Times New Roman" w:cs="Times New Roman" w:eastAsia="Times New Roman" w:hint="default"/>
                <w:sz w:val="18"/>
                <w:szCs w:val="18"/>
              </w:rPr>
            </w:pPr>
            <w:r>
              <w:rPr>
                <w:rFonts w:ascii="Times New Roman"/>
                <w:sz w:val="18"/>
              </w:rPr>
              <w:t>15,243,7</w:t>
            </w:r>
          </w:p>
          <w:p>
            <w:pPr>
              <w:pStyle w:val="TableParagraph"/>
              <w:spacing w:line="205" w:lineRule="exact"/>
              <w:ind w:left="297" w:right="0"/>
              <w:jc w:val="left"/>
              <w:rPr>
                <w:rFonts w:ascii="Times New Roman" w:hAnsi="Times New Roman" w:cs="Times New Roman" w:eastAsia="Times New Roman" w:hint="default"/>
                <w:sz w:val="18"/>
                <w:szCs w:val="18"/>
              </w:rPr>
            </w:pPr>
            <w:r>
              <w:rPr>
                <w:rFonts w:ascii="Times New Roman"/>
                <w:sz w:val="18"/>
              </w:rPr>
              <w:t>10.28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36"/>
              <w:ind w:left="74" w:right="0"/>
              <w:jc w:val="left"/>
              <w:rPr>
                <w:rFonts w:ascii="Times New Roman" w:hAnsi="Times New Roman" w:cs="Times New Roman" w:eastAsia="Times New Roman" w:hint="default"/>
                <w:sz w:val="18"/>
                <w:szCs w:val="18"/>
              </w:rPr>
            </w:pPr>
            <w:r>
              <w:rPr>
                <w:rFonts w:ascii="Times New Roman"/>
                <w:sz w:val="18"/>
              </w:rPr>
              <w:t>19,948,4</w:t>
            </w:r>
          </w:p>
          <w:p>
            <w:pPr>
              <w:pStyle w:val="TableParagraph"/>
              <w:spacing w:line="205" w:lineRule="exact"/>
              <w:ind w:left="300" w:right="0"/>
              <w:jc w:val="left"/>
              <w:rPr>
                <w:rFonts w:ascii="Times New Roman" w:hAnsi="Times New Roman" w:cs="Times New Roman" w:eastAsia="Times New Roman" w:hint="default"/>
                <w:sz w:val="18"/>
                <w:szCs w:val="18"/>
              </w:rPr>
            </w:pPr>
            <w:r>
              <w:rPr>
                <w:rFonts w:ascii="Times New Roman"/>
                <w:sz w:val="18"/>
              </w:rPr>
              <w:t>64.33</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2127"/>
        <w:gridCol w:w="2512"/>
      </w:tblGrid>
      <w:tr>
        <w:trPr>
          <w:trHeight w:val="32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51"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1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26" w:right="0"/>
              <w:jc w:val="left"/>
              <w:rPr>
                <w:rFonts w:ascii="宋体" w:hAnsi="宋体" w:cs="宋体" w:eastAsia="宋体" w:hint="default"/>
                <w:sz w:val="18"/>
                <w:szCs w:val="18"/>
              </w:rPr>
            </w:pPr>
            <w:r>
              <w:rPr>
                <w:rFonts w:ascii="宋体" w:hAnsi="宋体" w:cs="宋体" w:eastAsia="宋体" w:hint="default"/>
                <w:sz w:val="18"/>
                <w:szCs w:val="18"/>
              </w:rPr>
              <w:t>转入清理的原因</w:t>
            </w:r>
          </w:p>
        </w:tc>
      </w:tr>
    </w:tbl>
    <w:p>
      <w:pPr>
        <w:pStyle w:val="BodyText"/>
        <w:spacing w:line="240" w:lineRule="auto" w:before="89"/>
        <w:ind w:right="0"/>
        <w:jc w:val="left"/>
      </w:pPr>
      <w:r>
        <w:rPr/>
        <w:t>说明转入固定资产清理起始时间已超过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年的固定资产清理进展情况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324"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65,716,101.74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7,803,368.52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73,519,470.26</w:t>
            </w:r>
          </w:p>
        </w:tc>
      </w:tr>
      <w:tr>
        <w:trPr>
          <w:trHeight w:val="32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83,800.00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4,579,077.21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4,662,877.21</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非专利技术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2,899,000.00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2,899,000.00</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自主研发软件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47,424,497.97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47,424,497.97</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许可使用权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1,340,000.00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2,299,145.31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3,639,145.31</w:t>
            </w:r>
          </w:p>
        </w:tc>
      </w:tr>
      <w:tr>
        <w:trPr>
          <w:trHeight w:val="32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13,968,803.77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925,146.00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14,893,949.77</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5,232,115.64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7,425,640.42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12,657,756.06</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20,260.05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1,333,486.19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1,353,746.24</w:t>
            </w:r>
          </w:p>
        </w:tc>
      </w:tr>
      <w:tr>
        <w:trPr>
          <w:trHeight w:val="32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非专利技术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1,922,303.20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325,565.64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2,247,868.84</w:t>
            </w:r>
          </w:p>
        </w:tc>
      </w:tr>
      <w:tr>
        <w:trPr>
          <w:trHeight w:val="32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自主研发软件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1,930,659.27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4,742,384.16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6,673,043.43</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许可使用权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669,999.97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733,865.18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1,403,865.15</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688,893.15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290,339.25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979,232.40</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60,483,986.10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377,728.10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60,861,714.20</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63,539.95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3,245,591.02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3,309,130.97</w:t>
            </w:r>
          </w:p>
        </w:tc>
      </w:tr>
      <w:tr>
        <w:trPr>
          <w:trHeight w:val="32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非专利技术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976,696.80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-325,565.64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651,131.16</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自主研发软件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45,493,838.70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-4,742,384.16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40,751,454.54</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许可使用权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670,000.03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1,565,280.13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2,235,280.16</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40" w:bottom="1160" w:left="980" w:right="980"/>
        </w:sectPr>
      </w:pP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13,279,910.62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634,806.75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13,914,717.37</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非专利技术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自主研发软件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许可使用权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60,483,986.10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377,728.10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60,861,714.20</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63,539.95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3,245,591.02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3,309,130.97</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非专利技术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976,696.80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-325,565.64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651,131.16</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自主研发软件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45,493,838.70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-4,742,384.16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40,751,454.54</w:t>
            </w:r>
          </w:p>
        </w:tc>
      </w:tr>
      <w:tr>
        <w:trPr>
          <w:trHeight w:val="32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许可使用权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670,000.03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1,565,280.13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2,235,280.16</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13,279,910.62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634,806.75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13,914,717.37</w:t>
            </w:r>
          </w:p>
        </w:tc>
      </w:tr>
    </w:tbl>
    <w:p>
      <w:pPr>
        <w:pStyle w:val="BodyText"/>
        <w:spacing w:line="240" w:lineRule="auto" w:before="88"/>
        <w:ind w:right="94"/>
        <w:jc w:val="left"/>
      </w:pPr>
      <w:r>
        <w:rPr/>
        <w:t>本期摊销额</w:t>
      </w:r>
      <w:r>
        <w:rPr>
          <w:spacing w:val="-47"/>
        </w:rPr>
        <w:t> </w:t>
      </w:r>
      <w:r>
        <w:rPr>
          <w:rFonts w:ascii="Times New Roman" w:hAnsi="Times New Roman" w:cs="Times New Roman" w:eastAsia="Times New Roman" w:hint="default"/>
        </w:rPr>
        <w:t>7,425,640.42</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94"/>
        <w:jc w:val="left"/>
      </w:pPr>
      <w:r>
        <w:rPr/>
        <w:t>无</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9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528"/>
        <w:gridCol w:w="1462"/>
        <w:gridCol w:w="1460"/>
        <w:gridCol w:w="1459"/>
        <w:gridCol w:w="1462"/>
        <w:gridCol w:w="1198"/>
      </w:tblGrid>
      <w:tr>
        <w:trPr>
          <w:trHeight w:val="557"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080"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557"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24" w:right="153"/>
              <w:jc w:val="left"/>
              <w:rPr>
                <w:rFonts w:ascii="宋体" w:hAnsi="宋体" w:cs="宋体" w:eastAsia="宋体" w:hint="default"/>
                <w:sz w:val="18"/>
                <w:szCs w:val="18"/>
              </w:rPr>
            </w:pPr>
            <w:r>
              <w:rPr>
                <w:rFonts w:ascii="宋体" w:hAnsi="宋体" w:cs="宋体" w:eastAsia="宋体" w:hint="default"/>
                <w:sz w:val="18"/>
                <w:szCs w:val="18"/>
              </w:rPr>
              <w:t>北京友联创新系统集成有限公 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33,470,814.63</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33,470,814.63</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宁波普天通信技术有限公司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3" w:right="0"/>
              <w:jc w:val="left"/>
              <w:rPr>
                <w:rFonts w:ascii="Times New Roman" w:hAnsi="Times New Roman" w:cs="Times New Roman" w:eastAsia="Times New Roman" w:hint="default"/>
                <w:sz w:val="18"/>
                <w:szCs w:val="18"/>
              </w:rPr>
            </w:pPr>
            <w:r>
              <w:rPr>
                <w:rFonts w:ascii="Times New Roman"/>
                <w:sz w:val="18"/>
              </w:rPr>
              <w:t>206,137,154.75</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206,137,154.75</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8" w:type="dxa"/>
            <w:tcBorders>
              <w:top w:val="single" w:sz="4" w:space="0" w:color="000000"/>
              <w:left w:val="single" w:sz="4" w:space="0" w:color="000000"/>
              <w:bottom w:val="single" w:sz="4" w:space="0" w:color="000000"/>
              <w:right w:val="single" w:sz="13" w:space="0" w:color="FFFFFF"/>
            </w:tcBorders>
          </w:tcPr>
          <w:p>
            <w:pPr>
              <w:pStyle w:val="TableParagraph"/>
              <w:spacing w:line="232" w:lineRule="exact" w:before="33"/>
              <w:ind w:left="24" w:right="-39"/>
              <w:jc w:val="left"/>
              <w:rPr>
                <w:rFonts w:ascii="宋体" w:hAnsi="宋体" w:cs="宋体" w:eastAsia="宋体" w:hint="default"/>
                <w:sz w:val="18"/>
                <w:szCs w:val="18"/>
              </w:rPr>
            </w:pPr>
            <w:r>
              <w:rPr>
                <w:rFonts w:ascii="宋体" w:hAnsi="宋体" w:cs="宋体" w:eastAsia="宋体" w:hint="default"/>
                <w:sz w:val="18"/>
                <w:szCs w:val="18"/>
              </w:rPr>
              <w:t>奇点新源国际技术开发（北京） 有限公司</w:t>
            </w:r>
          </w:p>
        </w:tc>
        <w:tc>
          <w:tcPr>
            <w:tcW w:w="146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82" w:right="0"/>
              <w:jc w:val="left"/>
              <w:rPr>
                <w:rFonts w:ascii="Times New Roman" w:hAnsi="Times New Roman" w:cs="Times New Roman" w:eastAsia="Times New Roman" w:hint="default"/>
                <w:sz w:val="18"/>
                <w:szCs w:val="18"/>
              </w:rPr>
            </w:pPr>
            <w:r>
              <w:rPr>
                <w:rFonts w:ascii="Times New Roman"/>
                <w:sz w:val="18"/>
              </w:rPr>
              <w:t>13,156,878.95</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13,156,878.95</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3" w:right="0"/>
              <w:jc w:val="left"/>
              <w:rPr>
                <w:rFonts w:ascii="Times New Roman" w:hAnsi="Times New Roman" w:cs="Times New Roman" w:eastAsia="Times New Roman" w:hint="default"/>
                <w:sz w:val="18"/>
                <w:szCs w:val="18"/>
              </w:rPr>
            </w:pPr>
            <w:r>
              <w:rPr>
                <w:rFonts w:ascii="Times New Roman"/>
                <w:sz w:val="18"/>
              </w:rPr>
              <w:t>252,764,848.33</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252,764,848.33</w:t>
            </w:r>
          </w:p>
        </w:tc>
        <w:tc>
          <w:tcPr>
            <w:tcW w:w="1198" w:type="dxa"/>
            <w:tcBorders>
              <w:top w:val="single" w:sz="4" w:space="0" w:color="000000"/>
              <w:left w:val="single" w:sz="4" w:space="0" w:color="000000"/>
              <w:bottom w:val="single" w:sz="4" w:space="0" w:color="000000"/>
              <w:right w:val="single" w:sz="4" w:space="0" w:color="000000"/>
            </w:tcBorders>
          </w:tcPr>
          <w:p>
            <w:pPr/>
          </w:p>
        </w:tc>
      </w:tr>
    </w:tbl>
    <w:p>
      <w:pPr>
        <w:pStyle w:val="Heading5"/>
        <w:spacing w:line="240" w:lineRule="auto" w:before="87"/>
        <w:ind w:left="597" w:right="94"/>
        <w:jc w:val="left"/>
        <w:rPr>
          <w:b w:val="0"/>
          <w:bCs w:val="0"/>
        </w:rPr>
      </w:pPr>
      <w:r>
        <w:rPr/>
        <w:t>商誉计算过程</w:t>
      </w:r>
      <w:r>
        <w:rPr>
          <w:b w:val="0"/>
          <w:bCs w:val="0"/>
        </w:rPr>
      </w:r>
    </w:p>
    <w:p>
      <w:pPr>
        <w:pStyle w:val="BodyText"/>
        <w:spacing w:line="338" w:lineRule="auto" w:before="112"/>
        <w:ind w:right="190" w:firstLine="360"/>
        <w:jc w:val="both"/>
      </w:pPr>
      <w:r>
        <w:rPr/>
        <w:t>（</w:t>
      </w:r>
      <w:r>
        <w:rPr>
          <w:rFonts w:ascii="Times New Roman" w:hAnsi="Times New Roman" w:cs="Times New Roman" w:eastAsia="Times New Roman" w:hint="default"/>
        </w:rPr>
        <w:t>1</w:t>
      </w:r>
      <w:r>
        <w:rPr/>
        <w:t>）本公司于</w:t>
      </w:r>
      <w:r>
        <w:rPr>
          <w:rFonts w:ascii="Times New Roman" w:hAnsi="Times New Roman" w:cs="Times New Roman" w:eastAsia="Times New Roman" w:hint="default"/>
        </w:rPr>
        <w:t>2010</w:t>
      </w:r>
      <w:r>
        <w:rPr/>
        <w:t>年以人民币</w:t>
      </w:r>
      <w:r>
        <w:rPr>
          <w:rFonts w:ascii="Times New Roman" w:hAnsi="Times New Roman" w:cs="Times New Roman" w:eastAsia="Times New Roman" w:hint="default"/>
        </w:rPr>
        <w:t>5,900</w:t>
      </w:r>
      <w:r>
        <w:rPr/>
        <w:t>万元作为合并成本购买北京友联创新系统集成有限公司</w:t>
      </w:r>
      <w:r>
        <w:rPr>
          <w:rFonts w:ascii="Times New Roman" w:hAnsi="Times New Roman" w:cs="Times New Roman" w:eastAsia="Times New Roman" w:hint="default"/>
        </w:rPr>
        <w:t>100%</w:t>
      </w:r>
      <w:r>
        <w:rPr/>
        <w:t>股权。合并成本超过 </w:t>
      </w:r>
      <w:r>
        <w:rPr>
          <w:spacing w:val="-1"/>
        </w:rPr>
        <w:t>按比例获得的北京友联创新系统集成有限公司可辨认资产、负债公允价值的差额人民币</w:t>
      </w:r>
      <w:r>
        <w:rPr>
          <w:rFonts w:ascii="Times New Roman" w:hAnsi="Times New Roman" w:cs="Times New Roman" w:eastAsia="Times New Roman" w:hint="default"/>
          <w:spacing w:val="-1"/>
        </w:rPr>
        <w:t>33,470,814.63</w:t>
      </w:r>
      <w:r>
        <w:rPr>
          <w:spacing w:val="-1"/>
        </w:rPr>
        <w:t>元，确认为与北京友联</w:t>
      </w:r>
      <w:r>
        <w:rPr>
          <w:spacing w:val="-69"/>
        </w:rPr>
        <w:t> </w:t>
      </w:r>
      <w:r>
        <w:rPr>
          <w:spacing w:val="-69"/>
        </w:rPr>
      </w:r>
      <w:r>
        <w:rPr/>
        <w:t>创新系统集成有限公司相关的商誉。</w:t>
      </w:r>
    </w:p>
    <w:p>
      <w:pPr>
        <w:pStyle w:val="BodyText"/>
        <w:spacing w:line="338" w:lineRule="auto" w:before="41"/>
        <w:ind w:right="191" w:firstLine="360"/>
        <w:jc w:val="both"/>
      </w:pPr>
      <w:r>
        <w:rPr>
          <w:spacing w:val="-2"/>
        </w:rPr>
        <w:t>（</w:t>
      </w:r>
      <w:r>
        <w:rPr>
          <w:rFonts w:ascii="Times New Roman" w:hAnsi="Times New Roman" w:cs="Times New Roman" w:eastAsia="Times New Roman" w:hint="default"/>
          <w:spacing w:val="-2"/>
        </w:rPr>
        <w:t>2</w:t>
      </w:r>
      <w:r>
        <w:rPr>
          <w:spacing w:val="-2"/>
        </w:rPr>
        <w:t>）本公司于</w:t>
      </w:r>
      <w:r>
        <w:rPr>
          <w:rFonts w:ascii="Times New Roman" w:hAnsi="Times New Roman" w:cs="Times New Roman" w:eastAsia="Times New Roman" w:hint="default"/>
          <w:spacing w:val="-2"/>
        </w:rPr>
        <w:t>2011</w:t>
      </w:r>
      <w:r>
        <w:rPr>
          <w:spacing w:val="-2"/>
        </w:rPr>
        <w:t>年以人民币</w:t>
      </w:r>
      <w:r>
        <w:rPr>
          <w:rFonts w:ascii="Times New Roman" w:hAnsi="Times New Roman" w:cs="Times New Roman" w:eastAsia="Times New Roman" w:hint="default"/>
          <w:spacing w:val="-2"/>
        </w:rPr>
        <w:t>24,000</w:t>
      </w:r>
      <w:r>
        <w:rPr>
          <w:spacing w:val="-2"/>
        </w:rPr>
        <w:t>万元（截止期末已支付现金</w:t>
      </w:r>
      <w:r>
        <w:rPr>
          <w:rFonts w:ascii="Times New Roman" w:hAnsi="Times New Roman" w:cs="Times New Roman" w:eastAsia="Times New Roman" w:hint="default"/>
          <w:spacing w:val="-2"/>
        </w:rPr>
        <w:t>17,000</w:t>
      </w:r>
      <w:r>
        <w:rPr>
          <w:spacing w:val="-2"/>
        </w:rPr>
        <w:t>万元）作为合并成本购买宁波普天通信技术有限</w:t>
      </w:r>
      <w:r>
        <w:rPr/>
        <w:t> 公司</w:t>
      </w:r>
      <w:r>
        <w:rPr>
          <w:rFonts w:ascii="Times New Roman" w:hAnsi="Times New Roman" w:cs="Times New Roman" w:eastAsia="Times New Roman" w:hint="default"/>
        </w:rPr>
        <w:t>100%</w:t>
      </w:r>
      <w:r>
        <w:rPr/>
        <w:t>的股权。合并成本超过按比例获得的宁波普天通信技术有限公司可辨认资产、负债公允价值及确认递延所得税负</w:t>
      </w:r>
      <w:r>
        <w:rPr>
          <w:spacing w:val="-60"/>
        </w:rPr>
        <w:t> </w:t>
      </w:r>
      <w:r>
        <w:rPr>
          <w:spacing w:val="-60"/>
        </w:rPr>
      </w:r>
      <w:r>
        <w:rPr/>
        <w:t>债后的差额人民币</w:t>
      </w:r>
      <w:r>
        <w:rPr>
          <w:rFonts w:ascii="Times New Roman" w:hAnsi="Times New Roman" w:cs="Times New Roman" w:eastAsia="Times New Roman" w:hint="default"/>
        </w:rPr>
        <w:t>206,137,154.75</w:t>
      </w:r>
      <w:r>
        <w:rPr/>
        <w:t>元，确认为与宁波普天通信技术有限公司相关的商誉。</w:t>
      </w:r>
    </w:p>
    <w:p>
      <w:pPr>
        <w:pStyle w:val="BodyText"/>
        <w:spacing w:line="348" w:lineRule="auto" w:before="19"/>
        <w:ind w:right="188" w:firstLine="360"/>
        <w:jc w:val="both"/>
      </w:pPr>
      <w:r>
        <w:rPr>
          <w:spacing w:val="-1"/>
        </w:rPr>
        <w:t>（</w:t>
      </w:r>
      <w:r>
        <w:rPr>
          <w:rFonts w:ascii="Times New Roman" w:hAnsi="Times New Roman" w:cs="Times New Roman" w:eastAsia="Times New Roman" w:hint="default"/>
          <w:spacing w:val="-1"/>
        </w:rPr>
        <w:t>3</w:t>
      </w:r>
      <w:r>
        <w:rPr>
          <w:spacing w:val="-1"/>
        </w:rPr>
        <w:t>）本公司于</w:t>
      </w:r>
      <w:r>
        <w:rPr>
          <w:rFonts w:ascii="Times New Roman" w:hAnsi="Times New Roman" w:cs="Times New Roman" w:eastAsia="Times New Roman" w:hint="default"/>
          <w:spacing w:val="-1"/>
        </w:rPr>
        <w:t>2011</w:t>
      </w:r>
      <w:r>
        <w:rPr>
          <w:spacing w:val="-1"/>
        </w:rPr>
        <w:t>年以人民币</w:t>
      </w:r>
      <w:r>
        <w:rPr>
          <w:rFonts w:ascii="Times New Roman" w:hAnsi="Times New Roman" w:cs="Times New Roman" w:eastAsia="Times New Roman" w:hint="default"/>
          <w:spacing w:val="-1"/>
        </w:rPr>
        <w:t>2,050</w:t>
      </w:r>
      <w:r>
        <w:rPr>
          <w:spacing w:val="-1"/>
        </w:rPr>
        <w:t>万元作为合并成本购买并增资奇点新源国际技术开发（北京）有限公司取得</w:t>
      </w:r>
      <w:r>
        <w:rPr>
          <w:rFonts w:ascii="Times New Roman" w:hAnsi="Times New Roman" w:cs="Times New Roman" w:eastAsia="Times New Roman" w:hint="default"/>
          <w:spacing w:val="-1"/>
        </w:rPr>
        <w:t>80%</w:t>
      </w:r>
      <w:r>
        <w:rPr>
          <w:spacing w:val="-1"/>
        </w:rPr>
        <w:t>股</w:t>
      </w:r>
      <w:r>
        <w:rPr/>
        <w:t> </w:t>
      </w:r>
      <w:r>
        <w:rPr>
          <w:spacing w:val="12"/>
        </w:rPr>
        <w:t>权。合并成本超过按比例获得的奇点新源国际技术开发（北京）有限公司可辨认资产、负债公允价值的差额人民币</w:t>
      </w:r>
      <w:r>
        <w:rPr/>
        <w:t> </w:t>
      </w:r>
      <w:r>
        <w:rPr>
          <w:rFonts w:ascii="Times New Roman" w:hAnsi="Times New Roman" w:cs="Times New Roman" w:eastAsia="Times New Roman" w:hint="default"/>
        </w:rPr>
        <w:t>13,156,878.95</w:t>
      </w:r>
      <w:r>
        <w:rPr/>
        <w:t>元，确认为与奇点新源国际技术开发（北京）有限公司相关的商誉。</w:t>
      </w:r>
    </w:p>
    <w:p>
      <w:pPr>
        <w:pStyle w:val="BodyText"/>
        <w:spacing w:line="357" w:lineRule="auto" w:before="9"/>
        <w:ind w:left="513" w:right="183"/>
        <w:jc w:val="left"/>
      </w:pPr>
      <w:r>
        <w:rPr>
          <w:rFonts w:ascii="宋体" w:hAnsi="宋体" w:cs="宋体" w:eastAsia="宋体" w:hint="default"/>
          <w:b/>
          <w:bCs/>
        </w:rPr>
        <w:t>商誉减值测试的方法</w:t>
      </w:r>
      <w:r>
        <w:rPr>
          <w:rFonts w:ascii="宋体" w:hAnsi="宋体" w:cs="宋体" w:eastAsia="宋体" w:hint="default"/>
          <w:b/>
          <w:bCs/>
          <w:w w:val="99"/>
        </w:rPr>
        <w:t> </w:t>
      </w:r>
      <w:r>
        <w:rPr/>
        <w:t>本公司采用预计未来现金流现值的方法计算资产组的可收回金额。本公司根据管理层批准的财务预算预计未来</w:t>
      </w:r>
      <w:r>
        <w:rPr>
          <w:rFonts w:ascii="Times New Roman" w:hAnsi="Times New Roman" w:cs="Times New Roman" w:eastAsia="Times New Roman" w:hint="default"/>
        </w:rPr>
        <w:t>5</w:t>
      </w:r>
      <w:r>
        <w:rPr/>
        <w:t>年内现</w:t>
      </w:r>
    </w:p>
    <w:p>
      <w:pPr>
        <w:pStyle w:val="BodyText"/>
        <w:spacing w:line="338" w:lineRule="auto" w:before="3"/>
        <w:ind w:right="94"/>
        <w:jc w:val="left"/>
      </w:pPr>
      <w:r>
        <w:rPr/>
        <w:t>金流量，其后年度采用的现金流量增长率预计为</w:t>
      </w:r>
      <w:r>
        <w:rPr>
          <w:rFonts w:ascii="Times New Roman" w:hAnsi="Times New Roman" w:cs="Times New Roman" w:eastAsia="Times New Roman" w:hint="default"/>
        </w:rPr>
        <w:t>0</w:t>
      </w:r>
      <w:r>
        <w:rPr/>
        <w:t>，不会超过资产组经营业务的长期平均增长率。管理层根据过往表现及其</w:t>
      </w:r>
      <w:r>
        <w:rPr>
          <w:spacing w:val="-83"/>
        </w:rPr>
        <w:t> </w:t>
      </w:r>
      <w:r>
        <w:rPr>
          <w:spacing w:val="-83"/>
        </w:rPr>
      </w:r>
      <w:r>
        <w:rPr>
          <w:spacing w:val="-4"/>
        </w:rPr>
        <w:t>对市场发展的预期编制上述财务预算。计算未来现金流现值所采用的税前折现率时考虑了本公司的债务成本、长期国债利率、</w:t>
      </w:r>
    </w:p>
    <w:p>
      <w:pPr>
        <w:spacing w:after="0" w:line="338" w:lineRule="auto"/>
        <w:jc w:val="left"/>
        <w:sectPr>
          <w:pgSz w:w="11910" w:h="16840"/>
          <w:pgMar w:header="852" w:footer="980" w:top="1340" w:bottom="1160" w:left="980" w:right="940"/>
        </w:sectPr>
      </w:pPr>
    </w:p>
    <w:p>
      <w:pPr>
        <w:pStyle w:val="BodyText"/>
        <w:spacing w:line="357" w:lineRule="auto" w:before="61"/>
        <w:ind w:right="5094"/>
        <w:jc w:val="left"/>
      </w:pPr>
      <w:r>
        <w:rPr/>
        <w:t>市场预期报酬率等因素，已反映了相对于有关分部的风险。 根据减值测试的结果，本期期末商誉未发生减值。</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2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72"/>
              <w:jc w:val="left"/>
              <w:rPr>
                <w:rFonts w:ascii="宋体" w:hAnsi="宋体" w:cs="宋体" w:eastAsia="宋体" w:hint="default"/>
                <w:sz w:val="18"/>
                <w:szCs w:val="18"/>
              </w:rPr>
            </w:pPr>
            <w:r>
              <w:rPr>
                <w:rFonts w:ascii="宋体" w:hAnsi="宋体" w:cs="宋体" w:eastAsia="宋体" w:hint="default"/>
                <w:sz w:val="18"/>
                <w:szCs w:val="18"/>
              </w:rPr>
              <w:t>租入办公场所装 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897,377.29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407,566.12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489,811.17</w:t>
            </w:r>
          </w:p>
        </w:tc>
        <w:tc>
          <w:tcPr>
            <w:tcW w:w="1368" w:type="dxa"/>
            <w:tcBorders>
              <w:top w:val="single" w:sz="4" w:space="0" w:color="000000"/>
              <w:left w:val="single" w:sz="4" w:space="0" w:color="000000"/>
              <w:bottom w:val="single" w:sz="10" w:space="0" w:color="D2D2D2"/>
              <w:right w:val="single" w:sz="4" w:space="0" w:color="000000"/>
            </w:tcBorders>
          </w:tcPr>
          <w:p>
            <w:pP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897,377.29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407,566.12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8"/>
              <w:ind w:right="7"/>
              <w:jc w:val="right"/>
              <w:rPr>
                <w:rFonts w:ascii="Times New Roman" w:hAnsi="Times New Roman" w:cs="Times New Roman" w:eastAsia="Times New Roman" w:hint="default"/>
                <w:sz w:val="18"/>
                <w:szCs w:val="18"/>
              </w:rPr>
            </w:pPr>
            <w:r>
              <w:rPr>
                <w:rFonts w:ascii="Times New Roman"/>
                <w:spacing w:val="-1"/>
                <w:sz w:val="18"/>
              </w:rPr>
              <w:t>489,811.17</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9"/>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right="0"/>
        <w:jc w:val="left"/>
      </w:pPr>
      <w:r>
        <w:rPr/>
        <w:t>已确认的递延所得税资产和递延所得税负债</w:t>
      </w:r>
    </w:p>
    <w:p>
      <w:pPr>
        <w:pStyle w:val="BodyText"/>
        <w:spacing w:line="240" w:lineRule="auto" w:before="38"/>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724"/>
        <w:gridCol w:w="2924"/>
        <w:gridCol w:w="2921"/>
      </w:tblGrid>
      <w:tr>
        <w:trPr>
          <w:trHeight w:val="329"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19"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322"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开办费</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8,046,924.86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5,982,960.78</w:t>
            </w:r>
          </w:p>
        </w:tc>
      </w:tr>
      <w:tr>
        <w:trPr>
          <w:trHeight w:val="324"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、计提质保金形成的可抵扣暂时性差异</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1,271,481.38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819,617.79</w:t>
            </w:r>
          </w:p>
        </w:tc>
      </w:tr>
      <w:tr>
        <w:trPr>
          <w:trHeight w:val="557"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、其他非流动负债（递延收益）形成的可抵扣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暂时性差异</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1,224,071.67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3,421,064.24</w:t>
            </w:r>
          </w:p>
        </w:tc>
      </w:tr>
      <w:tr>
        <w:trPr>
          <w:trHeight w:val="557"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、已计提未支付的奖金形成的可抵扣暂时性差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异</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11,056,254.45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10,966,926.86</w:t>
            </w:r>
          </w:p>
        </w:tc>
      </w:tr>
      <w:tr>
        <w:trPr>
          <w:trHeight w:val="557"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、内部销售未实现毛利形成的可抵扣暂时性差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异</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292,808.06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93,000.00</w:t>
            </w:r>
          </w:p>
        </w:tc>
      </w:tr>
      <w:tr>
        <w:trPr>
          <w:trHeight w:val="324"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21,891,540.42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21,283,569.67</w:t>
            </w:r>
          </w:p>
        </w:tc>
      </w:tr>
      <w:tr>
        <w:trPr>
          <w:trHeight w:val="324"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557"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88"/>
              <w:jc w:val="left"/>
              <w:rPr>
                <w:rFonts w:ascii="宋体" w:hAnsi="宋体" w:cs="宋体" w:eastAsia="宋体" w:hint="default"/>
                <w:sz w:val="18"/>
                <w:szCs w:val="18"/>
              </w:rPr>
            </w:pPr>
            <w:r>
              <w:rPr>
                <w:rFonts w:ascii="宋体" w:hAnsi="宋体" w:cs="宋体" w:eastAsia="宋体" w:hint="default"/>
                <w:sz w:val="18"/>
                <w:szCs w:val="18"/>
              </w:rPr>
              <w:t>非同一控制企业合并中被购买方资产公允价值 大于账面价值形成的应纳税暂时性差异</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640,262.48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640,262.48</w:t>
            </w:r>
          </w:p>
        </w:tc>
      </w:tr>
      <w:tr>
        <w:trPr>
          <w:trHeight w:val="324"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640,262.48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640,262.48</w:t>
            </w:r>
          </w:p>
        </w:tc>
      </w:tr>
    </w:tbl>
    <w:p>
      <w:pPr>
        <w:spacing w:line="240" w:lineRule="auto" w:before="12"/>
        <w:rPr>
          <w:rFonts w:ascii="宋体" w:hAnsi="宋体" w:cs="宋体" w:eastAsia="宋体" w:hint="default"/>
          <w:sz w:val="15"/>
          <w:szCs w:val="15"/>
        </w:rPr>
      </w:pPr>
    </w:p>
    <w:p>
      <w:pPr>
        <w:pStyle w:val="BodyText"/>
        <w:spacing w:line="240" w:lineRule="auto" w:before="44"/>
        <w:ind w:right="0"/>
        <w:jc w:val="left"/>
      </w:pPr>
      <w:r>
        <w:rPr/>
        <w:t>应纳税差异和可抵扣差异项目明细</w:t>
      </w:r>
    </w:p>
    <w:p>
      <w:pPr>
        <w:pStyle w:val="BodyText"/>
        <w:spacing w:line="240" w:lineRule="auto" w:before="38"/>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855"/>
        <w:gridCol w:w="2926"/>
        <w:gridCol w:w="2787"/>
      </w:tblGrid>
      <w:tr>
        <w:trPr>
          <w:trHeight w:val="324" w:hRule="exact"/>
        </w:trPr>
        <w:tc>
          <w:tcPr>
            <w:tcW w:w="38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325" w:hRule="exact"/>
        </w:trPr>
        <w:tc>
          <w:tcPr>
            <w:tcW w:w="3855"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324"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322"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、资产减值准备形成的可抵扣暂时性差异</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53,646,165.74</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39,886,405.17</w:t>
            </w:r>
          </w:p>
        </w:tc>
      </w:tr>
      <w:tr>
        <w:trPr>
          <w:trHeight w:val="324"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、计提质保金形成的可抵扣暂时性差异</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8,476,542.51</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5,464,118.58</w:t>
            </w:r>
          </w:p>
        </w:tc>
      </w:tr>
      <w:tr>
        <w:trPr>
          <w:trHeight w:val="557"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、其他非流动负债（递延收益）形成的可抵扣暂</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时性差异</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8,160,477.77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22,807,094.90</w:t>
            </w:r>
          </w:p>
        </w:tc>
      </w:tr>
      <w:tr>
        <w:trPr>
          <w:trHeight w:val="324"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72"/>
                <w:sz w:val="18"/>
                <w:szCs w:val="18"/>
              </w:rPr>
              <w:t>、</w:t>
            </w:r>
            <w:r>
              <w:rPr>
                <w:rFonts w:ascii="宋体" w:hAnsi="宋体" w:cs="宋体" w:eastAsia="宋体" w:hint="default"/>
                <w:sz w:val="18"/>
                <w:szCs w:val="18"/>
              </w:rPr>
              <w:t>已计提未支付的奖金形成的可抵扣暂时性差异</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73,708,362.98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73,112,845.75</w:t>
            </w:r>
          </w:p>
        </w:tc>
      </w:tr>
      <w:tr>
        <w:trPr>
          <w:trHeight w:val="324"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72"/>
                <w:sz w:val="18"/>
                <w:szCs w:val="18"/>
              </w:rPr>
              <w:t>、</w:t>
            </w:r>
            <w:r>
              <w:rPr>
                <w:rFonts w:ascii="宋体" w:hAnsi="宋体" w:cs="宋体" w:eastAsia="宋体" w:hint="default"/>
                <w:sz w:val="18"/>
                <w:szCs w:val="18"/>
              </w:rPr>
              <w:t>内部销售未实现毛利形成的可抵扣暂时性差异</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1,952,053.70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620,000.00</w:t>
            </w:r>
          </w:p>
        </w:tc>
      </w:tr>
      <w:tr>
        <w:trPr>
          <w:trHeight w:val="329"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145,943,602.70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141,890,464.40</w:t>
            </w:r>
          </w:p>
        </w:tc>
      </w:tr>
      <w:tr>
        <w:trPr>
          <w:trHeight w:val="317"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bl>
    <w:p>
      <w:pPr>
        <w:spacing w:after="0" w:line="240" w:lineRule="auto"/>
        <w:jc w:val="left"/>
        <w:rPr>
          <w:rFonts w:ascii="宋体" w:hAnsi="宋体" w:cs="宋体" w:eastAsia="宋体" w:hint="default"/>
          <w:sz w:val="18"/>
          <w:szCs w:val="18"/>
        </w:rPr>
        <w:sectPr>
          <w:pgSz w:w="11910" w:h="16840"/>
          <w:pgMar w:header="852" w:footer="980" w:top="1340" w:bottom="1160" w:left="980" w:right="980"/>
        </w:sectPr>
      </w:pP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855"/>
        <w:gridCol w:w="2926"/>
        <w:gridCol w:w="2787"/>
      </w:tblGrid>
      <w:tr>
        <w:trPr>
          <w:trHeight w:val="557"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24" w:right="38"/>
              <w:jc w:val="left"/>
              <w:rPr>
                <w:rFonts w:ascii="宋体" w:hAnsi="宋体" w:cs="宋体" w:eastAsia="宋体" w:hint="default"/>
                <w:sz w:val="18"/>
                <w:szCs w:val="18"/>
              </w:rPr>
            </w:pPr>
            <w:r>
              <w:rPr>
                <w:rFonts w:ascii="宋体" w:hAnsi="宋体" w:cs="宋体" w:eastAsia="宋体" w:hint="default"/>
                <w:sz w:val="18"/>
                <w:szCs w:val="18"/>
              </w:rPr>
              <w:t>非同一控制企业合并中被购买方资产公允价值大 于账面价值形成的应纳税暂时性差异</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4,268,416.56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4,268,416.56</w:t>
            </w:r>
          </w:p>
        </w:tc>
      </w:tr>
      <w:tr>
        <w:trPr>
          <w:trHeight w:val="324"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4,268,416.56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4,268,416.56</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right="0"/>
        <w:jc w:val="left"/>
      </w:pPr>
      <w:r>
        <w:rPr/>
        <w:t>互抵后的递延所得税资产及负债的组成项目</w:t>
      </w:r>
    </w:p>
    <w:p>
      <w:pPr>
        <w:pStyle w:val="BodyText"/>
        <w:spacing w:line="240" w:lineRule="auto" w:before="38"/>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063"/>
        <w:gridCol w:w="1625"/>
        <w:gridCol w:w="1628"/>
        <w:gridCol w:w="1628"/>
        <w:gridCol w:w="1630"/>
      </w:tblGrid>
      <w:tr>
        <w:trPr>
          <w:trHeight w:val="238" w:hRule="exact"/>
        </w:trPr>
        <w:tc>
          <w:tcPr>
            <w:tcW w:w="3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5"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0"/>
              <w:ind w:left="88" w:right="84"/>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0"/>
              <w:ind w:left="88" w:right="87"/>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0"/>
              <w:ind w:left="88" w:right="87"/>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30"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0"/>
              <w:ind w:left="88" w:right="89"/>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14" w:hRule="exact"/>
        </w:trPr>
        <w:tc>
          <w:tcPr>
            <w:tcW w:w="3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5"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30" w:type="dxa"/>
            <w:vMerge/>
            <w:tcBorders>
              <w:left w:val="single" w:sz="4" w:space="0" w:color="000000"/>
              <w:right w:val="single" w:sz="4" w:space="0" w:color="000000"/>
            </w:tcBorders>
            <w:shd w:val="clear" w:color="auto" w:fill="D2D2D2"/>
          </w:tcPr>
          <w:p>
            <w:pPr/>
          </w:p>
        </w:tc>
      </w:tr>
      <w:tr>
        <w:trPr>
          <w:trHeight w:val="238" w:hRule="exact"/>
        </w:trPr>
        <w:tc>
          <w:tcPr>
            <w:tcW w:w="3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5"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30"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21,891,540.42</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21,283,569.67</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640,262.48</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640,262.48</w:t>
            </w: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7"/>
          <w:szCs w:val="17"/>
        </w:rPr>
      </w:pPr>
    </w:p>
    <w:p>
      <w:pPr>
        <w:pStyle w:val="Heading3"/>
        <w:spacing w:line="240" w:lineRule="auto" w:before="36"/>
        <w:ind w:right="0"/>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243"/>
        <w:gridCol w:w="1538"/>
        <w:gridCol w:w="1529"/>
        <w:gridCol w:w="1399"/>
        <w:gridCol w:w="1397"/>
        <w:gridCol w:w="1452"/>
      </w:tblGrid>
      <w:tr>
        <w:trPr>
          <w:trHeight w:val="166" w:hRule="exact"/>
        </w:trPr>
        <w:tc>
          <w:tcPr>
            <w:tcW w:w="22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22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2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63" w:hRule="exact"/>
        </w:trPr>
        <w:tc>
          <w:tcPr>
            <w:tcW w:w="2243" w:type="dxa"/>
            <w:vMerge/>
            <w:tcBorders>
              <w:left w:val="single" w:sz="4" w:space="0" w:color="000000"/>
              <w:bottom w:val="nil" w:sz="6" w:space="0" w:color="auto"/>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22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4"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44,727,385.22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16,744,703.24</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61,472,088.46</w:t>
            </w:r>
          </w:p>
        </w:tc>
      </w:tr>
      <w:tr>
        <w:trPr>
          <w:trHeight w:val="324"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196,330.80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41,303.92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155,026.88</w:t>
            </w:r>
          </w:p>
        </w:tc>
      </w:tr>
      <w:tr>
        <w:trPr>
          <w:trHeight w:val="322"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324"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45,323,716.02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16,744,703.24</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41,303.92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62,027,115.34</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324"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人才公寓</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5,689,596.37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5,689,596.37</w:t>
            </w:r>
          </w:p>
        </w:tc>
      </w:tr>
      <w:tr>
        <w:trPr>
          <w:trHeight w:val="324"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5,689,596.37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5,689,596.37</w:t>
            </w:r>
          </w:p>
        </w:tc>
      </w:tr>
    </w:tbl>
    <w:p>
      <w:pPr>
        <w:pStyle w:val="BodyText"/>
        <w:spacing w:line="203" w:lineRule="exact"/>
        <w:ind w:right="0"/>
        <w:jc w:val="left"/>
      </w:pPr>
      <w:r>
        <w:rPr/>
        <w:t>其他非流动资产的说明</w:t>
      </w:r>
    </w:p>
    <w:p>
      <w:pPr>
        <w:pStyle w:val="BodyText"/>
        <w:spacing w:line="336" w:lineRule="auto" w:before="115"/>
        <w:ind w:right="136"/>
        <w:jc w:val="left"/>
      </w:pPr>
      <w:r>
        <w:rPr/>
        <w:t>孙公司宁波金信通讯技术有限公司以其名义购买了位于宁波市鄞州区</w:t>
      </w:r>
      <w:r>
        <w:rPr>
          <w:spacing w:val="1"/>
        </w:rPr>
        <w:t>的</w:t>
      </w:r>
      <w:r>
        <w:rPr>
          <w:rFonts w:ascii="Times New Roman" w:hAnsi="Times New Roman" w:cs="Times New Roman" w:eastAsia="Times New Roman" w:hint="default"/>
          <w:spacing w:val="-1"/>
          <w:w w:val="44"/>
        </w:rPr>
        <w:t>―</w:t>
      </w:r>
      <w:r>
        <w:rPr/>
        <w:t>鄞州区人才公寓</w:t>
      </w:r>
      <w:r>
        <w:rPr>
          <w:rFonts w:ascii="Times New Roman" w:hAnsi="Times New Roman" w:cs="Times New Roman" w:eastAsia="Times New Roman" w:hint="default"/>
          <w:spacing w:val="1"/>
          <w:w w:val="158"/>
        </w:rPr>
        <w:t>‖</w:t>
      </w:r>
      <w:r>
        <w:rPr/>
        <w:t>房屋</w:t>
      </w:r>
      <w:r>
        <w:rPr>
          <w:rFonts w:ascii="Times New Roman" w:hAnsi="Times New Roman" w:cs="Times New Roman" w:eastAsia="Times New Roman" w:hint="default"/>
          <w:spacing w:val="1"/>
        </w:rPr>
        <w:t>7</w:t>
      </w:r>
      <w:r>
        <w:rPr/>
        <w:t>套及车库</w:t>
      </w:r>
      <w:r>
        <w:rPr>
          <w:rFonts w:ascii="Times New Roman" w:hAnsi="Times New Roman" w:cs="Times New Roman" w:eastAsia="Times New Roman" w:hint="default"/>
          <w:spacing w:val="1"/>
        </w:rPr>
        <w:t>3</w:t>
      </w:r>
      <w:r>
        <w:rPr/>
        <w:t>个</w:t>
      </w:r>
      <w:r>
        <w:rPr>
          <w:spacing w:val="-41"/>
        </w:rPr>
        <w:t>，</w:t>
      </w:r>
      <w:r>
        <w:rPr/>
        <w:t>该</w:t>
      </w:r>
      <w:r>
        <w:rPr>
          <w:rFonts w:ascii="Times New Roman" w:hAnsi="Times New Roman" w:cs="Times New Roman" w:eastAsia="Times New Roman" w:hint="default"/>
          <w:spacing w:val="-1"/>
          <w:w w:val="44"/>
        </w:rPr>
        <w:t>―</w:t>
      </w:r>
      <w:r>
        <w:rPr/>
        <w:t>人才</w:t>
      </w:r>
      <w:r>
        <w:rPr>
          <w:spacing w:val="-3"/>
        </w:rPr>
        <w:t>公</w:t>
      </w:r>
      <w:r>
        <w:rPr/>
        <w:t>寓</w:t>
      </w:r>
      <w:r>
        <w:rPr>
          <w:rFonts w:ascii="Times New Roman" w:hAnsi="Times New Roman" w:cs="Times New Roman" w:eastAsia="Times New Roman" w:hint="default"/>
          <w:w w:val="158"/>
        </w:rPr>
        <w:t>‖ </w:t>
      </w:r>
      <w:r>
        <w:rPr>
          <w:spacing w:val="-1"/>
          <w:w w:val="100"/>
        </w:rPr>
        <w:t>产权性质为</w:t>
      </w:r>
      <w:r>
        <w:rPr>
          <w:rFonts w:ascii="Times New Roman" w:hAnsi="Times New Roman" w:cs="Times New Roman" w:eastAsia="Times New Roman" w:hint="default"/>
          <w:spacing w:val="-1"/>
          <w:w w:val="100"/>
        </w:rPr>
        <w:t>―</w:t>
      </w:r>
      <w:r>
        <w:rPr>
          <w:spacing w:val="-1"/>
          <w:w w:val="100"/>
        </w:rPr>
        <w:t>定向商品住宅</w:t>
      </w:r>
      <w:r>
        <w:rPr>
          <w:rFonts w:ascii="Times New Roman" w:hAnsi="Times New Roman" w:cs="Times New Roman" w:eastAsia="Times New Roman" w:hint="default"/>
          <w:spacing w:val="-1"/>
          <w:w w:val="100"/>
        </w:rPr>
        <w:t>‖</w:t>
      </w:r>
      <w:r>
        <w:rPr>
          <w:spacing w:val="-1"/>
          <w:w w:val="100"/>
        </w:rPr>
        <w:t>，至</w:t>
      </w:r>
      <w:r>
        <w:rPr>
          <w:rFonts w:ascii="Times New Roman" w:hAnsi="Times New Roman" w:cs="Times New Roman" w:eastAsia="Times New Roman" w:hint="default"/>
          <w:spacing w:val="-1"/>
          <w:w w:val="100"/>
        </w:rPr>
        <w:t>2012</w:t>
      </w:r>
      <w:r>
        <w:rPr>
          <w:spacing w:val="-1"/>
          <w:w w:val="100"/>
        </w:rPr>
        <w:t>年</w:t>
      </w:r>
      <w:r>
        <w:rPr>
          <w:rFonts w:ascii="Times New Roman" w:hAnsi="Times New Roman" w:cs="Times New Roman" w:eastAsia="Times New Roman" w:hint="default"/>
          <w:spacing w:val="-1"/>
          <w:w w:val="100"/>
        </w:rPr>
        <w:t>12</w:t>
      </w:r>
      <w:r>
        <w:rPr>
          <w:spacing w:val="-1"/>
          <w:w w:val="100"/>
        </w:rPr>
        <w:t>月公司共计支付购买价款</w:t>
      </w:r>
      <w:r>
        <w:rPr>
          <w:rFonts w:ascii="Times New Roman" w:hAnsi="Times New Roman" w:cs="Times New Roman" w:eastAsia="Times New Roman" w:hint="default"/>
          <w:spacing w:val="-1"/>
          <w:w w:val="100"/>
        </w:rPr>
        <w:t>5,689,596.37</w:t>
      </w:r>
      <w:r>
        <w:rPr>
          <w:spacing w:val="-1"/>
          <w:w w:val="100"/>
        </w:rPr>
        <w:t>元。</w:t>
      </w:r>
      <w:r>
        <w:rPr/>
        <w:t> 根据公司与相关员工签署的协议书约定，自正式领取房产所有权证</w:t>
      </w:r>
      <w:r>
        <w:rPr>
          <w:rFonts w:ascii="Times New Roman" w:hAnsi="Times New Roman" w:cs="Times New Roman" w:eastAsia="Times New Roman" w:hint="default"/>
        </w:rPr>
        <w:t>3</w:t>
      </w:r>
      <w:r>
        <w:rPr/>
        <w:t>年后，如员工不存在协议约定的违规行为，则公司需以</w:t>
      </w:r>
      <w:r>
        <w:rPr>
          <w:spacing w:val="-83"/>
        </w:rPr>
        <w:t> </w:t>
      </w:r>
      <w:r>
        <w:rPr>
          <w:spacing w:val="-83"/>
        </w:rPr>
      </w:r>
      <w:r>
        <w:rPr/>
        <w:t>原价将该房产转让给员工个人，至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月相关员工已向公司支付了购房款共计</w:t>
      </w:r>
      <w:r>
        <w:rPr>
          <w:rFonts w:ascii="Times New Roman" w:hAnsi="Times New Roman" w:cs="Times New Roman" w:eastAsia="Times New Roman" w:hint="default"/>
        </w:rPr>
        <w:t>912,144.00</w:t>
      </w:r>
      <w:r>
        <w:rPr/>
        <w:t>元。</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581"/>
        <w:gridCol w:w="2920"/>
        <w:gridCol w:w="3058"/>
      </w:tblGrid>
      <w:tr>
        <w:trPr>
          <w:trHeight w:val="324" w:hRule="exact"/>
        </w:trPr>
        <w:tc>
          <w:tcPr>
            <w:tcW w:w="3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3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40" w:bottom="1160" w:left="980" w:right="980"/>
        </w:sectPr>
      </w:pPr>
    </w:p>
    <w:p>
      <w:pPr>
        <w:pStyle w:val="Heading3"/>
        <w:spacing w:line="240" w:lineRule="auto" w:before="59"/>
        <w:ind w:right="0"/>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570"/>
        <w:gridCol w:w="2933"/>
        <w:gridCol w:w="3053"/>
      </w:tblGrid>
      <w:tr>
        <w:trPr>
          <w:trHeight w:val="324"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2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324"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发行的交易性债券</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7"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126"/>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指定为以公允价值计量且其变动计入当期损 益的金融负债</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3"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3"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8"/>
        <w:ind w:right="0"/>
        <w:jc w:val="left"/>
      </w:pPr>
      <w:r>
        <w:rPr/>
        <w:t>交易性金融负债的说明</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324"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98" w:hRule="exact"/>
        </w:trPr>
        <w:tc>
          <w:tcPr>
            <w:tcW w:w="3591"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64,048,420.28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106,824,830.59</w:t>
            </w:r>
          </w:p>
        </w:tc>
      </w:tr>
      <w:tr>
        <w:trPr>
          <w:trHeight w:val="324"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64,048,420.28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106,824,830.59</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324"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96" w:hRule="exact"/>
        </w:trPr>
        <w:tc>
          <w:tcPr>
            <w:tcW w:w="3855" w:type="dxa"/>
            <w:tcBorders>
              <w:top w:val="single" w:sz="4" w:space="0" w:color="000000"/>
              <w:left w:val="single" w:sz="4" w:space="0" w:color="000000"/>
              <w:bottom w:val="single" w:sz="4" w:space="0" w:color="000000"/>
              <w:right w:val="single" w:sz="4" w:space="0" w:color="000000"/>
            </w:tcBorders>
          </w:tcPr>
          <w:p>
            <w:pP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18"/>
                <w:szCs w:val="18"/>
              </w:rPr>
            </w:pPr>
            <w:r>
              <w:rPr>
                <w:rFonts w:ascii="Times New Roman"/>
                <w:spacing w:val="-1"/>
                <w:sz w:val="18"/>
              </w:rPr>
              <w:t>80,858,212.40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86,272,484.09</w:t>
            </w:r>
          </w:p>
        </w:tc>
      </w:tr>
      <w:tr>
        <w:trPr>
          <w:trHeight w:val="324"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80,858,212.40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86,272,484.09</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）本报告期预收账款中预收持有公司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852" w:footer="980" w:top="1340" w:bottom="1160" w:left="980" w:right="980"/>
        </w:sectPr>
      </w:pP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863"/>
        <w:gridCol w:w="1992"/>
        <w:gridCol w:w="2259"/>
        <w:gridCol w:w="1860"/>
      </w:tblGrid>
      <w:tr>
        <w:trPr>
          <w:trHeight w:val="32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2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76,156,114.28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416,745,695.28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408,399,735.71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84,502,073.85</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3"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5,755,981.46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5,755,981.46</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2,995,372.44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37,357,004.99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37,836,051.98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2,516,325.45</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1,086,607.60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13,448,070.91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13,643,224.86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891,453.65</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1,731,058.21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21,211,352.55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21,495,130.81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1,447,279.95</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107,767.22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1,264,348.62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1,296,399.27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75,716.57</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33,373.23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442,687.56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445,210.03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30,850.76</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36,566.18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990,545.35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956,087.01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71,024.52</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2,597,046.77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26,399,586.20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28,477,190.55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519,442.42</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243,672.18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1,309,208.79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777,322.98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775,557.99</w:t>
            </w:r>
          </w:p>
        </w:tc>
      </w:tr>
      <w:tr>
        <w:trPr>
          <w:trHeight w:val="32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81,992,205.67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487,567,476.72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481,246,282.68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88,313,399.71</w:t>
            </w:r>
          </w:p>
        </w:tc>
      </w:tr>
    </w:tbl>
    <w:p>
      <w:pPr>
        <w:pStyle w:val="BodyText"/>
        <w:spacing w:line="217" w:lineRule="exact"/>
        <w:ind w:right="0"/>
        <w:jc w:val="left"/>
      </w:pPr>
      <w:r>
        <w:rPr/>
        <w:t>应付职工薪酬中属于拖欠性质的金额</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36" w:lineRule="auto" w:before="101"/>
        <w:ind w:right="1227"/>
        <w:jc w:val="left"/>
      </w:pPr>
      <w:r>
        <w:rPr/>
        <w:t>工会经费和职工教育经费金额</w:t>
      </w:r>
      <w:r>
        <w:rPr>
          <w:spacing w:val="-46"/>
        </w:rPr>
        <w:t> </w:t>
      </w:r>
      <w:r>
        <w:rPr>
          <w:rFonts w:ascii="Times New Roman" w:hAnsi="Times New Roman" w:cs="Times New Roman" w:eastAsia="Times New Roman" w:hint="default"/>
        </w:rPr>
        <w:t>775,557.99</w:t>
      </w:r>
      <w:r>
        <w:rPr>
          <w:rFonts w:ascii="Times New Roman" w:hAnsi="Times New Roman" w:cs="Times New Roman" w:eastAsia="Times New Roman" w:hint="default"/>
          <w:spacing w:val="1"/>
        </w:rPr>
        <w:t> </w:t>
      </w:r>
      <w:r>
        <w:rPr/>
        <w:t>元，非货币性福利金额</w:t>
      </w:r>
      <w:r>
        <w:rPr>
          <w:spacing w:val="-47"/>
        </w:rPr>
        <w:t> </w:t>
      </w:r>
      <w:r>
        <w:rPr>
          <w:rFonts w:ascii="Times New Roman" w:hAnsi="Times New Roman" w:cs="Times New Roman" w:eastAsia="Times New Roman" w:hint="default"/>
        </w:rPr>
        <w:t>0.00 </w:t>
      </w:r>
      <w:r>
        <w:rPr/>
        <w:t>元，因解除劳动关系给予补偿</w:t>
      </w:r>
      <w:r>
        <w:rPr>
          <w:spacing w:val="-46"/>
        </w:rPr>
        <w:t> </w:t>
      </w:r>
      <w:r>
        <w:rPr>
          <w:rFonts w:ascii="Times New Roman" w:hAnsi="Times New Roman" w:cs="Times New Roman" w:eastAsia="Times New Roman" w:hint="default"/>
        </w:rPr>
        <w:t>0.00 </w:t>
      </w:r>
      <w:r>
        <w:rPr/>
        <w:t>元。 应付职工薪酬预计发放时间、金额等安排</w:t>
      </w:r>
    </w:p>
    <w:p>
      <w:pPr>
        <w:spacing w:line="240" w:lineRule="auto" w:before="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324"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-4,829,334.99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280,880.49</w:t>
            </w:r>
          </w:p>
        </w:tc>
      </w:tr>
      <w:tr>
        <w:trPr>
          <w:trHeight w:val="32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-1,265,592.23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2,969,406.57</w:t>
            </w:r>
          </w:p>
        </w:tc>
      </w:tr>
      <w:tr>
        <w:trPr>
          <w:trHeight w:val="32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-23,243,149.84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14,263,923.06</w:t>
            </w:r>
          </w:p>
        </w:tc>
      </w:tr>
      <w:tr>
        <w:trPr>
          <w:trHeight w:val="324"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1,828,087.51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1,665,129.19</w:t>
            </w:r>
          </w:p>
        </w:tc>
      </w:tr>
      <w:tr>
        <w:trPr>
          <w:trHeight w:val="324"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2"/>
                <w:sz w:val="18"/>
              </w:rPr>
              <w:t>1,111,561.92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1,538,486.38</w:t>
            </w:r>
          </w:p>
        </w:tc>
      </w:tr>
      <w:tr>
        <w:trPr>
          <w:trHeight w:val="32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764,271.48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798,032.54</w:t>
            </w:r>
          </w:p>
        </w:tc>
      </w:tr>
      <w:tr>
        <w:trPr>
          <w:trHeight w:val="322"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628,188.48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678,695.57</w:t>
            </w:r>
          </w:p>
        </w:tc>
      </w:tr>
      <w:tr>
        <w:trPr>
          <w:trHeight w:val="32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w w:val="95"/>
                <w:sz w:val="18"/>
              </w:rPr>
              <w:t>9,175.13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17,108.65</w:t>
            </w:r>
          </w:p>
        </w:tc>
      </w:tr>
      <w:tr>
        <w:trPr>
          <w:trHeight w:val="324"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-24,996,792.54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22,211,662.45</w:t>
            </w:r>
          </w:p>
        </w:tc>
      </w:tr>
    </w:tbl>
    <w:p>
      <w:pPr>
        <w:pStyle w:val="BodyText"/>
        <w:spacing w:line="217" w:lineRule="exact"/>
        <w:ind w:right="0"/>
        <w:jc w:val="both"/>
      </w:pPr>
      <w:r>
        <w:rPr/>
        <w:t>因公司与全资子公司北京新媒传信科技有限公司于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月被认定为</w:t>
      </w:r>
      <w:r>
        <w:rPr>
          <w:rFonts w:ascii="Times New Roman" w:hAnsi="Times New Roman" w:cs="Times New Roman" w:eastAsia="Times New Roman" w:hint="default"/>
        </w:rPr>
        <w:t>2011-2012</w:t>
      </w:r>
      <w:r>
        <w:rPr/>
        <w:t>年度国家规划布局内重点软件企业，根据相</w:t>
      </w:r>
    </w:p>
    <w:p>
      <w:pPr>
        <w:pStyle w:val="BodyText"/>
        <w:spacing w:line="338" w:lineRule="auto" w:before="101"/>
        <w:ind w:right="148"/>
        <w:jc w:val="both"/>
      </w:pPr>
      <w:r>
        <w:rPr>
          <w:spacing w:val="-2"/>
        </w:rPr>
        <w:t>关规定，公司与全资子公司北京新媒传信科技有限公司（以下简称：新媒传信）</w:t>
      </w:r>
      <w:r>
        <w:rPr>
          <w:rFonts w:ascii="Times New Roman" w:hAnsi="Times New Roman" w:cs="Times New Roman" w:eastAsia="Times New Roman" w:hint="default"/>
          <w:spacing w:val="-2"/>
        </w:rPr>
        <w:t>2011</w:t>
      </w:r>
      <w:r>
        <w:rPr>
          <w:spacing w:val="-2"/>
        </w:rPr>
        <w:t>年度、</w:t>
      </w:r>
      <w:r>
        <w:rPr>
          <w:rFonts w:ascii="Times New Roman" w:hAnsi="Times New Roman" w:cs="Times New Roman" w:eastAsia="Times New Roman" w:hint="default"/>
          <w:spacing w:val="-2"/>
        </w:rPr>
        <w:t>2012</w:t>
      </w:r>
      <w:r>
        <w:rPr>
          <w:spacing w:val="-2"/>
        </w:rPr>
        <w:t>年度所得税税率为</w:t>
      </w:r>
      <w:r>
        <w:rPr>
          <w:rFonts w:ascii="Times New Roman" w:hAnsi="Times New Roman" w:cs="Times New Roman" w:eastAsia="Times New Roman" w:hint="default"/>
          <w:spacing w:val="-2"/>
        </w:rPr>
        <w:t>10%</w:t>
      </w:r>
      <w:r>
        <w:rPr>
          <w:spacing w:val="-2"/>
        </w:rPr>
        <w:t>。公</w:t>
      </w:r>
      <w:r>
        <w:rPr>
          <w:spacing w:val="-41"/>
        </w:rPr>
        <w:t> </w:t>
      </w:r>
      <w:r>
        <w:rPr/>
        <w:t>司</w:t>
      </w:r>
      <w:r>
        <w:rPr>
          <w:rFonts w:ascii="Times New Roman" w:hAnsi="Times New Roman" w:cs="Times New Roman" w:eastAsia="Times New Roman" w:hint="default"/>
        </w:rPr>
        <w:t>2011</w:t>
      </w:r>
      <w:r>
        <w:rPr/>
        <w:t>年度按</w:t>
      </w:r>
      <w:r>
        <w:rPr>
          <w:rFonts w:ascii="Times New Roman" w:hAnsi="Times New Roman" w:cs="Times New Roman" w:eastAsia="Times New Roman" w:hint="default"/>
        </w:rPr>
        <w:t>15%</w:t>
      </w:r>
      <w:r>
        <w:rPr/>
        <w:t>税率进行所得税汇算清缴，</w:t>
      </w:r>
      <w:r>
        <w:rPr>
          <w:rFonts w:ascii="Times New Roman" w:hAnsi="Times New Roman" w:cs="Times New Roman" w:eastAsia="Times New Roman" w:hint="default"/>
        </w:rPr>
        <w:t>2012</w:t>
      </w:r>
      <w:r>
        <w:rPr/>
        <w:t>年度按</w:t>
      </w:r>
      <w:r>
        <w:rPr>
          <w:rFonts w:ascii="Times New Roman" w:hAnsi="Times New Roman" w:cs="Times New Roman" w:eastAsia="Times New Roman" w:hint="default"/>
        </w:rPr>
        <w:t>15%</w:t>
      </w:r>
      <w:r>
        <w:rPr/>
        <w:t>税率预缴所得税；新媒传信</w:t>
      </w:r>
      <w:r>
        <w:rPr>
          <w:rFonts w:ascii="Times New Roman" w:hAnsi="Times New Roman" w:cs="Times New Roman" w:eastAsia="Times New Roman" w:hint="default"/>
        </w:rPr>
        <w:t>2011</w:t>
      </w:r>
      <w:r>
        <w:rPr/>
        <w:t>年度按</w:t>
      </w:r>
      <w:r>
        <w:rPr>
          <w:rFonts w:ascii="Times New Roman" w:hAnsi="Times New Roman" w:cs="Times New Roman" w:eastAsia="Times New Roman" w:hint="default"/>
        </w:rPr>
        <w:t>12.5%</w:t>
      </w:r>
      <w:r>
        <w:rPr/>
        <w:t>税率进行所得税</w:t>
      </w:r>
      <w:r>
        <w:rPr>
          <w:spacing w:val="-47"/>
        </w:rPr>
        <w:t> </w:t>
      </w:r>
      <w:r>
        <w:rPr>
          <w:spacing w:val="-47"/>
        </w:rPr>
      </w:r>
      <w:r>
        <w:rPr>
          <w:spacing w:val="-1"/>
        </w:rPr>
        <w:t>汇算清缴，</w:t>
      </w:r>
      <w:r>
        <w:rPr>
          <w:rFonts w:ascii="Times New Roman" w:hAnsi="Times New Roman" w:cs="Times New Roman" w:eastAsia="Times New Roman" w:hint="default"/>
          <w:spacing w:val="-1"/>
        </w:rPr>
        <w:t>2012</w:t>
      </w:r>
      <w:r>
        <w:rPr>
          <w:spacing w:val="-1"/>
        </w:rPr>
        <w:t>年度按</w:t>
      </w:r>
      <w:r>
        <w:rPr>
          <w:rFonts w:ascii="Times New Roman" w:hAnsi="Times New Roman" w:cs="Times New Roman" w:eastAsia="Times New Roman" w:hint="default"/>
          <w:spacing w:val="-1"/>
        </w:rPr>
        <w:t>15%</w:t>
      </w:r>
      <w:r>
        <w:rPr>
          <w:spacing w:val="-1"/>
        </w:rPr>
        <w:t>税率预缴所得税，根据上述税收法律法规的规定，公司于本期对</w:t>
      </w:r>
      <w:r>
        <w:rPr>
          <w:rFonts w:ascii="Times New Roman" w:hAnsi="Times New Roman" w:cs="Times New Roman" w:eastAsia="Times New Roman" w:hint="default"/>
          <w:spacing w:val="-1"/>
        </w:rPr>
        <w:t>2011</w:t>
      </w:r>
      <w:r>
        <w:rPr>
          <w:spacing w:val="-1"/>
        </w:rPr>
        <w:t>、</w:t>
      </w:r>
      <w:r>
        <w:rPr>
          <w:rFonts w:ascii="Times New Roman" w:hAnsi="Times New Roman" w:cs="Times New Roman" w:eastAsia="Times New Roman" w:hint="default"/>
          <w:spacing w:val="-1"/>
        </w:rPr>
        <w:t>2012</w:t>
      </w:r>
      <w:r>
        <w:rPr>
          <w:spacing w:val="-1"/>
        </w:rPr>
        <w:t>年度所得税进行了调</w:t>
      </w:r>
      <w:r>
        <w:rPr>
          <w:spacing w:val="-86"/>
        </w:rPr>
        <w:t> </w:t>
      </w:r>
      <w:r>
        <w:rPr>
          <w:spacing w:val="-86"/>
        </w:rPr>
      </w:r>
      <w:r>
        <w:rPr/>
        <w:t>整。</w:t>
      </w:r>
    </w:p>
    <w:p>
      <w:pPr>
        <w:spacing w:line="240" w:lineRule="auto" w:before="12"/>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36</w:t>
      </w:r>
      <w:r>
        <w:rPr/>
        <w:t>、应付利息</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both"/>
      </w:pPr>
      <w:r>
        <w:rPr/>
        <w:t>无</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9"/>
        <w:rPr>
          <w:rFonts w:ascii="宋体" w:hAnsi="宋体" w:cs="宋体" w:eastAsia="宋体" w:hint="default"/>
          <w:b/>
          <w:bCs/>
          <w:sz w:val="21"/>
          <w:szCs w:val="21"/>
        </w:rPr>
      </w:pPr>
    </w:p>
    <w:p>
      <w:pPr>
        <w:pStyle w:val="BodyText"/>
        <w:spacing w:line="240" w:lineRule="auto"/>
        <w:ind w:right="0"/>
        <w:jc w:val="both"/>
      </w:pPr>
      <w:r>
        <w:rPr/>
        <w:t>无</w:t>
      </w:r>
    </w:p>
    <w:p>
      <w:pPr>
        <w:spacing w:after="0" w:line="240" w:lineRule="auto"/>
        <w:jc w:val="both"/>
        <w:sectPr>
          <w:pgSz w:w="11910" w:h="16840"/>
          <w:pgMar w:header="852" w:footer="980" w:top="1340" w:bottom="1160" w:left="980" w:right="980"/>
        </w:sectPr>
      </w:pPr>
    </w:p>
    <w:p>
      <w:pPr>
        <w:pStyle w:val="Heading3"/>
        <w:spacing w:line="240" w:lineRule="auto" w:before="62"/>
        <w:ind w:left="212" w:right="268"/>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left="212" w:right="268"/>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21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207" w:type="dxa"/>
        <w:tblLayout w:type="fixed"/>
        <w:tblCellMar>
          <w:top w:w="0" w:type="dxa"/>
          <w:left w:w="0" w:type="dxa"/>
          <w:bottom w:w="0" w:type="dxa"/>
          <w:right w:w="0" w:type="dxa"/>
        </w:tblCellMar>
        <w:tblLook w:val="01E0"/>
      </w:tblPr>
      <w:tblGrid>
        <w:gridCol w:w="3723"/>
        <w:gridCol w:w="3058"/>
        <w:gridCol w:w="2789"/>
      </w:tblGrid>
      <w:tr>
        <w:trPr>
          <w:trHeight w:val="324"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95" w:hRule="exact"/>
        </w:trPr>
        <w:tc>
          <w:tcPr>
            <w:tcW w:w="3723"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63,874,133.22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83,230,975.72</w:t>
            </w:r>
          </w:p>
        </w:tc>
      </w:tr>
      <w:tr>
        <w:trPr>
          <w:trHeight w:val="324"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63,874,133.22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83,230,975.72</w:t>
            </w:r>
          </w:p>
        </w:tc>
      </w:tr>
    </w:tbl>
    <w:p>
      <w:pPr>
        <w:spacing w:line="240" w:lineRule="auto" w:before="7"/>
        <w:rPr>
          <w:rFonts w:ascii="宋体" w:hAnsi="宋体" w:cs="宋体" w:eastAsia="宋体" w:hint="default"/>
          <w:sz w:val="17"/>
          <w:szCs w:val="17"/>
        </w:rPr>
      </w:pPr>
    </w:p>
    <w:p>
      <w:pPr>
        <w:pStyle w:val="Heading3"/>
        <w:spacing w:line="240" w:lineRule="auto" w:before="36"/>
        <w:ind w:left="212" w:right="268"/>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212" w:right="268"/>
        <w:jc w:val="left"/>
      </w:pPr>
      <w:r>
        <w:rPr/>
        <w:t>无</w:t>
      </w:r>
    </w:p>
    <w:p>
      <w:pPr>
        <w:spacing w:line="240" w:lineRule="auto" w:before="11"/>
        <w:rPr>
          <w:rFonts w:ascii="宋体" w:hAnsi="宋体" w:cs="宋体" w:eastAsia="宋体" w:hint="default"/>
          <w:sz w:val="22"/>
          <w:szCs w:val="22"/>
        </w:rPr>
      </w:pPr>
    </w:p>
    <w:p>
      <w:pPr>
        <w:pStyle w:val="Heading3"/>
        <w:spacing w:line="240" w:lineRule="auto"/>
        <w:ind w:left="212" w:right="268"/>
        <w:jc w:val="left"/>
        <w:rPr>
          <w:b w:val="0"/>
          <w:bCs w:val="0"/>
        </w:rPr>
      </w:pPr>
      <w:r>
        <w:rPr/>
        <w:t>（</w:t>
      </w:r>
      <w:r>
        <w:rPr>
          <w:rFonts w:ascii="Times New Roman" w:hAnsi="Times New Roman" w:cs="Times New Roman" w:eastAsia="Times New Roman" w:hint="default"/>
        </w:rPr>
        <w:t>3</w:t>
      </w:r>
      <w:r>
        <w:rPr/>
        <w:t>）金额较大的其他应付款说明内容</w:t>
      </w:r>
      <w:r>
        <w:rPr>
          <w:b w:val="0"/>
          <w:bCs w:val="0"/>
        </w:rPr>
      </w:r>
    </w:p>
    <w:p>
      <w:pPr>
        <w:spacing w:line="240" w:lineRule="auto" w:before="1"/>
        <w:rPr>
          <w:rFonts w:ascii="宋体" w:hAnsi="宋体" w:cs="宋体" w:eastAsia="宋体" w:hint="default"/>
          <w:b/>
          <w:bCs/>
          <w:sz w:val="24"/>
          <w:szCs w:val="24"/>
        </w:rPr>
      </w:pPr>
    </w:p>
    <w:tbl>
      <w:tblPr>
        <w:tblW w:w="0" w:type="auto"/>
        <w:jc w:val="left"/>
        <w:tblInd w:w="119" w:type="dxa"/>
        <w:tblLayout w:type="fixed"/>
        <w:tblCellMar>
          <w:top w:w="0" w:type="dxa"/>
          <w:left w:w="0" w:type="dxa"/>
          <w:bottom w:w="0" w:type="dxa"/>
          <w:right w:w="0" w:type="dxa"/>
        </w:tblCellMar>
        <w:tblLook w:val="01E0"/>
      </w:tblPr>
      <w:tblGrid>
        <w:gridCol w:w="4187"/>
        <w:gridCol w:w="2722"/>
        <w:gridCol w:w="2905"/>
      </w:tblGrid>
      <w:tr>
        <w:trPr>
          <w:trHeight w:val="384" w:hRule="exact"/>
        </w:trPr>
        <w:tc>
          <w:tcPr>
            <w:tcW w:w="4187"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401" w:hRule="exact"/>
        </w:trPr>
        <w:tc>
          <w:tcPr>
            <w:tcW w:w="4187"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宁波普天原股东</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52,500,000.00</w:t>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1"/>
              <w:jc w:val="center"/>
              <w:rPr>
                <w:rFonts w:ascii="宋体" w:hAnsi="宋体" w:cs="宋体" w:eastAsia="宋体" w:hint="default"/>
                <w:sz w:val="18"/>
                <w:szCs w:val="18"/>
              </w:rPr>
            </w:pPr>
            <w:r>
              <w:rPr>
                <w:rFonts w:ascii="宋体" w:hAnsi="宋体" w:cs="宋体" w:eastAsia="宋体" w:hint="default"/>
                <w:sz w:val="18"/>
                <w:szCs w:val="18"/>
              </w:rPr>
              <w:t>股权收购款</w:t>
            </w:r>
          </w:p>
        </w:tc>
      </w:tr>
      <w:tr>
        <w:trPr>
          <w:trHeight w:val="382" w:hRule="exact"/>
        </w:trPr>
        <w:tc>
          <w:tcPr>
            <w:tcW w:w="4187"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北京三快科技有限公司</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2,400,000.00</w:t>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租赁押金</w:t>
            </w:r>
          </w:p>
        </w:tc>
      </w:tr>
      <w:tr>
        <w:trPr>
          <w:trHeight w:val="384" w:hRule="exact"/>
        </w:trPr>
        <w:tc>
          <w:tcPr>
            <w:tcW w:w="4187"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4" w:right="0"/>
              <w:jc w:val="left"/>
              <w:rPr>
                <w:rFonts w:ascii="宋体" w:hAnsi="宋体" w:cs="宋体" w:eastAsia="宋体" w:hint="default"/>
                <w:sz w:val="18"/>
                <w:szCs w:val="18"/>
              </w:rPr>
            </w:pPr>
            <w:r>
              <w:rPr>
                <w:rFonts w:ascii="宋体" w:hAnsi="宋体" w:cs="宋体" w:eastAsia="宋体" w:hint="default"/>
                <w:sz w:val="18"/>
                <w:szCs w:val="18"/>
              </w:rPr>
              <w:t>待结算手续费</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1,837,966.44</w:t>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待结算手续费</w:t>
            </w:r>
          </w:p>
        </w:tc>
      </w:tr>
      <w:tr>
        <w:trPr>
          <w:trHeight w:val="401" w:hRule="exact"/>
        </w:trPr>
        <w:tc>
          <w:tcPr>
            <w:tcW w:w="418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Times New Roman" w:hAnsi="Times New Roman" w:cs="Times New Roman" w:eastAsia="Times New Roman" w:hint="default"/>
                <w:sz w:val="18"/>
                <w:szCs w:val="18"/>
              </w:rPr>
              <w:t>TSC</w:t>
            </w:r>
            <w:r>
              <w:rPr>
                <w:rFonts w:ascii="宋体" w:hAnsi="宋体" w:cs="宋体" w:eastAsia="宋体" w:hint="default"/>
                <w:sz w:val="18"/>
                <w:szCs w:val="18"/>
              </w:rPr>
              <w:t>海洋石油装备有限公司</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860,000.00</w:t>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租赁押金</w:t>
            </w:r>
          </w:p>
        </w:tc>
      </w:tr>
      <w:tr>
        <w:trPr>
          <w:trHeight w:val="382" w:hRule="exact"/>
        </w:trPr>
        <w:tc>
          <w:tcPr>
            <w:tcW w:w="4187"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代扣个人社保</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807,781.14</w:t>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1"/>
              <w:jc w:val="center"/>
              <w:rPr>
                <w:rFonts w:ascii="宋体" w:hAnsi="宋体" w:cs="宋体" w:eastAsia="宋体" w:hint="default"/>
                <w:sz w:val="18"/>
                <w:szCs w:val="18"/>
              </w:rPr>
            </w:pPr>
            <w:r>
              <w:rPr>
                <w:rFonts w:ascii="宋体" w:hAnsi="宋体" w:cs="宋体" w:eastAsia="宋体" w:hint="default"/>
                <w:sz w:val="18"/>
                <w:szCs w:val="18"/>
              </w:rPr>
              <w:t>代扣款</w:t>
            </w:r>
          </w:p>
        </w:tc>
      </w:tr>
      <w:tr>
        <w:trPr>
          <w:trHeight w:val="384" w:hRule="exact"/>
        </w:trPr>
        <w:tc>
          <w:tcPr>
            <w:tcW w:w="4187"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58,405,747.58</w:t>
            </w:r>
          </w:p>
        </w:tc>
        <w:tc>
          <w:tcPr>
            <w:tcW w:w="290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8"/>
        <w:rPr>
          <w:rFonts w:ascii="宋体" w:hAnsi="宋体" w:cs="宋体" w:eastAsia="宋体" w:hint="default"/>
          <w:b/>
          <w:bCs/>
          <w:sz w:val="17"/>
          <w:szCs w:val="17"/>
        </w:rPr>
      </w:pPr>
    </w:p>
    <w:p>
      <w:pPr>
        <w:pStyle w:val="Heading3"/>
        <w:spacing w:line="240" w:lineRule="auto" w:before="36"/>
        <w:ind w:left="212" w:right="268"/>
        <w:jc w:val="left"/>
        <w:rPr>
          <w:b w:val="0"/>
          <w:bCs w:val="0"/>
        </w:rPr>
      </w:pPr>
      <w:r>
        <w:rPr>
          <w:rFonts w:ascii="Times New Roman" w:hAnsi="Times New Roman" w:cs="Times New Roman" w:eastAsia="Times New Roman" w:hint="default"/>
        </w:rPr>
        <w:t>39</w:t>
      </w:r>
      <w:r>
        <w:rPr/>
        <w:t>、预计负债</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21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220" w:type="dxa"/>
        <w:tblLayout w:type="fixed"/>
        <w:tblCellMar>
          <w:top w:w="0" w:type="dxa"/>
          <w:left w:w="0" w:type="dxa"/>
          <w:bottom w:w="0" w:type="dxa"/>
          <w:right w:w="0" w:type="dxa"/>
        </w:tblCellMar>
        <w:tblLook w:val="01E0"/>
      </w:tblPr>
      <w:tblGrid>
        <w:gridCol w:w="1973"/>
        <w:gridCol w:w="1873"/>
        <w:gridCol w:w="1860"/>
        <w:gridCol w:w="1860"/>
        <w:gridCol w:w="1995"/>
      </w:tblGrid>
      <w:tr>
        <w:trPr>
          <w:trHeight w:val="324"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22"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5,504,118.58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5,249,434.62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2,237,010.69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8,516,542.51</w:t>
            </w:r>
          </w:p>
        </w:tc>
      </w:tr>
      <w:tr>
        <w:trPr>
          <w:trHeight w:val="324"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5,504,118.58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5,249,434.62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2,237,010.69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8,516,542.51</w:t>
            </w:r>
          </w:p>
        </w:tc>
      </w:tr>
    </w:tbl>
    <w:p>
      <w:pPr>
        <w:pStyle w:val="BodyText"/>
        <w:spacing w:line="203" w:lineRule="exact"/>
        <w:ind w:left="212" w:right="268"/>
        <w:jc w:val="left"/>
      </w:pPr>
      <w:r>
        <w:rPr/>
        <w:t>本期部分项目质保期限已满，将其对应未使用的质保金予以冲回。</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left="212" w:right="268"/>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212" w:right="268"/>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4"/>
        <w:ind w:left="0" w:right="21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220" w:type="dxa"/>
        <w:tblLayout w:type="fixed"/>
        <w:tblCellMar>
          <w:top w:w="0" w:type="dxa"/>
          <w:left w:w="0" w:type="dxa"/>
          <w:bottom w:w="0" w:type="dxa"/>
          <w:right w:w="0" w:type="dxa"/>
        </w:tblCellMar>
        <w:tblLook w:val="01E0"/>
      </w:tblPr>
      <w:tblGrid>
        <w:gridCol w:w="3569"/>
        <w:gridCol w:w="2800"/>
        <w:gridCol w:w="3190"/>
      </w:tblGrid>
      <w:tr>
        <w:trPr>
          <w:trHeight w:val="324"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年内到期的长期借款</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11,326,432.54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11,326,432.54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6"/>
        <w:ind w:left="212" w:right="268"/>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211"/>
        <w:jc w:val="right"/>
      </w:pPr>
      <w:r>
        <w:rPr/>
        <w:t>单位：</w:t>
      </w:r>
      <w:r>
        <w:rPr>
          <w:spacing w:val="1"/>
        </w:rPr>
        <w:t> </w:t>
      </w:r>
      <w:r>
        <w:rPr/>
        <w:t>元</w:t>
      </w:r>
    </w:p>
    <w:p>
      <w:pPr>
        <w:spacing w:line="240" w:lineRule="auto" w:before="6"/>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3590"/>
        <w:gridCol w:w="2789"/>
        <w:gridCol w:w="3178"/>
      </w:tblGrid>
      <w:tr>
        <w:trPr>
          <w:trHeight w:val="32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52" w:footer="980" w:top="1340" w:bottom="1160" w:left="920" w:right="920"/>
        </w:sectPr>
      </w:pP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591"/>
        <w:gridCol w:w="2789"/>
        <w:gridCol w:w="3190"/>
      </w:tblGrid>
      <w:tr>
        <w:trPr>
          <w:trHeight w:val="324"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知识产权研发项目款</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11,326,432.54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11,326,432.54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96" w:lineRule="auto" w:before="8"/>
        <w:ind w:right="4644"/>
        <w:jc w:val="left"/>
      </w:pPr>
      <w:r>
        <w:rPr/>
        <w:t>一年内到期的长期借款中属于逾期借款获得展期的金额</w:t>
      </w:r>
      <w:r>
        <w:rPr>
          <w:spacing w:val="-44"/>
        </w:rPr>
        <w:t> </w:t>
      </w:r>
      <w:r>
        <w:rPr>
          <w:rFonts w:ascii="宋体" w:hAnsi="宋体" w:cs="宋体" w:eastAsia="宋体" w:hint="default"/>
        </w:rPr>
        <w:t>0.00</w:t>
      </w:r>
      <w:r>
        <w:rPr>
          <w:rFonts w:ascii="宋体" w:hAnsi="宋体" w:cs="宋体" w:eastAsia="宋体" w:hint="default"/>
          <w:spacing w:val="-46"/>
        </w:rPr>
        <w:t> </w:t>
      </w:r>
      <w:r>
        <w:rPr/>
        <w:t>元。 一年内到期的长期借款说明：</w:t>
      </w:r>
    </w:p>
    <w:p>
      <w:pPr>
        <w:pStyle w:val="BodyText"/>
        <w:spacing w:line="240" w:lineRule="auto" w:before="36"/>
        <w:ind w:right="0"/>
        <w:jc w:val="left"/>
      </w:pPr>
      <w:r>
        <w:rPr>
          <w:rFonts w:ascii="宋体" w:hAnsi="宋体" w:cs="宋体" w:eastAsia="宋体" w:hint="default"/>
        </w:rPr>
        <w:t>2011</w:t>
      </w:r>
      <w:r>
        <w:rPr/>
        <w:t>年</w:t>
      </w:r>
      <w:r>
        <w:rPr>
          <w:rFonts w:ascii="宋体" w:hAnsi="宋体" w:cs="宋体" w:eastAsia="宋体" w:hint="default"/>
        </w:rPr>
        <w:t>11</w:t>
      </w:r>
      <w:r>
        <w:rPr/>
        <w:t>月公司与中关村发展集团股份有限公司签订协议，中关村发展集团股份有限公司支付给公司知识产权研发项目款</w:t>
      </w:r>
    </w:p>
    <w:p>
      <w:pPr>
        <w:pStyle w:val="BodyText"/>
        <w:spacing w:line="357" w:lineRule="auto" w:before="115"/>
        <w:ind w:right="144"/>
        <w:jc w:val="left"/>
      </w:pPr>
      <w:r>
        <w:rPr>
          <w:rFonts w:ascii="宋体" w:hAnsi="宋体" w:cs="宋体" w:eastAsia="宋体" w:hint="default"/>
        </w:rPr>
        <w:t>11,262,300.00</w:t>
      </w:r>
      <w:r>
        <w:rPr/>
        <w:t>元，并规定公司于</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30</w:t>
      </w:r>
      <w:r>
        <w:rPr/>
        <w:t>日前归还本金及利息。</w:t>
      </w:r>
      <w:r>
        <w:rPr>
          <w:rFonts w:ascii="宋体" w:hAnsi="宋体" w:cs="宋体" w:eastAsia="宋体" w:hint="default"/>
        </w:rPr>
        <w:t>2011</w:t>
      </w:r>
      <w:r>
        <w:rPr/>
        <w:t>年公司计提相关利息</w:t>
      </w:r>
      <w:r>
        <w:rPr>
          <w:rFonts w:ascii="宋体" w:hAnsi="宋体" w:cs="宋体" w:eastAsia="宋体" w:hint="default"/>
        </w:rPr>
        <w:t>7,821.04</w:t>
      </w:r>
      <w:r>
        <w:rPr/>
        <w:t>元，</w:t>
      </w:r>
      <w:r>
        <w:rPr>
          <w:rFonts w:ascii="宋体" w:hAnsi="宋体" w:cs="宋体" w:eastAsia="宋体" w:hint="default"/>
        </w:rPr>
        <w:t>2012</w:t>
      </w:r>
      <w:r>
        <w:rPr/>
        <w:t>年公司计 提相关利息</w:t>
      </w:r>
      <w:r>
        <w:rPr>
          <w:rFonts w:ascii="宋体" w:hAnsi="宋体" w:cs="宋体" w:eastAsia="宋体" w:hint="default"/>
        </w:rPr>
        <w:t>56,311.50</w:t>
      </w:r>
      <w:r>
        <w:rPr/>
        <w:t>元，合计利息金额为</w:t>
      </w:r>
      <w:r>
        <w:rPr>
          <w:rFonts w:ascii="宋体" w:hAnsi="宋体" w:cs="宋体" w:eastAsia="宋体" w:hint="default"/>
        </w:rPr>
        <w:t>64,132.54</w:t>
      </w:r>
      <w:r>
        <w:rPr/>
        <w:t>元。</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322"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与收益相关的政府补助</w:t>
            </w:r>
            <w:r>
              <w:rPr>
                <w:rFonts w:ascii="Times New Roman" w:hAnsi="Times New Roman" w:cs="Times New Roman" w:eastAsia="Times New Roman" w:hint="default"/>
                <w:sz w:val="18"/>
                <w:szCs w:val="18"/>
              </w:rPr>
              <w:t>*1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2"/>
                <w:sz w:val="18"/>
              </w:rPr>
              <w:t>11,119,103.86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22,807,094.90</w:t>
            </w:r>
          </w:p>
        </w:tc>
      </w:tr>
      <w:tr>
        <w:trPr>
          <w:trHeight w:val="32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与资产相关的政府补助</w:t>
            </w:r>
            <w:r>
              <w:rPr>
                <w:rFonts w:ascii="Times New Roman" w:hAnsi="Times New Roman" w:cs="Times New Roman" w:eastAsia="Times New Roman" w:hint="default"/>
                <w:sz w:val="18"/>
                <w:szCs w:val="18"/>
              </w:rPr>
              <w:t>*2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285,000.00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32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知识产权研发项目款</w:t>
            </w:r>
          </w:p>
        </w:tc>
        <w:tc>
          <w:tcPr>
            <w:tcW w:w="2789"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pacing w:val="-1"/>
                <w:sz w:val="18"/>
              </w:rPr>
              <w:t>11,270,121.04</w:t>
            </w:r>
          </w:p>
        </w:tc>
      </w:tr>
      <w:tr>
        <w:trPr>
          <w:trHeight w:val="324"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11,404,103.86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34,377,215.94</w:t>
            </w:r>
          </w:p>
        </w:tc>
      </w:tr>
    </w:tbl>
    <w:p>
      <w:pPr>
        <w:pStyle w:val="BodyText"/>
        <w:spacing w:line="240" w:lineRule="auto" w:before="87"/>
        <w:ind w:left="861"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8"/>
        </w:rPr>
        <w:t> </w:t>
      </w:r>
      <w:r>
        <w:rPr/>
        <w:t>递延收益</w:t>
      </w:r>
      <w:r>
        <w:rPr>
          <w:rFonts w:ascii="Times New Roman" w:hAnsi="Times New Roman" w:cs="Times New Roman" w:eastAsia="Times New Roman" w:hint="default"/>
        </w:rPr>
        <w:t>-</w:t>
      </w:r>
      <w:r>
        <w:rPr/>
        <w:t>与收益相关的政府补助：</w:t>
      </w:r>
    </w:p>
    <w:p>
      <w:pPr>
        <w:spacing w:line="240" w:lineRule="auto" w:before="1"/>
        <w:rPr>
          <w:rFonts w:ascii="宋体" w:hAnsi="宋体" w:cs="宋体" w:eastAsia="宋体" w:hint="default"/>
          <w:sz w:val="10"/>
          <w:szCs w:val="10"/>
        </w:rPr>
      </w:pPr>
    </w:p>
    <w:tbl>
      <w:tblPr>
        <w:tblW w:w="0" w:type="auto"/>
        <w:jc w:val="left"/>
        <w:tblInd w:w="712" w:type="dxa"/>
        <w:tblLayout w:type="fixed"/>
        <w:tblCellMar>
          <w:top w:w="0" w:type="dxa"/>
          <w:left w:w="0" w:type="dxa"/>
          <w:bottom w:w="0" w:type="dxa"/>
          <w:right w:w="0" w:type="dxa"/>
        </w:tblCellMar>
        <w:tblLook w:val="01E0"/>
      </w:tblPr>
      <w:tblGrid>
        <w:gridCol w:w="4112"/>
        <w:gridCol w:w="1844"/>
        <w:gridCol w:w="1844"/>
      </w:tblGrid>
      <w:tr>
        <w:trPr>
          <w:trHeight w:val="38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168" w:right="0"/>
              <w:jc w:val="left"/>
              <w:rPr>
                <w:rFonts w:ascii="宋体" w:hAnsi="宋体" w:cs="宋体" w:eastAsia="宋体" w:hint="default"/>
                <w:sz w:val="18"/>
                <w:szCs w:val="18"/>
              </w:rPr>
            </w:pPr>
            <w:r>
              <w:rPr>
                <w:rFonts w:ascii="宋体" w:hAnsi="宋体" w:cs="宋体" w:eastAsia="宋体" w:hint="default"/>
                <w:sz w:val="18"/>
                <w:szCs w:val="18"/>
              </w:rPr>
              <w:t>获得政府补助的项目名称</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55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556" w:right="0"/>
              <w:jc w:val="left"/>
              <w:rPr>
                <w:rFonts w:ascii="宋体" w:hAnsi="宋体" w:cs="宋体" w:eastAsia="宋体" w:hint="default"/>
                <w:sz w:val="18"/>
                <w:szCs w:val="18"/>
              </w:rPr>
            </w:pPr>
            <w:r>
              <w:rPr>
                <w:rFonts w:ascii="宋体" w:hAnsi="宋体" w:cs="宋体" w:eastAsia="宋体" w:hint="default"/>
                <w:sz w:val="18"/>
                <w:szCs w:val="18"/>
              </w:rPr>
              <w:t>年初余额</w:t>
            </w:r>
          </w:p>
        </w:tc>
      </w:tr>
    </w:tbl>
    <w:p>
      <w:pPr>
        <w:spacing w:after="0" w:line="215" w:lineRule="exact"/>
        <w:jc w:val="left"/>
        <w:rPr>
          <w:rFonts w:ascii="宋体" w:hAnsi="宋体" w:cs="宋体" w:eastAsia="宋体" w:hint="default"/>
          <w:sz w:val="18"/>
          <w:szCs w:val="18"/>
        </w:rPr>
        <w:sectPr>
          <w:pgSz w:w="11910" w:h="16840"/>
          <w:pgMar w:header="852" w:footer="980" w:top="1340" w:bottom="1160" w:left="980" w:right="980"/>
        </w:sectPr>
      </w:pPr>
    </w:p>
    <w:p>
      <w:pPr>
        <w:spacing w:line="240" w:lineRule="auto" w:before="2"/>
        <w:rPr>
          <w:rFonts w:ascii="宋体" w:hAnsi="宋体" w:cs="宋体" w:eastAsia="宋体" w:hint="default"/>
          <w:sz w:val="7"/>
          <w:szCs w:val="7"/>
        </w:rPr>
      </w:pPr>
    </w:p>
    <w:tbl>
      <w:tblPr>
        <w:tblW w:w="0" w:type="auto"/>
        <w:jc w:val="left"/>
        <w:tblInd w:w="712" w:type="dxa"/>
        <w:tblLayout w:type="fixed"/>
        <w:tblCellMar>
          <w:top w:w="0" w:type="dxa"/>
          <w:left w:w="0" w:type="dxa"/>
          <w:bottom w:w="0" w:type="dxa"/>
          <w:right w:w="0" w:type="dxa"/>
        </w:tblCellMar>
        <w:tblLook w:val="01E0"/>
      </w:tblPr>
      <w:tblGrid>
        <w:gridCol w:w="4112"/>
        <w:gridCol w:w="1844"/>
        <w:gridCol w:w="1844"/>
      </w:tblGrid>
      <w:tr>
        <w:trPr>
          <w:trHeight w:val="384"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4" w:right="0"/>
              <w:jc w:val="left"/>
              <w:rPr>
                <w:rFonts w:ascii="宋体" w:hAnsi="宋体" w:cs="宋体" w:eastAsia="宋体" w:hint="default"/>
                <w:sz w:val="18"/>
                <w:szCs w:val="18"/>
              </w:rPr>
            </w:pPr>
            <w:r>
              <w:rPr>
                <w:rFonts w:ascii="宋体" w:hAnsi="宋体" w:cs="宋体" w:eastAsia="宋体" w:hint="default"/>
                <w:sz w:val="18"/>
                <w:szCs w:val="18"/>
              </w:rPr>
              <w:t>面向电信领域的大型商业智能软件</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282,601.47</w:t>
            </w:r>
          </w:p>
        </w:tc>
      </w:tr>
      <w:tr>
        <w:trPr>
          <w:trHeight w:val="38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信息网络业务端到端质量诊断与响应时间测量系统</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1,450,493.43</w:t>
            </w:r>
          </w:p>
        </w:tc>
      </w:tr>
      <w:tr>
        <w:trPr>
          <w:trHeight w:val="384"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4" w:right="0"/>
              <w:jc w:val="left"/>
              <w:rPr>
                <w:rFonts w:ascii="宋体" w:hAnsi="宋体" w:cs="宋体" w:eastAsia="宋体" w:hint="default"/>
                <w:sz w:val="18"/>
                <w:szCs w:val="18"/>
              </w:rPr>
            </w:pPr>
            <w:r>
              <w:rPr>
                <w:rFonts w:ascii="宋体" w:hAnsi="宋体" w:cs="宋体" w:eastAsia="宋体" w:hint="default"/>
                <w:sz w:val="18"/>
                <w:szCs w:val="18"/>
              </w:rPr>
              <w:t>新一代宽带无线移动通信网科技重大专项</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550,000.00</w:t>
            </w:r>
          </w:p>
        </w:tc>
      </w:tr>
      <w:tr>
        <w:trPr>
          <w:trHeight w:val="737"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TD-SCDMA</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农村信息化应用方案开发及示范验证项</w:t>
            </w:r>
          </w:p>
          <w:p>
            <w:pPr>
              <w:pStyle w:val="TableParagraph"/>
              <w:spacing w:line="240" w:lineRule="auto" w:before="101"/>
              <w:ind w:left="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right"/>
              <w:rPr>
                <w:rFonts w:ascii="Times New Roman" w:hAnsi="Times New Roman" w:cs="Times New Roman" w:eastAsia="Times New Roman" w:hint="default"/>
                <w:sz w:val="18"/>
                <w:szCs w:val="18"/>
              </w:rPr>
            </w:pPr>
            <w:r>
              <w:rPr>
                <w:rFonts w:ascii="Times New Roman"/>
                <w:spacing w:val="-1"/>
                <w:sz w:val="18"/>
              </w:rPr>
              <w:t>1,444,000.00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1,444,000.00</w:t>
            </w:r>
          </w:p>
        </w:tc>
      </w:tr>
      <w:tr>
        <w:trPr>
          <w:trHeight w:val="384"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4" w:right="0"/>
              <w:jc w:val="left"/>
              <w:rPr>
                <w:rFonts w:ascii="宋体" w:hAnsi="宋体" w:cs="宋体" w:eastAsia="宋体" w:hint="default"/>
                <w:sz w:val="18"/>
                <w:szCs w:val="18"/>
              </w:rPr>
            </w:pPr>
            <w:r>
              <w:rPr>
                <w:rFonts w:ascii="宋体" w:hAnsi="宋体" w:cs="宋体" w:eastAsia="宋体" w:hint="default"/>
                <w:sz w:val="18"/>
                <w:szCs w:val="18"/>
              </w:rPr>
              <w:t>分布式安全管理系统的研发与应用</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1,470,000.00</w:t>
            </w:r>
          </w:p>
        </w:tc>
      </w:tr>
      <w:tr>
        <w:trPr>
          <w:trHeight w:val="38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信息系统（金融）运行维护支持系统研发及产业化</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right"/>
              <w:rPr>
                <w:rFonts w:ascii="Times New Roman" w:hAnsi="Times New Roman" w:cs="Times New Roman" w:eastAsia="Times New Roman" w:hint="default"/>
                <w:sz w:val="18"/>
                <w:szCs w:val="18"/>
              </w:rPr>
            </w:pPr>
            <w:r>
              <w:rPr>
                <w:rFonts w:ascii="Times New Roman"/>
                <w:spacing w:val="-1"/>
                <w:sz w:val="18"/>
              </w:rPr>
              <w:t>1,075,758.42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734"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4" w:right="0"/>
              <w:jc w:val="left"/>
              <w:rPr>
                <w:rFonts w:ascii="宋体" w:hAnsi="宋体" w:cs="宋体" w:eastAsia="宋体" w:hint="default"/>
                <w:sz w:val="18"/>
                <w:szCs w:val="18"/>
              </w:rPr>
            </w:pPr>
            <w:r>
              <w:rPr>
                <w:rFonts w:ascii="宋体" w:hAnsi="宋体" w:cs="宋体" w:eastAsia="宋体" w:hint="default"/>
                <w:sz w:val="18"/>
                <w:szCs w:val="18"/>
              </w:rPr>
              <w:t>广域环境中超大规模自同步无线网络系统研究及示</w:t>
            </w:r>
          </w:p>
          <w:p>
            <w:pPr>
              <w:pStyle w:val="TableParagraph"/>
              <w:spacing w:line="240" w:lineRule="auto" w:before="115"/>
              <w:ind w:left="4" w:right="0"/>
              <w:jc w:val="left"/>
              <w:rPr>
                <w:rFonts w:ascii="宋体" w:hAnsi="宋体" w:cs="宋体" w:eastAsia="宋体" w:hint="default"/>
                <w:sz w:val="18"/>
                <w:szCs w:val="18"/>
              </w:rPr>
            </w:pPr>
            <w:r>
              <w:rPr>
                <w:rFonts w:ascii="宋体" w:hAnsi="宋体" w:cs="宋体" w:eastAsia="宋体" w:hint="default"/>
                <w:sz w:val="18"/>
                <w:szCs w:val="18"/>
              </w:rPr>
              <w:t>范推广</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2,610,000.00</w:t>
            </w:r>
          </w:p>
        </w:tc>
      </w:tr>
      <w:tr>
        <w:trPr>
          <w:trHeight w:val="737"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pacing w:val="-3"/>
                <w:sz w:val="18"/>
                <w:szCs w:val="18"/>
              </w:rPr>
              <w:t>面向中小微企业、社会公众和三农用户的多终端无缝</w:t>
            </w:r>
          </w:p>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集成综合通信服务产业化</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right"/>
              <w:rPr>
                <w:rFonts w:ascii="Times New Roman" w:hAnsi="Times New Roman" w:cs="Times New Roman" w:eastAsia="Times New Roman" w:hint="default"/>
                <w:sz w:val="18"/>
                <w:szCs w:val="18"/>
              </w:rPr>
            </w:pPr>
            <w:r>
              <w:rPr>
                <w:rFonts w:ascii="Times New Roman"/>
                <w:spacing w:val="-1"/>
                <w:sz w:val="18"/>
              </w:rPr>
              <w:t>5,151,487.57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84"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4" w:right="0"/>
              <w:jc w:val="left"/>
              <w:rPr>
                <w:rFonts w:ascii="宋体" w:hAnsi="宋体" w:cs="宋体" w:eastAsia="宋体" w:hint="default"/>
                <w:sz w:val="18"/>
                <w:szCs w:val="18"/>
              </w:rPr>
            </w:pPr>
            <w:r>
              <w:rPr>
                <w:rFonts w:ascii="宋体" w:hAnsi="宋体" w:cs="宋体" w:eastAsia="宋体" w:hint="default"/>
                <w:sz w:val="18"/>
                <w:szCs w:val="18"/>
              </w:rPr>
              <w:t>重庆农信涉及信息垂直搜索引擎云平台升级改造</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pacing w:val="-1"/>
                <w:sz w:val="18"/>
              </w:rPr>
              <w:t>425,126.09</w:t>
            </w: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38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4" w:right="0"/>
              <w:jc w:val="left"/>
              <w:rPr>
                <w:rFonts w:ascii="宋体" w:hAnsi="宋体" w:cs="宋体" w:eastAsia="宋体" w:hint="default"/>
                <w:sz w:val="18"/>
                <w:szCs w:val="18"/>
              </w:rPr>
            </w:pPr>
            <w:r>
              <w:rPr>
                <w:rFonts w:ascii="宋体" w:hAnsi="宋体" w:cs="宋体" w:eastAsia="宋体" w:hint="default"/>
                <w:sz w:val="18"/>
                <w:szCs w:val="18"/>
              </w:rPr>
              <w:t>电动汽车智能交互系统研制及产业化</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pacing w:val="-1"/>
                <w:sz w:val="18"/>
              </w:rPr>
              <w:t>2,533,500.00</w:t>
            </w: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4" w:right="0"/>
              <w:jc w:val="left"/>
              <w:rPr>
                <w:rFonts w:ascii="宋体" w:hAnsi="宋体" w:cs="宋体" w:eastAsia="宋体" w:hint="default"/>
                <w:sz w:val="18"/>
                <w:szCs w:val="18"/>
              </w:rPr>
            </w:pPr>
            <w:r>
              <w:rPr>
                <w:rFonts w:ascii="宋体" w:hAnsi="宋体" w:cs="宋体" w:eastAsia="宋体" w:hint="default"/>
                <w:sz w:val="18"/>
                <w:szCs w:val="18"/>
              </w:rPr>
              <w:t>《移动智能终端的测试认证系统研发》专项课题</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pacing w:val="-1"/>
                <w:sz w:val="18"/>
              </w:rPr>
              <w:t>489,231.78</w:t>
            </w: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38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tabs>
                <w:tab w:pos="542" w:val="left" w:leader="none"/>
              </w:tabs>
              <w:spacing w:line="213" w:lineRule="exact"/>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11,119,103.86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22,807,094.90</w:t>
            </w:r>
          </w:p>
        </w:tc>
      </w:tr>
    </w:tbl>
    <w:p>
      <w:pPr>
        <w:pStyle w:val="BodyText"/>
        <w:spacing w:line="240" w:lineRule="auto" w:before="87"/>
        <w:ind w:left="8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递延收益</w:t>
      </w:r>
      <w:r>
        <w:rPr>
          <w:rFonts w:ascii="Times New Roman" w:hAnsi="Times New Roman" w:cs="Times New Roman" w:eastAsia="Times New Roman" w:hint="default"/>
        </w:rPr>
        <w:t>-</w:t>
      </w:r>
      <w:r>
        <w:rPr/>
        <w:t>与资产相关的政府补助：</w:t>
      </w:r>
    </w:p>
    <w:p>
      <w:pPr>
        <w:spacing w:line="240" w:lineRule="auto" w:before="3"/>
        <w:rPr>
          <w:rFonts w:ascii="宋体" w:hAnsi="宋体" w:cs="宋体" w:eastAsia="宋体" w:hint="default"/>
          <w:sz w:val="10"/>
          <w:szCs w:val="10"/>
        </w:rPr>
      </w:pPr>
    </w:p>
    <w:tbl>
      <w:tblPr>
        <w:tblW w:w="0" w:type="auto"/>
        <w:jc w:val="left"/>
        <w:tblInd w:w="712" w:type="dxa"/>
        <w:tblLayout w:type="fixed"/>
        <w:tblCellMar>
          <w:top w:w="0" w:type="dxa"/>
          <w:left w:w="0" w:type="dxa"/>
          <w:bottom w:w="0" w:type="dxa"/>
          <w:right w:w="0" w:type="dxa"/>
        </w:tblCellMar>
        <w:tblLook w:val="01E0"/>
      </w:tblPr>
      <w:tblGrid>
        <w:gridCol w:w="4112"/>
        <w:gridCol w:w="1844"/>
        <w:gridCol w:w="1844"/>
      </w:tblGrid>
      <w:tr>
        <w:trPr>
          <w:trHeight w:val="384"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60" w:right="0"/>
              <w:jc w:val="left"/>
              <w:rPr>
                <w:rFonts w:ascii="宋体" w:hAnsi="宋体" w:cs="宋体" w:eastAsia="宋体" w:hint="default"/>
                <w:sz w:val="18"/>
                <w:szCs w:val="18"/>
              </w:rPr>
            </w:pPr>
            <w:r>
              <w:rPr>
                <w:rFonts w:ascii="宋体" w:hAnsi="宋体" w:cs="宋体" w:eastAsia="宋体" w:hint="default"/>
                <w:sz w:val="18"/>
                <w:szCs w:val="18"/>
              </w:rPr>
              <w:t>获得政府补助的项目名称</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55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556"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固定资产装修补贴</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17" w:right="-1"/>
              <w:jc w:val="left"/>
              <w:rPr>
                <w:rFonts w:ascii="Times New Roman" w:hAnsi="Times New Roman" w:cs="Times New Roman" w:eastAsia="Times New Roman" w:hint="default"/>
                <w:sz w:val="18"/>
                <w:szCs w:val="18"/>
              </w:rPr>
            </w:pPr>
            <w:r>
              <w:rPr>
                <w:rFonts w:ascii="Times New Roman"/>
                <w:sz w:val="18"/>
              </w:rPr>
              <w:t>285,000.00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17" w:right="0"/>
              <w:jc w:val="left"/>
              <w:rPr>
                <w:rFonts w:ascii="Times New Roman" w:hAnsi="Times New Roman" w:cs="Times New Roman" w:eastAsia="Times New Roman" w:hint="default"/>
                <w:sz w:val="18"/>
                <w:szCs w:val="18"/>
              </w:rPr>
            </w:pPr>
            <w:r>
              <w:rPr>
                <w:rFonts w:ascii="Times New Roman"/>
                <w:sz w:val="18"/>
              </w:rPr>
              <w:t>300,000.00</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rFonts w:ascii="Times New Roman" w:hAnsi="Times New Roman" w:cs="Times New Roman" w:eastAsia="Times New Roman" w:hint="default"/>
        </w:rPr>
        <w:t>47</w:t>
      </w:r>
      <w:r>
        <w:rPr/>
        <w:t>、股本</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4"/>
        <w:ind w:left="0" w:right="151"/>
        <w:jc w:val="right"/>
      </w:pPr>
      <w:r>
        <w:rPr/>
        <w:t>单位：元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173"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0"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173"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4"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left="31" w:right="0"/>
              <w:jc w:val="left"/>
              <w:rPr>
                <w:rFonts w:ascii="Times New Roman" w:hAnsi="Times New Roman" w:cs="Times New Roman" w:eastAsia="Times New Roman" w:hint="default"/>
                <w:sz w:val="18"/>
                <w:szCs w:val="18"/>
              </w:rPr>
            </w:pPr>
            <w:r>
              <w:rPr>
                <w:rFonts w:ascii="Times New Roman"/>
                <w:sz w:val="18"/>
              </w:rPr>
              <w:t>379,200,000.00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8" w:right="0"/>
              <w:jc w:val="left"/>
              <w:rPr>
                <w:rFonts w:ascii="Times New Roman" w:hAnsi="Times New Roman" w:cs="Times New Roman" w:eastAsia="Times New Roman" w:hint="default"/>
                <w:sz w:val="18"/>
                <w:szCs w:val="18"/>
              </w:rPr>
            </w:pPr>
            <w:r>
              <w:rPr>
                <w:rFonts w:ascii="Times New Roman"/>
                <w:sz w:val="18"/>
              </w:rPr>
              <w:t>4,183,700.00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8" w:right="0"/>
              <w:jc w:val="left"/>
              <w:rPr>
                <w:rFonts w:ascii="Times New Roman" w:hAnsi="Times New Roman" w:cs="Times New Roman" w:eastAsia="Times New Roman" w:hint="default"/>
                <w:sz w:val="18"/>
                <w:szCs w:val="18"/>
              </w:rPr>
            </w:pPr>
            <w:r>
              <w:rPr>
                <w:rFonts w:ascii="Times New Roman"/>
                <w:sz w:val="18"/>
              </w:rPr>
              <w:t>4,183,700.00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9" w:right="0"/>
              <w:jc w:val="left"/>
              <w:rPr>
                <w:rFonts w:ascii="Times New Roman" w:hAnsi="Times New Roman" w:cs="Times New Roman" w:eastAsia="Times New Roman" w:hint="default"/>
                <w:sz w:val="18"/>
                <w:szCs w:val="18"/>
              </w:rPr>
            </w:pPr>
            <w:r>
              <w:rPr>
                <w:rFonts w:ascii="Times New Roman"/>
                <w:sz w:val="18"/>
              </w:rPr>
              <w:t>383,383,700.00</w:t>
            </w:r>
          </w:p>
        </w:tc>
      </w:tr>
    </w:tbl>
    <w:p>
      <w:pPr>
        <w:pStyle w:val="BodyText"/>
        <w:spacing w:line="348" w:lineRule="auto" w:before="87"/>
        <w:ind w:right="144"/>
        <w:jc w:val="left"/>
      </w:pPr>
      <w:r>
        <w:rPr/>
        <w:t>股本变动情况说明：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日，公司</w:t>
      </w:r>
      <w:r>
        <w:rPr>
          <w:rFonts w:ascii="Times New Roman" w:hAnsi="Times New Roman" w:cs="Times New Roman" w:eastAsia="Times New Roman" w:hint="default"/>
        </w:rPr>
        <w:t>2012</w:t>
      </w:r>
      <w:r>
        <w:rPr/>
        <w:t>年第一次临时股东大会决议通过《北京神州泰岳软件股份有限公司股票期权与限制性股票激励 计划》，向</w:t>
      </w:r>
      <w:r>
        <w:rPr>
          <w:rFonts w:ascii="Times New Roman" w:hAnsi="Times New Roman" w:cs="Times New Roman" w:eastAsia="Times New Roman" w:hint="default"/>
        </w:rPr>
        <w:t>185</w:t>
      </w:r>
      <w:r>
        <w:rPr/>
        <w:t>名自然人发行限制性股票</w:t>
      </w:r>
      <w:r>
        <w:rPr>
          <w:rFonts w:ascii="Times New Roman" w:hAnsi="Times New Roman" w:cs="Times New Roman" w:eastAsia="Times New Roman" w:hint="default"/>
        </w:rPr>
        <w:t>4,183,700</w:t>
      </w:r>
      <w:r>
        <w:rPr/>
        <w:t>股，导致有限售条件股份增加</w:t>
      </w:r>
      <w:r>
        <w:rPr>
          <w:rFonts w:ascii="Times New Roman" w:hAnsi="Times New Roman" w:cs="Times New Roman" w:eastAsia="Times New Roman" w:hint="default"/>
        </w:rPr>
        <w:t>4,183,700</w:t>
      </w:r>
      <w:r>
        <w:rPr/>
        <w:t>股。</w:t>
      </w:r>
    </w:p>
    <w:p>
      <w:pPr>
        <w:spacing w:line="240" w:lineRule="auto" w:before="9"/>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48</w:t>
      </w:r>
      <w:r>
        <w:rPr/>
        <w:t>、库存股</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4"/>
        <w:gridCol w:w="1861"/>
        <w:gridCol w:w="1992"/>
        <w:gridCol w:w="1729"/>
        <w:gridCol w:w="1594"/>
      </w:tblGrid>
      <w:tr>
        <w:trPr>
          <w:trHeight w:val="324"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pgSz w:w="11910" w:h="16840"/>
          <w:pgMar w:header="852" w:footer="980" w:top="1340" w:bottom="1160" w:left="980" w:right="980"/>
        </w:sectPr>
      </w:pP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6"/>
        <w:gridCol w:w="1861"/>
        <w:gridCol w:w="1992"/>
        <w:gridCol w:w="1729"/>
        <w:gridCol w:w="1594"/>
      </w:tblGrid>
      <w:tr>
        <w:trPr>
          <w:trHeight w:val="324"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1,488,670,277.35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33,344,089.00</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1,522,014,366.35</w:t>
            </w:r>
          </w:p>
        </w:tc>
      </w:tr>
      <w:tr>
        <w:trPr>
          <w:trHeight w:val="557"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0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）被投资单位除净损益外 所有者权益其他变动</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34,309.44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-362,408.63</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-328,099.19</w:t>
            </w:r>
          </w:p>
        </w:tc>
      </w:tr>
      <w:tr>
        <w:trPr>
          <w:trHeight w:val="32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）政府补助</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11,036,478.40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2,400,000.00</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13,436,478.40</w:t>
            </w:r>
          </w:p>
        </w:tc>
      </w:tr>
      <w:tr>
        <w:trPr>
          <w:trHeight w:val="322"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）股份支付的权益成本</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21,963,990.80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5,443,754.20</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27,407,745.00</w:t>
            </w:r>
          </w:p>
        </w:tc>
      </w:tr>
      <w:tr>
        <w:trPr>
          <w:trHeight w:val="324"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1,521,705,055.99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40,825,434.57</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1,562,530,490.56</w:t>
            </w:r>
          </w:p>
        </w:tc>
      </w:tr>
    </w:tbl>
    <w:p>
      <w:pPr>
        <w:pStyle w:val="BodyText"/>
        <w:spacing w:line="240" w:lineRule="auto" w:before="87"/>
        <w:ind w:right="0"/>
        <w:jc w:val="both"/>
      </w:pPr>
      <w:r>
        <w:rPr/>
        <w:t>资本公积说明：</w:t>
      </w:r>
    </w:p>
    <w:p>
      <w:pPr>
        <w:pStyle w:val="Heading5"/>
        <w:spacing w:line="240" w:lineRule="auto" w:before="115"/>
        <w:ind w:right="0"/>
        <w:jc w:val="both"/>
        <w:rPr>
          <w:b w:val="0"/>
          <w:bCs w:val="0"/>
        </w:rPr>
      </w:pPr>
      <w:r>
        <w:rPr>
          <w:rFonts w:ascii="Times New Roman" w:hAnsi="Times New Roman" w:cs="Times New Roman" w:eastAsia="Times New Roman" w:hint="default"/>
        </w:rPr>
        <w:t>1</w:t>
      </w:r>
      <w:r>
        <w:rPr/>
        <w:t>、股本溢价本期变动为：</w:t>
      </w:r>
      <w:r>
        <w:rPr>
          <w:b w:val="0"/>
          <w:bCs w:val="0"/>
        </w:rPr>
      </w:r>
    </w:p>
    <w:p>
      <w:pPr>
        <w:pStyle w:val="BodyText"/>
        <w:spacing w:line="338" w:lineRule="auto" w:before="101"/>
        <w:ind w:right="148"/>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日，公司</w:t>
      </w:r>
      <w:r>
        <w:rPr>
          <w:rFonts w:ascii="Times New Roman" w:hAnsi="Times New Roman" w:cs="Times New Roman" w:eastAsia="Times New Roman" w:hint="default"/>
        </w:rPr>
        <w:t>2012</w:t>
      </w:r>
      <w:r>
        <w:rPr/>
        <w:t>年第一次临时股东大会决议通过《北京神州泰岳软件股份有限公司股票期权与限制性股票激励计</w:t>
      </w:r>
      <w:r>
        <w:rPr>
          <w:spacing w:val="-13"/>
        </w:rPr>
        <w:t> </w:t>
      </w:r>
      <w:r>
        <w:rPr>
          <w:spacing w:val="-13"/>
        </w:rPr>
      </w:r>
      <w:r>
        <w:rPr>
          <w:spacing w:val="2"/>
        </w:rPr>
        <w:t>划》，向</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85</w:t>
      </w:r>
      <w:r>
        <w:rPr>
          <w:spacing w:val="2"/>
        </w:rPr>
        <w:t>名自然人发</w:t>
      </w:r>
      <w:r>
        <w:rPr/>
        <w:t>行</w:t>
      </w:r>
      <w:r>
        <w:rPr>
          <w:spacing w:val="2"/>
        </w:rPr>
        <w:t>限</w:t>
      </w:r>
      <w:r>
        <w:rPr/>
        <w:t>制</w:t>
      </w:r>
      <w:r>
        <w:rPr>
          <w:spacing w:val="2"/>
        </w:rPr>
        <w:t>性股</w:t>
      </w:r>
      <w:r>
        <w:rPr>
          <w:spacing w:val="4"/>
        </w:rPr>
        <w:t>票</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4"/>
        </w:rPr>
        <w:t>0</w:t>
      </w:r>
      <w:r>
        <w:rPr>
          <w:spacing w:val="2"/>
        </w:rPr>
        <w:t>股，发</w:t>
      </w:r>
      <w:r>
        <w:rPr/>
        <w:t>行</w:t>
      </w:r>
      <w:r>
        <w:rPr>
          <w:spacing w:val="2"/>
        </w:rPr>
        <w:t>价</w:t>
      </w:r>
      <w:r>
        <w:rPr/>
        <w:t>格</w:t>
      </w:r>
      <w:r>
        <w:rPr>
          <w:spacing w:val="3"/>
        </w:rPr>
        <w:t>为</w:t>
      </w:r>
      <w:r>
        <w:rPr>
          <w:rFonts w:ascii="Times New Roman" w:hAnsi="Times New Roman" w:cs="Times New Roman" w:eastAsia="Times New Roman" w:hint="default"/>
          <w:spacing w:val="1"/>
        </w:rPr>
        <w:t>8</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4"/>
        </w:rPr>
        <w:t>7</w:t>
      </w:r>
      <w:r>
        <w:rPr/>
        <w:t>元</w:t>
      </w:r>
      <w:r>
        <w:rPr>
          <w:rFonts w:ascii="Times New Roman" w:hAnsi="Times New Roman" w:cs="Times New Roman" w:eastAsia="Times New Roman" w:hint="default"/>
          <w:spacing w:val="2"/>
        </w:rPr>
        <w:t>/</w:t>
      </w:r>
      <w:r>
        <w:rPr>
          <w:spacing w:val="2"/>
        </w:rPr>
        <w:t>股，其</w:t>
      </w:r>
      <w:r>
        <w:rPr/>
        <w:t>中</w:t>
      </w:r>
      <w:r>
        <w:rPr>
          <w:spacing w:val="2"/>
        </w:rPr>
        <w:t>溢价部</w:t>
      </w:r>
      <w:r>
        <w:rPr>
          <w:spacing w:val="1"/>
        </w:rPr>
        <w:t>分</w:t>
      </w:r>
      <w:r>
        <w:rPr>
          <w:rFonts w:ascii="Times New Roman" w:hAnsi="Times New Roman" w:cs="Times New Roman" w:eastAsia="Times New Roman" w:hint="default"/>
          <w:spacing w:val="1"/>
        </w:rPr>
        <w:t>33</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34</w:t>
      </w:r>
      <w:r>
        <w:rPr>
          <w:rFonts w:ascii="Times New Roman" w:hAnsi="Times New Roman" w:cs="Times New Roman" w:eastAsia="Times New Roman" w:hint="default"/>
          <w:spacing w:val="-2"/>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89</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5"/>
        </w:rPr>
        <w:t>0</w:t>
      </w:r>
      <w:r>
        <w:rPr>
          <w:spacing w:val="2"/>
        </w:rPr>
        <w:t>元记入</w:t>
      </w:r>
      <w:r>
        <w:rPr>
          <w:rFonts w:ascii="Times New Roman" w:hAnsi="Times New Roman" w:cs="Times New Roman" w:eastAsia="Times New Roman" w:hint="default"/>
          <w:spacing w:val="1"/>
          <w:w w:val="44"/>
        </w:rPr>
        <w:t>―</w:t>
      </w:r>
      <w:r>
        <w:rPr>
          <w:spacing w:val="2"/>
        </w:rPr>
        <w:t>资</w:t>
      </w:r>
      <w:r>
        <w:rPr/>
        <w:t>本</w:t>
      </w:r>
      <w:r>
        <w:rPr>
          <w:spacing w:val="2"/>
        </w:rPr>
        <w:t>公积</w:t>
      </w:r>
      <w:r>
        <w:rPr>
          <w:rFonts w:ascii="Times New Roman" w:hAnsi="Times New Roman" w:cs="Times New Roman" w:eastAsia="Times New Roman" w:hint="default"/>
          <w:spacing w:val="2"/>
        </w:rPr>
        <w:t>-</w:t>
      </w:r>
      <w:r>
        <w:rPr/>
        <w:t>资 本溢价</w:t>
      </w:r>
      <w:r>
        <w:rPr>
          <w:rFonts w:ascii="Times New Roman" w:hAnsi="Times New Roman" w:cs="Times New Roman" w:eastAsia="Times New Roman" w:hint="default"/>
        </w:rPr>
        <w:t>‖</w:t>
      </w:r>
      <w:r>
        <w:rPr/>
        <w:t>。</w:t>
      </w:r>
    </w:p>
    <w:p>
      <w:pPr>
        <w:pStyle w:val="Heading5"/>
        <w:spacing w:line="240" w:lineRule="auto" w:before="20"/>
        <w:ind w:right="0"/>
        <w:jc w:val="both"/>
        <w:rPr>
          <w:b w:val="0"/>
          <w:bCs w:val="0"/>
        </w:rPr>
      </w:pPr>
      <w:r>
        <w:rPr>
          <w:rFonts w:ascii="Times New Roman" w:hAnsi="Times New Roman" w:cs="Times New Roman" w:eastAsia="Times New Roman" w:hint="default"/>
        </w:rPr>
        <w:t>2</w:t>
      </w:r>
      <w:r>
        <w:rPr/>
        <w:t>、其他资本公积本期变动为：</w:t>
      </w:r>
      <w:r>
        <w:rPr>
          <w:b w:val="0"/>
          <w:bCs w:val="0"/>
        </w:rPr>
      </w:r>
    </w:p>
    <w:p>
      <w:pPr>
        <w:pStyle w:val="BodyText"/>
        <w:spacing w:line="338" w:lineRule="auto" w:before="101"/>
        <w:ind w:right="150"/>
        <w:jc w:val="left"/>
      </w:pPr>
      <w:r>
        <w:rPr/>
        <w:t>（</w:t>
      </w:r>
      <w:r>
        <w:rPr>
          <w:rFonts w:ascii="Times New Roman" w:hAnsi="Times New Roman" w:cs="Times New Roman" w:eastAsia="Times New Roman" w:hint="default"/>
          <w:spacing w:val="1"/>
        </w:rPr>
        <w:t>1</w:t>
      </w:r>
      <w:r>
        <w:rPr/>
        <w:t>）联营企业</w:t>
      </w:r>
      <w:r>
        <w:rPr>
          <w:spacing w:val="2"/>
        </w:rPr>
        <w:t>大</w:t>
      </w:r>
      <w:r>
        <w:rPr/>
        <w:t>连华信计</w:t>
      </w:r>
      <w:r>
        <w:rPr>
          <w:spacing w:val="2"/>
        </w:rPr>
        <w:t>算机</w:t>
      </w:r>
      <w:r>
        <w:rPr/>
        <w:t>技术股份有</w:t>
      </w:r>
      <w:r>
        <w:rPr>
          <w:spacing w:val="2"/>
        </w:rPr>
        <w:t>限</w:t>
      </w:r>
      <w:r>
        <w:rPr/>
        <w:t>公司所有</w:t>
      </w:r>
      <w:r>
        <w:rPr>
          <w:spacing w:val="2"/>
        </w:rPr>
        <w:t>者</w:t>
      </w:r>
      <w:r>
        <w:rPr/>
        <w:t>权</w:t>
      </w:r>
      <w:r>
        <w:rPr>
          <w:spacing w:val="2"/>
        </w:rPr>
        <w:t>益</w:t>
      </w:r>
      <w:r>
        <w:rPr/>
        <w:t>项</w:t>
      </w:r>
      <w:r>
        <w:rPr>
          <w:spacing w:val="1"/>
        </w:rPr>
        <w:t>下</w:t>
      </w:r>
      <w:r>
        <w:rPr>
          <w:rFonts w:ascii="Times New Roman" w:hAnsi="Times New Roman" w:cs="Times New Roman" w:eastAsia="Times New Roman" w:hint="default"/>
          <w:spacing w:val="-1"/>
          <w:w w:val="44"/>
        </w:rPr>
        <w:t>―</w:t>
      </w:r>
      <w:r>
        <w:rPr/>
        <w:t>外</w:t>
      </w:r>
      <w:r>
        <w:rPr>
          <w:spacing w:val="2"/>
        </w:rPr>
        <w:t>币</w:t>
      </w:r>
      <w:r>
        <w:rPr/>
        <w:t>报表折</w:t>
      </w:r>
      <w:r>
        <w:rPr>
          <w:spacing w:val="2"/>
        </w:rPr>
        <w:t>算</w:t>
      </w:r>
      <w:r>
        <w:rPr/>
        <w:t>差额</w:t>
      </w:r>
      <w:r>
        <w:rPr>
          <w:rFonts w:ascii="Times New Roman" w:hAnsi="Times New Roman" w:cs="Times New Roman" w:eastAsia="Times New Roman" w:hint="default"/>
          <w:spacing w:val="-1"/>
          <w:w w:val="158"/>
        </w:rPr>
        <w:t>‖</w:t>
      </w:r>
      <w:r>
        <w:rPr>
          <w:spacing w:val="2"/>
        </w:rPr>
        <w:t>及其</w:t>
      </w:r>
      <w:r>
        <w:rPr/>
        <w:t>他除净损益</w:t>
      </w:r>
      <w:r>
        <w:rPr>
          <w:spacing w:val="2"/>
        </w:rPr>
        <w:t>以</w:t>
      </w:r>
      <w:r>
        <w:rPr/>
        <w:t>外所有者</w:t>
      </w:r>
      <w:r>
        <w:rPr>
          <w:spacing w:val="2"/>
        </w:rPr>
        <w:t>权</w:t>
      </w:r>
      <w:r>
        <w:rPr/>
        <w:t>益</w:t>
      </w:r>
      <w:r>
        <w:rPr>
          <w:spacing w:val="2"/>
        </w:rPr>
        <w:t>变</w:t>
      </w:r>
      <w:r>
        <w:rPr/>
        <w:t>动</w:t>
      </w:r>
      <w:r>
        <w:rPr/>
        <w:t> 数，公司按持股比例确认</w:t>
      </w:r>
      <w:r>
        <w:rPr>
          <w:rFonts w:ascii="Times New Roman" w:hAnsi="Times New Roman" w:cs="Times New Roman" w:eastAsia="Times New Roman" w:hint="default"/>
          <w:spacing w:val="-1"/>
          <w:w w:val="44"/>
        </w:rPr>
        <w:t>―</w:t>
      </w:r>
      <w:r>
        <w:rPr/>
        <w:t>资本公积</w:t>
      </w:r>
      <w:r>
        <w:rPr>
          <w:rFonts w:ascii="Times New Roman" w:hAnsi="Times New Roman" w:cs="Times New Roman" w:eastAsia="Times New Roman" w:hint="default"/>
        </w:rPr>
        <w:t>--</w:t>
      </w:r>
      <w:r>
        <w:rPr/>
        <w:t>他资本公积</w:t>
      </w:r>
      <w:r>
        <w:rPr>
          <w:rFonts w:ascii="Times New Roman" w:hAnsi="Times New Roman" w:cs="Times New Roman" w:eastAsia="Times New Roman" w:hint="default"/>
          <w:w w:val="158"/>
        </w:rPr>
        <w:t>‖</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rFonts w:ascii="Times New Roman" w:hAnsi="Times New Roman" w:cs="Times New Roman" w:eastAsia="Times New Roman" w:hint="default"/>
          <w:spacing w:val="1"/>
        </w:rPr>
        <w:t>36</w:t>
      </w:r>
      <w:r>
        <w:rPr>
          <w:rFonts w:ascii="Times New Roman" w:hAnsi="Times New Roman" w:cs="Times New Roman" w:eastAsia="Times New Roman" w:hint="default"/>
          <w:spacing w:val="-2"/>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08</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1"/>
        </w:rPr>
        <w:t>3</w:t>
      </w:r>
      <w:r>
        <w:rPr/>
        <w:t>元。</w:t>
      </w:r>
    </w:p>
    <w:p>
      <w:pPr>
        <w:pStyle w:val="BodyText"/>
        <w:spacing w:line="338" w:lineRule="auto" w:before="17"/>
        <w:ind w:right="175"/>
        <w:jc w:val="left"/>
      </w:pPr>
      <w:r>
        <w:rPr/>
        <w:t>（</w:t>
      </w:r>
      <w:r>
        <w:rPr>
          <w:rFonts w:ascii="Times New Roman" w:hAnsi="Times New Roman" w:cs="Times New Roman" w:eastAsia="Times New Roman" w:hint="default"/>
          <w:spacing w:val="1"/>
        </w:rPr>
        <w:t>2</w:t>
      </w:r>
      <w:r>
        <w:rPr>
          <w:spacing w:val="-27"/>
        </w:rPr>
        <w:t>）</w:t>
      </w:r>
      <w:r>
        <w:rPr/>
        <w:t>本期公司收到北京市高新技术成果转化项目专项资金</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2"/>
        </w:rPr>
        <w:t>0</w:t>
      </w:r>
      <w:r>
        <w:rPr/>
        <w:t>元</w:t>
      </w:r>
      <w:r>
        <w:rPr>
          <w:spacing w:val="-27"/>
        </w:rPr>
        <w:t>，</w:t>
      </w:r>
      <w:r>
        <w:rPr/>
        <w:t>根据相关规定</w:t>
      </w:r>
      <w:r>
        <w:rPr>
          <w:spacing w:val="-3"/>
        </w:rPr>
        <w:t>记</w:t>
      </w:r>
      <w:r>
        <w:rPr/>
        <w:t>入</w:t>
      </w:r>
      <w:r>
        <w:rPr>
          <w:rFonts w:ascii="Times New Roman" w:hAnsi="Times New Roman" w:cs="Times New Roman" w:eastAsia="Times New Roman" w:hint="default"/>
          <w:spacing w:val="-1"/>
          <w:w w:val="44"/>
        </w:rPr>
        <w:t>―</w:t>
      </w:r>
      <w:r>
        <w:rPr/>
        <w:t>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spacing w:val="-1"/>
          <w:w w:val="158"/>
        </w:rPr>
        <w:t>‖</w:t>
      </w:r>
      <w:r>
        <w:rPr>
          <w:spacing w:val="-24"/>
        </w:rPr>
        <w:t>；本 </w:t>
      </w:r>
      <w:r>
        <w:rPr/>
        <w:t>期公司收到中关村科技园区产业发展专项资</w:t>
      </w:r>
      <w:r>
        <w:rPr>
          <w:spacing w:val="1"/>
        </w:rPr>
        <w:t>金</w:t>
      </w:r>
      <w:r>
        <w:rPr>
          <w:rFonts w:ascii="Times New Roman" w:hAnsi="Times New Roman" w:cs="Times New Roman" w:eastAsia="Times New Roman" w:hint="default"/>
          <w:spacing w:val="1"/>
        </w:rPr>
        <w:t>40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t>元</w:t>
      </w:r>
      <w:r>
        <w:rPr>
          <w:spacing w:val="-3"/>
        </w:rPr>
        <w:t>，</w:t>
      </w:r>
      <w:r>
        <w:rPr/>
        <w:t>根据相关规定记入</w:t>
      </w:r>
      <w:r>
        <w:rPr>
          <w:rFonts w:ascii="Times New Roman" w:hAnsi="Times New Roman" w:cs="Times New Roman" w:eastAsia="Times New Roman" w:hint="default"/>
          <w:spacing w:val="-1"/>
          <w:w w:val="44"/>
        </w:rPr>
        <w:t>―</w:t>
      </w:r>
      <w:r>
        <w:rPr/>
        <w:t>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spacing w:val="-1"/>
          <w:w w:val="158"/>
        </w:rPr>
        <w:t>‖</w:t>
      </w:r>
      <w:r>
        <w:rPr/>
        <w:t>。</w:t>
      </w:r>
    </w:p>
    <w:p>
      <w:pPr>
        <w:pStyle w:val="BodyText"/>
        <w:spacing w:line="240" w:lineRule="auto" w:before="19"/>
        <w:ind w:right="0"/>
        <w:jc w:val="both"/>
      </w:pPr>
      <w:r>
        <w:rPr/>
        <w:t>（</w:t>
      </w:r>
      <w:r>
        <w:rPr>
          <w:rFonts w:ascii="Times New Roman" w:hAnsi="Times New Roman" w:cs="Times New Roman" w:eastAsia="Times New Roman" w:hint="default"/>
        </w:rPr>
        <w:t>3</w:t>
      </w:r>
      <w:r>
        <w:rPr/>
        <w:t>）本期公司确认股份支付的权益成本</w:t>
      </w:r>
      <w:r>
        <w:rPr>
          <w:rFonts w:ascii="Times New Roman" w:hAnsi="Times New Roman" w:cs="Times New Roman" w:eastAsia="Times New Roman" w:hint="default"/>
        </w:rPr>
        <w:t>5,443,754.20</w:t>
      </w:r>
      <w:r>
        <w:rPr/>
        <w:t>元，详见附注七。</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3"/>
        <w:spacing w:line="240" w:lineRule="auto"/>
        <w:ind w:right="0"/>
        <w:jc w:val="both"/>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324"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24"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79,132,439.37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23,092,599.24</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102,225,038.61</w:t>
            </w:r>
          </w:p>
        </w:tc>
      </w:tr>
      <w:tr>
        <w:trPr>
          <w:trHeight w:val="322"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79,132,439.37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23,092,599.24</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102,225,038.61</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rFonts w:ascii="Times New Roman" w:hAnsi="Times New Roman" w:cs="Times New Roman" w:eastAsia="Times New Roman" w:hint="default"/>
        </w:rPr>
        <w:t>52</w:t>
      </w:r>
      <w:r>
        <w:rPr/>
        <w:t>、一般风险准备</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696"/>
        <w:gridCol w:w="3741"/>
        <w:gridCol w:w="2122"/>
      </w:tblGrid>
      <w:tr>
        <w:trPr>
          <w:trHeight w:val="32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27"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32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46"/>
              <w:ind w:right="14"/>
              <w:jc w:val="right"/>
              <w:rPr>
                <w:rFonts w:ascii="Times New Roman" w:hAnsi="Times New Roman" w:cs="Times New Roman" w:eastAsia="Times New Roman" w:hint="default"/>
                <w:sz w:val="18"/>
                <w:szCs w:val="18"/>
              </w:rPr>
            </w:pPr>
            <w:r>
              <w:rPr>
                <w:rFonts w:ascii="Times New Roman"/>
                <w:spacing w:val="-1"/>
                <w:sz w:val="18"/>
              </w:rPr>
              <w:t>852,094,072.95</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r>
      <w:tr>
        <w:trPr>
          <w:trHeight w:val="325"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429,028,904.35</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23,092,599.24</w:t>
            </w:r>
          </w:p>
        </w:tc>
        <w:tc>
          <w:tcPr>
            <w:tcW w:w="2122"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0"/>
              <w:ind w:right="14"/>
              <w:jc w:val="right"/>
              <w:rPr>
                <w:rFonts w:ascii="Times New Roman" w:hAnsi="Times New Roman" w:cs="Times New Roman" w:eastAsia="Times New Roman" w:hint="default"/>
                <w:sz w:val="18"/>
                <w:szCs w:val="18"/>
              </w:rPr>
            </w:pPr>
            <w:r>
              <w:rPr>
                <w:rFonts w:ascii="Times New Roman"/>
                <w:sz w:val="18"/>
              </w:rPr>
              <w:t>10%</w:t>
            </w:r>
          </w:p>
        </w:tc>
      </w:tr>
      <w:tr>
        <w:trPr>
          <w:trHeight w:val="32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113,760,000.00</w:t>
            </w:r>
          </w:p>
        </w:tc>
        <w:tc>
          <w:tcPr>
            <w:tcW w:w="2122" w:type="dxa"/>
            <w:tcBorders>
              <w:top w:val="single" w:sz="4" w:space="0" w:color="000000"/>
              <w:left w:val="single" w:sz="4" w:space="0" w:color="000000"/>
              <w:bottom w:val="single" w:sz="10" w:space="0" w:color="D2D2D2"/>
              <w:right w:val="single" w:sz="4" w:space="0" w:color="000000"/>
            </w:tcBorders>
          </w:tcPr>
          <w:p>
            <w:pPr/>
          </w:p>
        </w:tc>
      </w:tr>
      <w:tr>
        <w:trPr>
          <w:trHeight w:val="32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46"/>
              <w:ind w:right="15"/>
              <w:jc w:val="right"/>
              <w:rPr>
                <w:rFonts w:ascii="Times New Roman" w:hAnsi="Times New Roman" w:cs="Times New Roman" w:eastAsia="Times New Roman" w:hint="default"/>
                <w:sz w:val="18"/>
                <w:szCs w:val="18"/>
              </w:rPr>
            </w:pPr>
            <w:r>
              <w:rPr>
                <w:rFonts w:ascii="Times New Roman"/>
                <w:spacing w:val="-1"/>
                <w:sz w:val="18"/>
              </w:rPr>
              <w:t>1,144,270,378.06</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87"/>
        <w:ind w:right="0"/>
        <w:jc w:val="left"/>
      </w:pPr>
      <w:r>
        <w:rPr/>
        <w:t>未分配利润说明：</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9"/>
        </w:rPr>
        <w:t> </w:t>
      </w:r>
      <w:r>
        <w:rPr/>
        <w:t>日，公司</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年度股东大会通过决议，实施利润分配，以截至</w:t>
      </w:r>
      <w:r>
        <w:rPr>
          <w:spacing w:val="-4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日止的总</w:t>
      </w:r>
    </w:p>
    <w:p>
      <w:pPr>
        <w:pStyle w:val="BodyText"/>
        <w:spacing w:line="240" w:lineRule="auto" w:before="101"/>
        <w:ind w:right="0"/>
        <w:jc w:val="left"/>
        <w:rPr>
          <w:rFonts w:ascii="Times New Roman" w:hAnsi="Times New Roman" w:cs="Times New Roman" w:eastAsia="Times New Roman" w:hint="default"/>
        </w:rPr>
      </w:pPr>
      <w:r>
        <w:rPr/>
        <w:t>股本</w:t>
      </w:r>
      <w:r>
        <w:rPr>
          <w:spacing w:val="-49"/>
        </w:rPr>
        <w:t> </w:t>
      </w:r>
      <w:r>
        <w:rPr>
          <w:rFonts w:ascii="Times New Roman" w:hAnsi="Times New Roman" w:cs="Times New Roman" w:eastAsia="Times New Roman" w:hint="default"/>
          <w:spacing w:val="1"/>
        </w:rPr>
        <w:t>379</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8"/>
        </w:rPr>
        <w:t> </w:t>
      </w:r>
      <w:r>
        <w:rPr/>
        <w:t>股为基数</w:t>
      </w:r>
      <w:r>
        <w:rPr>
          <w:spacing w:val="-92"/>
        </w:rPr>
        <w:t>，</w:t>
      </w:r>
      <w:r>
        <w:rPr/>
        <w:t>以未分配利润向全体股东每</w:t>
      </w:r>
      <w:r>
        <w:rPr>
          <w:spacing w:val="-49"/>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8"/>
        </w:rPr>
        <w:t> </w:t>
      </w:r>
      <w:r>
        <w:rPr>
          <w:spacing w:val="-3"/>
        </w:rPr>
        <w:t>股</w:t>
      </w:r>
      <w:r>
        <w:rPr/>
        <w:t>派发现金红利</w:t>
      </w:r>
      <w:r>
        <w:rPr>
          <w:spacing w:val="-49"/>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8"/>
        </w:rPr>
        <w:t> </w:t>
      </w:r>
      <w:r>
        <w:rPr>
          <w:spacing w:val="-92"/>
        </w:rPr>
        <w:t>元</w:t>
      </w:r>
      <w:r>
        <w:rPr/>
        <w:t>（含税</w:t>
      </w:r>
      <w:r>
        <w:rPr>
          <w:spacing w:val="-92"/>
        </w:rPr>
        <w:t>），</w:t>
      </w:r>
      <w:r>
        <w:rPr/>
        <w:t>共计派送现金红利</w:t>
      </w:r>
      <w:r>
        <w:rPr>
          <w:spacing w:val="-49"/>
        </w:rPr>
        <w:t> </w:t>
      </w:r>
      <w:r>
        <w:rPr>
          <w:rFonts w:ascii="Times New Roman" w:hAnsi="Times New Roman" w:cs="Times New Roman" w:eastAsia="Times New Roman" w:hint="default"/>
          <w:spacing w:val="1"/>
        </w:rPr>
        <w:t>113</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
        </w:rPr>
        <w:t>0</w:t>
      </w:r>
      <w:r>
        <w:rPr>
          <w:rFonts w:ascii="Times New Roman" w:hAnsi="Times New Roman" w:cs="Times New Roman" w:eastAsia="Times New Roman" w:hint="default"/>
        </w:rPr>
        <w:t>0</w:t>
      </w:r>
    </w:p>
    <w:p>
      <w:pPr>
        <w:pStyle w:val="BodyText"/>
        <w:spacing w:line="240" w:lineRule="auto" w:before="101"/>
        <w:ind w:right="0"/>
        <w:jc w:val="left"/>
      </w:pPr>
      <w:r>
        <w:rPr/>
        <w:t>元（含税），剩余未分配利润结转以后年度。</w:t>
      </w:r>
    </w:p>
    <w:p>
      <w:pPr>
        <w:spacing w:after="0" w:line="240" w:lineRule="auto"/>
        <w:jc w:val="left"/>
        <w:sectPr>
          <w:pgSz w:w="11910" w:h="16840"/>
          <w:pgMar w:header="852" w:footer="980" w:top="1340" w:bottom="1160" w:left="980" w:right="980"/>
        </w:sectPr>
      </w:pPr>
    </w:p>
    <w:p>
      <w:pPr>
        <w:pStyle w:val="Heading3"/>
        <w:spacing w:line="240" w:lineRule="auto" w:before="59"/>
        <w:ind w:right="0"/>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324"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1,391,002,675.09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1,145,864,891.90</w:t>
            </w:r>
          </w:p>
        </w:tc>
      </w:tr>
      <w:tr>
        <w:trPr>
          <w:trHeight w:val="324"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18,510,234.93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11,393,197.63</w:t>
            </w:r>
          </w:p>
        </w:tc>
      </w:tr>
      <w:tr>
        <w:trPr>
          <w:trHeight w:val="324"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495,686,394.02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376,951,092.02</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325"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运维管理业务（解决方案）</w:t>
            </w:r>
          </w:p>
        </w:tc>
        <w:tc>
          <w:tcPr>
            <w:tcW w:w="1726"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8" w:right="0"/>
              <w:jc w:val="left"/>
              <w:rPr>
                <w:rFonts w:ascii="宋体" w:hAnsi="宋体" w:cs="宋体" w:eastAsia="宋体" w:hint="default"/>
                <w:sz w:val="18"/>
                <w:szCs w:val="18"/>
              </w:rPr>
            </w:pPr>
            <w:r>
              <w:rPr>
                <w:rFonts w:ascii="宋体" w:hAnsi="宋体" w:cs="宋体" w:eastAsia="宋体" w:hint="default"/>
                <w:sz w:val="18"/>
                <w:szCs w:val="18"/>
              </w:rPr>
              <w:t>其中：电信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390,607,459.87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88,144,029.95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284,381,530.22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71,093,027.24</w:t>
            </w: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8" w:right="0"/>
              <w:jc w:val="center"/>
              <w:rPr>
                <w:rFonts w:ascii="宋体" w:hAnsi="宋体" w:cs="宋体" w:eastAsia="宋体" w:hint="default"/>
                <w:sz w:val="18"/>
                <w:szCs w:val="18"/>
              </w:rPr>
            </w:pPr>
            <w:r>
              <w:rPr>
                <w:rFonts w:ascii="宋体" w:hAnsi="宋体" w:cs="宋体" w:eastAsia="宋体" w:hint="default"/>
                <w:sz w:val="18"/>
                <w:szCs w:val="18"/>
              </w:rPr>
              <w:t>金融</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31,147,120.63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10,693,047.90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19,680,757.73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3,933,126.85</w:t>
            </w: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8" w:right="0"/>
              <w:jc w:val="center"/>
              <w:rPr>
                <w:rFonts w:ascii="宋体" w:hAnsi="宋体" w:cs="宋体" w:eastAsia="宋体" w:hint="default"/>
                <w:sz w:val="18"/>
                <w:szCs w:val="18"/>
              </w:rPr>
            </w:pPr>
            <w:r>
              <w:rPr>
                <w:rFonts w:ascii="宋体" w:hAnsi="宋体" w:cs="宋体" w:eastAsia="宋体" w:hint="default"/>
                <w:sz w:val="18"/>
                <w:szCs w:val="18"/>
              </w:rPr>
              <w:t>能源</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8,202,828.09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3,753,930.62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13,527,736.11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8,147,249.97</w:t>
            </w:r>
          </w:p>
        </w:tc>
      </w:tr>
      <w:tr>
        <w:trPr>
          <w:trHeight w:val="322"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8" w:right="0"/>
              <w:jc w:val="center"/>
              <w:rPr>
                <w:rFonts w:ascii="宋体" w:hAnsi="宋体" w:cs="宋体" w:eastAsia="宋体" w:hint="default"/>
                <w:sz w:val="18"/>
                <w:szCs w:val="18"/>
              </w:rPr>
            </w:pPr>
            <w:r>
              <w:rPr>
                <w:rFonts w:ascii="宋体" w:hAnsi="宋体" w:cs="宋体" w:eastAsia="宋体" w:hint="default"/>
                <w:sz w:val="18"/>
                <w:szCs w:val="18"/>
              </w:rPr>
              <w:t>政府</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6,840,118.27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2,959,423.34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37,662,252.80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12,088,940.71</w:t>
            </w: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26,154,961.59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20,487,962.25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18,676,063.29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3,791,313.34</w:t>
            </w:r>
          </w:p>
        </w:tc>
      </w:tr>
      <w:tr>
        <w:trPr>
          <w:trHeight w:val="324" w:hRule="exact"/>
        </w:trPr>
        <w:tc>
          <w:tcPr>
            <w:tcW w:w="252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8"/>
              <w:ind w:left="24" w:right="-39"/>
              <w:jc w:val="left"/>
              <w:rPr>
                <w:rFonts w:ascii="宋体" w:hAnsi="宋体" w:cs="宋体" w:eastAsia="宋体" w:hint="default"/>
                <w:sz w:val="18"/>
                <w:szCs w:val="18"/>
              </w:rPr>
            </w:pPr>
            <w:r>
              <w:rPr>
                <w:rFonts w:ascii="宋体" w:hAnsi="宋体" w:cs="宋体" w:eastAsia="宋体" w:hint="default"/>
                <w:sz w:val="18"/>
                <w:szCs w:val="18"/>
              </w:rPr>
              <w:t>运维管理业务（系统集成购销）</w:t>
            </w:r>
          </w:p>
        </w:tc>
        <w:tc>
          <w:tcPr>
            <w:tcW w:w="172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135,348,652.51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123,072,024.85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99,855,749.21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94,126,692.65</w:t>
            </w: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互联网运营业务</w:t>
            </w:r>
          </w:p>
        </w:tc>
        <w:tc>
          <w:tcPr>
            <w:tcW w:w="1726"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8" w:right="0"/>
              <w:jc w:val="left"/>
              <w:rPr>
                <w:rFonts w:ascii="宋体" w:hAnsi="宋体" w:cs="宋体" w:eastAsia="宋体" w:hint="default"/>
                <w:sz w:val="18"/>
                <w:szCs w:val="18"/>
              </w:rPr>
            </w:pPr>
            <w:r>
              <w:rPr>
                <w:rFonts w:ascii="宋体" w:hAnsi="宋体" w:cs="宋体" w:eastAsia="宋体" w:hint="default"/>
                <w:sz w:val="18"/>
                <w:szCs w:val="18"/>
              </w:rPr>
              <w:t>其中：飞信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585,973,324.64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125,956,206.24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609,805,598.45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164,509,911.20</w:t>
            </w: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8" w:right="0"/>
              <w:jc w:val="center"/>
              <w:rPr>
                <w:rFonts w:ascii="宋体" w:hAnsi="宋体" w:cs="宋体" w:eastAsia="宋体" w:hint="default"/>
                <w:sz w:val="18"/>
                <w:szCs w:val="18"/>
              </w:rPr>
            </w:pPr>
            <w:r>
              <w:rPr>
                <w:rFonts w:ascii="宋体" w:hAnsi="宋体" w:cs="宋体" w:eastAsia="宋体" w:hint="default"/>
                <w:sz w:val="18"/>
                <w:szCs w:val="18"/>
              </w:rPr>
              <w:t>农网</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100,297,947.98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23,070,430.29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55,637,398.12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13,801,131.42</w:t>
            </w: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17,836,233.02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7,668,188.40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6,360,916.51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278,291.77</w:t>
            </w: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电子商务业务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88,594,028.49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85,744,433.42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276,889.46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156,405.98</w:t>
            </w: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1,391,002,675.09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491,549,677.26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1,145,864,891.90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371,926,091.13</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32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软件产品开发与销售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195,635,411.80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28,826,031.26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182,593,549.12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28,490,062.04</w:t>
            </w:r>
          </w:p>
        </w:tc>
      </w:tr>
      <w:tr>
        <w:trPr>
          <w:trHeight w:val="32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技术服务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847,481,672.47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193,849,825.96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793,426,460.79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196,748,480.39</w:t>
            </w:r>
          </w:p>
        </w:tc>
      </w:tr>
      <w:tr>
        <w:trPr>
          <w:trHeight w:val="322"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系统集成</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259,291,562.33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183,129,386.62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169,567,992.53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146,531,142.72</w:t>
            </w: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电子商务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88,594,028.49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85,744,433.42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276,889.46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156,405.98</w:t>
            </w: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1,391,002,675.09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491,549,677.26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1,145,864,891.90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371,926,091.13</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863"/>
        <w:gridCol w:w="1726"/>
        <w:gridCol w:w="1728"/>
      </w:tblGrid>
      <w:tr>
        <w:trPr>
          <w:trHeight w:val="324"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after="0" w:line="240" w:lineRule="auto"/>
        <w:jc w:val="left"/>
        <w:rPr>
          <w:rFonts w:ascii="宋体" w:hAnsi="宋体" w:cs="宋体" w:eastAsia="宋体" w:hint="default"/>
          <w:sz w:val="18"/>
          <w:szCs w:val="18"/>
        </w:rPr>
        <w:sectPr>
          <w:pgSz w:w="11910" w:h="16840"/>
          <w:pgMar w:header="852" w:footer="980" w:top="1340" w:bottom="1160" w:left="980" w:right="980"/>
        </w:sectPr>
      </w:pP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32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大陆地区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1,391,002,675.09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491,549,677.26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1,145,864,891.90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371,926,091.13</w:t>
            </w: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1,391,002,675.09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491,549,677.26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1,145,864,891.90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371,926,091.13</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595"/>
        <w:gridCol w:w="2850"/>
        <w:gridCol w:w="4126"/>
      </w:tblGrid>
      <w:tr>
        <w:trPr>
          <w:trHeight w:val="322"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324"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中国移动通信集团广东有限公司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614,706,576.41</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43.61%</w:t>
            </w:r>
          </w:p>
        </w:tc>
      </w:tr>
      <w:tr>
        <w:trPr>
          <w:trHeight w:val="324"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中国移动通信集团重庆有限公司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101,629,764.63</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7.21%</w:t>
            </w:r>
          </w:p>
        </w:tc>
      </w:tr>
      <w:tr>
        <w:trPr>
          <w:trHeight w:val="324"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43,869,302.60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2"/>
                <w:sz w:val="18"/>
              </w:rPr>
              <w:t>3.11%</w:t>
            </w:r>
          </w:p>
        </w:tc>
      </w:tr>
      <w:tr>
        <w:trPr>
          <w:trHeight w:val="322"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重庆通信服务公司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39,530,000.00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2.8%</w:t>
            </w:r>
          </w:p>
        </w:tc>
      </w:tr>
      <w:tr>
        <w:trPr>
          <w:trHeight w:val="324"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北京实利通和科技发展有限公司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22,311,101.71</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1.58%</w:t>
            </w:r>
          </w:p>
        </w:tc>
      </w:tr>
      <w:tr>
        <w:trPr>
          <w:trHeight w:val="325"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822,046,745.35</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58.31%</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021"/>
        <w:gridCol w:w="2868"/>
        <w:gridCol w:w="2677"/>
      </w:tblGrid>
      <w:tr>
        <w:trPr>
          <w:trHeight w:val="355" w:hRule="exact"/>
        </w:trPr>
        <w:tc>
          <w:tcPr>
            <w:tcW w:w="4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88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31" w:hRule="exact"/>
        </w:trPr>
        <w:tc>
          <w:tcPr>
            <w:tcW w:w="4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68" w:type="dxa"/>
            <w:tcBorders>
              <w:top w:val="single" w:sz="16" w:space="0" w:color="D2D2D2"/>
              <w:left w:val="single" w:sz="10" w:space="0" w:color="D2D2D2"/>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6,325,546.55</w:t>
            </w:r>
          </w:p>
        </w:tc>
        <w:tc>
          <w:tcPr>
            <w:tcW w:w="2677"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9,454,192.65</w:t>
            </w:r>
          </w:p>
        </w:tc>
      </w:tr>
      <w:tr>
        <w:trPr>
          <w:trHeight w:val="405" w:hRule="exact"/>
        </w:trPr>
        <w:tc>
          <w:tcPr>
            <w:tcW w:w="4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2,549,909.38</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pacing w:val="-1"/>
                <w:sz w:val="18"/>
              </w:rPr>
              <w:t>2,143,896.29</w:t>
            </w:r>
          </w:p>
        </w:tc>
      </w:tr>
      <w:tr>
        <w:trPr>
          <w:trHeight w:val="404" w:hRule="exact"/>
        </w:trPr>
        <w:tc>
          <w:tcPr>
            <w:tcW w:w="4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pacing w:val="-1"/>
                <w:sz w:val="18"/>
              </w:rPr>
              <w:t>1,882,950.89</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18"/>
                <w:szCs w:val="18"/>
              </w:rPr>
            </w:pPr>
            <w:r>
              <w:rPr>
                <w:rFonts w:ascii="Times New Roman"/>
                <w:spacing w:val="-1"/>
                <w:sz w:val="18"/>
              </w:rPr>
              <w:t>1,046,980.74</w:t>
            </w:r>
          </w:p>
        </w:tc>
      </w:tr>
      <w:tr>
        <w:trPr>
          <w:trHeight w:val="409" w:hRule="exact"/>
        </w:trPr>
        <w:tc>
          <w:tcPr>
            <w:tcW w:w="4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1,538,734.16</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Times New Roman" w:hAnsi="Times New Roman" w:cs="Times New Roman" w:eastAsia="Times New Roman" w:hint="default"/>
                <w:sz w:val="18"/>
                <w:szCs w:val="18"/>
              </w:rPr>
            </w:pPr>
            <w:r>
              <w:rPr>
                <w:rFonts w:ascii="Times New Roman"/>
                <w:spacing w:val="-1"/>
                <w:sz w:val="18"/>
              </w:rPr>
              <w:t>1,426,505.98</w:t>
            </w:r>
          </w:p>
        </w:tc>
      </w:tr>
      <w:tr>
        <w:trPr>
          <w:trHeight w:val="413" w:hRule="exact"/>
        </w:trPr>
        <w:tc>
          <w:tcPr>
            <w:tcW w:w="4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10,670.33</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10,189.33</w:t>
            </w:r>
          </w:p>
        </w:tc>
      </w:tr>
      <w:tr>
        <w:trPr>
          <w:trHeight w:val="389" w:hRule="exact"/>
        </w:trPr>
        <w:tc>
          <w:tcPr>
            <w:tcW w:w="4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12,307,811.31</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14,081,764.99</w:t>
            </w:r>
          </w:p>
        </w:tc>
      </w:tr>
    </w:tbl>
    <w:p>
      <w:pPr>
        <w:spacing w:line="240" w:lineRule="auto" w:before="1"/>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53,316,574.46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48,917,433.53</w:t>
            </w:r>
          </w:p>
        </w:tc>
      </w:tr>
      <w:tr>
        <w:trPr>
          <w:trHeight w:val="3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314,700.71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351,420.37</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7,698,846.26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5,666,967.00</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4,347,102.06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4,081,507.88</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运输费、汽车车辆使用费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1,776,993.07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1,306,645.32</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商检费、测试费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240,042.00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96"/>
              <w:jc w:val="left"/>
              <w:rPr>
                <w:rFonts w:ascii="宋体" w:hAnsi="宋体" w:cs="宋体" w:eastAsia="宋体" w:hint="default"/>
                <w:sz w:val="18"/>
                <w:szCs w:val="18"/>
              </w:rPr>
            </w:pPr>
            <w:r>
              <w:rPr>
                <w:rFonts w:ascii="宋体" w:hAnsi="宋体" w:cs="宋体" w:eastAsia="宋体" w:hint="default"/>
                <w:sz w:val="18"/>
                <w:szCs w:val="18"/>
              </w:rPr>
              <w:t>广告费、展览费、宣传费、样品、样件 拍摄费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2,497,000.63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7,351,470.34</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租赁费、仓储费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3,101,168.17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815,049.54</w:t>
            </w:r>
          </w:p>
        </w:tc>
      </w:tr>
      <w:tr>
        <w:trPr>
          <w:trHeight w:val="29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办公费、电信费、水电费、通讯费、会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6,800,463.75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6,490,408.12</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40" w:bottom="1160" w:left="980" w:right="980"/>
        </w:sectPr>
      </w:pP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28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务费、董事会费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修理费、维修费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99,543.00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预计质保费用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3,012,423.93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676,222.91</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1,532,062.39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915,636.21</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84,736,920.43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76,572,761.22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270,410,899.20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239,960,395.15</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20,813,868.05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16,302,341.55</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7,422,971.40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2,974,672.31</w:t>
            </w: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96"/>
              <w:jc w:val="left"/>
              <w:rPr>
                <w:rFonts w:ascii="宋体" w:hAnsi="宋体" w:cs="宋体" w:eastAsia="宋体" w:hint="default"/>
                <w:sz w:val="18"/>
                <w:szCs w:val="18"/>
              </w:rPr>
            </w:pPr>
            <w:r>
              <w:rPr>
                <w:rFonts w:ascii="宋体" w:hAnsi="宋体" w:cs="宋体" w:eastAsia="宋体" w:hint="default"/>
                <w:sz w:val="18"/>
                <w:szCs w:val="18"/>
              </w:rPr>
              <w:t>办公费、电信费、水电费、通讯费、会 务费、董事会费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18,826,334.05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18,829,644.92</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14,399,375.56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10,433,579.13</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运输费、汽车车辆使用费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3,796,175.53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3,785,975.43</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1,901,067.17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1,666,504.35</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劳动保护费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93,081.00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31,500.00</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租赁费、仓储费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11,617,727.87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10,177,492.52</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188,113.13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949,214.50</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8,644,122.50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5,441,889.24</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修理费、维修费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318,125.79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44,426.29</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150,428.90</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咨询及服务费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12,869,568.17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15,610,237.34</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8,022,067.54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3,875,105.72</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3,289,000.57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2,303,547.87</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5,443,754.20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21,963,990.80</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专项研发费用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36,108,802.12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9,361,604.28</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5,688,513.46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7,407,511.60</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429,853,567.31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371,270,061.90</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w w:val="95"/>
                <w:sz w:val="18"/>
              </w:rPr>
              <w:t>56,311.50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127,870.87</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-29,777,824.22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-28,672,938.49</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185,297.75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183,289.91</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-29,536,214.97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-28,361,777.71</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40" w:bottom="1160" w:left="980" w:right="980"/>
        </w:sectPr>
      </w:pPr>
    </w:p>
    <w:p>
      <w:pPr>
        <w:pStyle w:val="Heading3"/>
        <w:spacing w:line="240" w:lineRule="auto" w:before="59"/>
        <w:ind w:right="0"/>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324"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其中：衍生金融工具产生的公允价值变动收益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按公允价值计量的投资性房地产</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324"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10,273,998.67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29,819,673.99</w:t>
            </w:r>
          </w:p>
        </w:tc>
      </w:tr>
      <w:tr>
        <w:trPr>
          <w:trHeight w:val="324"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10,273,998.67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29,819,673.99</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929"/>
        <w:gridCol w:w="1992"/>
        <w:gridCol w:w="1728"/>
        <w:gridCol w:w="2921"/>
      </w:tblGrid>
      <w:tr>
        <w:trPr>
          <w:trHeight w:val="324"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324"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大连华信计算机技术股份有限公司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15,429,532.62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32,453,387.84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北京盈海益讯科技发展有限公司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-515,072.60</w:t>
            </w:r>
          </w:p>
        </w:tc>
        <w:tc>
          <w:tcPr>
            <w:tcW w:w="1728"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神州泰岳顶策科技（北京）有限公司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-1,327,689.93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-2,498,461.24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北京华泰德丰技术有限公司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-3,312,771.42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-135,252.61</w:t>
            </w:r>
          </w:p>
        </w:tc>
        <w:tc>
          <w:tcPr>
            <w:tcW w:w="2921" w:type="dxa"/>
            <w:tcBorders>
              <w:top w:val="single" w:sz="4" w:space="0" w:color="000000"/>
              <w:left w:val="single" w:sz="4" w:space="0" w:color="000000"/>
              <w:bottom w:val="single" w:sz="6" w:space="0" w:color="D2D2D2"/>
              <w:right w:val="single" w:sz="4" w:space="0" w:color="000000"/>
            </w:tcBorders>
          </w:tcPr>
          <w:p>
            <w:pPr/>
          </w:p>
        </w:tc>
      </w:tr>
      <w:tr>
        <w:trPr>
          <w:trHeight w:val="324"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10,273,998.67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29,819,673.99</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32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16,744,702.99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16,842,223.30</w:t>
            </w:r>
          </w:p>
        </w:tc>
      </w:tr>
      <w:tr>
        <w:trPr>
          <w:trHeight w:val="324"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7" w:type="dxa"/>
            <w:tcBorders>
              <w:top w:val="single" w:sz="4" w:space="0" w:color="000000"/>
              <w:left w:val="single" w:sz="10" w:space="0" w:color="D2D2D2"/>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196,330.80</w:t>
            </w:r>
          </w:p>
        </w:tc>
      </w:tr>
      <w:tr>
        <w:trPr>
          <w:trHeight w:val="324"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16,744,702.99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17,038,554.10</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852" w:footer="980" w:top="1340" w:bottom="1160" w:left="980" w:right="980"/>
        </w:sectPr>
      </w:pPr>
    </w:p>
    <w:p>
      <w:pPr>
        <w:spacing w:line="240" w:lineRule="auto" w:before="8"/>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440"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4" w:lineRule="exact"/>
              <w:ind w:left="1" w:right="0"/>
              <w:jc w:val="center"/>
              <w:rPr>
                <w:rFonts w:ascii="宋体" w:hAnsi="宋体" w:cs="宋体" w:eastAsia="宋体" w:hint="default"/>
                <w:sz w:val="18"/>
                <w:szCs w:val="18"/>
              </w:rPr>
            </w:pPr>
            <w:r>
              <w:rPr>
                <w:rFonts w:ascii="宋体" w:hAnsi="宋体" w:cs="宋体" w:eastAsia="宋体" w:hint="default"/>
                <w:sz w:val="18"/>
                <w:szCs w:val="18"/>
              </w:rPr>
              <w:t>计入当期非经常性损益的</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8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7" w:space="0" w:color="D2D2D2"/>
              <w:left w:val="single" w:sz="9" w:space="0" w:color="D2D2D2"/>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77,148.49</w:t>
            </w:r>
          </w:p>
        </w:tc>
        <w:tc>
          <w:tcPr>
            <w:tcW w:w="2160" w:type="dxa"/>
            <w:tcBorders>
              <w:top w:val="single" w:sz="47" w:space="0" w:color="D2D2D2"/>
              <w:left w:val="single" w:sz="4" w:space="0" w:color="000000"/>
              <w:bottom w:val="single" w:sz="4" w:space="0" w:color="000000"/>
              <w:right w:val="single" w:sz="10" w:space="0" w:color="D2D2D2"/>
            </w:tcBorders>
          </w:tcPr>
          <w:p>
            <w:pPr/>
          </w:p>
        </w:tc>
        <w:tc>
          <w:tcPr>
            <w:tcW w:w="2161"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06"/>
              <w:ind w:right="7"/>
              <w:jc w:val="right"/>
              <w:rPr>
                <w:rFonts w:ascii="Times New Roman" w:hAnsi="Times New Roman" w:cs="Times New Roman" w:eastAsia="Times New Roman" w:hint="default"/>
                <w:sz w:val="18"/>
                <w:szCs w:val="18"/>
              </w:rPr>
            </w:pPr>
            <w:r>
              <w:rPr>
                <w:rFonts w:ascii="Times New Roman"/>
                <w:spacing w:val="-1"/>
                <w:sz w:val="18"/>
              </w:rPr>
              <w:t>77,148.49</w:t>
            </w:r>
          </w:p>
        </w:tc>
      </w:tr>
      <w:tr>
        <w:trPr>
          <w:trHeight w:val="324"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77,148.49</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77,148.49</w:t>
            </w:r>
          </w:p>
        </w:tc>
      </w:tr>
      <w:tr>
        <w:trPr>
          <w:trHeight w:val="322"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35,040,519.14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24,916,133.66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18,633,861.04</w:t>
            </w:r>
          </w:p>
        </w:tc>
      </w:tr>
      <w:tr>
        <w:trPr>
          <w:trHeight w:val="324"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294,978.92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123,464.69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294,978.92</w:t>
            </w:r>
          </w:p>
        </w:tc>
      </w:tr>
      <w:tr>
        <w:trPr>
          <w:trHeight w:val="324"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35,412,646.55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25,039,598.35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19,005,988.45</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324"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收到增值税返还</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16,406,658.10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13,966,707.66</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104"/>
              <w:jc w:val="left"/>
              <w:rPr>
                <w:rFonts w:ascii="宋体" w:hAnsi="宋体" w:cs="宋体" w:eastAsia="宋体" w:hint="default"/>
                <w:sz w:val="18"/>
                <w:szCs w:val="18"/>
              </w:rPr>
            </w:pPr>
            <w:r>
              <w:rPr>
                <w:rFonts w:ascii="宋体" w:hAnsi="宋体" w:cs="宋体" w:eastAsia="宋体" w:hint="default"/>
                <w:sz w:val="18"/>
                <w:szCs w:val="18"/>
              </w:rPr>
              <w:t>收到的其他与收益相关的政府补 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18,633,861.04</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10,949,426.00</w:t>
            </w:r>
          </w:p>
        </w:tc>
        <w:tc>
          <w:tcPr>
            <w:tcW w:w="2921" w:type="dxa"/>
            <w:tcBorders>
              <w:top w:val="single" w:sz="4" w:space="0" w:color="000000"/>
              <w:left w:val="single" w:sz="4" w:space="0" w:color="000000"/>
              <w:bottom w:val="single" w:sz="10" w:space="0" w:color="D2D2D2"/>
              <w:right w:val="single" w:sz="4" w:space="0" w:color="000000"/>
            </w:tcBorders>
          </w:tcPr>
          <w:p>
            <w:pPr/>
          </w:p>
        </w:tc>
      </w:tr>
      <w:tr>
        <w:trPr>
          <w:trHeight w:val="324"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35,040,519.14</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24,916,133.66</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Heading3"/>
        <w:spacing w:line="240" w:lineRule="auto" w:before="86"/>
        <w:ind w:left="873" w:right="0"/>
        <w:jc w:val="left"/>
        <w:rPr>
          <w:b w:val="0"/>
          <w:bCs w:val="0"/>
        </w:rPr>
      </w:pPr>
      <w:r>
        <w:rPr>
          <w:rFonts w:ascii="Times New Roman" w:hAnsi="Times New Roman" w:cs="Times New Roman" w:eastAsia="Times New Roman" w:hint="default"/>
        </w:rPr>
        <w:t>2012</w:t>
      </w:r>
      <w:r>
        <w:rPr/>
        <w:t>年度计入递延收益的政府补助</w:t>
      </w:r>
      <w:r>
        <w:rPr>
          <w:b w:val="0"/>
          <w:bCs w:val="0"/>
        </w:rPr>
      </w:r>
    </w:p>
    <w:p>
      <w:pPr>
        <w:spacing w:line="240" w:lineRule="auto" w:before="10"/>
        <w:rPr>
          <w:rFonts w:ascii="宋体" w:hAnsi="宋体" w:cs="宋体" w:eastAsia="宋体" w:hint="default"/>
          <w:b/>
          <w:bCs/>
          <w:sz w:val="11"/>
          <w:szCs w:val="11"/>
        </w:rPr>
      </w:pPr>
    </w:p>
    <w:tbl>
      <w:tblPr>
        <w:tblW w:w="0" w:type="auto"/>
        <w:jc w:val="left"/>
        <w:tblInd w:w="140" w:type="dxa"/>
        <w:tblLayout w:type="fixed"/>
        <w:tblCellMar>
          <w:top w:w="0" w:type="dxa"/>
          <w:left w:w="0" w:type="dxa"/>
          <w:bottom w:w="0" w:type="dxa"/>
          <w:right w:w="0" w:type="dxa"/>
        </w:tblCellMar>
        <w:tblLook w:val="01E0"/>
      </w:tblPr>
      <w:tblGrid>
        <w:gridCol w:w="3128"/>
        <w:gridCol w:w="1714"/>
        <w:gridCol w:w="1524"/>
        <w:gridCol w:w="1757"/>
        <w:gridCol w:w="1524"/>
      </w:tblGrid>
      <w:tr>
        <w:trPr>
          <w:trHeight w:val="494"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49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396" w:right="0"/>
              <w:jc w:val="left"/>
              <w:rPr>
                <w:rFonts w:ascii="宋体" w:hAnsi="宋体" w:cs="宋体" w:eastAsia="宋体" w:hint="default"/>
                <w:sz w:val="18"/>
                <w:szCs w:val="18"/>
              </w:rPr>
            </w:pPr>
            <w:r>
              <w:rPr>
                <w:rFonts w:ascii="宋体" w:hAnsi="宋体" w:cs="宋体" w:eastAsia="宋体" w:hint="default"/>
                <w:sz w:val="18"/>
                <w:szCs w:val="18"/>
              </w:rPr>
              <w:t>当期增加</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513" w:right="0"/>
              <w:jc w:val="left"/>
              <w:rPr>
                <w:rFonts w:ascii="宋体" w:hAnsi="宋体" w:cs="宋体" w:eastAsia="宋体" w:hint="default"/>
                <w:sz w:val="18"/>
                <w:szCs w:val="18"/>
              </w:rPr>
            </w:pPr>
            <w:r>
              <w:rPr>
                <w:rFonts w:ascii="宋体" w:hAnsi="宋体" w:cs="宋体" w:eastAsia="宋体" w:hint="default"/>
                <w:sz w:val="18"/>
                <w:szCs w:val="18"/>
              </w:rPr>
              <w:t>当期减少</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3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94"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
              <w:ind w:left="103" w:right="94"/>
              <w:jc w:val="both"/>
              <w:rPr>
                <w:rFonts w:ascii="宋体" w:hAnsi="宋体" w:cs="宋体" w:eastAsia="宋体" w:hint="default"/>
                <w:sz w:val="18"/>
                <w:szCs w:val="18"/>
              </w:rPr>
            </w:pPr>
            <w:r>
              <w:rPr>
                <w:rFonts w:ascii="宋体" w:hAnsi="宋体" w:cs="宋体" w:eastAsia="宋体" w:hint="default"/>
                <w:sz w:val="18"/>
                <w:szCs w:val="18"/>
              </w:rPr>
              <w:t>面向中小微企业、社会公众和三农用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户的多终端无缝集成综合通信服务产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业化</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10,000,000.00</w:t>
            </w:r>
          </w:p>
        </w:tc>
        <w:tc>
          <w:tcPr>
            <w:tcW w:w="1524"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4,848,512.43</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5,151,487.57</w:t>
            </w:r>
          </w:p>
        </w:tc>
      </w:tr>
      <w:tr>
        <w:trPr>
          <w:trHeight w:val="32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电动汽车智能交互系统研制及产业化</w:t>
            </w:r>
          </w:p>
        </w:tc>
        <w:tc>
          <w:tcPr>
            <w:tcW w:w="1714"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Times New Roman" w:hAnsi="Times New Roman" w:cs="Times New Roman" w:eastAsia="Times New Roman" w:hint="default"/>
                <w:sz w:val="18"/>
                <w:szCs w:val="18"/>
              </w:rPr>
            </w:pPr>
            <w:r>
              <w:rPr>
                <w:rFonts w:ascii="Times New Roman"/>
                <w:spacing w:val="-1"/>
                <w:sz w:val="18"/>
              </w:rPr>
              <w:t>2,788,900.00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Times New Roman" w:hAnsi="Times New Roman" w:cs="Times New Roman" w:eastAsia="Times New Roman" w:hint="default"/>
                <w:sz w:val="18"/>
                <w:szCs w:val="18"/>
              </w:rPr>
            </w:pPr>
            <w:r>
              <w:rPr>
                <w:rFonts w:ascii="Times New Roman"/>
                <w:spacing w:val="-1"/>
                <w:sz w:val="18"/>
              </w:rPr>
              <w:t>255,400.00</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Times New Roman" w:hAnsi="Times New Roman" w:cs="Times New Roman" w:eastAsia="Times New Roman" w:hint="default"/>
                <w:sz w:val="18"/>
                <w:szCs w:val="18"/>
              </w:rPr>
            </w:pPr>
            <w:r>
              <w:rPr>
                <w:rFonts w:ascii="Times New Roman"/>
                <w:spacing w:val="-1"/>
                <w:sz w:val="18"/>
              </w:rPr>
              <w:t>2,533,500.00</w:t>
            </w:r>
          </w:p>
        </w:tc>
      </w:tr>
      <w:tr>
        <w:trPr>
          <w:trHeight w:val="562"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31"/>
              <w:ind w:left="103" w:right="92"/>
              <w:jc w:val="left"/>
              <w:rPr>
                <w:rFonts w:ascii="宋体" w:hAnsi="宋体" w:cs="宋体" w:eastAsia="宋体" w:hint="default"/>
                <w:sz w:val="18"/>
                <w:szCs w:val="18"/>
              </w:rPr>
            </w:pPr>
            <w:r>
              <w:rPr>
                <w:rFonts w:ascii="Times New Roman" w:hAnsi="Times New Roman" w:cs="Times New Roman" w:eastAsia="Times New Roman" w:hint="default"/>
                <w:sz w:val="18"/>
                <w:szCs w:val="18"/>
              </w:rPr>
              <w:t>TD-SCDMA</w:t>
            </w:r>
            <w:r>
              <w:rPr>
                <w:rFonts w:ascii="Times New Roman" w:hAnsi="Times New Roman" w:cs="Times New Roman" w:eastAsia="Times New Roman" w:hint="default"/>
                <w:spacing w:val="10"/>
                <w:sz w:val="18"/>
                <w:szCs w:val="18"/>
              </w:rPr>
              <w:t> </w:t>
            </w:r>
            <w:r>
              <w:rPr>
                <w:rFonts w:ascii="宋体" w:hAnsi="宋体" w:cs="宋体" w:eastAsia="宋体" w:hint="default"/>
                <w:spacing w:val="7"/>
                <w:sz w:val="18"/>
                <w:szCs w:val="18"/>
              </w:rPr>
              <w:t>农村信息化应用方案开 </w:t>
            </w:r>
            <w:r>
              <w:rPr>
                <w:rFonts w:ascii="宋体" w:hAnsi="宋体" w:cs="宋体" w:eastAsia="宋体" w:hint="default"/>
                <w:sz w:val="18"/>
                <w:szCs w:val="18"/>
              </w:rPr>
              <w:t>发及示范验证项目</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1,444,000.00</w:t>
            </w:r>
          </w:p>
        </w:tc>
        <w:tc>
          <w:tcPr>
            <w:tcW w:w="1524"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1,444,000.00</w:t>
            </w:r>
          </w:p>
        </w:tc>
      </w:tr>
      <w:tr>
        <w:trPr>
          <w:trHeight w:val="562"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3"/>
              <w:ind w:left="103" w:right="94"/>
              <w:jc w:val="left"/>
              <w:rPr>
                <w:rFonts w:ascii="宋体" w:hAnsi="宋体" w:cs="宋体" w:eastAsia="宋体" w:hint="default"/>
                <w:sz w:val="18"/>
                <w:szCs w:val="18"/>
              </w:rPr>
            </w:pPr>
            <w:r>
              <w:rPr>
                <w:rFonts w:ascii="宋体" w:hAnsi="宋体" w:cs="宋体" w:eastAsia="宋体" w:hint="default"/>
                <w:sz w:val="18"/>
                <w:szCs w:val="18"/>
              </w:rPr>
              <w:t>信息系统（金融）运行维护支持系统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研发及产业化</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5,000,000.00</w:t>
            </w:r>
          </w:p>
        </w:tc>
        <w:tc>
          <w:tcPr>
            <w:tcW w:w="1524"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3,924,241.58</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1,075,758.42</w:t>
            </w:r>
          </w:p>
        </w:tc>
      </w:tr>
      <w:tr>
        <w:trPr>
          <w:trHeight w:val="562"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5"/>
              <w:ind w:left="103" w:right="102"/>
              <w:jc w:val="left"/>
              <w:rPr>
                <w:rFonts w:ascii="宋体" w:hAnsi="宋体" w:cs="宋体" w:eastAsia="宋体" w:hint="default"/>
                <w:sz w:val="18"/>
                <w:szCs w:val="18"/>
              </w:rPr>
            </w:pPr>
            <w:r>
              <w:rPr>
                <w:rFonts w:ascii="宋体" w:hAnsi="宋体" w:cs="宋体" w:eastAsia="宋体" w:hint="default"/>
                <w:spacing w:val="13"/>
                <w:sz w:val="18"/>
                <w:szCs w:val="18"/>
              </w:rPr>
              <w:t>《移动智能终端的测试认证系统研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发》专项课题</w:t>
            </w:r>
          </w:p>
        </w:tc>
        <w:tc>
          <w:tcPr>
            <w:tcW w:w="1714"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888,700.00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399,468.22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489,231.78</w:t>
            </w:r>
          </w:p>
        </w:tc>
      </w:tr>
      <w:tr>
        <w:trPr>
          <w:trHeight w:val="564"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5"/>
              <w:ind w:left="103" w:right="94"/>
              <w:jc w:val="left"/>
              <w:rPr>
                <w:rFonts w:ascii="宋体" w:hAnsi="宋体" w:cs="宋体" w:eastAsia="宋体" w:hint="default"/>
                <w:sz w:val="18"/>
                <w:szCs w:val="18"/>
              </w:rPr>
            </w:pPr>
            <w:r>
              <w:rPr>
                <w:rFonts w:ascii="宋体" w:hAnsi="宋体" w:cs="宋体" w:eastAsia="宋体" w:hint="default"/>
                <w:sz w:val="18"/>
                <w:szCs w:val="18"/>
              </w:rPr>
              <w:t>重庆农信涉及信息垂直搜索引擎云平</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台升级改造</w:t>
            </w:r>
          </w:p>
        </w:tc>
        <w:tc>
          <w:tcPr>
            <w:tcW w:w="1714"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920,000.00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494,873.91</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425,126.09</w:t>
            </w:r>
          </w:p>
        </w:tc>
      </w:tr>
      <w:tr>
        <w:trPr>
          <w:trHeight w:val="674"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固定资产装修补贴</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300,000.00</w:t>
            </w:r>
          </w:p>
        </w:tc>
        <w:tc>
          <w:tcPr>
            <w:tcW w:w="1524"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15,000.00</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285,000.00</w:t>
            </w:r>
          </w:p>
        </w:tc>
      </w:tr>
      <w:tr>
        <w:trPr>
          <w:trHeight w:val="456"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面向电信领域的大型商业智能软件</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6"/>
              <w:jc w:val="right"/>
              <w:rPr>
                <w:rFonts w:ascii="Times New Roman" w:hAnsi="Times New Roman" w:cs="Times New Roman" w:eastAsia="Times New Roman" w:hint="default"/>
                <w:sz w:val="18"/>
                <w:szCs w:val="18"/>
              </w:rPr>
            </w:pPr>
            <w:r>
              <w:rPr>
                <w:rFonts w:ascii="Times New Roman"/>
                <w:spacing w:val="-1"/>
                <w:sz w:val="18"/>
              </w:rPr>
              <w:t>282,601.47</w:t>
            </w:r>
          </w:p>
        </w:tc>
        <w:tc>
          <w:tcPr>
            <w:tcW w:w="1524"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6"/>
              <w:jc w:val="right"/>
              <w:rPr>
                <w:rFonts w:ascii="Times New Roman" w:hAnsi="Times New Roman" w:cs="Times New Roman" w:eastAsia="Times New Roman" w:hint="default"/>
                <w:sz w:val="18"/>
                <w:szCs w:val="18"/>
              </w:rPr>
            </w:pPr>
            <w:r>
              <w:rPr>
                <w:rFonts w:ascii="Times New Roman"/>
                <w:spacing w:val="-1"/>
                <w:sz w:val="18"/>
              </w:rPr>
              <w:t>282,601.47</w:t>
            </w:r>
          </w:p>
        </w:tc>
        <w:tc>
          <w:tcPr>
            <w:tcW w:w="1524"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2"/>
              <w:ind w:left="103" w:right="94"/>
              <w:jc w:val="left"/>
              <w:rPr>
                <w:rFonts w:ascii="宋体" w:hAnsi="宋体" w:cs="宋体" w:eastAsia="宋体" w:hint="default"/>
                <w:sz w:val="18"/>
                <w:szCs w:val="18"/>
              </w:rPr>
            </w:pPr>
            <w:r>
              <w:rPr>
                <w:rFonts w:ascii="宋体" w:hAnsi="宋体" w:cs="宋体" w:eastAsia="宋体" w:hint="default"/>
                <w:sz w:val="18"/>
                <w:szCs w:val="18"/>
              </w:rPr>
              <w:t>信息网络业务端到端质量诊断与响应</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时间测量系统</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1,450,493.43</w:t>
            </w:r>
          </w:p>
        </w:tc>
        <w:tc>
          <w:tcPr>
            <w:tcW w:w="1524"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1,450,493.43</w:t>
            </w:r>
          </w:p>
        </w:tc>
        <w:tc>
          <w:tcPr>
            <w:tcW w:w="1524"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6"/>
              <w:ind w:left="103" w:right="94"/>
              <w:jc w:val="left"/>
              <w:rPr>
                <w:rFonts w:ascii="宋体" w:hAnsi="宋体" w:cs="宋体" w:eastAsia="宋体" w:hint="default"/>
                <w:sz w:val="18"/>
                <w:szCs w:val="18"/>
              </w:rPr>
            </w:pPr>
            <w:r>
              <w:rPr>
                <w:rFonts w:ascii="宋体" w:hAnsi="宋体" w:cs="宋体" w:eastAsia="宋体" w:hint="default"/>
                <w:sz w:val="18"/>
                <w:szCs w:val="18"/>
              </w:rPr>
              <w:t>新一代宽带无线移动通信网科技重大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专项</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550,000.00</w:t>
            </w:r>
          </w:p>
        </w:tc>
        <w:tc>
          <w:tcPr>
            <w:tcW w:w="1524"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550,000.00</w:t>
            </w:r>
          </w:p>
        </w:tc>
        <w:tc>
          <w:tcPr>
            <w:tcW w:w="1524" w:type="dxa"/>
            <w:tcBorders>
              <w:top w:val="single" w:sz="6" w:space="0" w:color="000000"/>
              <w:left w:val="single" w:sz="6" w:space="0" w:color="000000"/>
              <w:bottom w:val="single" w:sz="6" w:space="0" w:color="000000"/>
              <w:right w:val="single" w:sz="6" w:space="0" w:color="000000"/>
            </w:tcBorders>
          </w:tcPr>
          <w:p>
            <w:pPr/>
          </w:p>
        </w:tc>
      </w:tr>
      <w:tr>
        <w:trPr>
          <w:trHeight w:val="516"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分布式安全管理系统的研发与应用</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6"/>
              <w:jc w:val="right"/>
              <w:rPr>
                <w:rFonts w:ascii="Times New Roman" w:hAnsi="Times New Roman" w:cs="Times New Roman" w:eastAsia="Times New Roman" w:hint="default"/>
                <w:sz w:val="18"/>
                <w:szCs w:val="18"/>
              </w:rPr>
            </w:pPr>
            <w:r>
              <w:rPr>
                <w:rFonts w:ascii="Times New Roman"/>
                <w:spacing w:val="-1"/>
                <w:sz w:val="18"/>
              </w:rPr>
              <w:t>1,470,000.00</w:t>
            </w:r>
          </w:p>
        </w:tc>
        <w:tc>
          <w:tcPr>
            <w:tcW w:w="1524"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6"/>
              <w:jc w:val="right"/>
              <w:rPr>
                <w:rFonts w:ascii="Times New Roman" w:hAnsi="Times New Roman" w:cs="Times New Roman" w:eastAsia="Times New Roman" w:hint="default"/>
                <w:sz w:val="18"/>
                <w:szCs w:val="18"/>
              </w:rPr>
            </w:pPr>
            <w:r>
              <w:rPr>
                <w:rFonts w:ascii="Times New Roman"/>
                <w:spacing w:val="-1"/>
                <w:sz w:val="18"/>
              </w:rPr>
              <w:t>1,470,000.00</w:t>
            </w:r>
          </w:p>
        </w:tc>
        <w:tc>
          <w:tcPr>
            <w:tcW w:w="1524"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2"/>
              <w:ind w:left="103" w:right="94"/>
              <w:jc w:val="left"/>
              <w:rPr>
                <w:rFonts w:ascii="宋体" w:hAnsi="宋体" w:cs="宋体" w:eastAsia="宋体" w:hint="default"/>
                <w:sz w:val="18"/>
                <w:szCs w:val="18"/>
              </w:rPr>
            </w:pPr>
            <w:r>
              <w:rPr>
                <w:rFonts w:ascii="宋体" w:hAnsi="宋体" w:cs="宋体" w:eastAsia="宋体" w:hint="default"/>
                <w:sz w:val="18"/>
                <w:szCs w:val="18"/>
              </w:rPr>
              <w:t>广域环境中超大规模自同步无线网络</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系统研究及示范推广</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2,610,000.00</w:t>
            </w:r>
          </w:p>
        </w:tc>
        <w:tc>
          <w:tcPr>
            <w:tcW w:w="1524"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2,610,000.00</w:t>
            </w:r>
          </w:p>
        </w:tc>
        <w:tc>
          <w:tcPr>
            <w:tcW w:w="1524"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3"/>
              <w:ind w:left="103" w:right="94"/>
              <w:jc w:val="left"/>
              <w:rPr>
                <w:rFonts w:ascii="宋体" w:hAnsi="宋体" w:cs="宋体" w:eastAsia="宋体" w:hint="default"/>
                <w:sz w:val="18"/>
                <w:szCs w:val="18"/>
              </w:rPr>
            </w:pPr>
            <w:r>
              <w:rPr>
                <w:rFonts w:ascii="宋体" w:hAnsi="宋体" w:cs="宋体" w:eastAsia="宋体" w:hint="default"/>
                <w:spacing w:val="2"/>
                <w:sz w:val="18"/>
                <w:szCs w:val="18"/>
              </w:rPr>
              <w:t>中关村开放实验室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年度专项补</w:t>
            </w:r>
            <w:r>
              <w:rPr>
                <w:rFonts w:ascii="宋体" w:hAnsi="宋体" w:cs="宋体" w:eastAsia="宋体" w:hint="default"/>
                <w:spacing w:val="2"/>
                <w:sz w:val="18"/>
                <w:szCs w:val="18"/>
              </w:rPr>
              <w:t> </w:t>
            </w:r>
            <w:r>
              <w:rPr>
                <w:rFonts w:ascii="宋体" w:hAnsi="宋体" w:cs="宋体" w:eastAsia="宋体" w:hint="default"/>
                <w:sz w:val="18"/>
                <w:szCs w:val="18"/>
              </w:rPr>
              <w:t>助款</w:t>
            </w:r>
          </w:p>
        </w:tc>
        <w:tc>
          <w:tcPr>
            <w:tcW w:w="1714"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100,000.00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100,000.00</w:t>
            </w:r>
          </w:p>
        </w:tc>
        <w:tc>
          <w:tcPr>
            <w:tcW w:w="1524" w:type="dxa"/>
            <w:tcBorders>
              <w:top w:val="single" w:sz="6" w:space="0" w:color="000000"/>
              <w:left w:val="single" w:sz="6" w:space="0" w:color="000000"/>
              <w:bottom w:val="single" w:sz="6" w:space="0" w:color="000000"/>
              <w:right w:val="single" w:sz="6" w:space="0" w:color="000000"/>
            </w:tcBorders>
          </w:tcPr>
          <w:p>
            <w:pPr/>
          </w:p>
        </w:tc>
      </w:tr>
      <w:tr>
        <w:trPr>
          <w:trHeight w:val="516"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中关村管委会十百千工程</w:t>
            </w:r>
          </w:p>
        </w:tc>
        <w:tc>
          <w:tcPr>
            <w:tcW w:w="1714"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6"/>
              <w:jc w:val="right"/>
              <w:rPr>
                <w:rFonts w:ascii="Times New Roman" w:hAnsi="Times New Roman" w:cs="Times New Roman" w:eastAsia="Times New Roman" w:hint="default"/>
                <w:sz w:val="18"/>
                <w:szCs w:val="18"/>
              </w:rPr>
            </w:pPr>
            <w:r>
              <w:rPr>
                <w:rFonts w:ascii="Times New Roman"/>
                <w:spacing w:val="-1"/>
                <w:sz w:val="18"/>
              </w:rPr>
              <w:t>600,000.00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6"/>
              <w:jc w:val="right"/>
              <w:rPr>
                <w:rFonts w:ascii="Times New Roman" w:hAnsi="Times New Roman" w:cs="Times New Roman" w:eastAsia="Times New Roman" w:hint="default"/>
                <w:sz w:val="18"/>
                <w:szCs w:val="18"/>
              </w:rPr>
            </w:pPr>
            <w:r>
              <w:rPr>
                <w:rFonts w:ascii="Times New Roman"/>
                <w:spacing w:val="-1"/>
                <w:sz w:val="18"/>
              </w:rPr>
              <w:t>600,000.00</w:t>
            </w:r>
          </w:p>
        </w:tc>
        <w:tc>
          <w:tcPr>
            <w:tcW w:w="152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52" w:footer="980" w:top="1340" w:bottom="1160" w:left="980" w:right="980"/>
        </w:sectPr>
      </w:pPr>
    </w:p>
    <w:p>
      <w:pPr>
        <w:spacing w:line="240" w:lineRule="auto" w:before="2"/>
        <w:rPr>
          <w:rFonts w:ascii="宋体" w:hAnsi="宋体" w:cs="宋体" w:eastAsia="宋体" w:hint="default"/>
          <w:b/>
          <w:bCs/>
          <w:sz w:val="7"/>
          <w:szCs w:val="7"/>
        </w:rPr>
      </w:pPr>
    </w:p>
    <w:tbl>
      <w:tblPr>
        <w:tblW w:w="0" w:type="auto"/>
        <w:jc w:val="left"/>
        <w:tblInd w:w="140" w:type="dxa"/>
        <w:tblLayout w:type="fixed"/>
        <w:tblCellMar>
          <w:top w:w="0" w:type="dxa"/>
          <w:left w:w="0" w:type="dxa"/>
          <w:bottom w:w="0" w:type="dxa"/>
          <w:right w:w="0" w:type="dxa"/>
        </w:tblCellMar>
        <w:tblLook w:val="01E0"/>
      </w:tblPr>
      <w:tblGrid>
        <w:gridCol w:w="3128"/>
        <w:gridCol w:w="1714"/>
        <w:gridCol w:w="1524"/>
        <w:gridCol w:w="1757"/>
        <w:gridCol w:w="1524"/>
      </w:tblGrid>
      <w:tr>
        <w:trPr>
          <w:trHeight w:val="495"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9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96" w:right="0"/>
              <w:jc w:val="left"/>
              <w:rPr>
                <w:rFonts w:ascii="宋体" w:hAnsi="宋体" w:cs="宋体" w:eastAsia="宋体" w:hint="default"/>
                <w:sz w:val="18"/>
                <w:szCs w:val="18"/>
              </w:rPr>
            </w:pPr>
            <w:r>
              <w:rPr>
                <w:rFonts w:ascii="宋体" w:hAnsi="宋体" w:cs="宋体" w:eastAsia="宋体" w:hint="default"/>
                <w:sz w:val="18"/>
                <w:szCs w:val="18"/>
              </w:rPr>
              <w:t>当期增加</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13" w:right="0"/>
              <w:jc w:val="left"/>
              <w:rPr>
                <w:rFonts w:ascii="宋体" w:hAnsi="宋体" w:cs="宋体" w:eastAsia="宋体" w:hint="default"/>
                <w:sz w:val="18"/>
                <w:szCs w:val="18"/>
              </w:rPr>
            </w:pPr>
            <w:r>
              <w:rPr>
                <w:rFonts w:ascii="宋体" w:hAnsi="宋体" w:cs="宋体" w:eastAsia="宋体" w:hint="default"/>
                <w:sz w:val="18"/>
                <w:szCs w:val="18"/>
              </w:rPr>
              <w:t>当期减少</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62"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before="37"/>
              <w:ind w:left="103" w:right="97"/>
              <w:jc w:val="left"/>
              <w:rPr>
                <w:rFonts w:ascii="宋体" w:hAnsi="宋体" w:cs="宋体" w:eastAsia="宋体" w:hint="default"/>
                <w:sz w:val="18"/>
                <w:szCs w:val="18"/>
              </w:rPr>
            </w:pPr>
            <w:r>
              <w:rPr>
                <w:rFonts w:ascii="宋体" w:hAnsi="宋体" w:cs="宋体" w:eastAsia="宋体" w:hint="default"/>
                <w:sz w:val="18"/>
                <w:szCs w:val="18"/>
              </w:rPr>
              <w:t>中关村开放实验室</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年度专项补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助款</w:t>
            </w:r>
          </w:p>
        </w:tc>
        <w:tc>
          <w:tcPr>
            <w:tcW w:w="1714"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100,000.00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100,000.00</w:t>
            </w:r>
          </w:p>
        </w:tc>
        <w:tc>
          <w:tcPr>
            <w:tcW w:w="1524"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5"/>
              <w:ind w:left="103" w:right="94"/>
              <w:jc w:val="left"/>
              <w:rPr>
                <w:rFonts w:ascii="宋体" w:hAnsi="宋体" w:cs="宋体" w:eastAsia="宋体" w:hint="default"/>
                <w:sz w:val="18"/>
                <w:szCs w:val="18"/>
              </w:rPr>
            </w:pPr>
            <w:r>
              <w:rPr>
                <w:rFonts w:ascii="宋体" w:hAnsi="宋体" w:cs="宋体" w:eastAsia="宋体" w:hint="default"/>
                <w:sz w:val="18"/>
                <w:szCs w:val="18"/>
              </w:rPr>
              <w:t>基于国产基础软件的农业智能系统平</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台与集成环境</w:t>
            </w:r>
            <w:r>
              <w:rPr>
                <w:rFonts w:ascii="Times New Roman" w:hAnsi="Times New Roman" w:cs="Times New Roman" w:eastAsia="Times New Roman" w:hint="default"/>
                <w:sz w:val="18"/>
                <w:szCs w:val="18"/>
              </w:rPr>
              <w:t>-</w:t>
            </w:r>
            <w:r>
              <w:rPr>
                <w:rFonts w:ascii="宋体" w:hAnsi="宋体" w:cs="宋体" w:eastAsia="宋体" w:hint="default"/>
                <w:sz w:val="18"/>
                <w:szCs w:val="18"/>
              </w:rPr>
              <w:t>分布式安全管理系统</w:t>
            </w:r>
          </w:p>
        </w:tc>
        <w:tc>
          <w:tcPr>
            <w:tcW w:w="1714"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300,000.00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300,000.00</w:t>
            </w:r>
          </w:p>
        </w:tc>
        <w:tc>
          <w:tcPr>
            <w:tcW w:w="1524" w:type="dxa"/>
            <w:tcBorders>
              <w:top w:val="single" w:sz="6" w:space="0" w:color="000000"/>
              <w:left w:val="single" w:sz="6" w:space="0" w:color="000000"/>
              <w:bottom w:val="single" w:sz="6" w:space="0" w:color="000000"/>
              <w:right w:val="single" w:sz="6" w:space="0" w:color="000000"/>
            </w:tcBorders>
          </w:tcPr>
          <w:p>
            <w:pPr/>
          </w:p>
        </w:tc>
      </w:tr>
      <w:tr>
        <w:trPr>
          <w:trHeight w:val="516"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国内专利资助金</w:t>
            </w:r>
          </w:p>
        </w:tc>
        <w:tc>
          <w:tcPr>
            <w:tcW w:w="1714"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6"/>
              <w:jc w:val="right"/>
              <w:rPr>
                <w:rFonts w:ascii="Times New Roman" w:hAnsi="Times New Roman" w:cs="Times New Roman" w:eastAsia="Times New Roman" w:hint="default"/>
                <w:sz w:val="18"/>
                <w:szCs w:val="18"/>
              </w:rPr>
            </w:pPr>
            <w:r>
              <w:rPr>
                <w:rFonts w:ascii="Times New Roman"/>
                <w:spacing w:val="-1"/>
                <w:sz w:val="18"/>
              </w:rPr>
              <w:t>62,970.00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6"/>
              <w:jc w:val="right"/>
              <w:rPr>
                <w:rFonts w:ascii="Times New Roman" w:hAnsi="Times New Roman" w:cs="Times New Roman" w:eastAsia="Times New Roman" w:hint="default"/>
                <w:sz w:val="18"/>
                <w:szCs w:val="18"/>
              </w:rPr>
            </w:pPr>
            <w:r>
              <w:rPr>
                <w:rFonts w:ascii="Times New Roman"/>
                <w:spacing w:val="-1"/>
                <w:sz w:val="18"/>
              </w:rPr>
              <w:t>62,970.00</w:t>
            </w:r>
          </w:p>
        </w:tc>
        <w:tc>
          <w:tcPr>
            <w:tcW w:w="1524"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2"/>
              <w:ind w:left="103" w:right="94"/>
              <w:jc w:val="left"/>
              <w:rPr>
                <w:rFonts w:ascii="宋体" w:hAnsi="宋体" w:cs="宋体" w:eastAsia="宋体" w:hint="default"/>
                <w:sz w:val="18"/>
                <w:szCs w:val="18"/>
              </w:rPr>
            </w:pPr>
            <w:r>
              <w:rPr>
                <w:rFonts w:ascii="宋体" w:hAnsi="宋体" w:cs="宋体" w:eastAsia="宋体" w:hint="default"/>
                <w:sz w:val="18"/>
                <w:szCs w:val="18"/>
              </w:rPr>
              <w:t>重庆优势蔬菜产业化关键技术集成与</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示范推广</w:t>
            </w:r>
          </w:p>
        </w:tc>
        <w:tc>
          <w:tcPr>
            <w:tcW w:w="1714"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160,000.00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160,000.00</w:t>
            </w:r>
          </w:p>
        </w:tc>
        <w:tc>
          <w:tcPr>
            <w:tcW w:w="1524"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2"/>
              <w:ind w:left="103" w:right="94"/>
              <w:jc w:val="left"/>
              <w:rPr>
                <w:rFonts w:ascii="宋体" w:hAnsi="宋体" w:cs="宋体" w:eastAsia="宋体" w:hint="default"/>
                <w:sz w:val="18"/>
                <w:szCs w:val="18"/>
              </w:rPr>
            </w:pPr>
            <w:r>
              <w:rPr>
                <w:rFonts w:ascii="宋体" w:hAnsi="宋体" w:cs="宋体" w:eastAsia="宋体" w:hint="default"/>
                <w:sz w:val="18"/>
                <w:szCs w:val="18"/>
              </w:rPr>
              <w:t>市科委资助涉农海量数据存取应用服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务云平台研发及产业化项目补贴款</w:t>
            </w:r>
          </w:p>
        </w:tc>
        <w:tc>
          <w:tcPr>
            <w:tcW w:w="1714"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150,000.00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150,000.00</w:t>
            </w:r>
          </w:p>
        </w:tc>
        <w:tc>
          <w:tcPr>
            <w:tcW w:w="1524"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重庆北部新区营业税补助</w:t>
            </w:r>
          </w:p>
        </w:tc>
        <w:tc>
          <w:tcPr>
            <w:tcW w:w="1714"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Times New Roman" w:hAnsi="Times New Roman" w:cs="Times New Roman" w:eastAsia="Times New Roman" w:hint="default"/>
                <w:sz w:val="18"/>
                <w:szCs w:val="18"/>
              </w:rPr>
            </w:pPr>
            <w:r>
              <w:rPr>
                <w:rFonts w:ascii="Times New Roman"/>
                <w:spacing w:val="-1"/>
                <w:sz w:val="18"/>
              </w:rPr>
              <w:t>121,100.00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Times New Roman" w:hAnsi="Times New Roman" w:cs="Times New Roman" w:eastAsia="Times New Roman" w:hint="default"/>
                <w:sz w:val="18"/>
                <w:szCs w:val="18"/>
              </w:rPr>
            </w:pPr>
            <w:r>
              <w:rPr>
                <w:rFonts w:ascii="Times New Roman"/>
                <w:spacing w:val="-1"/>
                <w:sz w:val="18"/>
              </w:rPr>
              <w:t>121,100.00</w:t>
            </w:r>
          </w:p>
        </w:tc>
        <w:tc>
          <w:tcPr>
            <w:tcW w:w="1524"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31"/>
              <w:ind w:left="103" w:right="94"/>
              <w:jc w:val="left"/>
              <w:rPr>
                <w:rFonts w:ascii="宋体" w:hAnsi="宋体" w:cs="宋体" w:eastAsia="宋体" w:hint="default"/>
                <w:sz w:val="18"/>
                <w:szCs w:val="18"/>
              </w:rPr>
            </w:pPr>
            <w:r>
              <w:rPr>
                <w:rFonts w:ascii="宋体" w:hAnsi="宋体" w:cs="宋体" w:eastAsia="宋体" w:hint="default"/>
                <w:sz w:val="18"/>
                <w:szCs w:val="18"/>
              </w:rPr>
              <w:t>海淀区加快核心区自主创新和产业发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展专项资金</w:t>
            </w:r>
          </w:p>
        </w:tc>
        <w:tc>
          <w:tcPr>
            <w:tcW w:w="1714"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700,000.00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700,000.00</w:t>
            </w:r>
          </w:p>
        </w:tc>
        <w:tc>
          <w:tcPr>
            <w:tcW w:w="1524"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before="36"/>
              <w:ind w:left="103" w:right="98"/>
              <w:jc w:val="left"/>
              <w:rPr>
                <w:rFonts w:ascii="宋体" w:hAnsi="宋体" w:cs="宋体" w:eastAsia="宋体" w:hint="default"/>
                <w:sz w:val="18"/>
                <w:szCs w:val="18"/>
              </w:rPr>
            </w:pPr>
            <w:r>
              <w:rPr>
                <w:rFonts w:ascii="宋体" w:hAnsi="宋体" w:cs="宋体" w:eastAsia="宋体" w:hint="default"/>
                <w:sz w:val="18"/>
                <w:szCs w:val="18"/>
              </w:rPr>
              <w:t>鄞州区</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年度第二批科技项目补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助（奖励）资金</w:t>
            </w:r>
          </w:p>
        </w:tc>
        <w:tc>
          <w:tcPr>
            <w:tcW w:w="1714"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19,200.00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19,200.00</w:t>
            </w:r>
          </w:p>
        </w:tc>
        <w:tc>
          <w:tcPr>
            <w:tcW w:w="1524"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5"/>
              <w:ind w:left="103" w:right="96"/>
              <w:jc w:val="left"/>
              <w:rPr>
                <w:rFonts w:ascii="宋体" w:hAnsi="宋体" w:cs="宋体" w:eastAsia="宋体" w:hint="default"/>
                <w:sz w:val="18"/>
                <w:szCs w:val="18"/>
              </w:rPr>
            </w:pPr>
            <w:r>
              <w:rPr>
                <w:rFonts w:ascii="宋体" w:hAnsi="宋体" w:cs="宋体" w:eastAsia="宋体" w:hint="default"/>
                <w:sz w:val="18"/>
                <w:szCs w:val="18"/>
              </w:rPr>
              <w:t>鄞州区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年度第三、四、五批科技</w:t>
            </w:r>
            <w:r>
              <w:rPr>
                <w:rFonts w:ascii="宋体" w:hAnsi="宋体" w:cs="宋体" w:eastAsia="宋体" w:hint="default"/>
                <w:sz w:val="18"/>
                <w:szCs w:val="18"/>
              </w:rPr>
              <w:t> 项目补助（奖励）资金</w:t>
            </w:r>
          </w:p>
        </w:tc>
        <w:tc>
          <w:tcPr>
            <w:tcW w:w="1714"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20,000.00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20,000.00</w:t>
            </w:r>
          </w:p>
        </w:tc>
        <w:tc>
          <w:tcPr>
            <w:tcW w:w="1524" w:type="dxa"/>
            <w:tcBorders>
              <w:top w:val="single" w:sz="6" w:space="0" w:color="000000"/>
              <w:left w:val="single" w:sz="6" w:space="0" w:color="000000"/>
              <w:bottom w:val="single" w:sz="6" w:space="0" w:color="000000"/>
              <w:right w:val="single" w:sz="6" w:space="0" w:color="000000"/>
            </w:tcBorders>
          </w:tcPr>
          <w:p>
            <w:pPr/>
          </w:p>
        </w:tc>
      </w:tr>
      <w:tr>
        <w:trPr>
          <w:trHeight w:val="331"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566" w:right="0"/>
              <w:jc w:val="left"/>
              <w:rPr>
                <w:rFonts w:ascii="Times New Roman" w:hAnsi="Times New Roman" w:cs="Times New Roman" w:eastAsia="Times New Roman" w:hint="default"/>
                <w:sz w:val="18"/>
                <w:szCs w:val="18"/>
              </w:rPr>
            </w:pPr>
            <w:r>
              <w:rPr>
                <w:rFonts w:ascii="Times New Roman"/>
                <w:sz w:val="18"/>
              </w:rPr>
              <w:t>23,107,094.90</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Times New Roman" w:hAnsi="Times New Roman" w:cs="Times New Roman" w:eastAsia="Times New Roman" w:hint="default"/>
                <w:sz w:val="18"/>
                <w:szCs w:val="18"/>
              </w:rPr>
            </w:pPr>
            <w:r>
              <w:rPr>
                <w:rFonts w:ascii="Times New Roman"/>
                <w:spacing w:val="-1"/>
                <w:sz w:val="18"/>
              </w:rPr>
              <w:t>6,930,870.00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Times New Roman" w:hAnsi="Times New Roman" w:cs="Times New Roman" w:eastAsia="Times New Roman" w:hint="default"/>
                <w:sz w:val="18"/>
                <w:szCs w:val="18"/>
              </w:rPr>
            </w:pPr>
            <w:r>
              <w:rPr>
                <w:rFonts w:ascii="Times New Roman"/>
                <w:spacing w:val="-1"/>
                <w:sz w:val="18"/>
              </w:rPr>
              <w:t>18,633,861.04</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381" w:right="0"/>
              <w:jc w:val="left"/>
              <w:rPr>
                <w:rFonts w:ascii="Times New Roman" w:hAnsi="Times New Roman" w:cs="Times New Roman" w:eastAsia="Times New Roman" w:hint="default"/>
                <w:sz w:val="18"/>
                <w:szCs w:val="18"/>
              </w:rPr>
            </w:pPr>
            <w:r>
              <w:rPr>
                <w:rFonts w:ascii="Times New Roman"/>
                <w:sz w:val="18"/>
              </w:rPr>
              <w:t>11,404,103.86</w:t>
            </w:r>
          </w:p>
        </w:tc>
      </w:tr>
    </w:tbl>
    <w:p>
      <w:pPr>
        <w:spacing w:line="240" w:lineRule="auto" w:before="7"/>
        <w:rPr>
          <w:rFonts w:ascii="宋体" w:hAnsi="宋体" w:cs="宋体" w:eastAsia="宋体" w:hint="default"/>
          <w:b/>
          <w:bCs/>
          <w:sz w:val="17"/>
          <w:szCs w:val="17"/>
        </w:rPr>
      </w:pPr>
    </w:p>
    <w:p>
      <w:pPr>
        <w:pStyle w:val="Heading3"/>
        <w:spacing w:line="240" w:lineRule="auto" w:before="36"/>
        <w:ind w:right="0"/>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9"/>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442"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6" w:lineRule="exact"/>
              <w:ind w:left="3" w:right="0"/>
              <w:jc w:val="center"/>
              <w:rPr>
                <w:rFonts w:ascii="宋体" w:hAnsi="宋体" w:cs="宋体" w:eastAsia="宋体" w:hint="default"/>
                <w:sz w:val="18"/>
                <w:szCs w:val="18"/>
              </w:rPr>
            </w:pPr>
            <w:r>
              <w:rPr>
                <w:rFonts w:ascii="宋体" w:hAnsi="宋体" w:cs="宋体" w:eastAsia="宋体" w:hint="default"/>
                <w:sz w:val="18"/>
                <w:szCs w:val="18"/>
              </w:rPr>
              <w:t>计入当期非经常性损益</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的金额</w:t>
            </w:r>
          </w:p>
        </w:tc>
      </w:tr>
      <w:tr>
        <w:trPr>
          <w:trHeight w:val="38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50" w:space="0" w:color="D2D2D2"/>
              <w:left w:val="single" w:sz="9" w:space="0" w:color="D2D2D2"/>
              <w:bottom w:val="single" w:sz="4" w:space="0" w:color="000000"/>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160,391.26</w:t>
            </w:r>
          </w:p>
        </w:tc>
        <w:tc>
          <w:tcPr>
            <w:tcW w:w="1915" w:type="dxa"/>
            <w:tcBorders>
              <w:top w:val="single" w:sz="50" w:space="0" w:color="D2D2D2"/>
              <w:left w:val="single" w:sz="4" w:space="0" w:color="000000"/>
              <w:bottom w:val="single" w:sz="4" w:space="0" w:color="000000"/>
              <w:right w:val="single" w:sz="14" w:space="0" w:color="D2D2D2"/>
            </w:tcBorders>
          </w:tcPr>
          <w:p>
            <w:pPr>
              <w:pStyle w:val="TableParagraph"/>
              <w:spacing w:line="240" w:lineRule="auto" w:before="47"/>
              <w:ind w:right="9"/>
              <w:jc w:val="right"/>
              <w:rPr>
                <w:rFonts w:ascii="Times New Roman" w:hAnsi="Times New Roman" w:cs="Times New Roman" w:eastAsia="Times New Roman" w:hint="default"/>
                <w:sz w:val="18"/>
                <w:szCs w:val="18"/>
              </w:rPr>
            </w:pPr>
            <w:r>
              <w:rPr>
                <w:rFonts w:ascii="Times New Roman"/>
                <w:spacing w:val="-1"/>
                <w:sz w:val="18"/>
              </w:rPr>
              <w:t>242,916.19</w:t>
            </w:r>
          </w:p>
        </w:tc>
        <w:tc>
          <w:tcPr>
            <w:tcW w:w="1913" w:type="dxa"/>
            <w:tcBorders>
              <w:top w:val="single" w:sz="4" w:space="0" w:color="000000"/>
              <w:left w:val="single" w:sz="14" w:space="0" w:color="D2D2D2"/>
              <w:bottom w:val="single" w:sz="4" w:space="0" w:color="000000"/>
              <w:right w:val="single" w:sz="12" w:space="0" w:color="D2D2D2"/>
            </w:tcBorders>
          </w:tcPr>
          <w:p>
            <w:pPr/>
          </w:p>
        </w:tc>
      </w:tr>
      <w:tr>
        <w:trPr>
          <w:trHeight w:val="324"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160,391.26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242,916.19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160,391.26</w:t>
            </w:r>
          </w:p>
        </w:tc>
      </w:tr>
      <w:tr>
        <w:trPr>
          <w:trHeight w:val="324"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12,481.26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324"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2"/>
                <w:sz w:val="18"/>
              </w:rPr>
              <w:t>111,505.13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120,422.19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2"/>
                <w:sz w:val="18"/>
              </w:rPr>
              <w:t>111,505.13</w:t>
            </w:r>
          </w:p>
        </w:tc>
      </w:tr>
      <w:tr>
        <w:trPr>
          <w:trHeight w:val="322"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301,896.39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375,819.64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301,896.39</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324"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18,803,210.46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46,479,569.77</w:t>
            </w:r>
          </w:p>
        </w:tc>
      </w:tr>
      <w:tr>
        <w:trPr>
          <w:trHeight w:val="325"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-607,970.75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-13,486,977.74</w:t>
            </w:r>
          </w:p>
        </w:tc>
      </w:tr>
      <w:tr>
        <w:trPr>
          <w:trHeight w:val="324"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18,195,239.71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32,992,592.03</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计算公式：</w:t>
      </w:r>
    </w:p>
    <w:p>
      <w:pPr>
        <w:pStyle w:val="BodyText"/>
        <w:spacing w:line="338" w:lineRule="auto" w:before="112"/>
        <w:ind w:left="513" w:right="7842"/>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、基本每股收益 基本每股收益</w:t>
      </w:r>
      <w:r>
        <w:rPr>
          <w:rFonts w:ascii="Times New Roman" w:hAnsi="Times New Roman" w:cs="Times New Roman" w:eastAsia="Times New Roman" w:hint="default"/>
        </w:rPr>
        <w:t>=P0÷S</w:t>
      </w:r>
    </w:p>
    <w:p>
      <w:pPr>
        <w:pStyle w:val="BodyText"/>
        <w:spacing w:line="240" w:lineRule="auto" w:before="19"/>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10"/>
        </w:rPr>
        <w:t> </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w:t>
      </w:r>
      <w:r>
        <w:rPr>
          <w:rFonts w:ascii="Times New Roman" w:hAnsi="Times New Roman" w:cs="Times New Roman" w:eastAsia="Times New Roman" w:hint="default"/>
        </w:rPr>
        <w:t>–</w:t>
      </w:r>
      <w:r>
        <w:rPr>
          <w:rFonts w:ascii="Times New Roman" w:hAnsi="Times New Roman" w:cs="Times New Roman" w:eastAsia="Times New Roman" w:hint="default"/>
        </w:rPr>
        <w:t>Sj×Mj÷M0</w:t>
      </w:r>
      <w:r>
        <w:rPr>
          <w:rFonts w:ascii="Times New Roman" w:hAnsi="Times New Roman" w:cs="Times New Roman" w:eastAsia="Times New Roman" w:hint="default"/>
        </w:rPr>
        <w:t>–</w:t>
      </w:r>
      <w:r>
        <w:rPr>
          <w:rFonts w:ascii="Times New Roman" w:hAnsi="Times New Roman" w:cs="Times New Roman" w:eastAsia="Times New Roman" w:hint="default"/>
        </w:rPr>
        <w:t>Sk</w:t>
      </w:r>
    </w:p>
    <w:p>
      <w:pPr>
        <w:pStyle w:val="BodyText"/>
        <w:spacing w:line="240" w:lineRule="auto" w:before="101"/>
        <w:ind w:left="513" w:right="0"/>
        <w:jc w:val="left"/>
      </w:pPr>
      <w:r>
        <w:rPr/>
        <w:t>其中：</w:t>
      </w:r>
      <w:r>
        <w:rPr>
          <w:rFonts w:ascii="Times New Roman" w:hAnsi="Times New Roman" w:cs="Times New Roman" w:eastAsia="Times New Roman" w:hint="default"/>
        </w:rPr>
        <w:t>P0</w:t>
      </w:r>
      <w:r>
        <w:rPr/>
        <w:t>为归属于公司普通股股东的净利润或扣除非经常性损益后归属于普通股股东的净利润；</w:t>
      </w:r>
      <w:r>
        <w:rPr>
          <w:rFonts w:ascii="Times New Roman" w:hAnsi="Times New Roman" w:cs="Times New Roman" w:eastAsia="Times New Roman" w:hint="default"/>
        </w:rPr>
        <w:t>S</w:t>
      </w:r>
      <w:r>
        <w:rPr/>
        <w:t>为发行在外的普通股</w:t>
      </w:r>
    </w:p>
    <w:p>
      <w:pPr>
        <w:spacing w:after="0" w:line="240" w:lineRule="auto"/>
        <w:jc w:val="left"/>
        <w:sectPr>
          <w:pgSz w:w="11910" w:h="16840"/>
          <w:pgMar w:header="852" w:footer="980" w:top="1340" w:bottom="1160" w:left="980" w:right="980"/>
        </w:sectPr>
      </w:pPr>
    </w:p>
    <w:p>
      <w:pPr>
        <w:pStyle w:val="BodyText"/>
        <w:spacing w:line="338" w:lineRule="auto" w:before="61"/>
        <w:ind w:right="191"/>
        <w:jc w:val="both"/>
      </w:pPr>
      <w:r>
        <w:rPr>
          <w:spacing w:val="-2"/>
        </w:rPr>
        <w:t>加权平均数；</w:t>
      </w:r>
      <w:r>
        <w:rPr>
          <w:rFonts w:ascii="Times New Roman" w:hAnsi="Times New Roman" w:cs="Times New Roman" w:eastAsia="Times New Roman" w:hint="default"/>
          <w:spacing w:val="-2"/>
        </w:rPr>
        <w:t>S0</w:t>
      </w:r>
      <w:r>
        <w:rPr>
          <w:spacing w:val="-2"/>
        </w:rPr>
        <w:t>为期初股份总数；</w:t>
      </w:r>
      <w:r>
        <w:rPr>
          <w:rFonts w:ascii="Times New Roman" w:hAnsi="Times New Roman" w:cs="Times New Roman" w:eastAsia="Times New Roman" w:hint="default"/>
          <w:spacing w:val="-2"/>
        </w:rPr>
        <w:t>S1</w:t>
      </w:r>
      <w:r>
        <w:rPr>
          <w:spacing w:val="-2"/>
        </w:rPr>
        <w:t>为报告期因公积金转增股本或股票股利分配等增加股份数；</w:t>
      </w:r>
      <w:r>
        <w:rPr>
          <w:rFonts w:ascii="Times New Roman" w:hAnsi="Times New Roman" w:cs="Times New Roman" w:eastAsia="Times New Roman" w:hint="default"/>
          <w:spacing w:val="-2"/>
        </w:rPr>
        <w:t>Si</w:t>
      </w:r>
      <w:r>
        <w:rPr>
          <w:spacing w:val="-2"/>
        </w:rPr>
        <w:t>为报告期因发行新股或债</w:t>
      </w:r>
      <w:r>
        <w:rPr>
          <w:spacing w:val="-53"/>
        </w:rPr>
        <w:t> </w:t>
      </w:r>
      <w:r>
        <w:rPr/>
        <w:t>转股等增加股份数；</w:t>
      </w:r>
      <w:r>
        <w:rPr>
          <w:rFonts w:ascii="Times New Roman" w:hAnsi="Times New Roman" w:cs="Times New Roman" w:eastAsia="Times New Roman" w:hint="default"/>
        </w:rPr>
        <w:t>Sj</w:t>
      </w:r>
      <w:r>
        <w:rPr/>
        <w:t>为报告期因回购等减少股份数；</w:t>
      </w:r>
      <w:r>
        <w:rPr>
          <w:rFonts w:ascii="Times New Roman" w:hAnsi="Times New Roman" w:cs="Times New Roman" w:eastAsia="Times New Roman" w:hint="default"/>
        </w:rPr>
        <w:t>Sk</w:t>
      </w:r>
      <w:r>
        <w:rPr/>
        <w:t>为报告期缩股数；</w:t>
      </w:r>
      <w:r>
        <w:rPr>
          <w:rFonts w:ascii="Times New Roman" w:hAnsi="Times New Roman" w:cs="Times New Roman" w:eastAsia="Times New Roman" w:hint="default"/>
        </w:rPr>
        <w:t>M0</w:t>
      </w:r>
      <w:r>
        <w:rPr/>
        <w:t>报告期月份数；</w:t>
      </w:r>
      <w:r>
        <w:rPr>
          <w:rFonts w:ascii="Times New Roman" w:hAnsi="Times New Roman" w:cs="Times New Roman" w:eastAsia="Times New Roman" w:hint="default"/>
        </w:rPr>
        <w:t>Mi</w:t>
      </w:r>
      <w:r>
        <w:rPr/>
        <w:t>为增加股份次月起至报告</w:t>
      </w:r>
      <w:r>
        <w:rPr>
          <w:spacing w:val="-81"/>
        </w:rPr>
        <w:t> </w:t>
      </w:r>
      <w:r>
        <w:rPr>
          <w:spacing w:val="-81"/>
        </w:rPr>
      </w:r>
      <w:r>
        <w:rPr/>
        <w:t>期期末的累计月数；</w:t>
      </w:r>
      <w:r>
        <w:rPr>
          <w:rFonts w:ascii="Times New Roman" w:hAnsi="Times New Roman" w:cs="Times New Roman" w:eastAsia="Times New Roman" w:hint="default"/>
        </w:rPr>
        <w:t>Mj</w:t>
      </w:r>
      <w:r>
        <w:rPr/>
        <w:t>为减少股份次月起至报告期期末的累计月数。</w:t>
      </w:r>
    </w:p>
    <w:p>
      <w:pPr>
        <w:pStyle w:val="BodyText"/>
        <w:spacing w:line="336" w:lineRule="auto" w:before="19"/>
        <w:ind w:left="513" w:right="94"/>
        <w:jc w:val="left"/>
      </w:pPr>
      <w:r>
        <w:rPr>
          <w:rFonts w:ascii="Times New Roman" w:hAnsi="Times New Roman" w:cs="Times New Roman" w:eastAsia="Times New Roman" w:hint="default"/>
        </w:rPr>
        <w:t>2</w:t>
      </w:r>
      <w:r>
        <w:rPr/>
        <w:t>、稀释每股收益 稀释每股收益</w:t>
      </w:r>
      <w:r>
        <w:rPr>
          <w:rFonts w:ascii="Times New Roman" w:hAnsi="Times New Roman" w:cs="Times New Roman" w:eastAsia="Times New Roman" w:hint="default"/>
        </w:rPr>
        <w:t>=P1/(S0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w:t>
      </w:r>
      <w:r>
        <w:rPr>
          <w:rFonts w:ascii="Times New Roman" w:hAnsi="Times New Roman" w:cs="Times New Roman" w:eastAsia="Times New Roman" w:hint="default"/>
        </w:rPr>
        <w:t>–</w:t>
      </w:r>
      <w:r>
        <w:rPr>
          <w:rFonts w:ascii="Times New Roman" w:hAnsi="Times New Roman" w:cs="Times New Roman" w:eastAsia="Times New Roman" w:hint="default"/>
        </w:rPr>
        <w:t>Sj×Mj÷M0</w:t>
      </w:r>
      <w:r>
        <w:rPr>
          <w:rFonts w:ascii="Times New Roman" w:hAnsi="Times New Roman" w:cs="Times New Roman" w:eastAsia="Times New Roman" w:hint="default"/>
        </w:rPr>
        <w:t>–</w:t>
      </w:r>
      <w:r>
        <w:rPr>
          <w:rFonts w:ascii="Times New Roman" w:hAnsi="Times New Roman" w:cs="Times New Roman" w:eastAsia="Times New Roman" w:hint="default"/>
        </w:rPr>
        <w:t>Sk+</w:t>
      </w:r>
      <w:r>
        <w:rPr/>
        <w:t>认股权证、股份期权、可转换债券等增加的普通股加权平均数</w:t>
      </w:r>
      <w:r>
        <w:rPr>
          <w:rFonts w:ascii="Times New Roman" w:hAnsi="Times New Roman" w:cs="Times New Roman" w:eastAsia="Times New Roman" w:hint="default"/>
        </w:rPr>
        <w:t>) </w:t>
      </w:r>
      <w:r>
        <w:rPr/>
        <w:t>其中，</w:t>
      </w:r>
      <w:r>
        <w:rPr>
          <w:rFonts w:ascii="Times New Roman" w:hAnsi="Times New Roman" w:cs="Times New Roman" w:eastAsia="Times New Roman" w:hint="default"/>
        </w:rPr>
        <w:t>P1</w:t>
      </w:r>
      <w:r>
        <w:rPr/>
        <w:t>为归属于公司普通股股东的净利润或扣除非经常性损益后归属于公司普通股股东的净利润，并考虑稀释性潜</w:t>
      </w:r>
    </w:p>
    <w:p>
      <w:pPr>
        <w:pStyle w:val="BodyText"/>
        <w:spacing w:line="357" w:lineRule="auto" w:before="21"/>
        <w:ind w:right="193"/>
        <w:jc w:val="both"/>
      </w:pPr>
      <w:r>
        <w:rPr>
          <w:spacing w:val="-2"/>
        </w:rPr>
        <w:t>在普通股对其影响，按《企业会计准则》及有关规定进行调整。公司在计算稀释每股收益时，应考虑所有稀释性潜在普通股</w:t>
      </w:r>
      <w:r>
        <w:rPr>
          <w:spacing w:val="-67"/>
        </w:rPr>
        <w:t> </w:t>
      </w:r>
      <w:r>
        <w:rPr>
          <w:spacing w:val="-67"/>
        </w:rPr>
      </w:r>
      <w:r>
        <w:rPr>
          <w:spacing w:val="-2"/>
        </w:rPr>
        <w:t>对归属于公司普通股股东的净利润或扣除非经常性损益后归属于公司普通股股东的净利润和加权平均股数的影响，按照其稀</w:t>
      </w:r>
      <w:r>
        <w:rPr>
          <w:spacing w:val="-64"/>
        </w:rPr>
        <w:t> </w:t>
      </w:r>
      <w:r>
        <w:rPr>
          <w:spacing w:val="-64"/>
        </w:rPr>
      </w:r>
      <w:r>
        <w:rPr/>
        <w:t>释程度从大到小的顺序计入稀释每股收益，直至稀释每股收益达到最小值。</w:t>
      </w:r>
    </w:p>
    <w:p>
      <w:pPr>
        <w:pStyle w:val="BodyText"/>
        <w:spacing w:line="240" w:lineRule="auto" w:before="26"/>
        <w:ind w:right="0"/>
        <w:jc w:val="both"/>
      </w:pPr>
      <w:r>
        <w:rPr/>
        <w:t>计算过程：</w:t>
      </w:r>
    </w:p>
    <w:p>
      <w:pPr>
        <w:pStyle w:val="BodyText"/>
        <w:spacing w:line="348" w:lineRule="auto" w:before="115"/>
        <w:ind w:left="513" w:right="1353"/>
        <w:jc w:val="left"/>
      </w:pPr>
      <w:r>
        <w:rPr/>
        <w:t>（</w:t>
      </w:r>
      <w:r>
        <w:rPr>
          <w:rFonts w:ascii="Times New Roman" w:hAnsi="Times New Roman" w:cs="Times New Roman" w:eastAsia="Times New Roman" w:hint="default"/>
        </w:rPr>
        <w:t>1</w:t>
      </w:r>
      <w:r>
        <w:rPr/>
        <w:t>）基本每股收益 基本每股收益以归属于本公司普通股股东的合并净利润除以本公司发行在外普通股的加权平均数计算： 普通股的加权平均数计算过程如下：</w:t>
      </w:r>
    </w:p>
    <w:p>
      <w:pPr>
        <w:spacing w:line="240" w:lineRule="auto" w:before="1"/>
        <w:rPr>
          <w:rFonts w:ascii="宋体" w:hAnsi="宋体" w:cs="宋体" w:eastAsia="宋体" w:hint="default"/>
          <w:sz w:val="5"/>
          <w:szCs w:val="5"/>
        </w:rPr>
      </w:pPr>
    </w:p>
    <w:tbl>
      <w:tblPr>
        <w:tblW w:w="0" w:type="auto"/>
        <w:jc w:val="left"/>
        <w:tblInd w:w="374" w:type="dxa"/>
        <w:tblLayout w:type="fixed"/>
        <w:tblCellMar>
          <w:top w:w="0" w:type="dxa"/>
          <w:left w:w="0" w:type="dxa"/>
          <w:bottom w:w="0" w:type="dxa"/>
          <w:right w:w="0" w:type="dxa"/>
        </w:tblCellMar>
        <w:tblLook w:val="01E0"/>
      </w:tblPr>
      <w:tblGrid>
        <w:gridCol w:w="5247"/>
        <w:gridCol w:w="1966"/>
        <w:gridCol w:w="1969"/>
      </w:tblGrid>
      <w:tr>
        <w:trPr>
          <w:trHeight w:val="514" w:hRule="exact"/>
        </w:trPr>
        <w:tc>
          <w:tcPr>
            <w:tcW w:w="524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61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617"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516" w:hRule="exact"/>
        </w:trPr>
        <w:tc>
          <w:tcPr>
            <w:tcW w:w="5247"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归属于本公司普通股股东的合并净利润</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429,028,904.35</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353,192,823.35</w:t>
            </w:r>
          </w:p>
        </w:tc>
      </w:tr>
      <w:tr>
        <w:trPr>
          <w:trHeight w:val="514" w:hRule="exact"/>
        </w:trPr>
        <w:tc>
          <w:tcPr>
            <w:tcW w:w="524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4" w:right="0"/>
              <w:jc w:val="left"/>
              <w:rPr>
                <w:rFonts w:ascii="宋体" w:hAnsi="宋体" w:cs="宋体" w:eastAsia="宋体" w:hint="default"/>
                <w:sz w:val="18"/>
                <w:szCs w:val="18"/>
              </w:rPr>
            </w:pPr>
            <w:r>
              <w:rPr>
                <w:rFonts w:ascii="宋体" w:hAnsi="宋体" w:cs="宋体" w:eastAsia="宋体" w:hint="default"/>
                <w:sz w:val="18"/>
                <w:szCs w:val="18"/>
              </w:rPr>
              <w:t>本公司发行在外普通股的加权平均数</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379,897,283.33</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379,200,000.00</w:t>
            </w:r>
          </w:p>
        </w:tc>
      </w:tr>
      <w:tr>
        <w:trPr>
          <w:trHeight w:val="502" w:hRule="exact"/>
        </w:trPr>
        <w:tc>
          <w:tcPr>
            <w:tcW w:w="52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right"/>
              <w:rPr>
                <w:rFonts w:ascii="Times New Roman" w:hAnsi="Times New Roman" w:cs="Times New Roman" w:eastAsia="Times New Roman" w:hint="default"/>
                <w:sz w:val="18"/>
                <w:szCs w:val="18"/>
              </w:rPr>
            </w:pPr>
            <w:r>
              <w:rPr>
                <w:rFonts w:ascii="Times New Roman"/>
                <w:spacing w:val="-1"/>
                <w:sz w:val="18"/>
              </w:rPr>
              <w:t>1.13</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right"/>
              <w:rPr>
                <w:rFonts w:ascii="Times New Roman" w:hAnsi="Times New Roman" w:cs="Times New Roman" w:eastAsia="Times New Roman" w:hint="default"/>
                <w:sz w:val="18"/>
                <w:szCs w:val="18"/>
              </w:rPr>
            </w:pPr>
            <w:r>
              <w:rPr>
                <w:rFonts w:ascii="Times New Roman"/>
                <w:spacing w:val="-1"/>
                <w:sz w:val="18"/>
              </w:rPr>
              <w:t>0.93</w:t>
            </w:r>
          </w:p>
        </w:tc>
      </w:tr>
    </w:tbl>
    <w:p>
      <w:pPr>
        <w:pStyle w:val="BodyText"/>
        <w:spacing w:line="203" w:lineRule="exact"/>
        <w:ind w:left="513" w:right="94"/>
        <w:jc w:val="left"/>
      </w:pPr>
      <w:r>
        <w:rPr/>
        <w:t>普通股的加权平均数计算过程如下：</w:t>
      </w:r>
    </w:p>
    <w:p>
      <w:pPr>
        <w:spacing w:line="240" w:lineRule="auto" w:before="4"/>
        <w:rPr>
          <w:rFonts w:ascii="宋体" w:hAnsi="宋体" w:cs="宋体" w:eastAsia="宋体" w:hint="default"/>
          <w:sz w:val="11"/>
          <w:szCs w:val="11"/>
        </w:rPr>
      </w:pPr>
    </w:p>
    <w:tbl>
      <w:tblPr>
        <w:tblW w:w="0" w:type="auto"/>
        <w:jc w:val="left"/>
        <w:tblInd w:w="335" w:type="dxa"/>
        <w:tblLayout w:type="fixed"/>
        <w:tblCellMar>
          <w:top w:w="0" w:type="dxa"/>
          <w:left w:w="0" w:type="dxa"/>
          <w:bottom w:w="0" w:type="dxa"/>
          <w:right w:w="0" w:type="dxa"/>
        </w:tblCellMar>
        <w:tblLook w:val="01E0"/>
      </w:tblPr>
      <w:tblGrid>
        <w:gridCol w:w="5298"/>
        <w:gridCol w:w="1982"/>
        <w:gridCol w:w="1981"/>
      </w:tblGrid>
      <w:tr>
        <w:trPr>
          <w:trHeight w:val="538" w:hRule="exact"/>
        </w:trPr>
        <w:tc>
          <w:tcPr>
            <w:tcW w:w="529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62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622"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523" w:hRule="exact"/>
        </w:trPr>
        <w:tc>
          <w:tcPr>
            <w:tcW w:w="529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 w:right="0"/>
              <w:jc w:val="left"/>
              <w:rPr>
                <w:rFonts w:ascii="宋体" w:hAnsi="宋体" w:cs="宋体" w:eastAsia="宋体" w:hint="default"/>
                <w:sz w:val="18"/>
                <w:szCs w:val="18"/>
              </w:rPr>
            </w:pPr>
            <w:r>
              <w:rPr>
                <w:rFonts w:ascii="宋体" w:hAnsi="宋体" w:cs="宋体" w:eastAsia="宋体" w:hint="default"/>
                <w:sz w:val="18"/>
                <w:szCs w:val="18"/>
              </w:rPr>
              <w:t>年初已发行普通股股数</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379,200,000.00</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379,200,000.00</w:t>
            </w:r>
          </w:p>
        </w:tc>
      </w:tr>
      <w:tr>
        <w:trPr>
          <w:trHeight w:val="521" w:hRule="exact"/>
        </w:trPr>
        <w:tc>
          <w:tcPr>
            <w:tcW w:w="529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 w:right="0"/>
              <w:jc w:val="left"/>
              <w:rPr>
                <w:rFonts w:ascii="宋体" w:hAnsi="宋体" w:cs="宋体" w:eastAsia="宋体" w:hint="default"/>
                <w:sz w:val="18"/>
                <w:szCs w:val="18"/>
              </w:rPr>
            </w:pPr>
            <w:r>
              <w:rPr>
                <w:rFonts w:ascii="宋体" w:hAnsi="宋体" w:cs="宋体" w:eastAsia="宋体" w:hint="default"/>
                <w:sz w:val="18"/>
                <w:szCs w:val="18"/>
              </w:rPr>
              <w:t>加：本期发行的普通股加权数</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697,283.33</w:t>
            </w:r>
          </w:p>
        </w:tc>
        <w:tc>
          <w:tcPr>
            <w:tcW w:w="1981" w:type="dxa"/>
            <w:tcBorders>
              <w:top w:val="single" w:sz="6" w:space="0" w:color="000000"/>
              <w:left w:val="single" w:sz="6" w:space="0" w:color="000000"/>
              <w:bottom w:val="single" w:sz="6" w:space="0" w:color="000000"/>
              <w:right w:val="single" w:sz="6" w:space="0" w:color="000000"/>
            </w:tcBorders>
          </w:tcPr>
          <w:p>
            <w:pPr/>
          </w:p>
        </w:tc>
      </w:tr>
      <w:tr>
        <w:trPr>
          <w:trHeight w:val="538" w:hRule="exact"/>
        </w:trPr>
        <w:tc>
          <w:tcPr>
            <w:tcW w:w="529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 w:right="0"/>
              <w:jc w:val="left"/>
              <w:rPr>
                <w:rFonts w:ascii="宋体" w:hAnsi="宋体" w:cs="宋体" w:eastAsia="宋体" w:hint="default"/>
                <w:sz w:val="18"/>
                <w:szCs w:val="18"/>
              </w:rPr>
            </w:pPr>
            <w:r>
              <w:rPr>
                <w:rFonts w:ascii="宋体" w:hAnsi="宋体" w:cs="宋体" w:eastAsia="宋体" w:hint="default"/>
                <w:sz w:val="18"/>
                <w:szCs w:val="18"/>
              </w:rPr>
              <w:t>减：本期回购的普通股加权数</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1" w:type="dxa"/>
            <w:tcBorders>
              <w:top w:val="single" w:sz="6" w:space="0" w:color="000000"/>
              <w:left w:val="single" w:sz="6" w:space="0" w:color="000000"/>
              <w:bottom w:val="single" w:sz="6" w:space="0" w:color="000000"/>
              <w:right w:val="single" w:sz="6" w:space="0" w:color="000000"/>
            </w:tcBorders>
          </w:tcPr>
          <w:p>
            <w:pPr/>
          </w:p>
        </w:tc>
      </w:tr>
      <w:tr>
        <w:trPr>
          <w:trHeight w:val="540" w:hRule="exact"/>
        </w:trPr>
        <w:tc>
          <w:tcPr>
            <w:tcW w:w="5298"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2" w:right="0"/>
              <w:jc w:val="left"/>
              <w:rPr>
                <w:rFonts w:ascii="宋体" w:hAnsi="宋体" w:cs="宋体" w:eastAsia="宋体" w:hint="default"/>
                <w:sz w:val="18"/>
                <w:szCs w:val="18"/>
              </w:rPr>
            </w:pPr>
            <w:r>
              <w:rPr>
                <w:rFonts w:ascii="宋体" w:hAnsi="宋体" w:cs="宋体" w:eastAsia="宋体" w:hint="default"/>
                <w:sz w:val="18"/>
                <w:szCs w:val="18"/>
              </w:rPr>
              <w:t>年末发行在外的普通股加权数</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379,897,283.33</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379,200,000.00</w:t>
            </w:r>
          </w:p>
        </w:tc>
      </w:tr>
    </w:tbl>
    <w:p>
      <w:pPr>
        <w:pStyle w:val="BodyText"/>
        <w:spacing w:line="217" w:lineRule="exact"/>
        <w:ind w:left="513" w:right="94"/>
        <w:jc w:val="left"/>
      </w:pPr>
      <w:r>
        <w:rPr/>
        <w:t>（</w:t>
      </w:r>
      <w:r>
        <w:rPr>
          <w:rFonts w:ascii="Times New Roman" w:hAnsi="Times New Roman" w:cs="Times New Roman" w:eastAsia="Times New Roman" w:hint="default"/>
        </w:rPr>
        <w:t>2</w:t>
      </w:r>
      <w:r>
        <w:rPr/>
        <w:t>）稀释每股收益</w:t>
      </w:r>
    </w:p>
    <w:p>
      <w:pPr>
        <w:pStyle w:val="BodyText"/>
        <w:spacing w:line="240" w:lineRule="auto" w:before="101"/>
        <w:ind w:left="513" w:right="0"/>
        <w:jc w:val="left"/>
      </w:pPr>
      <w:r>
        <w:rPr/>
        <w:t>稀释每股收益以调整后归属于本公司普通股股东的合并净利润除以调整后的本公司发行在外普通股的加权平均数计算：</w:t>
      </w:r>
    </w:p>
    <w:p>
      <w:pPr>
        <w:spacing w:line="240" w:lineRule="auto" w:before="1"/>
        <w:rPr>
          <w:rFonts w:ascii="宋体" w:hAnsi="宋体" w:cs="宋体" w:eastAsia="宋体" w:hint="default"/>
          <w:sz w:val="11"/>
          <w:szCs w:val="11"/>
        </w:rPr>
      </w:pPr>
    </w:p>
    <w:tbl>
      <w:tblPr>
        <w:tblW w:w="0" w:type="auto"/>
        <w:jc w:val="left"/>
        <w:tblInd w:w="465" w:type="dxa"/>
        <w:tblLayout w:type="fixed"/>
        <w:tblCellMar>
          <w:top w:w="0" w:type="dxa"/>
          <w:left w:w="0" w:type="dxa"/>
          <w:bottom w:w="0" w:type="dxa"/>
          <w:right w:w="0" w:type="dxa"/>
        </w:tblCellMar>
        <w:tblLook w:val="01E0"/>
      </w:tblPr>
      <w:tblGrid>
        <w:gridCol w:w="5022"/>
        <w:gridCol w:w="1990"/>
        <w:gridCol w:w="1988"/>
      </w:tblGrid>
      <w:tr>
        <w:trPr>
          <w:trHeight w:val="516" w:hRule="exact"/>
        </w:trPr>
        <w:tc>
          <w:tcPr>
            <w:tcW w:w="5022"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62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62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529" w:hRule="exact"/>
        </w:trPr>
        <w:tc>
          <w:tcPr>
            <w:tcW w:w="502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4"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归属于本公司普通股股东的合并净利润（稀释）</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Times New Roman" w:hAnsi="Times New Roman" w:cs="Times New Roman" w:eastAsia="Times New Roman" w:hint="default"/>
                <w:sz w:val="18"/>
                <w:szCs w:val="18"/>
              </w:rPr>
            </w:pPr>
            <w:r>
              <w:rPr>
                <w:rFonts w:ascii="Times New Roman"/>
                <w:spacing w:val="-1"/>
                <w:sz w:val="18"/>
              </w:rPr>
              <w:t>429,028,904.35</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Times New Roman" w:hAnsi="Times New Roman" w:cs="Times New Roman" w:eastAsia="Times New Roman" w:hint="default"/>
                <w:sz w:val="18"/>
                <w:szCs w:val="18"/>
              </w:rPr>
            </w:pPr>
            <w:r>
              <w:rPr>
                <w:rFonts w:ascii="Times New Roman"/>
                <w:spacing w:val="-1"/>
                <w:sz w:val="18"/>
              </w:rPr>
              <w:t>353,192,823.35</w:t>
            </w:r>
          </w:p>
        </w:tc>
      </w:tr>
      <w:tr>
        <w:trPr>
          <w:trHeight w:val="528" w:hRule="exact"/>
        </w:trPr>
        <w:tc>
          <w:tcPr>
            <w:tcW w:w="502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4" w:right="0"/>
              <w:jc w:val="left"/>
              <w:rPr>
                <w:rFonts w:ascii="宋体" w:hAnsi="宋体" w:cs="宋体" w:eastAsia="宋体" w:hint="default"/>
                <w:sz w:val="18"/>
                <w:szCs w:val="18"/>
              </w:rPr>
            </w:pPr>
            <w:r>
              <w:rPr>
                <w:rFonts w:ascii="宋体" w:hAnsi="宋体" w:cs="宋体" w:eastAsia="宋体" w:hint="default"/>
                <w:sz w:val="18"/>
                <w:szCs w:val="18"/>
              </w:rPr>
              <w:t>本公司发行在外普通股的加权平均数</w:t>
            </w:r>
            <w:r>
              <w:rPr>
                <w:rFonts w:ascii="宋体" w:hAnsi="宋体" w:cs="宋体" w:eastAsia="宋体" w:hint="default"/>
                <w:spacing w:val="-18"/>
                <w:sz w:val="18"/>
                <w:szCs w:val="18"/>
              </w:rPr>
              <w:t> </w:t>
            </w:r>
            <w:r>
              <w:rPr>
                <w:rFonts w:ascii="宋体" w:hAnsi="宋体" w:cs="宋体" w:eastAsia="宋体" w:hint="default"/>
                <w:sz w:val="18"/>
                <w:szCs w:val="18"/>
              </w:rPr>
              <w:t>（稀释）</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379,897,283.33</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379,200,000.00</w:t>
            </w:r>
          </w:p>
        </w:tc>
      </w:tr>
      <w:tr>
        <w:trPr>
          <w:trHeight w:val="516" w:hRule="exact"/>
        </w:trPr>
        <w:tc>
          <w:tcPr>
            <w:tcW w:w="502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right"/>
              <w:rPr>
                <w:rFonts w:ascii="Times New Roman" w:hAnsi="Times New Roman" w:cs="Times New Roman" w:eastAsia="Times New Roman" w:hint="default"/>
                <w:sz w:val="18"/>
                <w:szCs w:val="18"/>
              </w:rPr>
            </w:pPr>
            <w:r>
              <w:rPr>
                <w:rFonts w:ascii="Times New Roman"/>
                <w:spacing w:val="-1"/>
                <w:sz w:val="18"/>
              </w:rPr>
              <w:t>1.13</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right"/>
              <w:rPr>
                <w:rFonts w:ascii="Times New Roman" w:hAnsi="Times New Roman" w:cs="Times New Roman" w:eastAsia="Times New Roman" w:hint="default"/>
                <w:sz w:val="18"/>
                <w:szCs w:val="18"/>
              </w:rPr>
            </w:pPr>
            <w:r>
              <w:rPr>
                <w:rFonts w:ascii="Times New Roman"/>
                <w:spacing w:val="-1"/>
                <w:sz w:val="18"/>
              </w:rPr>
              <w:t>0.93</w:t>
            </w:r>
          </w:p>
        </w:tc>
      </w:tr>
    </w:tbl>
    <w:p>
      <w:pPr>
        <w:pStyle w:val="BodyText"/>
        <w:spacing w:line="203" w:lineRule="exact"/>
        <w:ind w:left="870" w:right="94"/>
        <w:jc w:val="left"/>
      </w:pPr>
      <w:r>
        <w:rPr/>
        <w:t>普通股的加权平均数（稀释）计算过程如下：</w:t>
      </w:r>
    </w:p>
    <w:p>
      <w:pPr>
        <w:spacing w:line="240" w:lineRule="auto" w:before="4"/>
        <w:rPr>
          <w:rFonts w:ascii="宋体" w:hAnsi="宋体" w:cs="宋体" w:eastAsia="宋体" w:hint="default"/>
          <w:sz w:val="11"/>
          <w:szCs w:val="11"/>
        </w:rPr>
      </w:pPr>
    </w:p>
    <w:tbl>
      <w:tblPr>
        <w:tblW w:w="0" w:type="auto"/>
        <w:jc w:val="left"/>
        <w:tblInd w:w="376" w:type="dxa"/>
        <w:tblLayout w:type="fixed"/>
        <w:tblCellMar>
          <w:top w:w="0" w:type="dxa"/>
          <w:left w:w="0" w:type="dxa"/>
          <w:bottom w:w="0" w:type="dxa"/>
          <w:right w:w="0" w:type="dxa"/>
        </w:tblCellMar>
        <w:tblLook w:val="01E0"/>
      </w:tblPr>
      <w:tblGrid>
        <w:gridCol w:w="5123"/>
        <w:gridCol w:w="2028"/>
        <w:gridCol w:w="2029"/>
      </w:tblGrid>
      <w:tr>
        <w:trPr>
          <w:trHeight w:val="384" w:hRule="exact"/>
        </w:trPr>
        <w:tc>
          <w:tcPr>
            <w:tcW w:w="5123"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02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86" w:hRule="exact"/>
        </w:trPr>
        <w:tc>
          <w:tcPr>
            <w:tcW w:w="5123"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3" w:right="0"/>
              <w:jc w:val="center"/>
              <w:rPr>
                <w:rFonts w:ascii="宋体" w:hAnsi="宋体" w:cs="宋体" w:eastAsia="宋体" w:hint="default"/>
                <w:sz w:val="18"/>
                <w:szCs w:val="18"/>
              </w:rPr>
            </w:pPr>
            <w:r>
              <w:rPr>
                <w:rFonts w:ascii="宋体" w:hAnsi="宋体" w:cs="宋体" w:eastAsia="宋体" w:hint="default"/>
                <w:sz w:val="18"/>
                <w:szCs w:val="18"/>
              </w:rPr>
              <w:t>计算基本每股收益时年末发行在外的普通股加权平均数</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379,897,283.33</w:t>
            </w:r>
          </w:p>
        </w:tc>
        <w:tc>
          <w:tcPr>
            <w:tcW w:w="20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379,200,000.00</w:t>
            </w:r>
          </w:p>
        </w:tc>
      </w:tr>
      <w:tr>
        <w:trPr>
          <w:trHeight w:val="384" w:hRule="exact"/>
        </w:trPr>
        <w:tc>
          <w:tcPr>
            <w:tcW w:w="5123"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3" w:right="0"/>
              <w:jc w:val="center"/>
              <w:rPr>
                <w:rFonts w:ascii="宋体" w:hAnsi="宋体" w:cs="宋体" w:eastAsia="宋体" w:hint="default"/>
                <w:sz w:val="18"/>
                <w:szCs w:val="18"/>
              </w:rPr>
            </w:pPr>
            <w:r>
              <w:rPr>
                <w:rFonts w:ascii="宋体" w:hAnsi="宋体" w:cs="宋体" w:eastAsia="宋体" w:hint="default"/>
                <w:sz w:val="18"/>
                <w:szCs w:val="18"/>
              </w:rPr>
              <w:t>可转换债券的影响</w:t>
            </w:r>
          </w:p>
        </w:tc>
        <w:tc>
          <w:tcPr>
            <w:tcW w:w="2028" w:type="dxa"/>
            <w:tcBorders>
              <w:top w:val="single" w:sz="6" w:space="0" w:color="000000"/>
              <w:left w:val="single" w:sz="6" w:space="0" w:color="000000"/>
              <w:bottom w:val="single" w:sz="6" w:space="0" w:color="000000"/>
              <w:right w:val="single" w:sz="6" w:space="0" w:color="000000"/>
            </w:tcBorders>
          </w:tcPr>
          <w:p>
            <w:pPr/>
          </w:p>
        </w:tc>
        <w:tc>
          <w:tcPr>
            <w:tcW w:w="202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52" w:footer="980" w:top="1340" w:bottom="1160" w:left="980" w:right="940"/>
        </w:sectPr>
      </w:pPr>
    </w:p>
    <w:p>
      <w:pPr>
        <w:spacing w:line="240" w:lineRule="auto" w:before="2"/>
        <w:rPr>
          <w:rFonts w:ascii="宋体" w:hAnsi="宋体" w:cs="宋体" w:eastAsia="宋体" w:hint="default"/>
          <w:sz w:val="7"/>
          <w:szCs w:val="7"/>
        </w:rPr>
      </w:pPr>
    </w:p>
    <w:tbl>
      <w:tblPr>
        <w:tblW w:w="0" w:type="auto"/>
        <w:jc w:val="left"/>
        <w:tblInd w:w="376" w:type="dxa"/>
        <w:tblLayout w:type="fixed"/>
        <w:tblCellMar>
          <w:top w:w="0" w:type="dxa"/>
          <w:left w:w="0" w:type="dxa"/>
          <w:bottom w:w="0" w:type="dxa"/>
          <w:right w:w="0" w:type="dxa"/>
        </w:tblCellMar>
        <w:tblLook w:val="01E0"/>
      </w:tblPr>
      <w:tblGrid>
        <w:gridCol w:w="5123"/>
        <w:gridCol w:w="2028"/>
        <w:gridCol w:w="2029"/>
      </w:tblGrid>
      <w:tr>
        <w:trPr>
          <w:trHeight w:val="384" w:hRule="exact"/>
        </w:trPr>
        <w:tc>
          <w:tcPr>
            <w:tcW w:w="5123"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 w:right="0"/>
              <w:jc w:val="center"/>
              <w:rPr>
                <w:rFonts w:ascii="宋体" w:hAnsi="宋体" w:cs="宋体" w:eastAsia="宋体" w:hint="default"/>
                <w:sz w:val="18"/>
                <w:szCs w:val="18"/>
              </w:rPr>
            </w:pPr>
            <w:r>
              <w:rPr>
                <w:rFonts w:ascii="宋体" w:hAnsi="宋体" w:cs="宋体" w:eastAsia="宋体" w:hint="default"/>
                <w:sz w:val="18"/>
                <w:szCs w:val="18"/>
              </w:rPr>
              <w:t>股份期权的影响</w:t>
            </w:r>
          </w:p>
        </w:tc>
        <w:tc>
          <w:tcPr>
            <w:tcW w:w="2028" w:type="dxa"/>
            <w:tcBorders>
              <w:top w:val="single" w:sz="6" w:space="0" w:color="000000"/>
              <w:left w:val="single" w:sz="6" w:space="0" w:color="000000"/>
              <w:bottom w:val="single" w:sz="6" w:space="0" w:color="000000"/>
              <w:right w:val="single" w:sz="6" w:space="0" w:color="000000"/>
            </w:tcBorders>
          </w:tcPr>
          <w:p>
            <w:pPr/>
          </w:p>
        </w:tc>
        <w:tc>
          <w:tcPr>
            <w:tcW w:w="2029" w:type="dxa"/>
            <w:tcBorders>
              <w:top w:val="single" w:sz="6" w:space="0" w:color="000000"/>
              <w:left w:val="single" w:sz="6" w:space="0" w:color="000000"/>
              <w:bottom w:val="single" w:sz="6" w:space="0" w:color="000000"/>
              <w:right w:val="single" w:sz="6" w:space="0" w:color="000000"/>
            </w:tcBorders>
          </w:tcPr>
          <w:p>
            <w:pPr/>
          </w:p>
        </w:tc>
      </w:tr>
      <w:tr>
        <w:trPr>
          <w:trHeight w:val="386" w:hRule="exact"/>
        </w:trPr>
        <w:tc>
          <w:tcPr>
            <w:tcW w:w="5123"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 w:right="0"/>
              <w:jc w:val="center"/>
              <w:rPr>
                <w:rFonts w:ascii="宋体" w:hAnsi="宋体" w:cs="宋体" w:eastAsia="宋体" w:hint="default"/>
                <w:sz w:val="18"/>
                <w:szCs w:val="18"/>
              </w:rPr>
            </w:pPr>
            <w:r>
              <w:rPr>
                <w:rFonts w:ascii="宋体" w:hAnsi="宋体" w:cs="宋体" w:eastAsia="宋体" w:hint="default"/>
                <w:sz w:val="18"/>
                <w:szCs w:val="18"/>
              </w:rPr>
              <w:t>年末普通股的加权平均数（稀释）</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43" w:right="0"/>
              <w:jc w:val="left"/>
              <w:rPr>
                <w:rFonts w:ascii="Times New Roman" w:hAnsi="Times New Roman" w:cs="Times New Roman" w:eastAsia="Times New Roman" w:hint="default"/>
                <w:sz w:val="18"/>
                <w:szCs w:val="18"/>
              </w:rPr>
            </w:pPr>
            <w:r>
              <w:rPr>
                <w:rFonts w:ascii="Times New Roman"/>
                <w:sz w:val="18"/>
              </w:rPr>
              <w:t>379,897,283.33</w:t>
            </w:r>
          </w:p>
        </w:tc>
        <w:tc>
          <w:tcPr>
            <w:tcW w:w="20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44" w:right="0"/>
              <w:jc w:val="left"/>
              <w:rPr>
                <w:rFonts w:ascii="Times New Roman" w:hAnsi="Times New Roman" w:cs="Times New Roman" w:eastAsia="Times New Roman" w:hint="default"/>
                <w:sz w:val="18"/>
                <w:szCs w:val="18"/>
              </w:rPr>
            </w:pPr>
            <w:r>
              <w:rPr>
                <w:rFonts w:ascii="Times New Roman"/>
                <w:sz w:val="18"/>
              </w:rPr>
              <w:t>379,200,000.00</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5081"/>
        <w:gridCol w:w="2085"/>
        <w:gridCol w:w="2393"/>
      </w:tblGrid>
      <w:tr>
        <w:trPr>
          <w:trHeight w:val="324"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按照权益法核算的在被投资单位其他综合收益中所享有的份额</w:t>
            </w:r>
          </w:p>
        </w:tc>
        <w:tc>
          <w:tcPr>
            <w:tcW w:w="20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-362,408.63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-5,859.66</w:t>
            </w:r>
          </w:p>
        </w:tc>
      </w:tr>
      <w:tr>
        <w:trPr>
          <w:trHeight w:val="32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0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-362,408.63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-5,859.66</w:t>
            </w:r>
          </w:p>
        </w:tc>
      </w:tr>
      <w:tr>
        <w:trPr>
          <w:trHeight w:val="32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20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24,852.48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-60,800.74</w:t>
            </w:r>
          </w:p>
        </w:tc>
      </w:tr>
      <w:tr>
        <w:trPr>
          <w:trHeight w:val="324"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0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24,852.48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-60,800.74</w:t>
            </w:r>
          </w:p>
        </w:tc>
      </w:tr>
      <w:tr>
        <w:trPr>
          <w:trHeight w:val="324"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1,004,400.00</w:t>
            </w:r>
          </w:p>
        </w:tc>
      </w:tr>
      <w:tr>
        <w:trPr>
          <w:trHeight w:val="32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0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2,400,000.00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1,004,400.00</w:t>
            </w:r>
          </w:p>
        </w:tc>
      </w:tr>
      <w:tr>
        <w:trPr>
          <w:trHeight w:val="32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0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2,062,443.85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937,739.60</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324"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收到各项政府补助</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6,441,638.22</w:t>
            </w:r>
          </w:p>
        </w:tc>
      </w:tr>
      <w:tr>
        <w:trPr>
          <w:trHeight w:val="32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收到利息收入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29,777,824.22</w:t>
            </w:r>
          </w:p>
        </w:tc>
      </w:tr>
      <w:tr>
        <w:trPr>
          <w:trHeight w:val="322"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收到的押金、保证金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5,525,000.00</w:t>
            </w:r>
          </w:p>
        </w:tc>
      </w:tr>
      <w:tr>
        <w:trPr>
          <w:trHeight w:val="32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收到其他零星现金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9,861,501.85</w:t>
            </w:r>
          </w:p>
        </w:tc>
      </w:tr>
      <w:tr>
        <w:trPr>
          <w:trHeight w:val="324"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51,605,964.29</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324"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2"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支付办公、差旅、房租、招待等费用及往来款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130,277,255.89</w:t>
            </w:r>
          </w:p>
        </w:tc>
      </w:tr>
      <w:tr>
        <w:trPr>
          <w:trHeight w:val="32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支付的押金、保证金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4,605,500.00</w:t>
            </w:r>
          </w:p>
        </w:tc>
      </w:tr>
      <w:tr>
        <w:trPr>
          <w:trHeight w:val="324"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134,882,755.89</w:t>
            </w:r>
          </w:p>
        </w:tc>
      </w:tr>
    </w:tbl>
    <w:p>
      <w:pPr>
        <w:spacing w:line="240" w:lineRule="auto" w:before="8"/>
        <w:rPr>
          <w:rFonts w:ascii="宋体" w:hAnsi="宋体" w:cs="宋体" w:eastAsia="宋体" w:hint="default"/>
          <w:sz w:val="17"/>
          <w:szCs w:val="17"/>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324"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2"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收回的银行保函保证金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868,052.75</w:t>
            </w:r>
          </w:p>
        </w:tc>
      </w:tr>
      <w:tr>
        <w:trPr>
          <w:trHeight w:val="32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政府补助记入资本公积项目</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324"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3,268,052.75</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40" w:bottom="1160" w:left="980" w:right="980"/>
        </w:sectPr>
      </w:pPr>
    </w:p>
    <w:p>
      <w:pPr>
        <w:pStyle w:val="Heading3"/>
        <w:spacing w:line="240" w:lineRule="auto" w:before="59"/>
        <w:ind w:right="0"/>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32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9" w:space="0" w:color="D2D2D2"/>
              <w:left w:val="single" w:sz="12" w:space="0" w:color="D2D2D2"/>
              <w:bottom w:val="single" w:sz="4" w:space="0" w:color="000000"/>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pacing w:val="-1"/>
                <w:sz w:val="18"/>
              </w:rPr>
              <w:t>426,909,238.05</w:t>
            </w:r>
          </w:p>
        </w:tc>
        <w:tc>
          <w:tcPr>
            <w:tcW w:w="2657"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18"/>
                <w:szCs w:val="18"/>
              </w:rPr>
            </w:pPr>
            <w:r>
              <w:rPr>
                <w:rFonts w:ascii="Times New Roman"/>
                <w:spacing w:val="-1"/>
                <w:sz w:val="18"/>
              </w:rPr>
              <w:t>351,196,493.68</w:t>
            </w:r>
          </w:p>
        </w:tc>
      </w:tr>
      <w:tr>
        <w:trPr>
          <w:trHeight w:val="32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16,744,702.99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17,038,554.10</w:t>
            </w:r>
          </w:p>
        </w:tc>
      </w:tr>
      <w:tr>
        <w:trPr>
          <w:trHeight w:val="32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25,591,410.57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20,636,721.47</w:t>
            </w:r>
          </w:p>
        </w:tc>
      </w:tr>
      <w:tr>
        <w:trPr>
          <w:trHeight w:val="32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7,425,506.40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5,321,408.54</w:t>
            </w:r>
          </w:p>
        </w:tc>
      </w:tr>
      <w:tr>
        <w:trPr>
          <w:trHeight w:val="32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407,566.12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553,296.94</w:t>
            </w:r>
          </w:p>
        </w:tc>
      </w:tr>
      <w:tr>
        <w:trPr>
          <w:trHeight w:val="557"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w:t>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83,242.77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242,916.19</w:t>
            </w:r>
          </w:p>
        </w:tc>
      </w:tr>
      <w:tr>
        <w:trPr>
          <w:trHeight w:val="32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w w:val="95"/>
                <w:sz w:val="18"/>
              </w:rPr>
              <w:t>56,311.50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127,870.87</w:t>
            </w:r>
          </w:p>
        </w:tc>
      </w:tr>
      <w:tr>
        <w:trPr>
          <w:trHeight w:val="32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-10,273,998.67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-29,819,673.99</w:t>
            </w:r>
          </w:p>
        </w:tc>
      </w:tr>
      <w:tr>
        <w:trPr>
          <w:trHeight w:val="32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-607,970.75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-13,486,977.74</w:t>
            </w:r>
          </w:p>
        </w:tc>
      </w:tr>
      <w:tr>
        <w:trPr>
          <w:trHeight w:val="32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-8,263,752.31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-22,993,290.03</w:t>
            </w:r>
          </w:p>
        </w:tc>
      </w:tr>
      <w:tr>
        <w:trPr>
          <w:trHeight w:val="32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-141,865,517.42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-249,424,208.19</w:t>
            </w:r>
          </w:p>
        </w:tc>
      </w:tr>
      <w:tr>
        <w:trPr>
          <w:trHeight w:val="32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-92,606,518.84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112,903,454.41</w:t>
            </w:r>
          </w:p>
        </w:tc>
      </w:tr>
      <w:tr>
        <w:trPr>
          <w:trHeight w:val="32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5,443,754.20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21,963,990.80</w:t>
            </w:r>
          </w:p>
        </w:tc>
      </w:tr>
      <w:tr>
        <w:trPr>
          <w:trHeight w:val="32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10" w:space="0" w:color="D2D2D2"/>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229,043,974.61</w:t>
            </w:r>
          </w:p>
        </w:tc>
        <w:tc>
          <w:tcPr>
            <w:tcW w:w="2657"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214,260,557.05</w:t>
            </w:r>
          </w:p>
        </w:tc>
      </w:tr>
      <w:tr>
        <w:trPr>
          <w:trHeight w:val="32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10" w:space="0" w:color="D2D2D2"/>
              <w:left w:val="single" w:sz="12" w:space="0" w:color="D2D2D2"/>
              <w:bottom w:val="single" w:sz="4" w:space="0" w:color="000000"/>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pacing w:val="-1"/>
                <w:sz w:val="18"/>
              </w:rPr>
              <w:t>1,371,802,148.14</w:t>
            </w:r>
          </w:p>
        </w:tc>
        <w:tc>
          <w:tcPr>
            <w:tcW w:w="2657"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18"/>
                <w:szCs w:val="18"/>
              </w:rPr>
            </w:pPr>
            <w:r>
              <w:rPr>
                <w:rFonts w:ascii="Times New Roman"/>
                <w:spacing w:val="-1"/>
                <w:sz w:val="18"/>
              </w:rPr>
              <w:t>1,361,363,099.85</w:t>
            </w:r>
          </w:p>
        </w:tc>
      </w:tr>
      <w:tr>
        <w:trPr>
          <w:trHeight w:val="32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1,361,363,099.85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1,673,584,436.22</w:t>
            </w:r>
          </w:p>
        </w:tc>
      </w:tr>
      <w:tr>
        <w:trPr>
          <w:trHeight w:val="32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10,439,048.29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-312,221,336.37</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32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2534" w:type="dxa"/>
            <w:tcBorders>
              <w:top w:val="single" w:sz="6" w:space="0" w:color="D2D2D2"/>
              <w:left w:val="single" w:sz="12" w:space="0" w:color="D2D2D2"/>
              <w:bottom w:val="single" w:sz="4" w:space="0" w:color="000000"/>
              <w:right w:val="single" w:sz="4" w:space="0" w:color="000000"/>
            </w:tcBorders>
          </w:tcPr>
          <w:p>
            <w:pPr/>
          </w:p>
        </w:tc>
        <w:tc>
          <w:tcPr>
            <w:tcW w:w="2657"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260,500,000.00</w:t>
            </w:r>
          </w:p>
        </w:tc>
      </w:tr>
      <w:tr>
        <w:trPr>
          <w:trHeight w:val="32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取得子公司及其他营业单</w:t>
            </w:r>
            <w:r>
              <w:rPr>
                <w:rFonts w:ascii="宋体" w:hAnsi="宋体" w:cs="宋体" w:eastAsia="宋体" w:hint="default"/>
                <w:spacing w:val="-3"/>
                <w:sz w:val="18"/>
                <w:szCs w:val="18"/>
              </w:rPr>
              <w:t>位</w:t>
            </w:r>
            <w:r>
              <w:rPr>
                <w:rFonts w:ascii="宋体" w:hAnsi="宋体" w:cs="宋体" w:eastAsia="宋体" w:hint="default"/>
                <w:sz w:val="18"/>
                <w:szCs w:val="18"/>
              </w:rPr>
              <w:t>支付的现金和现金等价物</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184,500,000.00</w:t>
            </w:r>
          </w:p>
        </w:tc>
      </w:tr>
      <w:tr>
        <w:trPr>
          <w:trHeight w:val="557"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37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19,314,000.15</w:t>
            </w:r>
          </w:p>
        </w:tc>
      </w:tr>
      <w:tr>
        <w:trPr>
          <w:trHeight w:val="32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165,185,999.85</w:t>
            </w:r>
          </w:p>
        </w:tc>
      </w:tr>
      <w:tr>
        <w:trPr>
          <w:trHeight w:val="32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48,557,878.93</w:t>
            </w:r>
          </w:p>
        </w:tc>
      </w:tr>
      <w:tr>
        <w:trPr>
          <w:trHeight w:val="32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41,321,116.19</w:t>
            </w:r>
          </w:p>
        </w:tc>
      </w:tr>
      <w:tr>
        <w:trPr>
          <w:trHeight w:val="32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39,282,978.06</w:t>
            </w:r>
          </w:p>
        </w:tc>
      </w:tr>
      <w:tr>
        <w:trPr>
          <w:trHeight w:val="32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7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31,023,124.27</w:t>
            </w:r>
          </w:p>
        </w:tc>
      </w:tr>
      <w:tr>
        <w:trPr>
          <w:trHeight w:val="32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34" w:type="dxa"/>
            <w:tcBorders>
              <w:top w:val="single" w:sz="4" w:space="0" w:color="000000"/>
              <w:left w:val="single" w:sz="12" w:space="0" w:color="D2D2D2"/>
              <w:bottom w:val="single" w:sz="10" w:space="0" w:color="D2D2D2"/>
              <w:right w:val="single" w:sz="4" w:space="0" w:color="000000"/>
            </w:tcBorders>
          </w:tcPr>
          <w:p>
            <w:pPr/>
          </w:p>
        </w:tc>
        <w:tc>
          <w:tcPr>
            <w:tcW w:w="2657"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1,023,091.05</w:t>
            </w:r>
          </w:p>
        </w:tc>
      </w:tr>
      <w:tr>
        <w:trPr>
          <w:trHeight w:val="32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80" w:top="1340" w:bottom="1160" w:left="980" w:right="980"/>
        </w:sectPr>
      </w:pPr>
    </w:p>
    <w:p>
      <w:pPr>
        <w:pStyle w:val="Heading3"/>
        <w:spacing w:line="240" w:lineRule="auto" w:before="59"/>
        <w:ind w:right="94"/>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4"/>
        <w:ind w:left="0" w:right="19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324"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1,371,802,148.14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1,361,363,099.85</w:t>
            </w:r>
          </w:p>
        </w:tc>
      </w:tr>
      <w:tr>
        <w:trPr>
          <w:trHeight w:val="32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374,213.74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390,467.74</w:t>
            </w:r>
          </w:p>
        </w:tc>
      </w:tr>
      <w:tr>
        <w:trPr>
          <w:trHeight w:val="324"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1,371,396,028.71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1,360,708,771.40</w:t>
            </w:r>
          </w:p>
        </w:tc>
      </w:tr>
      <w:tr>
        <w:trPr>
          <w:trHeight w:val="324"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31,905.69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263,860.71</w:t>
            </w:r>
          </w:p>
        </w:tc>
      </w:tr>
      <w:tr>
        <w:trPr>
          <w:trHeight w:val="324"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1,371,802,148.14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1,361,363,099.85</w:t>
            </w:r>
          </w:p>
        </w:tc>
      </w:tr>
    </w:tbl>
    <w:p>
      <w:pPr>
        <w:spacing w:line="240" w:lineRule="auto" w:before="11"/>
        <w:rPr>
          <w:rFonts w:ascii="宋体" w:hAnsi="宋体" w:cs="宋体" w:eastAsia="宋体" w:hint="default"/>
          <w:sz w:val="17"/>
          <w:szCs w:val="17"/>
        </w:rPr>
      </w:pPr>
    </w:p>
    <w:p>
      <w:pPr>
        <w:pStyle w:val="Heading2"/>
        <w:spacing w:line="240" w:lineRule="auto" w:before="26"/>
        <w:ind w:right="94"/>
        <w:jc w:val="left"/>
        <w:rPr>
          <w:b w:val="0"/>
          <w:bCs w:val="0"/>
        </w:rPr>
      </w:pPr>
      <w:r>
        <w:rPr/>
        <w:t>八、资产证券化业务的会计处理</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right="94"/>
        <w:jc w:val="left"/>
      </w:pPr>
      <w:r>
        <w:rPr/>
        <w:t>无</w:t>
      </w:r>
    </w:p>
    <w:p>
      <w:pPr>
        <w:spacing w:line="240" w:lineRule="auto" w:before="2"/>
        <w:rPr>
          <w:rFonts w:ascii="宋体" w:hAnsi="宋体" w:cs="宋体" w:eastAsia="宋体" w:hint="default"/>
          <w:sz w:val="22"/>
          <w:szCs w:val="22"/>
        </w:rPr>
      </w:pPr>
    </w:p>
    <w:p>
      <w:pPr>
        <w:pStyle w:val="Heading2"/>
        <w:spacing w:line="240" w:lineRule="auto"/>
        <w:ind w:right="94"/>
        <w:jc w:val="left"/>
        <w:rPr>
          <w:b w:val="0"/>
          <w:bCs w:val="0"/>
        </w:rPr>
      </w:pPr>
      <w:r>
        <w:rPr/>
        <w:t>九、关联方及关联交易</w:t>
      </w:r>
      <w:r>
        <w:rPr>
          <w:b w:val="0"/>
          <w:bCs w:val="0"/>
        </w:rPr>
      </w:r>
    </w:p>
    <w:p>
      <w:pPr>
        <w:spacing w:line="240" w:lineRule="auto" w:before="3"/>
        <w:rPr>
          <w:rFonts w:ascii="宋体" w:hAnsi="宋体" w:cs="宋体" w:eastAsia="宋体" w:hint="default"/>
          <w:b/>
          <w:bCs/>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9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874"/>
        <w:gridCol w:w="869"/>
        <w:gridCol w:w="871"/>
        <w:gridCol w:w="869"/>
        <w:gridCol w:w="871"/>
        <w:gridCol w:w="869"/>
        <w:gridCol w:w="871"/>
        <w:gridCol w:w="869"/>
        <w:gridCol w:w="872"/>
        <w:gridCol w:w="869"/>
        <w:gridCol w:w="862"/>
      </w:tblGrid>
      <w:tr>
        <w:trPr>
          <w:trHeight w:val="1025"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341" w:right="70"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6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69"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持股比例 </w:t>
            </w:r>
            <w:r>
              <w:rPr>
                <w:rFonts w:ascii="Times New Roman" w:hAnsi="Times New Roman" w:cs="Times New Roman" w:eastAsia="Times New Roman"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69" w:right="70"/>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557"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113"/>
              <w:jc w:val="left"/>
              <w:rPr>
                <w:rFonts w:ascii="宋体" w:hAnsi="宋体" w:cs="宋体" w:eastAsia="宋体" w:hint="default"/>
                <w:sz w:val="18"/>
                <w:szCs w:val="18"/>
              </w:rPr>
            </w:pPr>
            <w:r>
              <w:rPr>
                <w:rFonts w:ascii="宋体" w:hAnsi="宋体" w:cs="宋体" w:eastAsia="宋体" w:hint="default"/>
                <w:sz w:val="18"/>
                <w:szCs w:val="18"/>
              </w:rPr>
              <w:t>实际控制 人</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156"/>
              <w:ind w:right="16"/>
              <w:jc w:val="right"/>
              <w:rPr>
                <w:rFonts w:ascii="Times New Roman" w:hAnsi="Times New Roman" w:cs="Times New Roman" w:eastAsia="Times New Roman" w:hint="default"/>
                <w:sz w:val="18"/>
                <w:szCs w:val="18"/>
              </w:rPr>
            </w:pPr>
            <w:r>
              <w:rPr>
                <w:rFonts w:ascii="Times New Roman"/>
                <w:sz w:val="18"/>
              </w:rPr>
              <w:t>13.78%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宁</w:t>
            </w: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力</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113"/>
              <w:jc w:val="left"/>
              <w:rPr>
                <w:rFonts w:ascii="宋体" w:hAnsi="宋体" w:cs="宋体" w:eastAsia="宋体" w:hint="default"/>
                <w:sz w:val="18"/>
                <w:szCs w:val="18"/>
              </w:rPr>
            </w:pPr>
            <w:r>
              <w:rPr>
                <w:rFonts w:ascii="宋体" w:hAnsi="宋体" w:cs="宋体" w:eastAsia="宋体" w:hint="default"/>
                <w:sz w:val="18"/>
                <w:szCs w:val="18"/>
              </w:rPr>
              <w:t>实际控制 人</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13.78%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力</w:t>
            </w: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27.56%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27.56%</w:t>
            </w:r>
          </w:p>
        </w:tc>
        <w:tc>
          <w:tcPr>
            <w:tcW w:w="869"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03" w:lineRule="exact"/>
        <w:ind w:right="94"/>
        <w:jc w:val="left"/>
      </w:pPr>
      <w:r>
        <w:rPr>
          <w:spacing w:val="-4"/>
        </w:rPr>
        <w:t>本公司的并列第一大股东为自然人王宁先生、李力先生。双方签定了一致行动协议，为一致行动人。是本公司的实际控制人。</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right="94"/>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9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557"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22"/>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22"/>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79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22"/>
              <w:jc w:val="both"/>
              <w:rPr>
                <w:rFonts w:ascii="宋体" w:hAnsi="宋体" w:cs="宋体" w:eastAsia="宋体" w:hint="default"/>
                <w:sz w:val="18"/>
                <w:szCs w:val="18"/>
              </w:rPr>
            </w:pPr>
            <w:r>
              <w:rPr>
                <w:rFonts w:ascii="宋体" w:hAnsi="宋体" w:cs="宋体" w:eastAsia="宋体" w:hint="default"/>
                <w:sz w:val="18"/>
                <w:szCs w:val="18"/>
              </w:rPr>
              <w:t>北京新媒传 信科技有限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8"/>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汪铖</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8"/>
              <w:ind w:left="23" w:right="21"/>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w:t>
            </w:r>
          </w:p>
        </w:tc>
        <w:tc>
          <w:tcPr>
            <w:tcW w:w="955"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3" w:right="139"/>
              <w:jc w:val="left"/>
              <w:rPr>
                <w:rFonts w:ascii="Times New Roman" w:hAnsi="Times New Roman" w:cs="Times New Roman" w:eastAsia="Times New Roman" w:hint="default"/>
                <w:sz w:val="18"/>
                <w:szCs w:val="18"/>
              </w:rPr>
            </w:pPr>
            <w:r>
              <w:rPr>
                <w:rFonts w:ascii="Times New Roman"/>
                <w:sz w:val="18"/>
              </w:rPr>
              <w:t>79998269- X</w:t>
            </w:r>
          </w:p>
        </w:tc>
      </w:tr>
      <w:tr>
        <w:trPr>
          <w:trHeight w:val="79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4" w:right="22"/>
              <w:jc w:val="both"/>
              <w:rPr>
                <w:rFonts w:ascii="宋体" w:hAnsi="宋体" w:cs="宋体" w:eastAsia="宋体" w:hint="default"/>
                <w:sz w:val="18"/>
                <w:szCs w:val="18"/>
              </w:rPr>
            </w:pPr>
            <w:r>
              <w:rPr>
                <w:rFonts w:ascii="宋体" w:hAnsi="宋体" w:cs="宋体" w:eastAsia="宋体" w:hint="default"/>
                <w:sz w:val="18"/>
                <w:szCs w:val="18"/>
              </w:rPr>
              <w:t>神州泰岳通 信技术有限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黄松浪</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23" w:right="21"/>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68693517-6</w:t>
            </w:r>
          </w:p>
        </w:tc>
      </w:tr>
      <w:tr>
        <w:trPr>
          <w:trHeight w:val="79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22"/>
              <w:jc w:val="both"/>
              <w:rPr>
                <w:rFonts w:ascii="宋体" w:hAnsi="宋体" w:cs="宋体" w:eastAsia="宋体" w:hint="default"/>
                <w:sz w:val="18"/>
                <w:szCs w:val="18"/>
              </w:rPr>
            </w:pPr>
            <w:r>
              <w:rPr>
                <w:rFonts w:ascii="宋体" w:hAnsi="宋体" w:cs="宋体" w:eastAsia="宋体" w:hint="default"/>
                <w:sz w:val="18"/>
                <w:szCs w:val="18"/>
              </w:rPr>
              <w:t>神州泰岳信 息安全技术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3" w:right="21"/>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69638350-4</w:t>
            </w:r>
          </w:p>
        </w:tc>
      </w:tr>
      <w:tr>
        <w:trPr>
          <w:trHeight w:val="79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22"/>
              <w:jc w:val="both"/>
              <w:rPr>
                <w:rFonts w:ascii="宋体" w:hAnsi="宋体" w:cs="宋体" w:eastAsia="宋体" w:hint="default"/>
                <w:sz w:val="18"/>
                <w:szCs w:val="18"/>
              </w:rPr>
            </w:pPr>
            <w:r>
              <w:rPr>
                <w:rFonts w:ascii="宋体" w:hAnsi="宋体" w:cs="宋体" w:eastAsia="宋体" w:hint="default"/>
                <w:sz w:val="18"/>
                <w:szCs w:val="18"/>
              </w:rPr>
              <w:t>重庆新媒农 信科技有限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8"/>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黄松浪</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8"/>
              <w:ind w:left="23" w:right="21"/>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10,330.00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55903163-3</w:t>
            </w:r>
          </w:p>
        </w:tc>
      </w:tr>
      <w:tr>
        <w:trPr>
          <w:trHeight w:val="55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22"/>
              <w:jc w:val="left"/>
              <w:rPr>
                <w:rFonts w:ascii="宋体" w:hAnsi="宋体" w:cs="宋体" w:eastAsia="宋体" w:hint="default"/>
                <w:sz w:val="18"/>
                <w:szCs w:val="18"/>
              </w:rPr>
            </w:pPr>
            <w:r>
              <w:rPr>
                <w:rFonts w:ascii="宋体" w:hAnsi="宋体" w:cs="宋体" w:eastAsia="宋体" w:hint="default"/>
                <w:sz w:val="18"/>
                <w:szCs w:val="18"/>
              </w:rPr>
              <w:t>互联时代通 讯科技有限</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21"/>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3"/>
                <w:sz w:val="18"/>
              </w:rPr>
              <w:t>1,111.11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74009399-4</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80" w:top="1340" w:bottom="1160" w:left="980" w:right="940"/>
        </w:sectPr>
      </w:pP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22"/>
              <w:jc w:val="both"/>
              <w:rPr>
                <w:rFonts w:ascii="宋体" w:hAnsi="宋体" w:cs="宋体" w:eastAsia="宋体" w:hint="default"/>
                <w:sz w:val="18"/>
                <w:szCs w:val="18"/>
              </w:rPr>
            </w:pPr>
            <w:r>
              <w:rPr>
                <w:rFonts w:ascii="宋体" w:hAnsi="宋体" w:cs="宋体" w:eastAsia="宋体" w:hint="default"/>
                <w:sz w:val="18"/>
                <w:szCs w:val="18"/>
              </w:rPr>
              <w:t>友联创新系 统集成有限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徐伟</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3" w:right="21"/>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75012029-8</w:t>
            </w:r>
          </w:p>
        </w:tc>
      </w:tr>
      <w:tr>
        <w:trPr>
          <w:trHeight w:val="79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22"/>
              <w:jc w:val="both"/>
              <w:rPr>
                <w:rFonts w:ascii="宋体" w:hAnsi="宋体" w:cs="宋体" w:eastAsia="宋体" w:hint="default"/>
                <w:sz w:val="18"/>
                <w:szCs w:val="18"/>
              </w:rPr>
            </w:pPr>
            <w:r>
              <w:rPr>
                <w:rFonts w:ascii="宋体" w:hAnsi="宋体" w:cs="宋体" w:eastAsia="宋体" w:hint="default"/>
                <w:sz w:val="18"/>
                <w:szCs w:val="18"/>
              </w:rPr>
              <w:t>宁波普天通 信技术有限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孙海粟</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3" w:right="21"/>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72641316-2</w:t>
            </w:r>
          </w:p>
        </w:tc>
      </w:tr>
      <w:tr>
        <w:trPr>
          <w:trHeight w:val="79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
              <w:ind w:left="24" w:right="0"/>
              <w:jc w:val="left"/>
              <w:rPr>
                <w:rFonts w:ascii="宋体" w:hAnsi="宋体" w:cs="宋体" w:eastAsia="宋体" w:hint="default"/>
                <w:sz w:val="18"/>
                <w:szCs w:val="18"/>
              </w:rPr>
            </w:pPr>
            <w:r>
              <w:rPr>
                <w:rFonts w:ascii="宋体" w:hAnsi="宋体" w:cs="宋体" w:eastAsia="宋体" w:hint="default"/>
                <w:sz w:val="18"/>
                <w:szCs w:val="18"/>
              </w:rPr>
              <w:t>神州泰岳</w:t>
            </w:r>
          </w:p>
          <w:p>
            <w:pPr>
              <w:pStyle w:val="TableParagraph"/>
              <w:spacing w:line="230" w:lineRule="exact" w:before="26"/>
              <w:ind w:left="24" w:right="22"/>
              <w:jc w:val="left"/>
              <w:rPr>
                <w:rFonts w:ascii="宋体" w:hAnsi="宋体" w:cs="宋体" w:eastAsia="宋体" w:hint="default"/>
                <w:sz w:val="18"/>
                <w:szCs w:val="18"/>
              </w:rPr>
            </w:pPr>
            <w:r>
              <w:rPr>
                <w:rFonts w:ascii="宋体" w:hAnsi="宋体" w:cs="宋体" w:eastAsia="宋体" w:hint="default"/>
                <w:sz w:val="18"/>
                <w:szCs w:val="18"/>
              </w:rPr>
              <w:t>（香港）有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8"/>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8"/>
              <w:ind w:left="23" w:right="21"/>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万港币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22"/>
              <w:jc w:val="left"/>
              <w:rPr>
                <w:rFonts w:ascii="宋体" w:hAnsi="宋体" w:cs="宋体" w:eastAsia="宋体" w:hint="default"/>
                <w:sz w:val="18"/>
                <w:szCs w:val="18"/>
              </w:rPr>
            </w:pPr>
            <w:r>
              <w:rPr>
                <w:rFonts w:ascii="宋体" w:hAnsi="宋体" w:cs="宋体" w:eastAsia="宋体" w:hint="default"/>
                <w:sz w:val="18"/>
                <w:szCs w:val="18"/>
              </w:rPr>
              <w:t>奇点新源国 际技术开发</w:t>
            </w:r>
          </w:p>
          <w:p>
            <w:pPr>
              <w:pStyle w:val="TableParagraph"/>
              <w:spacing w:line="232" w:lineRule="exact" w:before="22"/>
              <w:ind w:left="24" w:right="22"/>
              <w:jc w:val="left"/>
              <w:rPr>
                <w:rFonts w:ascii="宋体" w:hAnsi="宋体" w:cs="宋体" w:eastAsia="宋体" w:hint="default"/>
                <w:sz w:val="18"/>
                <w:szCs w:val="18"/>
              </w:rPr>
            </w:pPr>
            <w:r>
              <w:rPr>
                <w:rFonts w:ascii="宋体" w:hAnsi="宋体" w:cs="宋体" w:eastAsia="宋体" w:hint="default"/>
                <w:sz w:val="18"/>
                <w:szCs w:val="18"/>
              </w:rPr>
              <w:t>（北京）有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徐伟</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3" w:right="21"/>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55143179-8</w:t>
            </w:r>
          </w:p>
        </w:tc>
      </w:tr>
      <w:tr>
        <w:trPr>
          <w:trHeight w:val="102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4" w:right="22"/>
              <w:jc w:val="both"/>
              <w:rPr>
                <w:rFonts w:ascii="宋体" w:hAnsi="宋体" w:cs="宋体" w:eastAsia="宋体" w:hint="default"/>
                <w:sz w:val="18"/>
                <w:szCs w:val="18"/>
              </w:rPr>
            </w:pPr>
            <w:r>
              <w:rPr>
                <w:rFonts w:ascii="宋体" w:hAnsi="宋体" w:cs="宋体" w:eastAsia="宋体" w:hint="default"/>
                <w:sz w:val="18"/>
                <w:szCs w:val="18"/>
              </w:rPr>
              <w:t>北京神州泰 岳良品电子 商务有限公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陶磊</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3" w:right="21"/>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3" w:right="0"/>
              <w:jc w:val="left"/>
              <w:rPr>
                <w:rFonts w:ascii="Times New Roman" w:hAnsi="Times New Roman" w:cs="Times New Roman" w:eastAsia="Times New Roman" w:hint="default"/>
                <w:sz w:val="18"/>
                <w:szCs w:val="18"/>
              </w:rPr>
            </w:pPr>
            <w:r>
              <w:rPr>
                <w:rFonts w:ascii="Times New Roman"/>
                <w:sz w:val="18"/>
              </w:rPr>
              <w:t>10,000.00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4"/>
              <w:jc w:val="right"/>
              <w:rPr>
                <w:rFonts w:ascii="Times New Roman" w:hAnsi="Times New Roman" w:cs="Times New Roman" w:eastAsia="Times New Roman" w:hint="default"/>
                <w:sz w:val="18"/>
                <w:szCs w:val="18"/>
              </w:rPr>
            </w:pPr>
            <w:r>
              <w:rPr>
                <w:rFonts w:ascii="Times New Roman"/>
                <w:sz w:val="18"/>
              </w:rPr>
              <w:t>88%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4"/>
              <w:jc w:val="right"/>
              <w:rPr>
                <w:rFonts w:ascii="Times New Roman" w:hAnsi="Times New Roman" w:cs="Times New Roman" w:eastAsia="Times New Roman" w:hint="default"/>
                <w:sz w:val="18"/>
                <w:szCs w:val="18"/>
              </w:rPr>
            </w:pPr>
            <w:r>
              <w:rPr>
                <w:rFonts w:ascii="Times New Roman"/>
                <w:sz w:val="18"/>
              </w:rPr>
              <w:t>89%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3" w:right="139"/>
              <w:jc w:val="left"/>
              <w:rPr>
                <w:rFonts w:ascii="Times New Roman" w:hAnsi="Times New Roman" w:cs="Times New Roman" w:eastAsia="Times New Roman" w:hint="default"/>
                <w:sz w:val="18"/>
                <w:szCs w:val="18"/>
              </w:rPr>
            </w:pPr>
            <w:r>
              <w:rPr>
                <w:rFonts w:ascii="Times New Roman"/>
                <w:sz w:val="18"/>
              </w:rPr>
              <w:t>58914804- X</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956"/>
        <w:gridCol w:w="953"/>
        <w:gridCol w:w="961"/>
        <w:gridCol w:w="955"/>
        <w:gridCol w:w="955"/>
        <w:gridCol w:w="960"/>
        <w:gridCol w:w="782"/>
        <w:gridCol w:w="1133"/>
        <w:gridCol w:w="958"/>
        <w:gridCol w:w="960"/>
      </w:tblGrid>
      <w:tr>
        <w:trPr>
          <w:trHeight w:val="791"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0"/>
              <w:ind w:left="202" w:right="111"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0"/>
              <w:ind w:left="384"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auto" w:before="22"/>
              <w:ind w:left="26"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本企业持 股比例 </w:t>
            </w:r>
            <w:r>
              <w:rPr>
                <w:rFonts w:ascii="Times New Roman" w:hAnsi="Times New Roman" w:cs="Times New Roman" w:eastAsia="Times New Roman"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67" w:right="65"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本企业在被 投资单位表 决权比例</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0"/>
              <w:ind w:left="383"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323"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24"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557"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201"/>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99"/>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78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24"/>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324"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5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201"/>
              <w:jc w:val="both"/>
              <w:rPr>
                <w:rFonts w:ascii="宋体" w:hAnsi="宋体" w:cs="宋体" w:eastAsia="宋体" w:hint="default"/>
                <w:sz w:val="18"/>
                <w:szCs w:val="18"/>
              </w:rPr>
            </w:pPr>
            <w:r>
              <w:rPr>
                <w:rFonts w:ascii="宋体" w:hAnsi="宋体" w:cs="宋体" w:eastAsia="宋体" w:hint="default"/>
                <w:sz w:val="18"/>
                <w:szCs w:val="18"/>
              </w:rPr>
              <w:t>大连华信 计算机技 术股份有 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3" w:right="197"/>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6" w:right="0"/>
              <w:jc w:val="left"/>
              <w:rPr>
                <w:rFonts w:ascii="宋体" w:hAnsi="宋体" w:cs="宋体" w:eastAsia="宋体" w:hint="default"/>
                <w:sz w:val="18"/>
                <w:szCs w:val="18"/>
              </w:rPr>
            </w:pPr>
            <w:r>
              <w:rPr>
                <w:rFonts w:ascii="宋体" w:hAnsi="宋体" w:cs="宋体" w:eastAsia="宋体" w:hint="default"/>
                <w:sz w:val="18"/>
                <w:szCs w:val="18"/>
              </w:rPr>
              <w:t>辽宁大连</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刘军</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3" w:right="19"/>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3" w:right="0"/>
              <w:jc w:val="left"/>
              <w:rPr>
                <w:rFonts w:ascii="Times New Roman" w:hAnsi="Times New Roman" w:cs="Times New Roman" w:eastAsia="Times New Roman" w:hint="default"/>
                <w:sz w:val="18"/>
                <w:szCs w:val="18"/>
              </w:rPr>
            </w:pPr>
            <w:r>
              <w:rPr>
                <w:rFonts w:ascii="Times New Roman"/>
                <w:sz w:val="18"/>
              </w:rPr>
              <w:t>13,470.50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0"/>
              <w:jc w:val="right"/>
              <w:rPr>
                <w:rFonts w:ascii="Times New Roman" w:hAnsi="Times New Roman" w:cs="Times New Roman" w:eastAsia="Times New Roman" w:hint="default"/>
                <w:sz w:val="18"/>
                <w:szCs w:val="18"/>
              </w:rPr>
            </w:pPr>
            <w:r>
              <w:rPr>
                <w:rFonts w:ascii="Times New Roman"/>
                <w:sz w:val="18"/>
              </w:rPr>
              <w:t>8.91%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0"/>
              <w:jc w:val="right"/>
              <w:rPr>
                <w:rFonts w:ascii="Times New Roman" w:hAnsi="Times New Roman" w:cs="Times New Roman" w:eastAsia="Times New Roman" w:hint="default"/>
                <w:sz w:val="18"/>
                <w:szCs w:val="18"/>
              </w:rPr>
            </w:pPr>
            <w:r>
              <w:rPr>
                <w:rFonts w:ascii="Times New Roman"/>
                <w:sz w:val="18"/>
              </w:rPr>
              <w:t>8.91%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3" w:right="0"/>
              <w:jc w:val="left"/>
              <w:rPr>
                <w:rFonts w:ascii="Times New Roman" w:hAnsi="Times New Roman" w:cs="Times New Roman" w:eastAsia="Times New Roman" w:hint="default"/>
                <w:sz w:val="18"/>
                <w:szCs w:val="18"/>
              </w:rPr>
            </w:pPr>
            <w:r>
              <w:rPr>
                <w:rFonts w:ascii="Times New Roman"/>
                <w:sz w:val="18"/>
              </w:rPr>
              <w:t>24176565-3</w:t>
            </w:r>
          </w:p>
        </w:tc>
      </w:tr>
      <w:tr>
        <w:trPr>
          <w:trHeight w:val="1025"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201"/>
              <w:jc w:val="left"/>
              <w:rPr>
                <w:rFonts w:ascii="宋体" w:hAnsi="宋体" w:cs="宋体" w:eastAsia="宋体" w:hint="default"/>
                <w:sz w:val="18"/>
                <w:szCs w:val="18"/>
              </w:rPr>
            </w:pPr>
            <w:r>
              <w:rPr>
                <w:rFonts w:ascii="宋体" w:hAnsi="宋体" w:cs="宋体" w:eastAsia="宋体" w:hint="default"/>
                <w:sz w:val="18"/>
                <w:szCs w:val="18"/>
              </w:rPr>
              <w:t>神州泰岳 顶策科技</w:t>
            </w:r>
          </w:p>
          <w:p>
            <w:pPr>
              <w:pStyle w:val="TableParagraph"/>
              <w:spacing w:line="230" w:lineRule="exact" w:before="5"/>
              <w:ind w:left="24" w:right="22"/>
              <w:jc w:val="left"/>
              <w:rPr>
                <w:rFonts w:ascii="宋体" w:hAnsi="宋体" w:cs="宋体" w:eastAsia="宋体" w:hint="default"/>
                <w:sz w:val="18"/>
                <w:szCs w:val="18"/>
              </w:rPr>
            </w:pPr>
            <w:r>
              <w:rPr>
                <w:rFonts w:ascii="宋体" w:hAnsi="宋体" w:cs="宋体" w:eastAsia="宋体" w:hint="default"/>
                <w:sz w:val="18"/>
                <w:szCs w:val="18"/>
              </w:rPr>
              <w:t>（北京）有 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23" w:right="197"/>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6"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黄松浪</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23" w:right="19"/>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1,452.00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29.72%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3" w:right="142"/>
              <w:jc w:val="left"/>
              <w:rPr>
                <w:rFonts w:ascii="Times New Roman" w:hAnsi="Times New Roman" w:cs="Times New Roman" w:eastAsia="Times New Roman" w:hint="default"/>
                <w:sz w:val="18"/>
                <w:szCs w:val="18"/>
              </w:rPr>
            </w:pPr>
            <w:r>
              <w:rPr>
                <w:rFonts w:ascii="Times New Roman"/>
                <w:sz w:val="18"/>
              </w:rPr>
              <w:t>79671530- X</w:t>
            </w:r>
          </w:p>
        </w:tc>
      </w:tr>
      <w:tr>
        <w:trPr>
          <w:trHeight w:val="102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201"/>
              <w:jc w:val="both"/>
              <w:rPr>
                <w:rFonts w:ascii="宋体" w:hAnsi="宋体" w:cs="宋体" w:eastAsia="宋体" w:hint="default"/>
                <w:sz w:val="18"/>
                <w:szCs w:val="18"/>
              </w:rPr>
            </w:pPr>
            <w:r>
              <w:rPr>
                <w:rFonts w:ascii="宋体" w:hAnsi="宋体" w:cs="宋体" w:eastAsia="宋体" w:hint="default"/>
                <w:sz w:val="18"/>
                <w:szCs w:val="18"/>
              </w:rPr>
              <w:t>北京盈海 益讯科技 发展有限 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3" w:right="197"/>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6"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曹翊</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3" w:right="19"/>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3" w:right="0"/>
              <w:jc w:val="left"/>
              <w:rPr>
                <w:rFonts w:ascii="Times New Roman" w:hAnsi="Times New Roman" w:cs="Times New Roman" w:eastAsia="Times New Roman" w:hint="default"/>
                <w:sz w:val="18"/>
                <w:szCs w:val="18"/>
              </w:rPr>
            </w:pPr>
            <w:r>
              <w:rPr>
                <w:rFonts w:ascii="Times New Roman"/>
                <w:sz w:val="18"/>
              </w:rPr>
              <w:t>1,000.00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4"/>
              <w:jc w:val="right"/>
              <w:rPr>
                <w:rFonts w:ascii="Times New Roman" w:hAnsi="Times New Roman" w:cs="Times New Roman" w:eastAsia="Times New Roman" w:hint="default"/>
                <w:sz w:val="18"/>
                <w:szCs w:val="18"/>
              </w:rPr>
            </w:pPr>
            <w:r>
              <w:rPr>
                <w:rFonts w:ascii="Times New Roman"/>
                <w:sz w:val="18"/>
              </w:rPr>
              <w:t>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4"/>
              <w:jc w:val="right"/>
              <w:rPr>
                <w:rFonts w:ascii="Times New Roman" w:hAnsi="Times New Roman" w:cs="Times New Roman" w:eastAsia="Times New Roman" w:hint="default"/>
                <w:sz w:val="18"/>
                <w:szCs w:val="18"/>
              </w:rPr>
            </w:pPr>
            <w:r>
              <w:rPr>
                <w:rFonts w:ascii="Times New Roman"/>
                <w:sz w:val="18"/>
              </w:rPr>
              <w:t>30%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3" w:right="0"/>
              <w:jc w:val="left"/>
              <w:rPr>
                <w:rFonts w:ascii="Times New Roman" w:hAnsi="Times New Roman" w:cs="Times New Roman" w:eastAsia="Times New Roman" w:hint="default"/>
                <w:sz w:val="18"/>
                <w:szCs w:val="18"/>
              </w:rPr>
            </w:pPr>
            <w:r>
              <w:rPr>
                <w:rFonts w:ascii="Times New Roman"/>
                <w:sz w:val="18"/>
              </w:rPr>
              <w:t>59606833-9</w:t>
            </w:r>
          </w:p>
        </w:tc>
      </w:tr>
      <w:tr>
        <w:trPr>
          <w:trHeight w:val="792"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201"/>
              <w:jc w:val="both"/>
              <w:rPr>
                <w:rFonts w:ascii="宋体" w:hAnsi="宋体" w:cs="宋体" w:eastAsia="宋体" w:hint="default"/>
                <w:sz w:val="18"/>
                <w:szCs w:val="18"/>
              </w:rPr>
            </w:pPr>
            <w:r>
              <w:rPr>
                <w:rFonts w:ascii="宋体" w:hAnsi="宋体" w:cs="宋体" w:eastAsia="宋体" w:hint="default"/>
                <w:sz w:val="18"/>
                <w:szCs w:val="18"/>
              </w:rPr>
              <w:t>北京华泰 德丰技术 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3" w:right="197"/>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3" w:right="19"/>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58586955-2</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pict>
          <v:shape style="position:absolute;margin-left:192.108002pt;margin-top:65.059669pt;width:182.15pt;height:15.6pt;mso-position-horizontal-relative:page;mso-position-vertical-relative:paragraph;z-index:-945688" type="#_x0000_t202" filled="false" stroked="false">
            <v:textbox inset="0,0,0,0">
              <w:txbxContent>
                <w:p>
                  <w:pPr>
                    <w:pStyle w:val="BodyText"/>
                    <w:spacing w:line="240" w:lineRule="auto" w:before="27"/>
                    <w:ind w:left="0" w:right="0"/>
                    <w:jc w:val="left"/>
                  </w:pPr>
                  <w:r>
                    <w:rPr/>
                    <w:t>刘豪、</w:t>
                  </w:r>
                </w:p>
              </w:txbxContent>
            </v:textbox>
            <w10:wrap type="none"/>
          </v:shape>
        </w:pict>
      </w:r>
      <w:r>
        <w:rPr>
          <w:rFonts w:ascii="Times New Roman" w:hAnsi="Times New Roman" w:cs="Times New Roman" w:eastAsia="Times New Roman" w:hint="default"/>
        </w:rPr>
        <w:t>4</w:t>
      </w:r>
      <w:r>
        <w:rPr/>
        <w:t>、本企业的其他关联方情况</w:t>
      </w:r>
      <w:r>
        <w:rPr>
          <w:b w:val="0"/>
          <w:bCs w:val="0"/>
        </w:rPr>
      </w:r>
    </w:p>
    <w:p>
      <w:pPr>
        <w:spacing w:line="240" w:lineRule="auto" w:before="3"/>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齐强、黄松浪、王国华、万能、徐斯平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公司其他主要自然人股东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陈冲、江锡如、刘凯湘、蓝伯雄、</w:t>
            </w:r>
          </w:p>
        </w:tc>
        <w:tc>
          <w:tcPr>
            <w:tcW w:w="319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关键管理人员</w:t>
            </w:r>
          </w:p>
          <w:p>
            <w:pPr>
              <w:pStyle w:val="TableParagraph"/>
              <w:spacing w:line="312" w:lineRule="exact"/>
              <w:ind w:left="12" w:right="-27"/>
              <w:jc w:val="left"/>
              <w:rPr>
                <w:rFonts w:ascii="宋体" w:hAnsi="宋体" w:cs="宋体" w:eastAsia="宋体" w:hint="default"/>
                <w:sz w:val="20"/>
                <w:szCs w:val="20"/>
              </w:rPr>
            </w:pPr>
            <w:r>
              <w:rPr>
                <w:rFonts w:ascii="宋体" w:hAnsi="宋体" w:cs="宋体" w:eastAsia="宋体" w:hint="default"/>
                <w:position w:val="-5"/>
                <w:sz w:val="20"/>
                <w:szCs w:val="20"/>
              </w:rPr>
              <w:pict>
                <v:group style="width:156.75pt;height:15.6pt;mso-position-horizontal-relative:char;mso-position-vertical-relative:line" coordorigin="0,0" coordsize="3135,312">
                  <v:group style="position:absolute;left:0;top:0;width:3135;height:312" coordorigin="0,0" coordsize="3135,312">
                    <v:shape style="position:absolute;left:0;top:0;width:3135;height:312" coordorigin="0,0" coordsize="3135,312" path="m0,312l3135,312,3135,0,0,0,0,312xe" filled="true" fillcolor="#ffffff" stroked="false">
                      <v:path arrowok="t"/>
                      <v:fill type="solid"/>
                    </v:shape>
                  </v:group>
                </v:group>
              </w:pict>
            </w:r>
            <w:r>
              <w:rPr>
                <w:rFonts w:ascii="宋体" w:hAnsi="宋体" w:cs="宋体" w:eastAsia="宋体" w:hint="default"/>
                <w:position w:val="-5"/>
                <w:sz w:val="20"/>
                <w:szCs w:val="20"/>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40" w:bottom="1160" w:left="980" w:right="980"/>
        </w:sectPr>
      </w:pPr>
    </w:p>
    <w:p>
      <w:pPr>
        <w:spacing w:line="240" w:lineRule="auto" w:before="2"/>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许芃、高峰、张振鹏、汪铖、朱建松、</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陶磊、李广刚、丁彦超、郝岩、孙海粟</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大连华信计算机技术股份有限公司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神州泰岳顶策科技（北京）有限公司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北京华泰德丰技术有限公司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华信永道科技有限公司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联营企业的子公司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中信网络科技股份有限公司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联营企业的子公司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宝鲜然（北京）贸易有限公司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96"/>
              <w:jc w:val="both"/>
              <w:rPr>
                <w:rFonts w:ascii="宋体" w:hAnsi="宋体" w:cs="宋体" w:eastAsia="宋体" w:hint="default"/>
                <w:sz w:val="18"/>
                <w:szCs w:val="18"/>
              </w:rPr>
            </w:pPr>
            <w:r>
              <w:rPr>
                <w:rFonts w:ascii="宋体" w:hAnsi="宋体" w:cs="宋体" w:eastAsia="宋体" w:hint="default"/>
                <w:sz w:val="18"/>
                <w:szCs w:val="18"/>
              </w:rPr>
              <w:t>公司的主要投资者个人、关键管理人员 或与其关系密切的家庭成员控制、共同 控制的其他企业。</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b/>
          <w:bCs/>
          <w:sz w:val="17"/>
          <w:szCs w:val="17"/>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9"/>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40" w:lineRule="auto" w:before="44"/>
        <w:ind w:left="0" w:right="160"/>
        <w:jc w:val="right"/>
      </w:pPr>
      <w:r>
        <w:rPr/>
        <w:pict>
          <v:shape style="position:absolute;margin-left:409.630005pt;margin-top:4.977346pt;width:85.5pt;height:12.55pt;mso-position-horizontal-relative:page;mso-position-vertical-relative:paragraph;z-index:-945664" type="#_x0000_t202" filled="false" stroked="false">
            <v:textbox inset="0,0,0,0">
              <w:txbxContent>
                <w:p>
                  <w:pPr>
                    <w:pStyle w:val="BodyText"/>
                    <w:spacing w:line="180" w:lineRule="exact"/>
                    <w:ind w:left="0" w:right="0"/>
                    <w:jc w:val="left"/>
                  </w:pPr>
                  <w:r>
                    <w:rPr/>
                    <w:t>）</w:t>
                  </w:r>
                </w:p>
              </w:txbxContent>
            </v:textbox>
            <w10:wrap type="none"/>
          </v:shape>
        </w:pict>
      </w:r>
      <w:r>
        <w:rPr/>
        <w:pict>
          <v:shape style="position:absolute;margin-left:56.400002pt;margin-top:-38.228279pt;width:479.15pt;height:123.55pt;mso-position-horizontal-relative:page;mso-position-vertical-relative:paragraph;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729"/>
                    <w:gridCol w:w="1462"/>
                    <w:gridCol w:w="1594"/>
                    <w:gridCol w:w="797"/>
                    <w:gridCol w:w="340"/>
                    <w:gridCol w:w="1254"/>
                    <w:gridCol w:w="797"/>
                  </w:tblGrid>
                  <w:tr>
                    <w:trPr>
                      <w:trHeight w:val="32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3"/>
                            <w:szCs w:val="23"/>
                          </w:rPr>
                        </w:pPr>
                      </w:p>
                      <w:p>
                        <w:pPr>
                          <w:pStyle w:val="TableParagraph"/>
                          <w:spacing w:line="232" w:lineRule="exact"/>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9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20"/>
                          <w:jc w:val="left"/>
                          <w:rPr>
                            <w:rFonts w:ascii="宋体" w:hAnsi="宋体" w:cs="宋体" w:eastAsia="宋体" w:hint="default"/>
                            <w:sz w:val="18"/>
                            <w:szCs w:val="18"/>
                          </w:rPr>
                        </w:pPr>
                        <w:r>
                          <w:rPr>
                            <w:rFonts w:ascii="宋体" w:hAnsi="宋体" w:cs="宋体" w:eastAsia="宋体" w:hint="default"/>
                            <w:sz w:val="18"/>
                            <w:szCs w:val="18"/>
                          </w:rPr>
                          <w:t>大连华信计算机技 术股份有限公司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6"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7,769,166.00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1.56%</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25,788,033.00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6.93%</w:t>
                        </w:r>
                      </w:p>
                    </w:tc>
                  </w:tr>
                  <w:tr>
                    <w:trPr>
                      <w:trHeight w:val="790"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before="44"/>
        <w:ind w:left="0" w:right="160"/>
        <w:jc w:val="right"/>
      </w:pPr>
      <w:r>
        <w:rPr/>
        <w:pict>
          <v:shape style="position:absolute;margin-left:409.630005pt;margin-top:4.977339pt;width:85.5pt;height:12.55pt;mso-position-horizontal-relative:page;mso-position-vertical-relative:paragraph;z-index:-945640" type="#_x0000_t202" filled="false" stroked="false">
            <v:textbox inset="0,0,0,0">
              <w:txbxContent>
                <w:p>
                  <w:pPr>
                    <w:pStyle w:val="BodyText"/>
                    <w:spacing w:line="180" w:lineRule="exact"/>
                    <w:ind w:left="0" w:right="0"/>
                    <w:jc w:val="left"/>
                  </w:pPr>
                  <w:r>
                    <w:rPr/>
                    <w:t>）</w:t>
                  </w:r>
                </w:p>
              </w:txbxContent>
            </v:textbox>
            <w10:wrap type="none"/>
          </v:shape>
        </w:pict>
      </w:r>
      <w:r>
        <w:rPr/>
        <w:t>）</w:t>
      </w:r>
    </w:p>
    <w:p>
      <w:pPr>
        <w:spacing w:line="240" w:lineRule="auto" w:before="9"/>
        <w:rPr>
          <w:rFonts w:ascii="宋体" w:hAnsi="宋体" w:cs="宋体" w:eastAsia="宋体" w:hint="default"/>
          <w:sz w:val="23"/>
          <w:szCs w:val="23"/>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right="0"/>
        <w:jc w:val="left"/>
      </w:pPr>
      <w:r>
        <w:rPr/>
        <w:t>公司出租情况表</w:t>
      </w:r>
    </w:p>
    <w:p>
      <w:pPr>
        <w:pStyle w:val="BodyText"/>
        <w:spacing w:line="240" w:lineRule="auto" w:before="38"/>
        <w:ind w:left="0" w:right="151"/>
        <w:jc w:val="right"/>
      </w:pPr>
      <w:r>
        <w:rPr/>
        <w:pict>
          <v:shape style="position:absolute;margin-left:160.100006pt;margin-top:76.55735pt;width:100.15pt;height:18.45pt;mso-position-horizontal-relative:page;mso-position-vertical-relative:paragraph;z-index:-945616" type="#_x0000_t202" filled="false" stroked="false">
            <v:textbox inset="0,0,0,0">
              <w:txbxContent>
                <w:p>
                  <w:pPr>
                    <w:pStyle w:val="BodyText"/>
                    <w:spacing w:line="180" w:lineRule="exact"/>
                    <w:ind w:left="0" w:right="0"/>
                    <w:jc w:val="left"/>
                  </w:pPr>
                  <w:r>
                    <w:rPr/>
                    <w:t>（北京）</w:t>
                  </w:r>
                </w:p>
              </w:txbxContent>
            </v:textbox>
            <w10:wrap type="none"/>
          </v:shape>
        </w:pict>
      </w:r>
      <w:r>
        <w:rPr/>
        <w:pict>
          <v:group style="position:absolute;margin-left:193.369995pt;margin-top:73.371727pt;width:68.05pt;height:22.2pt;mso-position-horizontal-relative:page;mso-position-vertical-relative:paragraph;z-index:-945592" coordorigin="3867,1467" coordsize="1361,444">
            <v:group style="position:absolute;left:3867;top:1467;width:1361;height:118" coordorigin="3867,1467" coordsize="1361,118">
              <v:shape style="position:absolute;left:3867;top:1467;width:1361;height:118" coordorigin="3867,1467" coordsize="1361,118" path="m3867,1585l5228,1585,5228,1467,3867,1467,3867,1585xe" filled="true" fillcolor="#ffffff" stroked="false">
                <v:path arrowok="t"/>
                <v:fill type="solid"/>
              </v:shape>
            </v:group>
            <v:group style="position:absolute;left:3878;top:1585;width:2;height:315" coordorigin="3878,1585" coordsize="2,315">
              <v:shape style="position:absolute;left:3878;top:1585;width:2;height:315" coordorigin="3878,1585" coordsize="0,315" path="m3878,1585l3878,1900e" filled="false" stroked="true" strokeweight="1.08pt" strokecolor="#ffffff">
                <v:path arrowok="t"/>
              </v:shape>
            </v:group>
            <v:group style="position:absolute;left:3889;top:1585;width:1316;height:315" coordorigin="3889,1585" coordsize="1316,315">
              <v:shape style="position:absolute;left:3889;top:1585;width:1316;height:315" coordorigin="3889,1585" coordsize="1316,315" path="m3889,1900l5204,1900,5204,1585,3889,1585,3889,1900xe" filled="true" fillcolor="#ffffff" stroked="false">
                <v:path arrowok="t"/>
                <v:fill type="solid"/>
              </v:shape>
            </v:group>
            <w10:wrap type="none"/>
          </v:group>
        </w:pict>
      </w: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364"/>
        <w:gridCol w:w="1364"/>
        <w:gridCol w:w="1373"/>
        <w:gridCol w:w="1368"/>
        <w:gridCol w:w="1370"/>
        <w:gridCol w:w="1371"/>
        <w:gridCol w:w="1361"/>
      </w:tblGrid>
      <w:tr>
        <w:trPr>
          <w:trHeight w:val="557"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28"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2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30"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30"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590" w:right="50"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314" w:right="43" w:hanging="269"/>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r>
        <w:trPr>
          <w:trHeight w:val="55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69"/>
              <w:jc w:val="left"/>
              <w:rPr>
                <w:rFonts w:ascii="宋体" w:hAnsi="宋体" w:cs="宋体" w:eastAsia="宋体" w:hint="default"/>
                <w:sz w:val="18"/>
                <w:szCs w:val="18"/>
              </w:rPr>
            </w:pPr>
            <w:r>
              <w:rPr>
                <w:rFonts w:ascii="宋体" w:hAnsi="宋体" w:cs="宋体" w:eastAsia="宋体" w:hint="default"/>
                <w:sz w:val="18"/>
                <w:szCs w:val="18"/>
              </w:rPr>
              <w:t>北京神州泰岳软 件股份有限公司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68"/>
              <w:jc w:val="left"/>
              <w:rPr>
                <w:rFonts w:ascii="宋体" w:hAnsi="宋体" w:cs="宋体" w:eastAsia="宋体" w:hint="default"/>
                <w:sz w:val="18"/>
                <w:szCs w:val="18"/>
              </w:rPr>
            </w:pPr>
            <w:r>
              <w:rPr>
                <w:rFonts w:ascii="宋体" w:hAnsi="宋体" w:cs="宋体" w:eastAsia="宋体" w:hint="default"/>
                <w:sz w:val="18"/>
                <w:szCs w:val="18"/>
              </w:rPr>
              <w:t>宝鲜然（北京） 贸易有限公司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444,514.88</w:t>
            </w:r>
          </w:p>
        </w:tc>
      </w:tr>
      <w:tr>
        <w:trPr>
          <w:trHeight w:val="55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24" w:right="69"/>
              <w:jc w:val="left"/>
              <w:rPr>
                <w:rFonts w:ascii="宋体" w:hAnsi="宋体" w:cs="宋体" w:eastAsia="宋体" w:hint="default"/>
                <w:sz w:val="18"/>
                <w:szCs w:val="18"/>
              </w:rPr>
            </w:pPr>
            <w:r>
              <w:rPr>
                <w:rFonts w:ascii="宋体" w:hAnsi="宋体" w:cs="宋体" w:eastAsia="宋体" w:hint="default"/>
                <w:sz w:val="18"/>
                <w:szCs w:val="18"/>
              </w:rPr>
              <w:t>北京神州泰岳软 件股份有限公司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24" w:right="248"/>
              <w:jc w:val="left"/>
              <w:rPr>
                <w:rFonts w:ascii="宋体" w:hAnsi="宋体" w:cs="宋体" w:eastAsia="宋体" w:hint="default"/>
                <w:sz w:val="18"/>
                <w:szCs w:val="18"/>
              </w:rPr>
            </w:pPr>
            <w:r>
              <w:rPr>
                <w:rFonts w:ascii="宋体" w:hAnsi="宋体" w:cs="宋体" w:eastAsia="宋体" w:hint="default"/>
                <w:sz w:val="18"/>
                <w:szCs w:val="18"/>
              </w:rPr>
              <w:t>华信永道 科技有限公司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1,343,899.20</w:t>
            </w:r>
          </w:p>
        </w:tc>
      </w:tr>
      <w:tr>
        <w:trPr>
          <w:trHeight w:val="790"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4" w:right="69"/>
              <w:jc w:val="left"/>
              <w:rPr>
                <w:rFonts w:ascii="宋体" w:hAnsi="宋体" w:cs="宋体" w:eastAsia="宋体" w:hint="default"/>
                <w:sz w:val="18"/>
                <w:szCs w:val="18"/>
              </w:rPr>
            </w:pPr>
            <w:r>
              <w:rPr>
                <w:rFonts w:ascii="宋体" w:hAnsi="宋体" w:cs="宋体" w:eastAsia="宋体" w:hint="default"/>
                <w:sz w:val="18"/>
                <w:szCs w:val="18"/>
              </w:rPr>
              <w:t>北京神州泰岳软 件股份有限公司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68"/>
              <w:jc w:val="both"/>
              <w:rPr>
                <w:rFonts w:ascii="宋体" w:hAnsi="宋体" w:cs="宋体" w:eastAsia="宋体" w:hint="default"/>
                <w:sz w:val="18"/>
                <w:szCs w:val="18"/>
              </w:rPr>
            </w:pPr>
            <w:r>
              <w:rPr>
                <w:rFonts w:ascii="宋体" w:hAnsi="宋体" w:cs="宋体" w:eastAsia="宋体" w:hint="default"/>
                <w:sz w:val="18"/>
                <w:szCs w:val="18"/>
              </w:rPr>
              <w:t>神州泰岳顶策科 技（北京）有限 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689,331.40</w:t>
            </w:r>
          </w:p>
        </w:tc>
      </w:tr>
      <w:tr>
        <w:trPr>
          <w:trHeight w:val="55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69"/>
              <w:jc w:val="left"/>
              <w:rPr>
                <w:rFonts w:ascii="宋体" w:hAnsi="宋体" w:cs="宋体" w:eastAsia="宋体" w:hint="default"/>
                <w:sz w:val="18"/>
                <w:szCs w:val="18"/>
              </w:rPr>
            </w:pPr>
            <w:r>
              <w:rPr>
                <w:rFonts w:ascii="宋体" w:hAnsi="宋体" w:cs="宋体" w:eastAsia="宋体" w:hint="default"/>
                <w:sz w:val="18"/>
                <w:szCs w:val="18"/>
              </w:rPr>
              <w:t>北京神州泰岳软 件股份有限公司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68"/>
              <w:jc w:val="left"/>
              <w:rPr>
                <w:rFonts w:ascii="宋体" w:hAnsi="宋体" w:cs="宋体" w:eastAsia="宋体" w:hint="default"/>
                <w:sz w:val="18"/>
                <w:szCs w:val="18"/>
              </w:rPr>
            </w:pPr>
            <w:r>
              <w:rPr>
                <w:rFonts w:ascii="宋体" w:hAnsi="宋体" w:cs="宋体" w:eastAsia="宋体" w:hint="default"/>
                <w:sz w:val="18"/>
                <w:szCs w:val="18"/>
              </w:rPr>
              <w:t>北京华泰德丰技 术有限公司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432,000.00</w:t>
            </w:r>
          </w:p>
        </w:tc>
      </w:tr>
      <w:tr>
        <w:trPr>
          <w:trHeight w:val="55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69"/>
              <w:jc w:val="left"/>
              <w:rPr>
                <w:rFonts w:ascii="宋体" w:hAnsi="宋体" w:cs="宋体" w:eastAsia="宋体" w:hint="default"/>
                <w:sz w:val="18"/>
                <w:szCs w:val="18"/>
              </w:rPr>
            </w:pPr>
            <w:r>
              <w:rPr>
                <w:rFonts w:ascii="宋体" w:hAnsi="宋体" w:cs="宋体" w:eastAsia="宋体" w:hint="default"/>
                <w:sz w:val="18"/>
                <w:szCs w:val="18"/>
              </w:rPr>
              <w:t>北京神州泰岳软 件股份有限公司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68"/>
              <w:jc w:val="left"/>
              <w:rPr>
                <w:rFonts w:ascii="宋体" w:hAnsi="宋体" w:cs="宋体" w:eastAsia="宋体" w:hint="default"/>
                <w:sz w:val="18"/>
                <w:szCs w:val="18"/>
              </w:rPr>
            </w:pPr>
            <w:r>
              <w:rPr>
                <w:rFonts w:ascii="宋体" w:hAnsi="宋体" w:cs="宋体" w:eastAsia="宋体" w:hint="default"/>
                <w:sz w:val="18"/>
                <w:szCs w:val="18"/>
              </w:rPr>
              <w:t>中信网络科技股 份有限公司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2,738,490.96</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40" w:bottom="1160" w:left="980" w:right="980"/>
        </w:sectPr>
      </w:pPr>
    </w:p>
    <w:p>
      <w:pPr>
        <w:pStyle w:val="Heading3"/>
        <w:spacing w:line="240" w:lineRule="auto" w:before="59"/>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4"/>
        <w:ind w:right="0"/>
        <w:jc w:val="left"/>
      </w:pPr>
      <w:r>
        <w:rPr/>
        <w:t>本公司高级管理人员的薪酬如下：</w:t>
      </w:r>
    </w:p>
    <w:p>
      <w:pPr>
        <w:pStyle w:val="BodyText"/>
        <w:spacing w:line="240" w:lineRule="auto" w:before="112"/>
        <w:ind w:left="0" w:right="151"/>
        <w:jc w:val="right"/>
      </w:pPr>
      <w:r>
        <w:rPr/>
        <w:t>（金额单位：人民币万元）</w:t>
      </w:r>
    </w:p>
    <w:p>
      <w:pPr>
        <w:spacing w:line="240" w:lineRule="auto" w:before="4"/>
        <w:rPr>
          <w:rFonts w:ascii="宋体" w:hAnsi="宋体" w:cs="宋体" w:eastAsia="宋体" w:hint="default"/>
          <w:sz w:val="11"/>
          <w:szCs w:val="11"/>
        </w:rPr>
      </w:pPr>
    </w:p>
    <w:tbl>
      <w:tblPr>
        <w:tblW w:w="0" w:type="auto"/>
        <w:jc w:val="left"/>
        <w:tblInd w:w="200" w:type="dxa"/>
        <w:tblLayout w:type="fixed"/>
        <w:tblCellMar>
          <w:top w:w="0" w:type="dxa"/>
          <w:left w:w="0" w:type="dxa"/>
          <w:bottom w:w="0" w:type="dxa"/>
          <w:right w:w="0" w:type="dxa"/>
        </w:tblCellMar>
        <w:tblLook w:val="01E0"/>
      </w:tblPr>
      <w:tblGrid>
        <w:gridCol w:w="4422"/>
        <w:gridCol w:w="2660"/>
        <w:gridCol w:w="2449"/>
      </w:tblGrid>
      <w:tr>
        <w:trPr>
          <w:trHeight w:val="444" w:hRule="exact"/>
        </w:trPr>
        <w:tc>
          <w:tcPr>
            <w:tcW w:w="442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度</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7"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797"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44" w:hRule="exact"/>
        </w:trPr>
        <w:tc>
          <w:tcPr>
            <w:tcW w:w="442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left"/>
              <w:rPr>
                <w:rFonts w:ascii="宋体" w:hAnsi="宋体" w:cs="宋体" w:eastAsia="宋体" w:hint="default"/>
                <w:sz w:val="21"/>
                <w:szCs w:val="21"/>
              </w:rPr>
            </w:pPr>
            <w:r>
              <w:rPr>
                <w:rFonts w:ascii="宋体" w:hAnsi="宋体" w:cs="宋体" w:eastAsia="宋体" w:hint="default"/>
                <w:sz w:val="21"/>
                <w:szCs w:val="21"/>
              </w:rPr>
              <w:t>高级管理人员薪酬合计</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3"/>
              <w:jc w:val="right"/>
              <w:rPr>
                <w:rFonts w:ascii="Times New Roman" w:hAnsi="Times New Roman" w:cs="Times New Roman" w:eastAsia="Times New Roman" w:hint="default"/>
                <w:sz w:val="21"/>
                <w:szCs w:val="21"/>
              </w:rPr>
            </w:pPr>
            <w:r>
              <w:rPr>
                <w:rFonts w:ascii="Times New Roman"/>
                <w:sz w:val="21"/>
              </w:rPr>
              <w:t>551.39</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Times New Roman" w:hAnsi="Times New Roman" w:cs="Times New Roman" w:eastAsia="Times New Roman" w:hint="default"/>
                <w:sz w:val="21"/>
                <w:szCs w:val="21"/>
              </w:rPr>
            </w:pPr>
            <w:r>
              <w:rPr>
                <w:rFonts w:ascii="Times New Roman"/>
                <w:sz w:val="21"/>
              </w:rPr>
              <w:t>564.46</w:t>
            </w:r>
          </w:p>
        </w:tc>
      </w:tr>
    </w:tbl>
    <w:p>
      <w:pPr>
        <w:pStyle w:val="BodyText"/>
        <w:spacing w:line="203" w:lineRule="exact"/>
        <w:ind w:left="513" w:right="0"/>
        <w:jc w:val="left"/>
      </w:pPr>
      <w:r>
        <w:rPr/>
        <w:t>高级管理人员包括董事长、董事、董事会秘书、总经理、财务总监、主管各项事务的副总经理以及行使类似政策职能的</w:t>
      </w:r>
    </w:p>
    <w:p>
      <w:pPr>
        <w:pStyle w:val="BodyText"/>
        <w:spacing w:line="357" w:lineRule="auto" w:before="115"/>
        <w:ind w:right="3114"/>
        <w:jc w:val="left"/>
      </w:pPr>
      <w:r>
        <w:rPr/>
        <w:t>人员等，所列薪酬金额中包括了在公司担任相关职务的主要自然人股东的薪酬金额。 本公司支付给主要自然人股东的薪酬如下：</w:t>
      </w:r>
    </w:p>
    <w:p>
      <w:pPr>
        <w:pStyle w:val="BodyText"/>
        <w:spacing w:line="240" w:lineRule="auto" w:before="26"/>
        <w:ind w:left="0" w:right="151"/>
        <w:jc w:val="right"/>
      </w:pPr>
      <w:r>
        <w:rPr/>
        <w:t>（金额单位：人民币万元）</w:t>
      </w:r>
    </w:p>
    <w:p>
      <w:pPr>
        <w:spacing w:line="240" w:lineRule="auto" w:before="4"/>
        <w:rPr>
          <w:rFonts w:ascii="宋体" w:hAnsi="宋体" w:cs="宋体" w:eastAsia="宋体" w:hint="default"/>
          <w:sz w:val="11"/>
          <w:szCs w:val="11"/>
        </w:rPr>
      </w:pPr>
    </w:p>
    <w:tbl>
      <w:tblPr>
        <w:tblW w:w="0" w:type="auto"/>
        <w:jc w:val="left"/>
        <w:tblInd w:w="272" w:type="dxa"/>
        <w:tblLayout w:type="fixed"/>
        <w:tblCellMar>
          <w:top w:w="0" w:type="dxa"/>
          <w:left w:w="0" w:type="dxa"/>
          <w:bottom w:w="0" w:type="dxa"/>
          <w:right w:w="0" w:type="dxa"/>
        </w:tblCellMar>
        <w:tblLook w:val="01E0"/>
      </w:tblPr>
      <w:tblGrid>
        <w:gridCol w:w="3529"/>
        <w:gridCol w:w="3070"/>
        <w:gridCol w:w="2785"/>
      </w:tblGrid>
      <w:tr>
        <w:trPr>
          <w:trHeight w:val="386" w:hRule="exact"/>
        </w:trPr>
        <w:tc>
          <w:tcPr>
            <w:tcW w:w="352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 w:right="0"/>
              <w:jc w:val="center"/>
              <w:rPr>
                <w:rFonts w:ascii="宋体" w:hAnsi="宋体" w:cs="宋体" w:eastAsia="宋体" w:hint="default"/>
                <w:sz w:val="18"/>
                <w:szCs w:val="18"/>
              </w:rPr>
            </w:pPr>
            <w:r>
              <w:rPr>
                <w:rFonts w:ascii="宋体" w:hAnsi="宋体" w:cs="宋体" w:eastAsia="宋体" w:hint="default"/>
                <w:sz w:val="18"/>
                <w:szCs w:val="18"/>
              </w:rPr>
              <w:t>主要自然人股东</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right"/>
              <w:rPr>
                <w:rFonts w:ascii="宋体" w:hAnsi="宋体" w:cs="宋体" w:eastAsia="宋体" w:hint="default"/>
                <w:sz w:val="18"/>
                <w:szCs w:val="18"/>
              </w:rPr>
            </w:pPr>
            <w:r>
              <w:rPr>
                <w:rFonts w:ascii="宋体" w:hAnsi="宋体" w:cs="宋体" w:eastAsia="宋体" w:hint="default"/>
                <w:sz w:val="18"/>
                <w:szCs w:val="18"/>
              </w:rPr>
              <w:t>本期金额</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righ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529"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pacing w:val="54"/>
                <w:sz w:val="18"/>
                <w:szCs w:val="18"/>
              </w:rPr>
              <w:t> </w:t>
            </w:r>
            <w:r>
              <w:rPr>
                <w:rFonts w:ascii="宋体" w:hAnsi="宋体" w:cs="宋体" w:eastAsia="宋体" w:hint="default"/>
                <w:sz w:val="18"/>
                <w:szCs w:val="18"/>
              </w:rPr>
              <w:t>宁</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right"/>
              <w:rPr>
                <w:rFonts w:ascii="Times New Roman" w:hAnsi="Times New Roman" w:cs="Times New Roman" w:eastAsia="Times New Roman" w:hint="default"/>
                <w:sz w:val="18"/>
                <w:szCs w:val="18"/>
              </w:rPr>
            </w:pPr>
            <w:r>
              <w:rPr>
                <w:rFonts w:ascii="Times New Roman"/>
                <w:sz w:val="18"/>
              </w:rPr>
              <w:t>22.49</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right"/>
              <w:rPr>
                <w:rFonts w:ascii="Times New Roman" w:hAnsi="Times New Roman" w:cs="Times New Roman" w:eastAsia="Times New Roman" w:hint="default"/>
                <w:sz w:val="18"/>
                <w:szCs w:val="18"/>
              </w:rPr>
            </w:pPr>
            <w:r>
              <w:rPr>
                <w:rFonts w:ascii="Times New Roman"/>
                <w:sz w:val="18"/>
              </w:rPr>
              <w:t>26.01</w:t>
            </w:r>
          </w:p>
        </w:tc>
      </w:tr>
      <w:tr>
        <w:trPr>
          <w:trHeight w:val="398" w:hRule="exact"/>
        </w:trPr>
        <w:tc>
          <w:tcPr>
            <w:tcW w:w="352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李</w:t>
            </w:r>
            <w:r>
              <w:rPr>
                <w:rFonts w:ascii="宋体" w:hAnsi="宋体" w:cs="宋体" w:eastAsia="宋体" w:hint="default"/>
                <w:spacing w:val="54"/>
                <w:sz w:val="18"/>
                <w:szCs w:val="18"/>
              </w:rPr>
              <w:t> </w:t>
            </w:r>
            <w:r>
              <w:rPr>
                <w:rFonts w:ascii="宋体" w:hAnsi="宋体" w:cs="宋体" w:eastAsia="宋体" w:hint="default"/>
                <w:sz w:val="18"/>
                <w:szCs w:val="18"/>
              </w:rPr>
              <w:t>力</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z w:val="18"/>
              </w:rPr>
              <w:t>22.49</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z w:val="18"/>
              </w:rPr>
              <w:t>26.01</w:t>
            </w:r>
          </w:p>
        </w:tc>
      </w:tr>
      <w:tr>
        <w:trPr>
          <w:trHeight w:val="398" w:hRule="exact"/>
        </w:trPr>
        <w:tc>
          <w:tcPr>
            <w:tcW w:w="352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齐</w:t>
            </w:r>
            <w:r>
              <w:rPr>
                <w:rFonts w:ascii="宋体" w:hAnsi="宋体" w:cs="宋体" w:eastAsia="宋体" w:hint="default"/>
                <w:spacing w:val="54"/>
                <w:sz w:val="18"/>
                <w:szCs w:val="18"/>
              </w:rPr>
              <w:t> </w:t>
            </w:r>
            <w:r>
              <w:rPr>
                <w:rFonts w:ascii="宋体" w:hAnsi="宋体" w:cs="宋体" w:eastAsia="宋体" w:hint="default"/>
                <w:sz w:val="18"/>
                <w:szCs w:val="18"/>
              </w:rPr>
              <w:t>强</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right"/>
              <w:rPr>
                <w:rFonts w:ascii="宋体" w:hAnsi="宋体" w:cs="宋体" w:eastAsia="宋体" w:hint="default"/>
                <w:sz w:val="18"/>
                <w:szCs w:val="18"/>
              </w:rPr>
            </w:pPr>
            <w:r>
              <w:rPr>
                <w:rFonts w:ascii="宋体" w:hAnsi="宋体" w:cs="宋体" w:eastAsia="宋体" w:hint="default"/>
                <w:sz w:val="18"/>
                <w:szCs w:val="18"/>
              </w:rPr>
              <w:t>未在公司领取薪酬</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right"/>
              <w:rPr>
                <w:rFonts w:ascii="宋体" w:hAnsi="宋体" w:cs="宋体" w:eastAsia="宋体" w:hint="default"/>
                <w:sz w:val="18"/>
                <w:szCs w:val="18"/>
              </w:rPr>
            </w:pPr>
            <w:r>
              <w:rPr>
                <w:rFonts w:ascii="宋体" w:hAnsi="宋体" w:cs="宋体" w:eastAsia="宋体" w:hint="default"/>
                <w:sz w:val="18"/>
                <w:szCs w:val="18"/>
              </w:rPr>
              <w:t>未在公司领取薪酬</w:t>
            </w:r>
          </w:p>
        </w:tc>
      </w:tr>
      <w:tr>
        <w:trPr>
          <w:trHeight w:val="398" w:hRule="exact"/>
        </w:trPr>
        <w:tc>
          <w:tcPr>
            <w:tcW w:w="3529"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 w:right="0"/>
              <w:jc w:val="center"/>
              <w:rPr>
                <w:rFonts w:ascii="宋体" w:hAnsi="宋体" w:cs="宋体" w:eastAsia="宋体" w:hint="default"/>
                <w:sz w:val="18"/>
                <w:szCs w:val="18"/>
              </w:rPr>
            </w:pPr>
            <w:r>
              <w:rPr>
                <w:rFonts w:ascii="宋体" w:hAnsi="宋体" w:cs="宋体" w:eastAsia="宋体" w:hint="default"/>
                <w:sz w:val="18"/>
                <w:szCs w:val="18"/>
              </w:rPr>
              <w:t>黄松浪</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right"/>
              <w:rPr>
                <w:rFonts w:ascii="Times New Roman" w:hAnsi="Times New Roman" w:cs="Times New Roman" w:eastAsia="Times New Roman" w:hint="default"/>
                <w:sz w:val="18"/>
                <w:szCs w:val="18"/>
              </w:rPr>
            </w:pPr>
            <w:r>
              <w:rPr>
                <w:rFonts w:ascii="Times New Roman"/>
                <w:sz w:val="18"/>
              </w:rPr>
              <w:t>21.22</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right"/>
              <w:rPr>
                <w:rFonts w:ascii="Times New Roman" w:hAnsi="Times New Roman" w:cs="Times New Roman" w:eastAsia="Times New Roman" w:hint="default"/>
                <w:sz w:val="18"/>
                <w:szCs w:val="18"/>
              </w:rPr>
            </w:pPr>
            <w:r>
              <w:rPr>
                <w:rFonts w:ascii="Times New Roman"/>
                <w:sz w:val="18"/>
              </w:rPr>
              <w:t>25.46</w:t>
            </w:r>
          </w:p>
        </w:tc>
      </w:tr>
      <w:tr>
        <w:trPr>
          <w:trHeight w:val="401" w:hRule="exact"/>
        </w:trPr>
        <w:tc>
          <w:tcPr>
            <w:tcW w:w="3529"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 w:right="0"/>
              <w:jc w:val="center"/>
              <w:rPr>
                <w:rFonts w:ascii="宋体" w:hAnsi="宋体" w:cs="宋体" w:eastAsia="宋体" w:hint="default"/>
                <w:sz w:val="18"/>
                <w:szCs w:val="18"/>
              </w:rPr>
            </w:pPr>
            <w:r>
              <w:rPr>
                <w:rFonts w:ascii="宋体" w:hAnsi="宋体" w:cs="宋体" w:eastAsia="宋体" w:hint="default"/>
                <w:sz w:val="18"/>
                <w:szCs w:val="18"/>
              </w:rPr>
              <w:t>王国华</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right"/>
              <w:rPr>
                <w:rFonts w:ascii="Times New Roman" w:hAnsi="Times New Roman" w:cs="Times New Roman" w:eastAsia="Times New Roman" w:hint="default"/>
                <w:sz w:val="18"/>
                <w:szCs w:val="18"/>
              </w:rPr>
            </w:pPr>
            <w:r>
              <w:rPr>
                <w:rFonts w:ascii="Times New Roman"/>
                <w:sz w:val="18"/>
              </w:rPr>
              <w:t>22.13</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right"/>
              <w:rPr>
                <w:rFonts w:ascii="Times New Roman" w:hAnsi="Times New Roman" w:cs="Times New Roman" w:eastAsia="Times New Roman" w:hint="default"/>
                <w:sz w:val="18"/>
                <w:szCs w:val="18"/>
              </w:rPr>
            </w:pPr>
            <w:r>
              <w:rPr>
                <w:rFonts w:ascii="Times New Roman"/>
                <w:sz w:val="18"/>
              </w:rPr>
              <w:t>26.01</w:t>
            </w:r>
          </w:p>
        </w:tc>
      </w:tr>
      <w:tr>
        <w:trPr>
          <w:trHeight w:val="386" w:hRule="exact"/>
        </w:trPr>
        <w:tc>
          <w:tcPr>
            <w:tcW w:w="352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万</w:t>
            </w:r>
            <w:r>
              <w:rPr>
                <w:rFonts w:ascii="宋体" w:hAnsi="宋体" w:cs="宋体" w:eastAsia="宋体" w:hint="default"/>
                <w:spacing w:val="54"/>
                <w:sz w:val="18"/>
                <w:szCs w:val="18"/>
              </w:rPr>
              <w:t> </w:t>
            </w:r>
            <w:r>
              <w:rPr>
                <w:rFonts w:ascii="宋体" w:hAnsi="宋体" w:cs="宋体" w:eastAsia="宋体" w:hint="default"/>
                <w:sz w:val="18"/>
                <w:szCs w:val="18"/>
              </w:rPr>
              <w:t>能</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z w:val="18"/>
              </w:rPr>
              <w:t>21.58</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z w:val="18"/>
              </w:rPr>
              <w:t>25.41</w:t>
            </w:r>
          </w:p>
        </w:tc>
      </w:tr>
      <w:tr>
        <w:trPr>
          <w:trHeight w:val="386" w:hRule="exact"/>
        </w:trPr>
        <w:tc>
          <w:tcPr>
            <w:tcW w:w="3529"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 w:right="0"/>
              <w:jc w:val="center"/>
              <w:rPr>
                <w:rFonts w:ascii="宋体" w:hAnsi="宋体" w:cs="宋体" w:eastAsia="宋体" w:hint="default"/>
                <w:sz w:val="18"/>
                <w:szCs w:val="18"/>
              </w:rPr>
            </w:pPr>
            <w:r>
              <w:rPr>
                <w:rFonts w:ascii="宋体" w:hAnsi="宋体" w:cs="宋体" w:eastAsia="宋体" w:hint="default"/>
                <w:sz w:val="18"/>
                <w:szCs w:val="18"/>
              </w:rPr>
              <w:t>徐斯平</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right"/>
              <w:rPr>
                <w:rFonts w:ascii="宋体" w:hAnsi="宋体" w:cs="宋体" w:eastAsia="宋体" w:hint="default"/>
                <w:sz w:val="18"/>
                <w:szCs w:val="18"/>
              </w:rPr>
            </w:pPr>
            <w:r>
              <w:rPr>
                <w:rFonts w:ascii="宋体" w:hAnsi="宋体" w:cs="宋体" w:eastAsia="宋体" w:hint="default"/>
                <w:sz w:val="18"/>
                <w:szCs w:val="18"/>
              </w:rPr>
              <w:t>未在公司领取薪酬</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right"/>
              <w:rPr>
                <w:rFonts w:ascii="宋体" w:hAnsi="宋体" w:cs="宋体" w:eastAsia="宋体" w:hint="default"/>
                <w:sz w:val="18"/>
                <w:szCs w:val="18"/>
              </w:rPr>
            </w:pPr>
            <w:r>
              <w:rPr>
                <w:rFonts w:ascii="宋体" w:hAnsi="宋体" w:cs="宋体" w:eastAsia="宋体" w:hint="default"/>
                <w:sz w:val="18"/>
                <w:szCs w:val="18"/>
              </w:rPr>
              <w:t>未在公司领取薪酬</w:t>
            </w:r>
          </w:p>
        </w:tc>
      </w:tr>
      <w:tr>
        <w:trPr>
          <w:trHeight w:val="386" w:hRule="exact"/>
        </w:trPr>
        <w:tc>
          <w:tcPr>
            <w:tcW w:w="352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pacing w:val="-1"/>
                <w:sz w:val="18"/>
              </w:rPr>
              <w:t>109.91</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pacing w:val="-1"/>
                <w:sz w:val="18"/>
              </w:rPr>
              <w:t>128.90</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4"/>
        <w:ind w:right="0"/>
        <w:jc w:val="left"/>
      </w:pPr>
      <w:r>
        <w:rPr/>
        <w:t>上市公司应付关联方款项</w:t>
      </w:r>
    </w:p>
    <w:p>
      <w:pPr>
        <w:pStyle w:val="BodyText"/>
        <w:spacing w:line="240" w:lineRule="auto" w:before="38"/>
        <w:ind w:left="0" w:right="151"/>
        <w:jc w:val="right"/>
      </w:pPr>
      <w:r>
        <w:rPr/>
        <w:t>单位：</w:t>
      </w:r>
      <w:r>
        <w:rPr>
          <w:spacing w:val="1"/>
        </w:rPr>
        <w:t> </w:t>
      </w:r>
      <w:r>
        <w:rPr/>
        <w:t>元</w:t>
      </w: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795"/>
        <w:gridCol w:w="2258"/>
        <w:gridCol w:w="2259"/>
        <w:gridCol w:w="2259"/>
      </w:tblGrid>
      <w:tr>
        <w:trPr>
          <w:trHeight w:val="32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557"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62"/>
              <w:jc w:val="left"/>
              <w:rPr>
                <w:rFonts w:ascii="宋体" w:hAnsi="宋体" w:cs="宋体" w:eastAsia="宋体" w:hint="default"/>
                <w:sz w:val="18"/>
                <w:szCs w:val="18"/>
              </w:rPr>
            </w:pPr>
            <w:r>
              <w:rPr>
                <w:rFonts w:ascii="宋体" w:hAnsi="宋体" w:cs="宋体" w:eastAsia="宋体" w:hint="default"/>
                <w:sz w:val="18"/>
                <w:szCs w:val="18"/>
              </w:rPr>
              <w:t>大连华信计算机技术股份有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3,172,848.00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324"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8"/>
              <w:jc w:val="center"/>
              <w:rPr>
                <w:rFonts w:ascii="宋体" w:hAnsi="宋体" w:cs="宋体" w:eastAsia="宋体" w:hint="default"/>
                <w:sz w:val="18"/>
                <w:szCs w:val="18"/>
              </w:rPr>
            </w:pPr>
            <w:r>
              <w:rPr>
                <w:rFonts w:ascii="宋体" w:hAnsi="宋体" w:cs="宋体" w:eastAsia="宋体" w:hint="default"/>
                <w:sz w:val="18"/>
                <w:szCs w:val="18"/>
              </w:rPr>
              <w:t>中信网络科技股份有限公司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557"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62"/>
              <w:jc w:val="left"/>
              <w:rPr>
                <w:rFonts w:ascii="宋体" w:hAnsi="宋体" w:cs="宋体" w:eastAsia="宋体" w:hint="default"/>
                <w:sz w:val="18"/>
                <w:szCs w:val="18"/>
              </w:rPr>
            </w:pPr>
            <w:r>
              <w:rPr>
                <w:rFonts w:ascii="宋体" w:hAnsi="宋体" w:cs="宋体" w:eastAsia="宋体" w:hint="default"/>
                <w:sz w:val="18"/>
                <w:szCs w:val="18"/>
              </w:rPr>
              <w:t>北京华信永道（北京）科技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430,000.00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430,000.00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40" w:bottom="1160" w:left="980" w:right="980"/>
        </w:sectPr>
      </w:pPr>
    </w:p>
    <w:p>
      <w:pPr>
        <w:spacing w:line="240" w:lineRule="auto" w:before="2"/>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797"/>
        <w:gridCol w:w="2258"/>
        <w:gridCol w:w="2259"/>
        <w:gridCol w:w="2259"/>
      </w:tblGrid>
      <w:tr>
        <w:trPr>
          <w:trHeight w:val="557"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23" w:right="62"/>
              <w:jc w:val="left"/>
              <w:rPr>
                <w:rFonts w:ascii="宋体" w:hAnsi="宋体" w:cs="宋体" w:eastAsia="宋体" w:hint="default"/>
                <w:sz w:val="18"/>
                <w:szCs w:val="18"/>
              </w:rPr>
            </w:pPr>
            <w:r>
              <w:rPr>
                <w:rFonts w:ascii="宋体" w:hAnsi="宋体" w:cs="宋体" w:eastAsia="宋体" w:hint="default"/>
                <w:sz w:val="18"/>
                <w:szCs w:val="18"/>
              </w:rPr>
              <w:t>北京华信永道（北京）科技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416" w:right="0"/>
              <w:jc w:val="left"/>
              <w:rPr>
                <w:rFonts w:ascii="Times New Roman" w:hAnsi="Times New Roman" w:cs="Times New Roman" w:eastAsia="Times New Roman" w:hint="default"/>
                <w:sz w:val="18"/>
                <w:szCs w:val="18"/>
              </w:rPr>
            </w:pPr>
            <w:r>
              <w:rPr>
                <w:rFonts w:ascii="Times New Roman"/>
                <w:sz w:val="18"/>
              </w:rPr>
              <w:t>124,790.64</w:t>
            </w:r>
          </w:p>
        </w:tc>
        <w:tc>
          <w:tcPr>
            <w:tcW w:w="22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7"/>
          <w:szCs w:val="17"/>
        </w:rPr>
      </w:pPr>
    </w:p>
    <w:p>
      <w:pPr>
        <w:pStyle w:val="Heading2"/>
        <w:spacing w:line="240" w:lineRule="auto" w:before="26"/>
        <w:ind w:right="94"/>
        <w:jc w:val="left"/>
        <w:rPr>
          <w:b w:val="0"/>
          <w:bCs w:val="0"/>
        </w:rPr>
      </w:pPr>
      <w:r>
        <w:rPr/>
        <w:t>十、股份支付</w:t>
      </w:r>
      <w:r>
        <w:rPr>
          <w:b w:val="0"/>
          <w:bCs w:val="0"/>
        </w:rPr>
      </w:r>
    </w:p>
    <w:p>
      <w:pPr>
        <w:spacing w:line="240" w:lineRule="auto" w:before="3"/>
        <w:rPr>
          <w:rFonts w:ascii="宋体" w:hAnsi="宋体" w:cs="宋体" w:eastAsia="宋体" w:hint="default"/>
          <w:b/>
          <w:bCs/>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9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324"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12,683,700.00</w:t>
            </w:r>
          </w:p>
        </w:tc>
      </w:tr>
      <w:tr>
        <w:trPr>
          <w:trHeight w:val="324"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225,000.00</w:t>
            </w:r>
          </w:p>
        </w:tc>
      </w:tr>
      <w:tr>
        <w:trPr>
          <w:trHeight w:val="557"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2" w:right="179"/>
              <w:jc w:val="left"/>
              <w:rPr>
                <w:rFonts w:ascii="宋体" w:hAnsi="宋体" w:cs="宋体" w:eastAsia="宋体" w:hint="default"/>
                <w:sz w:val="18"/>
                <w:szCs w:val="18"/>
              </w:rPr>
            </w:pPr>
            <w:r>
              <w:rPr>
                <w:rFonts w:ascii="宋体" w:hAnsi="宋体" w:cs="宋体" w:eastAsia="宋体" w:hint="default"/>
                <w:sz w:val="18"/>
                <w:szCs w:val="18"/>
              </w:rPr>
              <w:t>公司期末发行在外的股份期权行权价格的范围和 合同剩余期限</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行权价格为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股；期限为自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48 </w:t>
            </w:r>
            <w:r>
              <w:rPr>
                <w:rFonts w:ascii="宋体" w:hAnsi="宋体" w:cs="宋体" w:eastAsia="宋体" w:hint="default"/>
                <w:sz w:val="18"/>
                <w:szCs w:val="18"/>
              </w:rPr>
              <w:t>个月。</w:t>
            </w:r>
          </w:p>
        </w:tc>
      </w:tr>
      <w:tr>
        <w:trPr>
          <w:trHeight w:val="557"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2" w:right="180"/>
              <w:jc w:val="left"/>
              <w:rPr>
                <w:rFonts w:ascii="宋体" w:hAnsi="宋体" w:cs="宋体" w:eastAsia="宋体" w:hint="default"/>
                <w:sz w:val="18"/>
                <w:szCs w:val="18"/>
              </w:rPr>
            </w:pPr>
            <w:r>
              <w:rPr>
                <w:rFonts w:ascii="宋体" w:hAnsi="宋体" w:cs="宋体" w:eastAsia="宋体" w:hint="default"/>
                <w:sz w:val="18"/>
                <w:szCs w:val="18"/>
              </w:rPr>
              <w:t>公司期末其他权益工具行权价格的范围和合同剩 余期限</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17"/>
              <w:jc w:val="left"/>
              <w:rPr>
                <w:rFonts w:ascii="宋体" w:hAnsi="宋体" w:cs="宋体" w:eastAsia="宋体" w:hint="default"/>
                <w:sz w:val="18"/>
                <w:szCs w:val="18"/>
              </w:rPr>
            </w:pPr>
            <w:r>
              <w:rPr>
                <w:rFonts w:ascii="宋体" w:hAnsi="宋体" w:cs="宋体" w:eastAsia="宋体" w:hint="default"/>
                <w:sz w:val="18"/>
                <w:szCs w:val="18"/>
              </w:rPr>
              <w:t>限制性股票授予价格为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8.97</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元</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股；期限为自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 </w:t>
            </w:r>
            <w:r>
              <w:rPr>
                <w:rFonts w:ascii="宋体" w:hAnsi="宋体" w:cs="宋体" w:eastAsia="宋体" w:hint="default"/>
                <w:sz w:val="18"/>
                <w:szCs w:val="18"/>
              </w:rPr>
              <w:t>个 月。</w:t>
            </w:r>
          </w:p>
        </w:tc>
      </w:tr>
    </w:tbl>
    <w:p>
      <w:pPr>
        <w:spacing w:line="240" w:lineRule="auto" w:before="7"/>
        <w:rPr>
          <w:rFonts w:ascii="宋体" w:hAnsi="宋体" w:cs="宋体" w:eastAsia="宋体" w:hint="default"/>
          <w:sz w:val="17"/>
          <w:szCs w:val="17"/>
        </w:rPr>
      </w:pPr>
    </w:p>
    <w:p>
      <w:pPr>
        <w:pStyle w:val="Heading3"/>
        <w:spacing w:line="240" w:lineRule="auto" w:before="36"/>
        <w:ind w:right="94"/>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9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模型</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对可行权权益工具数量的最佳估计的确定方法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按实际行权数量确定</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资本公积中以权益结算的股份支付的累计金额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27,407,745.00</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以权益结算的股份支付确认的费用总额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5,443,754.20</w:t>
            </w:r>
          </w:p>
        </w:tc>
      </w:tr>
    </w:tbl>
    <w:p>
      <w:pPr>
        <w:pStyle w:val="BodyText"/>
        <w:spacing w:line="240" w:lineRule="auto" w:before="87"/>
        <w:ind w:right="94"/>
        <w:jc w:val="left"/>
      </w:pPr>
      <w:r>
        <w:rPr/>
        <w:t>以权益结算的股份支付的说明：</w:t>
      </w:r>
    </w:p>
    <w:p>
      <w:pPr>
        <w:spacing w:line="240" w:lineRule="auto" w:before="12"/>
        <w:rPr>
          <w:rFonts w:ascii="宋体" w:hAnsi="宋体" w:cs="宋体" w:eastAsia="宋体" w:hint="default"/>
          <w:sz w:val="17"/>
          <w:szCs w:val="17"/>
        </w:rPr>
      </w:pPr>
    </w:p>
    <w:p>
      <w:pPr>
        <w:pStyle w:val="BodyText"/>
        <w:spacing w:line="336" w:lineRule="auto"/>
        <w:ind w:right="94"/>
        <w:jc w:val="left"/>
      </w:pPr>
      <w:r>
        <w:rPr>
          <w:spacing w:val="-2"/>
        </w:rPr>
        <w:t>经本公司</w:t>
      </w:r>
      <w:r>
        <w:rPr>
          <w:rFonts w:ascii="Times New Roman" w:hAnsi="Times New Roman" w:cs="Times New Roman" w:eastAsia="Times New Roman" w:hint="default"/>
          <w:spacing w:val="-2"/>
        </w:rPr>
        <w:t>2012</w:t>
      </w:r>
      <w:r>
        <w:rPr>
          <w:spacing w:val="-2"/>
        </w:rPr>
        <w:t>年度第一次临时股东大会于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8</w:t>
      </w:r>
      <w:r>
        <w:rPr>
          <w:spacing w:val="-2"/>
        </w:rPr>
        <w:t>日审议批准，本公司于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日起实行一项股份期权计划。据此，</w:t>
      </w:r>
      <w:r>
        <w:rPr>
          <w:spacing w:val="-56"/>
        </w:rPr>
        <w:t> </w:t>
      </w:r>
      <w:r>
        <w:rPr>
          <w:spacing w:val="-56"/>
        </w:rPr>
      </w:r>
      <w:r>
        <w:rPr>
          <w:spacing w:val="-2"/>
        </w:rPr>
        <w:t>本公司董事会获授权酌情授予本公司中层管理人员、核心技术（业务）人员共</w:t>
      </w:r>
      <w:r>
        <w:rPr>
          <w:rFonts w:ascii="Times New Roman" w:hAnsi="Times New Roman" w:cs="Times New Roman" w:eastAsia="Times New Roman" w:hint="default"/>
          <w:spacing w:val="-2"/>
        </w:rPr>
        <w:t>370</w:t>
      </w:r>
      <w:r>
        <w:rPr>
          <w:spacing w:val="-2"/>
        </w:rPr>
        <w:t>人</w:t>
      </w:r>
      <w:r>
        <w:rPr>
          <w:rFonts w:ascii="Times New Roman" w:hAnsi="Times New Roman" w:cs="Times New Roman" w:eastAsia="Times New Roman" w:hint="default"/>
          <w:spacing w:val="-2"/>
        </w:rPr>
        <w:t>850</w:t>
      </w:r>
      <w:r>
        <w:rPr>
          <w:spacing w:val="-2"/>
        </w:rPr>
        <w:t>万份股票期权，</w:t>
      </w:r>
      <w:r>
        <w:rPr>
          <w:rFonts w:ascii="Times New Roman" w:hAnsi="Times New Roman" w:cs="Times New Roman" w:eastAsia="Times New Roman" w:hint="default"/>
          <w:spacing w:val="-2"/>
        </w:rPr>
        <w:t>450</w:t>
      </w:r>
      <w:r>
        <w:rPr>
          <w:spacing w:val="-2"/>
        </w:rPr>
        <w:t>万份限制性股票。</w:t>
      </w:r>
      <w:r>
        <w:rPr>
          <w:spacing w:val="-57"/>
        </w:rPr>
        <w:t> </w:t>
      </w:r>
      <w:r>
        <w:rPr>
          <w:spacing w:val="-57"/>
        </w:rPr>
      </w:r>
      <w:r>
        <w:rPr>
          <w:spacing w:val="-2"/>
        </w:rPr>
        <w:t>经本公司第四届董事会第三十次会议于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18</w:t>
      </w:r>
      <w:r>
        <w:rPr>
          <w:spacing w:val="-2"/>
        </w:rPr>
        <w:t>日审议批准，同意取消</w:t>
      </w:r>
      <w:r>
        <w:rPr>
          <w:rFonts w:ascii="Times New Roman" w:hAnsi="Times New Roman" w:cs="Times New Roman" w:eastAsia="Times New Roman" w:hint="default"/>
          <w:spacing w:val="-2"/>
        </w:rPr>
        <w:t>25</w:t>
      </w:r>
      <w:r>
        <w:rPr>
          <w:spacing w:val="-2"/>
        </w:rPr>
        <w:t>名限制性股票授予人因资金原因自愿全部或部</w:t>
      </w:r>
      <w:r>
        <w:rPr>
          <w:spacing w:val="-58"/>
        </w:rPr>
        <w:t> </w:t>
      </w:r>
      <w:r>
        <w:rPr>
          <w:spacing w:val="-58"/>
        </w:rPr>
      </w:r>
      <w:r>
        <w:rPr>
          <w:spacing w:val="3"/>
        </w:rPr>
        <w:t>分放弃认购获授份额，本次限制性股票最终授予及认购的情况为：限制性股票激励计划激励对象</w:t>
      </w:r>
      <w:r>
        <w:rPr>
          <w:rFonts w:ascii="Times New Roman" w:hAnsi="Times New Roman" w:cs="Times New Roman" w:eastAsia="Times New Roman" w:hint="default"/>
          <w:spacing w:val="3"/>
        </w:rPr>
        <w:t>185</w:t>
      </w:r>
      <w:r>
        <w:rPr>
          <w:spacing w:val="3"/>
        </w:rPr>
        <w:t>人，限制性股票数量</w:t>
      </w:r>
      <w:r>
        <w:rPr/>
        <w:t> </w:t>
      </w:r>
      <w:r>
        <w:rPr>
          <w:rFonts w:ascii="Times New Roman" w:hAnsi="Times New Roman" w:cs="Times New Roman" w:eastAsia="Times New Roman" w:hint="default"/>
        </w:rPr>
        <w:t>418.37</w:t>
      </w:r>
      <w:r>
        <w:rPr/>
        <w:t>万份。</w:t>
      </w:r>
    </w:p>
    <w:p>
      <w:pPr>
        <w:pStyle w:val="BodyText"/>
        <w:spacing w:line="338" w:lineRule="auto" w:before="141"/>
        <w:ind w:right="94"/>
        <w:jc w:val="left"/>
      </w:pPr>
      <w:r>
        <w:rPr/>
        <w:t>本次限制性股票授予日为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日，授予价格为</w:t>
      </w:r>
      <w:r>
        <w:rPr>
          <w:rFonts w:ascii="Times New Roman" w:hAnsi="Times New Roman" w:cs="Times New Roman" w:eastAsia="Times New Roman" w:hint="default"/>
        </w:rPr>
        <w:t>8.97</w:t>
      </w:r>
      <w:r>
        <w:rPr/>
        <w:t>元</w:t>
      </w:r>
      <w:r>
        <w:rPr>
          <w:rFonts w:ascii="Times New Roman" w:hAnsi="Times New Roman" w:cs="Times New Roman" w:eastAsia="Times New Roman" w:hint="default"/>
        </w:rPr>
        <w:t>/</w:t>
      </w:r>
      <w:r>
        <w:rPr/>
        <w:t>股。公司授予激励对象的限制性股票自授予之日起</w:t>
      </w:r>
      <w:r>
        <w:rPr>
          <w:rFonts w:ascii="Times New Roman" w:hAnsi="Times New Roman" w:cs="Times New Roman" w:eastAsia="Times New Roman" w:hint="default"/>
        </w:rPr>
        <w:t>12</w:t>
      </w:r>
      <w:r>
        <w:rPr/>
        <w:t>个月为锁 </w:t>
      </w:r>
      <w:r>
        <w:rPr>
          <w:spacing w:val="-2"/>
        </w:rPr>
        <w:t>定期；锁定期内，激励对象通过本计划持有的限制性股票将被锁定不得转让、用于担保或偿还债务。锁定期后</w:t>
      </w:r>
      <w:r>
        <w:rPr>
          <w:rFonts w:ascii="Times New Roman" w:hAnsi="Times New Roman" w:cs="Times New Roman" w:eastAsia="Times New Roman" w:hint="default"/>
          <w:spacing w:val="-2"/>
        </w:rPr>
        <w:t>48</w:t>
      </w:r>
      <w:r>
        <w:rPr>
          <w:spacing w:val="-2"/>
        </w:rPr>
        <w:t>个月为解锁</w:t>
      </w:r>
      <w:r>
        <w:rPr>
          <w:spacing w:val="-60"/>
        </w:rPr>
        <w:t> </w:t>
      </w:r>
      <w:r>
        <w:rPr/>
        <w:t>期，在解锁期内，在满足本激励计划规定的解锁条件时，激励对象可分四次申请标的股票解锁，分别自授予日起</w:t>
      </w:r>
      <w:r>
        <w:rPr>
          <w:rFonts w:ascii="Times New Roman" w:hAnsi="Times New Roman" w:cs="Times New Roman" w:eastAsia="Times New Roman" w:hint="default"/>
        </w:rPr>
        <w:t>12</w:t>
      </w:r>
      <w:r>
        <w:rPr/>
        <w:t>个月后、 </w:t>
      </w:r>
      <w:r>
        <w:rPr>
          <w:rFonts w:ascii="Times New Roman" w:hAnsi="Times New Roman" w:cs="Times New Roman" w:eastAsia="Times New Roman" w:hint="default"/>
        </w:rPr>
        <w:t>24</w:t>
      </w:r>
      <w:r>
        <w:rPr/>
        <w:t>个月后、</w:t>
      </w:r>
      <w:r>
        <w:rPr>
          <w:rFonts w:ascii="Times New Roman" w:hAnsi="Times New Roman" w:cs="Times New Roman" w:eastAsia="Times New Roman" w:hint="default"/>
        </w:rPr>
        <w:t>36</w:t>
      </w:r>
      <w:r>
        <w:rPr/>
        <w:t>个月及</w:t>
      </w:r>
      <w:r>
        <w:rPr>
          <w:rFonts w:ascii="Times New Roman" w:hAnsi="Times New Roman" w:cs="Times New Roman" w:eastAsia="Times New Roman" w:hint="default"/>
        </w:rPr>
        <w:t>48</w:t>
      </w:r>
      <w:r>
        <w:rPr/>
        <w:t>个月后后分别申请解锁所获授限制性股票总量的</w:t>
      </w:r>
      <w:r>
        <w:rPr>
          <w:rFonts w:ascii="Times New Roman" w:hAnsi="Times New Roman" w:cs="Times New Roman" w:eastAsia="Times New Roman" w:hint="default"/>
        </w:rPr>
        <w:t>20%</w:t>
      </w:r>
      <w:r>
        <w:rPr/>
        <w:t>、</w:t>
      </w:r>
      <w:r>
        <w:rPr>
          <w:rFonts w:ascii="Times New Roman" w:hAnsi="Times New Roman" w:cs="Times New Roman" w:eastAsia="Times New Roman" w:hint="default"/>
        </w:rPr>
        <w:t>20%</w:t>
      </w:r>
      <w:r>
        <w:rPr/>
        <w:t>、</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w:t>
      </w:r>
    </w:p>
    <w:p>
      <w:pPr>
        <w:pStyle w:val="BodyText"/>
        <w:spacing w:line="336" w:lineRule="auto" w:before="140"/>
        <w:ind w:right="188"/>
        <w:jc w:val="both"/>
      </w:pPr>
      <w:r>
        <w:rPr>
          <w:spacing w:val="-2"/>
        </w:rPr>
        <w:t>本次股份期权授予日为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日，行权价格为</w:t>
      </w:r>
      <w:r>
        <w:rPr>
          <w:rFonts w:ascii="Times New Roman" w:hAnsi="Times New Roman" w:cs="Times New Roman" w:eastAsia="Times New Roman" w:hint="default"/>
          <w:spacing w:val="-2"/>
        </w:rPr>
        <w:t>18.30</w:t>
      </w:r>
      <w:r>
        <w:rPr>
          <w:spacing w:val="-2"/>
        </w:rPr>
        <w:t>元</w:t>
      </w:r>
      <w:r>
        <w:rPr>
          <w:rFonts w:ascii="Times New Roman" w:hAnsi="Times New Roman" w:cs="Times New Roman" w:eastAsia="Times New Roman" w:hint="default"/>
          <w:spacing w:val="-2"/>
        </w:rPr>
        <w:t>/</w:t>
      </w:r>
      <w:r>
        <w:rPr>
          <w:spacing w:val="-2"/>
        </w:rPr>
        <w:t>股。本次股份期权的权利自首次授权日起满</w:t>
      </w:r>
      <w:r>
        <w:rPr>
          <w:rFonts w:ascii="Times New Roman" w:hAnsi="Times New Roman" w:cs="Times New Roman" w:eastAsia="Times New Roman" w:hint="default"/>
          <w:spacing w:val="-2"/>
        </w:rPr>
        <w:t>12</w:t>
      </w:r>
      <w:r>
        <w:rPr>
          <w:spacing w:val="-2"/>
        </w:rPr>
        <w:t>个月后，股权授予</w:t>
      </w:r>
      <w:r>
        <w:rPr>
          <w:spacing w:val="-57"/>
        </w:rPr>
        <w:t> </w:t>
      </w:r>
      <w:r>
        <w:rPr>
          <w:spacing w:val="-57"/>
        </w:rPr>
      </w:r>
      <w:r>
        <w:rPr>
          <w:spacing w:val="-1"/>
        </w:rPr>
        <w:t>对象应在未来</w:t>
      </w:r>
      <w:r>
        <w:rPr>
          <w:rFonts w:ascii="Times New Roman" w:hAnsi="Times New Roman" w:cs="Times New Roman" w:eastAsia="Times New Roman" w:hint="default"/>
          <w:spacing w:val="-1"/>
        </w:rPr>
        <w:t>48</w:t>
      </w:r>
      <w:r>
        <w:rPr>
          <w:spacing w:val="-1"/>
        </w:rPr>
        <w:t>个月内分四期行权</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41"/>
        </w:rPr>
        <w:t> </w:t>
      </w:r>
      <w:r>
        <w:rPr>
          <w:spacing w:val="-2"/>
        </w:rPr>
        <w:t>可行权数量占获授期权数量比例依次为</w:t>
      </w:r>
      <w:r>
        <w:rPr>
          <w:rFonts w:ascii="Times New Roman" w:hAnsi="Times New Roman" w:cs="Times New Roman" w:eastAsia="Times New Roman" w:hint="default"/>
          <w:spacing w:val="-2"/>
        </w:rPr>
        <w:t>20%</w:t>
      </w:r>
      <w:r>
        <w:rPr>
          <w:spacing w:val="-2"/>
        </w:rPr>
        <w:t>、</w:t>
      </w:r>
      <w:r>
        <w:rPr>
          <w:rFonts w:ascii="Times New Roman" w:hAnsi="Times New Roman" w:cs="Times New Roman" w:eastAsia="Times New Roman" w:hint="default"/>
          <w:spacing w:val="-2"/>
        </w:rPr>
        <w:t>20%</w:t>
      </w:r>
      <w:r>
        <w:rPr>
          <w:spacing w:val="-2"/>
        </w:rPr>
        <w:t>、</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30%</w:t>
      </w:r>
      <w:r>
        <w:rPr>
          <w:spacing w:val="-2"/>
        </w:rPr>
        <w:t>。每份股份期权赋予持有</w:t>
      </w:r>
      <w:r>
        <w:rPr>
          <w:spacing w:val="-87"/>
        </w:rPr>
        <w:t> </w:t>
      </w:r>
      <w:r>
        <w:rPr>
          <w:spacing w:val="-87"/>
        </w:rPr>
      </w:r>
      <w:r>
        <w:rPr/>
        <w:t>人认购</w:t>
      </w:r>
      <w:r>
        <w:rPr>
          <w:rFonts w:ascii="Times New Roman" w:hAnsi="Times New Roman" w:cs="Times New Roman" w:eastAsia="Times New Roman" w:hint="default"/>
        </w:rPr>
        <w:t>1</w:t>
      </w:r>
      <w:r>
        <w:rPr/>
        <w:t>股本公司普通股的权利。</w:t>
      </w:r>
    </w:p>
    <w:p>
      <w:pPr>
        <w:pStyle w:val="BodyText"/>
        <w:spacing w:line="338" w:lineRule="auto" w:before="141"/>
        <w:ind w:right="188"/>
        <w:jc w:val="both"/>
      </w:pPr>
      <w:r>
        <w:rPr>
          <w:spacing w:val="-1"/>
        </w:rPr>
        <w:t>公司本期已授予的权益工具数量为</w:t>
      </w:r>
      <w:r>
        <w:rPr>
          <w:rFonts w:ascii="Times New Roman" w:hAnsi="Times New Roman" w:cs="Times New Roman" w:eastAsia="Times New Roman" w:hint="default"/>
          <w:spacing w:val="-1"/>
        </w:rPr>
        <w:t>12,683,700</w:t>
      </w:r>
      <w:r>
        <w:rPr>
          <w:spacing w:val="-1"/>
        </w:rPr>
        <w:t>股，至报告期末因</w:t>
      </w:r>
      <w:r>
        <w:rPr>
          <w:rFonts w:ascii="Times New Roman" w:hAnsi="Times New Roman" w:cs="Times New Roman" w:eastAsia="Times New Roman" w:hint="default"/>
          <w:spacing w:val="-1"/>
        </w:rPr>
        <w:t>8</w:t>
      </w:r>
      <w:r>
        <w:rPr>
          <w:spacing w:val="-1"/>
        </w:rPr>
        <w:t>名激励对象离职不符合激励条件，获授的</w:t>
      </w:r>
      <w:r>
        <w:rPr>
          <w:rFonts w:ascii="Times New Roman" w:hAnsi="Times New Roman" w:cs="Times New Roman" w:eastAsia="Times New Roman" w:hint="default"/>
          <w:spacing w:val="-1"/>
        </w:rPr>
        <w:t>15,000</w:t>
      </w:r>
      <w:r>
        <w:rPr>
          <w:spacing w:val="-1"/>
        </w:rPr>
        <w:t>股限制性股</w:t>
      </w:r>
      <w:r>
        <w:rPr>
          <w:spacing w:val="-67"/>
        </w:rPr>
        <w:t> </w:t>
      </w:r>
      <w:r>
        <w:rPr>
          <w:spacing w:val="-67"/>
        </w:rPr>
      </w:r>
      <w:r>
        <w:rPr>
          <w:spacing w:val="-1"/>
        </w:rPr>
        <w:t>票及</w:t>
      </w:r>
      <w:r>
        <w:rPr>
          <w:rFonts w:ascii="Times New Roman" w:hAnsi="Times New Roman" w:cs="Times New Roman" w:eastAsia="Times New Roman" w:hint="default"/>
          <w:spacing w:val="-1"/>
        </w:rPr>
        <w:t>210,000</w:t>
      </w:r>
      <w:r>
        <w:rPr>
          <w:spacing w:val="-1"/>
        </w:rPr>
        <w:t>份股票期权失效。公司按授予日的公允价值确认本次激励的限制性股票及股份期权总成本为</w:t>
      </w:r>
      <w:r>
        <w:rPr>
          <w:rFonts w:ascii="Times New Roman" w:hAnsi="Times New Roman" w:cs="Times New Roman" w:eastAsia="Times New Roman" w:hint="default"/>
          <w:spacing w:val="-1"/>
        </w:rPr>
        <w:t>3,438.16</w:t>
      </w:r>
      <w:r>
        <w:rPr>
          <w:spacing w:val="-1"/>
        </w:rPr>
        <w:t>万元，并将</w:t>
      </w:r>
      <w:r>
        <w:rPr>
          <w:spacing w:val="-71"/>
        </w:rPr>
        <w:t> </w:t>
      </w:r>
      <w:r>
        <w:rPr>
          <w:spacing w:val="-71"/>
        </w:rPr>
      </w:r>
      <w:r>
        <w:rPr>
          <w:spacing w:val="-1"/>
        </w:rPr>
        <w:t>在激励计划实施期间内进行分摊，本期分摊的成本</w:t>
      </w:r>
      <w:r>
        <w:rPr>
          <w:rFonts w:ascii="Times New Roman" w:hAnsi="Times New Roman" w:cs="Times New Roman" w:eastAsia="Times New Roman" w:hint="default"/>
          <w:spacing w:val="-1"/>
        </w:rPr>
        <w:t>544.38</w:t>
      </w:r>
      <w:r>
        <w:rPr>
          <w:spacing w:val="-1"/>
        </w:rPr>
        <w:t>万元已计入当期管理费用并作为经常性损益列支，同时计入资本公</w:t>
      </w:r>
      <w:r>
        <w:rPr>
          <w:spacing w:val="-72"/>
        </w:rPr>
        <w:t> </w:t>
      </w:r>
      <w:r>
        <w:rPr>
          <w:spacing w:val="-72"/>
        </w:rPr>
      </w:r>
      <w:r>
        <w:rPr/>
        <w:t>积</w:t>
      </w:r>
      <w:r>
        <w:rPr>
          <w:rFonts w:ascii="Times New Roman" w:hAnsi="Times New Roman" w:cs="Times New Roman" w:eastAsia="Times New Roman" w:hint="default"/>
        </w:rPr>
        <w:t>-</w:t>
      </w:r>
      <w:r>
        <w:rPr/>
        <w:t>其他资本公积。</w:t>
      </w:r>
    </w:p>
    <w:p>
      <w:pPr>
        <w:spacing w:after="0" w:line="338" w:lineRule="auto"/>
        <w:jc w:val="both"/>
        <w:sectPr>
          <w:pgSz w:w="11910" w:h="16840"/>
          <w:pgMar w:header="852" w:footer="980" w:top="1340" w:bottom="1160" w:left="980" w:right="940"/>
        </w:sectPr>
      </w:pPr>
    </w:p>
    <w:p>
      <w:pPr>
        <w:pStyle w:val="Heading3"/>
        <w:spacing w:line="240" w:lineRule="auto" w:before="59"/>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、以股份支付服务情况</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以股份支付换取的职工服务总额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34,381,605.46</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、股份支付的修改、终止情况</w:t>
      </w:r>
      <w:r>
        <w:rPr>
          <w:b w:val="0"/>
          <w:bCs w:val="0"/>
        </w:rPr>
      </w:r>
    </w:p>
    <w:p>
      <w:pPr>
        <w:spacing w:line="240" w:lineRule="auto" w:before="2"/>
        <w:rPr>
          <w:rFonts w:ascii="宋体" w:hAnsi="宋体" w:cs="宋体" w:eastAsia="宋体" w:hint="default"/>
          <w:b/>
          <w:bCs/>
          <w:sz w:val="21"/>
          <w:szCs w:val="21"/>
        </w:rPr>
      </w:pPr>
    </w:p>
    <w:p>
      <w:pPr>
        <w:pStyle w:val="Heading2"/>
        <w:spacing w:line="240" w:lineRule="auto"/>
        <w:ind w:right="0"/>
        <w:jc w:val="left"/>
        <w:rPr>
          <w:b w:val="0"/>
          <w:bCs w:val="0"/>
        </w:rPr>
      </w:pPr>
      <w:r>
        <w:rPr/>
        <w:t>十一、或有事项</w:t>
      </w:r>
      <w:r>
        <w:rPr>
          <w:b w:val="0"/>
          <w:bCs w:val="0"/>
        </w:rPr>
      </w:r>
    </w:p>
    <w:p>
      <w:pPr>
        <w:spacing w:line="240" w:lineRule="auto" w:before="4"/>
        <w:rPr>
          <w:rFonts w:ascii="宋体" w:hAnsi="宋体" w:cs="宋体" w:eastAsia="宋体" w:hint="default"/>
          <w:b/>
          <w:bCs/>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w:t>
      </w:r>
      <w:r>
        <w:rPr/>
        <w:t>、</w:t>
      </w:r>
      <w:r>
        <w:rPr>
          <w:spacing w:val="-61"/>
        </w:rPr>
        <w:t> </w:t>
      </w:r>
      <w:r>
        <w:rPr/>
        <w:t>未决诉讼或仲裁形成的或有负债及其财务影响</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2"/>
        <w:rPr>
          <w:rFonts w:ascii="宋体" w:hAnsi="宋体" w:cs="宋体" w:eastAsia="宋体" w:hint="default"/>
          <w:sz w:val="22"/>
          <w:szCs w:val="22"/>
        </w:rPr>
      </w:pPr>
    </w:p>
    <w:p>
      <w:pPr>
        <w:pStyle w:val="Heading2"/>
        <w:spacing w:line="240" w:lineRule="auto"/>
        <w:ind w:right="0"/>
        <w:jc w:val="left"/>
        <w:rPr>
          <w:b w:val="0"/>
          <w:bCs w:val="0"/>
        </w:rPr>
      </w:pPr>
      <w:r>
        <w:rPr/>
        <w:t>十二、承诺事项</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日止，公司尚未结清的银行保函（不含利息收入金额）明细如下：</w:t>
      </w:r>
    </w:p>
    <w:p>
      <w:pPr>
        <w:spacing w:line="240" w:lineRule="auto" w:before="3"/>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4112"/>
        <w:gridCol w:w="1419"/>
        <w:gridCol w:w="1133"/>
        <w:gridCol w:w="850"/>
        <w:gridCol w:w="1136"/>
      </w:tblGrid>
      <w:tr>
        <w:trPr>
          <w:trHeight w:val="58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tabs>
                <w:tab w:pos="542" w:val="left" w:leader="none"/>
              </w:tabs>
              <w:spacing w:line="179" w:lineRule="exact"/>
              <w:ind w:left="91" w:right="0"/>
              <w:jc w:val="center"/>
              <w:rPr>
                <w:rFonts w:ascii="宋体" w:hAnsi="宋体" w:cs="宋体" w:eastAsia="宋体" w:hint="default"/>
                <w:sz w:val="15"/>
                <w:szCs w:val="15"/>
              </w:rPr>
            </w:pPr>
            <w:r>
              <w:rPr>
                <w:rFonts w:ascii="宋体" w:hAnsi="宋体" w:cs="宋体" w:eastAsia="宋体" w:hint="default"/>
                <w:sz w:val="15"/>
                <w:szCs w:val="15"/>
              </w:rPr>
              <w:t>项</w:t>
              <w:tab/>
              <w:t>目</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4" w:right="0"/>
              <w:jc w:val="center"/>
              <w:rPr>
                <w:rFonts w:ascii="宋体" w:hAnsi="宋体" w:cs="宋体" w:eastAsia="宋体" w:hint="default"/>
                <w:sz w:val="15"/>
                <w:szCs w:val="15"/>
              </w:rPr>
            </w:pPr>
            <w:r>
              <w:rPr>
                <w:rFonts w:ascii="宋体" w:hAnsi="宋体" w:cs="宋体" w:eastAsia="宋体" w:hint="default"/>
                <w:sz w:val="15"/>
                <w:szCs w:val="15"/>
              </w:rPr>
              <w:t>开户银行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259" w:right="0"/>
              <w:jc w:val="left"/>
              <w:rPr>
                <w:rFonts w:ascii="宋体" w:hAnsi="宋体" w:cs="宋体" w:eastAsia="宋体" w:hint="default"/>
                <w:sz w:val="15"/>
                <w:szCs w:val="15"/>
              </w:rPr>
            </w:pPr>
            <w:r>
              <w:rPr>
                <w:rFonts w:ascii="宋体" w:hAnsi="宋体" w:cs="宋体" w:eastAsia="宋体" w:hint="default"/>
                <w:sz w:val="15"/>
                <w:szCs w:val="15"/>
              </w:rPr>
              <w:t>保函金额</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4" w:right="0"/>
              <w:jc w:val="center"/>
              <w:rPr>
                <w:rFonts w:ascii="宋体" w:hAnsi="宋体" w:cs="宋体" w:eastAsia="宋体" w:hint="default"/>
                <w:sz w:val="15"/>
                <w:szCs w:val="15"/>
              </w:rPr>
            </w:pPr>
            <w:r>
              <w:rPr>
                <w:rFonts w:ascii="宋体" w:hAnsi="宋体" w:cs="宋体" w:eastAsia="宋体" w:hint="default"/>
                <w:sz w:val="15"/>
                <w:szCs w:val="15"/>
              </w:rPr>
              <w:t>保证金比例</w:t>
            </w:r>
          </w:p>
          <w:p>
            <w:pPr>
              <w:pStyle w:val="TableParagraph"/>
              <w:spacing w:line="240" w:lineRule="auto" w:before="117"/>
              <w:ind w:left="4" w:right="0"/>
              <w:jc w:val="center"/>
              <w:rPr>
                <w:rFonts w:ascii="Times New Roman" w:hAnsi="Times New Roman" w:cs="Times New Roman" w:eastAsia="Times New Roman" w:hint="default"/>
                <w:sz w:val="15"/>
                <w:szCs w:val="15"/>
              </w:rPr>
            </w:pPr>
            <w:r>
              <w:rPr>
                <w:rFonts w:ascii="Times New Roman"/>
                <w:sz w:val="15"/>
              </w:rPr>
              <w:t>(%)</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185" w:right="0"/>
              <w:jc w:val="left"/>
              <w:rPr>
                <w:rFonts w:ascii="宋体" w:hAnsi="宋体" w:cs="宋体" w:eastAsia="宋体" w:hint="default"/>
                <w:sz w:val="15"/>
                <w:szCs w:val="15"/>
              </w:rPr>
            </w:pPr>
            <w:r>
              <w:rPr>
                <w:rFonts w:ascii="宋体" w:hAnsi="宋体" w:cs="宋体" w:eastAsia="宋体" w:hint="default"/>
                <w:sz w:val="15"/>
                <w:szCs w:val="15"/>
              </w:rPr>
              <w:t>保证金金额</w:t>
            </w:r>
          </w:p>
        </w:tc>
      </w:tr>
      <w:tr>
        <w:trPr>
          <w:trHeight w:val="32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4" w:right="0"/>
              <w:jc w:val="left"/>
              <w:rPr>
                <w:rFonts w:ascii="宋体" w:hAnsi="宋体" w:cs="宋体" w:eastAsia="宋体" w:hint="default"/>
                <w:sz w:val="15"/>
                <w:szCs w:val="15"/>
              </w:rPr>
            </w:pPr>
            <w:r>
              <w:rPr>
                <w:rFonts w:ascii="宋体" w:hAnsi="宋体" w:cs="宋体" w:eastAsia="宋体" w:hint="default"/>
                <w:sz w:val="15"/>
                <w:szCs w:val="15"/>
              </w:rPr>
              <w:t>中国人寿保险股份有限公司配置管理数据库软件采购合同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4" w:right="0"/>
              <w:jc w:val="center"/>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1,830,000.00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center"/>
              <w:rPr>
                <w:rFonts w:ascii="Times New Roman" w:hAnsi="Times New Roman" w:cs="Times New Roman" w:eastAsia="Times New Roman" w:hint="default"/>
                <w:sz w:val="15"/>
                <w:szCs w:val="15"/>
              </w:rPr>
            </w:pPr>
            <w:r>
              <w:rPr>
                <w:rFonts w:ascii="Times New Roman"/>
                <w:w w:val="100"/>
                <w:sz w:val="15"/>
              </w:rPr>
              <w:t>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91,500.00</w:t>
            </w:r>
          </w:p>
        </w:tc>
      </w:tr>
      <w:tr>
        <w:trPr>
          <w:trHeight w:val="619"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4" w:right="0"/>
              <w:jc w:val="left"/>
              <w:rPr>
                <w:rFonts w:ascii="宋体" w:hAnsi="宋体" w:cs="宋体" w:eastAsia="宋体" w:hint="default"/>
                <w:sz w:val="15"/>
                <w:szCs w:val="15"/>
              </w:rPr>
            </w:pPr>
            <w:r>
              <w:rPr>
                <w:rFonts w:ascii="宋体" w:hAnsi="宋体" w:cs="宋体" w:eastAsia="宋体" w:hint="default"/>
                <w:sz w:val="15"/>
                <w:szCs w:val="15"/>
              </w:rPr>
              <w:t>中国疾病预防控制中心新址信息系统建设项目</w:t>
            </w:r>
            <w:r>
              <w:rPr>
                <w:rFonts w:ascii="Times New Roman" w:hAnsi="Times New Roman" w:cs="Times New Roman" w:eastAsia="Times New Roman" w:hint="default"/>
                <w:sz w:val="15"/>
                <w:szCs w:val="15"/>
              </w:rPr>
              <w:t>IT</w:t>
            </w:r>
            <w:r>
              <w:rPr>
                <w:rFonts w:ascii="宋体" w:hAnsi="宋体" w:cs="宋体" w:eastAsia="宋体" w:hint="default"/>
                <w:sz w:val="15"/>
                <w:szCs w:val="15"/>
              </w:rPr>
              <w:t>服务运维管理</w:t>
            </w:r>
          </w:p>
          <w:p>
            <w:pPr>
              <w:pStyle w:val="TableParagraph"/>
              <w:spacing w:line="240" w:lineRule="auto" w:before="85"/>
              <w:ind w:left="4" w:right="0"/>
              <w:jc w:val="left"/>
              <w:rPr>
                <w:rFonts w:ascii="宋体" w:hAnsi="宋体" w:cs="宋体" w:eastAsia="宋体" w:hint="default"/>
                <w:sz w:val="15"/>
                <w:szCs w:val="15"/>
              </w:rPr>
            </w:pPr>
            <w:r>
              <w:rPr>
                <w:rFonts w:ascii="宋体" w:hAnsi="宋体" w:cs="宋体" w:eastAsia="宋体" w:hint="default"/>
                <w:sz w:val="15"/>
                <w:szCs w:val="15"/>
              </w:rPr>
              <w:t>系统集成项目</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4" w:right="0"/>
              <w:jc w:val="center"/>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1,860,000.00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center"/>
              <w:rPr>
                <w:rFonts w:ascii="Times New Roman" w:hAnsi="Times New Roman" w:cs="Times New Roman" w:eastAsia="Times New Roman" w:hint="default"/>
                <w:sz w:val="15"/>
                <w:szCs w:val="15"/>
              </w:rPr>
            </w:pPr>
            <w:r>
              <w:rPr>
                <w:rFonts w:ascii="Times New Roman"/>
                <w:w w:val="100"/>
                <w:sz w:val="15"/>
              </w:rPr>
              <w:t>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93,000.00</w:t>
            </w:r>
          </w:p>
        </w:tc>
      </w:tr>
      <w:tr>
        <w:trPr>
          <w:trHeight w:val="617"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4" w:right="0"/>
              <w:jc w:val="left"/>
              <w:rPr>
                <w:rFonts w:ascii="宋体" w:hAnsi="宋体" w:cs="宋体" w:eastAsia="宋体" w:hint="default"/>
                <w:sz w:val="15"/>
                <w:szCs w:val="15"/>
              </w:rPr>
            </w:pPr>
            <w:r>
              <w:rPr>
                <w:rFonts w:ascii="宋体" w:hAnsi="宋体" w:cs="宋体" w:eastAsia="宋体" w:hint="default"/>
                <w:sz w:val="15"/>
                <w:szCs w:val="15"/>
              </w:rPr>
              <w:t>中国电信</w:t>
            </w:r>
            <w:r>
              <w:rPr>
                <w:rFonts w:ascii="Times New Roman" w:hAnsi="Times New Roman" w:cs="Times New Roman" w:eastAsia="Times New Roman" w:hint="default"/>
                <w:sz w:val="15"/>
                <w:szCs w:val="15"/>
              </w:rPr>
              <w:t>2009</w:t>
            </w:r>
            <w:r>
              <w:rPr>
                <w:rFonts w:ascii="宋体" w:hAnsi="宋体" w:cs="宋体" w:eastAsia="宋体" w:hint="default"/>
                <w:sz w:val="15"/>
                <w:szCs w:val="15"/>
              </w:rPr>
              <w:t>年全国业务接入及管理平台网管系统工程软件开</w:t>
            </w:r>
          </w:p>
          <w:p>
            <w:pPr>
              <w:pStyle w:val="TableParagraph"/>
              <w:spacing w:line="240" w:lineRule="auto" w:before="85"/>
              <w:ind w:left="4" w:right="0"/>
              <w:jc w:val="left"/>
              <w:rPr>
                <w:rFonts w:ascii="宋体" w:hAnsi="宋体" w:cs="宋体" w:eastAsia="宋体" w:hint="default"/>
                <w:sz w:val="15"/>
                <w:szCs w:val="15"/>
              </w:rPr>
            </w:pPr>
            <w:r>
              <w:rPr>
                <w:rFonts w:ascii="宋体" w:hAnsi="宋体" w:cs="宋体" w:eastAsia="宋体" w:hint="default"/>
                <w:sz w:val="15"/>
                <w:szCs w:val="15"/>
              </w:rPr>
              <w:t>发、设备采购和集成服务合同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4" w:right="0"/>
              <w:jc w:val="center"/>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571,365.85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center"/>
              <w:rPr>
                <w:rFonts w:ascii="Times New Roman" w:hAnsi="Times New Roman" w:cs="Times New Roman" w:eastAsia="Times New Roman" w:hint="default"/>
                <w:sz w:val="15"/>
                <w:szCs w:val="15"/>
              </w:rPr>
            </w:pPr>
            <w:r>
              <w:rPr>
                <w:rFonts w:ascii="Times New Roman"/>
                <w:sz w:val="15"/>
              </w:rPr>
              <w:t>10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57,136.58</w:t>
            </w:r>
          </w:p>
        </w:tc>
      </w:tr>
      <w:tr>
        <w:trPr>
          <w:trHeight w:val="329"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 w:right="0"/>
              <w:jc w:val="left"/>
              <w:rPr>
                <w:rFonts w:ascii="宋体" w:hAnsi="宋体" w:cs="宋体" w:eastAsia="宋体" w:hint="default"/>
                <w:sz w:val="15"/>
                <w:szCs w:val="15"/>
              </w:rPr>
            </w:pPr>
            <w:r>
              <w:rPr>
                <w:rFonts w:ascii="宋体" w:hAnsi="宋体" w:cs="宋体" w:eastAsia="宋体" w:hint="default"/>
                <w:spacing w:val="-2"/>
                <w:sz w:val="15"/>
                <w:szCs w:val="15"/>
              </w:rPr>
              <w:t>中国人寿保险股份有限公司</w:t>
            </w:r>
            <w:r>
              <w:rPr>
                <w:rFonts w:ascii="Times New Roman" w:hAnsi="Times New Roman" w:cs="Times New Roman" w:eastAsia="Times New Roman" w:hint="default"/>
                <w:spacing w:val="-2"/>
                <w:sz w:val="15"/>
                <w:szCs w:val="15"/>
              </w:rPr>
              <w:t>4A</w:t>
            </w:r>
            <w:r>
              <w:rPr>
                <w:rFonts w:ascii="宋体" w:hAnsi="宋体" w:cs="宋体" w:eastAsia="宋体" w:hint="default"/>
                <w:spacing w:val="-2"/>
                <w:sz w:val="15"/>
                <w:szCs w:val="15"/>
              </w:rPr>
              <w:t>身份管理系统项目软件采购合同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4" w:right="0"/>
              <w:jc w:val="center"/>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5"/>
                <w:szCs w:val="15"/>
              </w:rPr>
            </w:pPr>
            <w:r>
              <w:rPr>
                <w:rFonts w:ascii="Times New Roman"/>
                <w:spacing w:val="-1"/>
                <w:sz w:val="15"/>
              </w:rPr>
              <w:t>3,407,400.00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3" w:right="0"/>
              <w:jc w:val="center"/>
              <w:rPr>
                <w:rFonts w:ascii="Times New Roman" w:hAnsi="Times New Roman" w:cs="Times New Roman" w:eastAsia="Times New Roman" w:hint="default"/>
                <w:sz w:val="15"/>
                <w:szCs w:val="15"/>
              </w:rPr>
            </w:pPr>
            <w:r>
              <w:rPr>
                <w:rFonts w:ascii="Times New Roman"/>
                <w:w w:val="100"/>
                <w:sz w:val="15"/>
              </w:rPr>
              <w:t>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5"/>
                <w:szCs w:val="15"/>
              </w:rPr>
            </w:pPr>
            <w:r>
              <w:rPr>
                <w:rFonts w:ascii="Times New Roman"/>
                <w:spacing w:val="-1"/>
                <w:sz w:val="15"/>
              </w:rPr>
              <w:t>170,370.00</w:t>
            </w:r>
          </w:p>
        </w:tc>
      </w:tr>
      <w:tr>
        <w:trPr>
          <w:trHeight w:val="32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4" w:right="0"/>
              <w:jc w:val="left"/>
              <w:rPr>
                <w:rFonts w:ascii="宋体" w:hAnsi="宋体" w:cs="宋体" w:eastAsia="宋体" w:hint="default"/>
                <w:sz w:val="15"/>
                <w:szCs w:val="15"/>
              </w:rPr>
            </w:pPr>
            <w:r>
              <w:rPr>
                <w:rFonts w:ascii="宋体" w:hAnsi="宋体" w:cs="宋体" w:eastAsia="宋体" w:hint="default"/>
                <w:sz w:val="15"/>
                <w:szCs w:val="15"/>
              </w:rPr>
              <w:t>中国人寿保险股份有限公司电话销售软件项目合同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4" w:right="0"/>
              <w:jc w:val="center"/>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1,200,000.00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center"/>
              <w:rPr>
                <w:rFonts w:ascii="Times New Roman" w:hAnsi="Times New Roman" w:cs="Times New Roman" w:eastAsia="Times New Roman" w:hint="default"/>
                <w:sz w:val="15"/>
                <w:szCs w:val="15"/>
              </w:rPr>
            </w:pPr>
            <w:r>
              <w:rPr>
                <w:rFonts w:ascii="Times New Roman"/>
                <w:w w:val="100"/>
                <w:sz w:val="15"/>
              </w:rPr>
              <w:t>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60,000.00</w:t>
            </w:r>
          </w:p>
        </w:tc>
      </w:tr>
      <w:tr>
        <w:trPr>
          <w:trHeight w:val="32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4" w:right="0"/>
              <w:jc w:val="left"/>
              <w:rPr>
                <w:rFonts w:ascii="宋体" w:hAnsi="宋体" w:cs="宋体" w:eastAsia="宋体" w:hint="default"/>
                <w:sz w:val="15"/>
                <w:szCs w:val="15"/>
              </w:rPr>
            </w:pPr>
            <w:r>
              <w:rPr>
                <w:rFonts w:ascii="宋体" w:hAnsi="宋体" w:cs="宋体" w:eastAsia="宋体" w:hint="default"/>
                <w:sz w:val="15"/>
                <w:szCs w:val="15"/>
              </w:rPr>
              <w:t>中国人寿保险股份有限公司电话销售</w:t>
            </w:r>
            <w:r>
              <w:rPr>
                <w:rFonts w:ascii="Times New Roman" w:hAnsi="Times New Roman" w:cs="Times New Roman" w:eastAsia="Times New Roman" w:hint="default"/>
                <w:sz w:val="15"/>
                <w:szCs w:val="15"/>
              </w:rPr>
              <w:t>1400license</w:t>
            </w:r>
            <w:r>
              <w:rPr>
                <w:rFonts w:ascii="宋体" w:hAnsi="宋体" w:cs="宋体" w:eastAsia="宋体" w:hint="default"/>
                <w:sz w:val="15"/>
                <w:szCs w:val="15"/>
              </w:rPr>
              <w:t>软件采购项目</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4" w:right="0"/>
              <w:jc w:val="center"/>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3,860,000.00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center"/>
              <w:rPr>
                <w:rFonts w:ascii="Times New Roman" w:hAnsi="Times New Roman" w:cs="Times New Roman" w:eastAsia="Times New Roman" w:hint="default"/>
                <w:sz w:val="15"/>
                <w:szCs w:val="15"/>
              </w:rPr>
            </w:pPr>
            <w:r>
              <w:rPr>
                <w:rFonts w:ascii="Times New Roman"/>
                <w:w w:val="100"/>
                <w:sz w:val="15"/>
              </w:rPr>
              <w:t>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193,000.00</w:t>
            </w:r>
          </w:p>
        </w:tc>
      </w:tr>
      <w:tr>
        <w:trPr>
          <w:trHeight w:val="32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IT</w:t>
            </w:r>
            <w:r>
              <w:rPr>
                <w:rFonts w:ascii="宋体" w:hAnsi="宋体" w:cs="宋体" w:eastAsia="宋体" w:hint="default"/>
                <w:sz w:val="15"/>
                <w:szCs w:val="15"/>
              </w:rPr>
              <w:t>监控平台三期项目软件采购合同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4" w:right="0"/>
              <w:jc w:val="center"/>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9,100,000.00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center"/>
              <w:rPr>
                <w:rFonts w:ascii="Times New Roman" w:hAnsi="Times New Roman" w:cs="Times New Roman" w:eastAsia="Times New Roman" w:hint="default"/>
                <w:sz w:val="15"/>
                <w:szCs w:val="15"/>
              </w:rPr>
            </w:pPr>
            <w:r>
              <w:rPr>
                <w:rFonts w:ascii="Times New Roman"/>
                <w:w w:val="100"/>
                <w:sz w:val="15"/>
              </w:rPr>
              <w:t>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455,000.00</w:t>
            </w:r>
          </w:p>
        </w:tc>
      </w:tr>
      <w:tr>
        <w:trPr>
          <w:trHeight w:val="620"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4" w:right="0"/>
              <w:jc w:val="left"/>
              <w:rPr>
                <w:rFonts w:ascii="宋体" w:hAnsi="宋体" w:cs="宋体" w:eastAsia="宋体" w:hint="default"/>
                <w:sz w:val="15"/>
                <w:szCs w:val="15"/>
              </w:rPr>
            </w:pPr>
            <w:r>
              <w:rPr>
                <w:rFonts w:ascii="宋体" w:hAnsi="宋体" w:cs="宋体" w:eastAsia="宋体" w:hint="default"/>
                <w:sz w:val="15"/>
                <w:szCs w:val="15"/>
              </w:rPr>
              <w:t>中国疾病预防控制中心新址信息系统建设项目</w:t>
            </w:r>
            <w:r>
              <w:rPr>
                <w:rFonts w:ascii="Times New Roman" w:hAnsi="Times New Roman" w:cs="Times New Roman" w:eastAsia="Times New Roman" w:hint="default"/>
                <w:sz w:val="15"/>
                <w:szCs w:val="15"/>
              </w:rPr>
              <w:t>IT</w:t>
            </w:r>
            <w:r>
              <w:rPr>
                <w:rFonts w:ascii="宋体" w:hAnsi="宋体" w:cs="宋体" w:eastAsia="宋体" w:hint="default"/>
                <w:sz w:val="15"/>
                <w:szCs w:val="15"/>
              </w:rPr>
              <w:t>服务运维管理</w:t>
            </w:r>
          </w:p>
          <w:p>
            <w:pPr>
              <w:pStyle w:val="TableParagraph"/>
              <w:spacing w:line="240" w:lineRule="auto" w:before="85"/>
              <w:ind w:left="4" w:right="0"/>
              <w:jc w:val="left"/>
              <w:rPr>
                <w:rFonts w:ascii="宋体" w:hAnsi="宋体" w:cs="宋体" w:eastAsia="宋体" w:hint="default"/>
                <w:sz w:val="15"/>
                <w:szCs w:val="15"/>
              </w:rPr>
            </w:pPr>
            <w:r>
              <w:rPr>
                <w:rFonts w:ascii="宋体" w:hAnsi="宋体" w:cs="宋体" w:eastAsia="宋体" w:hint="default"/>
                <w:sz w:val="15"/>
                <w:szCs w:val="15"/>
              </w:rPr>
              <w:t>系统第二阶段建设项目</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4" w:right="0"/>
              <w:jc w:val="center"/>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1,850,000.00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center"/>
              <w:rPr>
                <w:rFonts w:ascii="Times New Roman" w:hAnsi="Times New Roman" w:cs="Times New Roman" w:eastAsia="Times New Roman" w:hint="default"/>
                <w:sz w:val="15"/>
                <w:szCs w:val="15"/>
              </w:rPr>
            </w:pPr>
            <w:r>
              <w:rPr>
                <w:rFonts w:ascii="Times New Roman"/>
                <w:w w:val="100"/>
                <w:sz w:val="15"/>
              </w:rPr>
              <w:t>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92,500.00</w:t>
            </w:r>
          </w:p>
        </w:tc>
      </w:tr>
      <w:tr>
        <w:trPr>
          <w:trHeight w:val="327"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4" w:right="0"/>
              <w:jc w:val="left"/>
              <w:rPr>
                <w:rFonts w:ascii="宋体" w:hAnsi="宋体" w:cs="宋体" w:eastAsia="宋体" w:hint="default"/>
                <w:sz w:val="15"/>
                <w:szCs w:val="15"/>
              </w:rPr>
            </w:pPr>
            <w:r>
              <w:rPr>
                <w:rFonts w:ascii="宋体" w:hAnsi="宋体" w:cs="宋体" w:eastAsia="宋体" w:hint="default"/>
                <w:sz w:val="15"/>
                <w:szCs w:val="15"/>
              </w:rPr>
              <w:t>中国电信浙江</w:t>
            </w:r>
            <w:r>
              <w:rPr>
                <w:rFonts w:ascii="Times New Roman" w:hAnsi="Times New Roman" w:cs="Times New Roman" w:eastAsia="Times New Roman" w:hint="default"/>
                <w:sz w:val="15"/>
                <w:szCs w:val="15"/>
              </w:rPr>
              <w:t>2009</w:t>
            </w:r>
            <w:r>
              <w:rPr>
                <w:rFonts w:ascii="宋体" w:hAnsi="宋体" w:cs="宋体" w:eastAsia="宋体" w:hint="default"/>
                <w:sz w:val="15"/>
                <w:szCs w:val="15"/>
              </w:rPr>
              <w:t>年省级业务平台集中监控系统扩容工程</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4" w:right="0"/>
              <w:jc w:val="center"/>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2,200,000.00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center"/>
              <w:rPr>
                <w:rFonts w:ascii="Times New Roman" w:hAnsi="Times New Roman" w:cs="Times New Roman" w:eastAsia="Times New Roman" w:hint="default"/>
                <w:sz w:val="15"/>
                <w:szCs w:val="15"/>
              </w:rPr>
            </w:pPr>
            <w:r>
              <w:rPr>
                <w:rFonts w:ascii="Times New Roman"/>
                <w:sz w:val="15"/>
              </w:rPr>
              <w:t>10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220,000.00</w:t>
            </w:r>
          </w:p>
        </w:tc>
      </w:tr>
      <w:tr>
        <w:trPr>
          <w:trHeight w:val="32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IT</w:t>
            </w:r>
            <w:r>
              <w:rPr>
                <w:rFonts w:ascii="宋体" w:hAnsi="宋体" w:cs="宋体" w:eastAsia="宋体" w:hint="default"/>
                <w:sz w:val="15"/>
                <w:szCs w:val="15"/>
              </w:rPr>
              <w:t>运维管理系统</w:t>
            </w:r>
            <w:r>
              <w:rPr>
                <w:rFonts w:ascii="Times New Roman" w:hAnsi="Times New Roman" w:cs="Times New Roman" w:eastAsia="Times New Roman" w:hint="default"/>
                <w:sz w:val="15"/>
                <w:szCs w:val="15"/>
              </w:rPr>
              <w:t>(</w:t>
            </w:r>
            <w:r>
              <w:rPr>
                <w:rFonts w:ascii="宋体" w:hAnsi="宋体" w:cs="宋体" w:eastAsia="宋体" w:hint="default"/>
                <w:sz w:val="15"/>
                <w:szCs w:val="15"/>
              </w:rPr>
              <w:t>总行一期</w:t>
            </w:r>
            <w:r>
              <w:rPr>
                <w:rFonts w:ascii="Times New Roman" w:hAnsi="Times New Roman" w:cs="Times New Roman" w:eastAsia="Times New Roman" w:hint="default"/>
                <w:sz w:val="15"/>
                <w:szCs w:val="15"/>
              </w:rPr>
              <w:t>)</w:t>
            </w:r>
            <w:r>
              <w:rPr>
                <w:rFonts w:ascii="宋体" w:hAnsi="宋体" w:cs="宋体" w:eastAsia="宋体" w:hint="default"/>
                <w:sz w:val="15"/>
                <w:szCs w:val="15"/>
              </w:rPr>
              <w:t>项目计算机软件许可使用合同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4" w:right="0"/>
              <w:jc w:val="center"/>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883,554.00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center"/>
              <w:rPr>
                <w:rFonts w:ascii="Times New Roman" w:hAnsi="Times New Roman" w:cs="Times New Roman" w:eastAsia="Times New Roman" w:hint="default"/>
                <w:sz w:val="15"/>
                <w:szCs w:val="15"/>
              </w:rPr>
            </w:pPr>
            <w:r>
              <w:rPr>
                <w:rFonts w:ascii="Times New Roman"/>
                <w:sz w:val="15"/>
              </w:rPr>
              <w:t>10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88,355.40</w:t>
            </w:r>
          </w:p>
        </w:tc>
      </w:tr>
      <w:tr>
        <w:trPr>
          <w:trHeight w:val="32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 w:right="0"/>
              <w:jc w:val="left"/>
              <w:rPr>
                <w:rFonts w:ascii="宋体" w:hAnsi="宋体" w:cs="宋体" w:eastAsia="宋体" w:hint="default"/>
                <w:sz w:val="15"/>
                <w:szCs w:val="15"/>
              </w:rPr>
            </w:pPr>
            <w:r>
              <w:rPr>
                <w:rFonts w:ascii="宋体" w:hAnsi="宋体" w:cs="宋体" w:eastAsia="宋体" w:hint="default"/>
                <w:sz w:val="15"/>
                <w:szCs w:val="15"/>
              </w:rPr>
              <w:t>辽宁电信</w:t>
            </w:r>
            <w:r>
              <w:rPr>
                <w:rFonts w:ascii="Times New Roman" w:hAnsi="Times New Roman" w:cs="Times New Roman" w:eastAsia="Times New Roman" w:hint="default"/>
                <w:sz w:val="15"/>
                <w:szCs w:val="15"/>
              </w:rPr>
              <w:t>2010</w:t>
            </w:r>
            <w:r>
              <w:rPr>
                <w:rFonts w:ascii="宋体" w:hAnsi="宋体" w:cs="宋体" w:eastAsia="宋体" w:hint="default"/>
                <w:sz w:val="15"/>
                <w:szCs w:val="15"/>
              </w:rPr>
              <w:t>年增值业务综合网管工程设备及相关服务采购</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4" w:right="0"/>
              <w:jc w:val="center"/>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5"/>
                <w:szCs w:val="15"/>
              </w:rPr>
            </w:pPr>
            <w:r>
              <w:rPr>
                <w:rFonts w:ascii="Times New Roman"/>
                <w:spacing w:val="-1"/>
                <w:sz w:val="15"/>
              </w:rPr>
              <w:t>1,402,400.00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0"/>
              <w:jc w:val="center"/>
              <w:rPr>
                <w:rFonts w:ascii="Times New Roman" w:hAnsi="Times New Roman" w:cs="Times New Roman" w:eastAsia="Times New Roman" w:hint="default"/>
                <w:sz w:val="15"/>
                <w:szCs w:val="15"/>
              </w:rPr>
            </w:pPr>
            <w:r>
              <w:rPr>
                <w:rFonts w:ascii="Times New Roman"/>
                <w:sz w:val="15"/>
              </w:rPr>
              <w:t>10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5"/>
                <w:szCs w:val="15"/>
              </w:rPr>
            </w:pPr>
            <w:r>
              <w:rPr>
                <w:rFonts w:ascii="Times New Roman"/>
                <w:spacing w:val="-1"/>
                <w:sz w:val="15"/>
              </w:rPr>
              <w:t>140,242.00</w:t>
            </w:r>
          </w:p>
        </w:tc>
      </w:tr>
      <w:tr>
        <w:trPr>
          <w:trHeight w:val="619"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IT</w:t>
            </w:r>
            <w:r>
              <w:rPr>
                <w:rFonts w:ascii="宋体" w:hAnsi="宋体" w:cs="宋体" w:eastAsia="宋体" w:hint="default"/>
                <w:sz w:val="15"/>
                <w:szCs w:val="15"/>
              </w:rPr>
              <w:t>运维管理系统</w:t>
            </w:r>
            <w:r>
              <w:rPr>
                <w:rFonts w:ascii="Times New Roman" w:hAnsi="Times New Roman" w:cs="Times New Roman" w:eastAsia="Times New Roman" w:hint="default"/>
                <w:sz w:val="15"/>
                <w:szCs w:val="15"/>
              </w:rPr>
              <w:t>(</w:t>
            </w:r>
            <w:r>
              <w:rPr>
                <w:rFonts w:ascii="宋体" w:hAnsi="宋体" w:cs="宋体" w:eastAsia="宋体" w:hint="default"/>
                <w:sz w:val="15"/>
                <w:szCs w:val="15"/>
              </w:rPr>
              <w:t>总行一期</w:t>
            </w:r>
            <w:r>
              <w:rPr>
                <w:rFonts w:ascii="Times New Roman" w:hAnsi="Times New Roman" w:cs="Times New Roman" w:eastAsia="Times New Roman" w:hint="default"/>
                <w:sz w:val="15"/>
                <w:szCs w:val="15"/>
              </w:rPr>
              <w:t>)</w:t>
            </w:r>
            <w:r>
              <w:rPr>
                <w:rFonts w:ascii="宋体" w:hAnsi="宋体" w:cs="宋体" w:eastAsia="宋体" w:hint="default"/>
                <w:sz w:val="15"/>
                <w:szCs w:val="15"/>
              </w:rPr>
              <w:t>新核心系统集中监控和运维管理系</w:t>
            </w:r>
          </w:p>
          <w:p>
            <w:pPr>
              <w:pStyle w:val="TableParagraph"/>
              <w:spacing w:line="240" w:lineRule="auto" w:before="82"/>
              <w:ind w:left="4" w:right="0"/>
              <w:jc w:val="left"/>
              <w:rPr>
                <w:rFonts w:ascii="宋体" w:hAnsi="宋体" w:cs="宋体" w:eastAsia="宋体" w:hint="default"/>
                <w:sz w:val="15"/>
                <w:szCs w:val="15"/>
              </w:rPr>
            </w:pPr>
            <w:r>
              <w:rPr>
                <w:rFonts w:ascii="宋体" w:hAnsi="宋体" w:cs="宋体" w:eastAsia="宋体" w:hint="default"/>
                <w:sz w:val="15"/>
                <w:szCs w:val="15"/>
              </w:rPr>
              <w:t>统开发</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4" w:right="0"/>
              <w:jc w:val="center"/>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5"/>
                <w:szCs w:val="15"/>
              </w:rPr>
            </w:pPr>
            <w:r>
              <w:rPr>
                <w:rFonts w:ascii="Times New Roman"/>
                <w:spacing w:val="-1"/>
                <w:sz w:val="15"/>
              </w:rPr>
              <w:t>1,075,000.00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0"/>
              <w:jc w:val="center"/>
              <w:rPr>
                <w:rFonts w:ascii="Times New Roman" w:hAnsi="Times New Roman" w:cs="Times New Roman" w:eastAsia="Times New Roman" w:hint="default"/>
                <w:sz w:val="15"/>
                <w:szCs w:val="15"/>
              </w:rPr>
            </w:pPr>
            <w:r>
              <w:rPr>
                <w:rFonts w:ascii="Times New Roman"/>
                <w:sz w:val="15"/>
              </w:rPr>
              <w:t>10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5"/>
                <w:szCs w:val="15"/>
              </w:rPr>
            </w:pPr>
            <w:r>
              <w:rPr>
                <w:rFonts w:ascii="Times New Roman"/>
                <w:spacing w:val="-1"/>
                <w:sz w:val="15"/>
              </w:rPr>
              <w:t>107,500.00</w:t>
            </w:r>
          </w:p>
        </w:tc>
      </w:tr>
      <w:tr>
        <w:trPr>
          <w:trHeight w:val="619"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4"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河北移动</w:t>
            </w:r>
            <w:r>
              <w:rPr>
                <w:rFonts w:ascii="Times New Roman" w:hAnsi="Times New Roman" w:cs="Times New Roman" w:eastAsia="Times New Roman" w:hint="default"/>
                <w:sz w:val="15"/>
                <w:szCs w:val="15"/>
              </w:rPr>
              <w:t>EOMS</w:t>
            </w:r>
            <w:r>
              <w:rPr>
                <w:rFonts w:ascii="宋体" w:hAnsi="宋体" w:cs="宋体" w:eastAsia="宋体" w:hint="default"/>
                <w:sz w:val="15"/>
                <w:szCs w:val="15"/>
              </w:rPr>
              <w:t>六期工程、客服九期工程</w:t>
            </w:r>
            <w:r>
              <w:rPr>
                <w:rFonts w:ascii="Times New Roman" w:hAnsi="Times New Roman" w:cs="Times New Roman" w:eastAsia="Times New Roman" w:hint="default"/>
                <w:sz w:val="15"/>
                <w:szCs w:val="15"/>
              </w:rPr>
              <w:t>(</w:t>
            </w:r>
            <w:r>
              <w:rPr>
                <w:rFonts w:ascii="宋体" w:hAnsi="宋体" w:cs="宋体" w:eastAsia="宋体" w:hint="default"/>
                <w:sz w:val="15"/>
                <w:szCs w:val="15"/>
              </w:rPr>
              <w:t>统一投诉系统部分</w:t>
            </w:r>
            <w:r>
              <w:rPr>
                <w:rFonts w:ascii="Times New Roman" w:hAnsi="Times New Roman" w:cs="Times New Roman" w:eastAsia="Times New Roman" w:hint="default"/>
                <w:sz w:val="15"/>
                <w:szCs w:val="15"/>
              </w:rPr>
              <w:t>)</w:t>
            </w:r>
          </w:p>
          <w:p>
            <w:pPr>
              <w:pStyle w:val="TableParagraph"/>
              <w:spacing w:line="240" w:lineRule="auto" w:before="85"/>
              <w:ind w:left="4" w:right="0"/>
              <w:jc w:val="left"/>
              <w:rPr>
                <w:rFonts w:ascii="宋体" w:hAnsi="宋体" w:cs="宋体" w:eastAsia="宋体" w:hint="default"/>
                <w:sz w:val="15"/>
                <w:szCs w:val="15"/>
              </w:rPr>
            </w:pPr>
            <w:r>
              <w:rPr>
                <w:rFonts w:ascii="宋体" w:hAnsi="宋体" w:cs="宋体" w:eastAsia="宋体" w:hint="default"/>
                <w:sz w:val="15"/>
                <w:szCs w:val="15"/>
              </w:rPr>
              <w:t>应用软件开发和集成服务合同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4" w:right="0"/>
              <w:jc w:val="center"/>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4,100,000.00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center"/>
              <w:rPr>
                <w:rFonts w:ascii="Times New Roman" w:hAnsi="Times New Roman" w:cs="Times New Roman" w:eastAsia="Times New Roman" w:hint="default"/>
                <w:sz w:val="15"/>
                <w:szCs w:val="15"/>
              </w:rPr>
            </w:pPr>
            <w:r>
              <w:rPr>
                <w:rFonts w:ascii="Times New Roman"/>
                <w:w w:val="100"/>
                <w:sz w:val="15"/>
              </w:rPr>
              <w:t>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23" w:right="0"/>
              <w:jc w:val="left"/>
              <w:rPr>
                <w:rFonts w:ascii="Times New Roman" w:hAnsi="Times New Roman" w:cs="Times New Roman" w:eastAsia="Times New Roman" w:hint="default"/>
                <w:sz w:val="15"/>
                <w:szCs w:val="15"/>
              </w:rPr>
            </w:pPr>
            <w:r>
              <w:rPr>
                <w:rFonts w:ascii="Times New Roman"/>
                <w:sz w:val="15"/>
              </w:rPr>
              <w:t>205,000.00</w:t>
            </w:r>
          </w:p>
        </w:tc>
      </w:tr>
      <w:tr>
        <w:trPr>
          <w:trHeight w:val="619"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4" w:right="0"/>
              <w:jc w:val="left"/>
              <w:rPr>
                <w:rFonts w:ascii="宋体" w:hAnsi="宋体" w:cs="宋体" w:eastAsia="宋体" w:hint="default"/>
                <w:sz w:val="15"/>
                <w:szCs w:val="15"/>
              </w:rPr>
            </w:pPr>
            <w:r>
              <w:rPr>
                <w:rFonts w:ascii="宋体" w:hAnsi="宋体" w:cs="宋体" w:eastAsia="宋体" w:hint="default"/>
                <w:sz w:val="15"/>
                <w:szCs w:val="15"/>
              </w:rPr>
              <w:t>中国移动通信集团河北有限公司综合监控二期应用软件开发和</w:t>
            </w:r>
          </w:p>
          <w:p>
            <w:pPr>
              <w:pStyle w:val="TableParagraph"/>
              <w:spacing w:line="240" w:lineRule="auto" w:before="96"/>
              <w:ind w:left="4" w:right="0"/>
              <w:jc w:val="left"/>
              <w:rPr>
                <w:rFonts w:ascii="宋体" w:hAnsi="宋体" w:cs="宋体" w:eastAsia="宋体" w:hint="default"/>
                <w:sz w:val="15"/>
                <w:szCs w:val="15"/>
              </w:rPr>
            </w:pPr>
            <w:r>
              <w:rPr>
                <w:rFonts w:ascii="宋体" w:hAnsi="宋体" w:cs="宋体" w:eastAsia="宋体" w:hint="default"/>
                <w:sz w:val="15"/>
                <w:szCs w:val="15"/>
              </w:rPr>
              <w:t>集成服务合同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4" w:right="0"/>
              <w:jc w:val="center"/>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1,950,000.00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center"/>
              <w:rPr>
                <w:rFonts w:ascii="Times New Roman" w:hAnsi="Times New Roman" w:cs="Times New Roman" w:eastAsia="Times New Roman" w:hint="default"/>
                <w:sz w:val="15"/>
                <w:szCs w:val="15"/>
              </w:rPr>
            </w:pPr>
            <w:r>
              <w:rPr>
                <w:rFonts w:ascii="Times New Roman"/>
                <w:w w:val="100"/>
                <w:sz w:val="15"/>
              </w:rPr>
              <w:t>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97,500.00</w:t>
            </w:r>
          </w:p>
        </w:tc>
      </w:tr>
    </w:tbl>
    <w:p>
      <w:pPr>
        <w:spacing w:after="0" w:line="240" w:lineRule="auto"/>
        <w:jc w:val="right"/>
        <w:rPr>
          <w:rFonts w:ascii="Times New Roman" w:hAnsi="Times New Roman" w:cs="Times New Roman" w:eastAsia="Times New Roman" w:hint="default"/>
          <w:sz w:val="15"/>
          <w:szCs w:val="15"/>
        </w:rPr>
        <w:sectPr>
          <w:pgSz w:w="11910" w:h="16840"/>
          <w:pgMar w:header="852" w:footer="980" w:top="1340" w:bottom="1160" w:left="980" w:right="980"/>
        </w:sectPr>
      </w:pPr>
    </w:p>
    <w:tbl>
      <w:tblPr>
        <w:tblW w:w="0" w:type="auto"/>
        <w:jc w:val="left"/>
        <w:tblInd w:w="145" w:type="dxa"/>
        <w:tblLayout w:type="fixed"/>
        <w:tblCellMar>
          <w:top w:w="0" w:type="dxa"/>
          <w:left w:w="0" w:type="dxa"/>
          <w:bottom w:w="0" w:type="dxa"/>
          <w:right w:w="0" w:type="dxa"/>
        </w:tblCellMar>
        <w:tblLook w:val="01E0"/>
      </w:tblPr>
      <w:tblGrid>
        <w:gridCol w:w="4112"/>
        <w:gridCol w:w="1419"/>
        <w:gridCol w:w="1133"/>
        <w:gridCol w:w="850"/>
        <w:gridCol w:w="1136"/>
      </w:tblGrid>
      <w:tr>
        <w:trPr>
          <w:trHeight w:val="620"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4" w:right="0"/>
              <w:jc w:val="left"/>
              <w:rPr>
                <w:rFonts w:ascii="宋体" w:hAnsi="宋体" w:cs="宋体" w:eastAsia="宋体" w:hint="default"/>
                <w:sz w:val="15"/>
                <w:szCs w:val="15"/>
              </w:rPr>
            </w:pPr>
            <w:r>
              <w:rPr>
                <w:rFonts w:ascii="宋体" w:hAnsi="宋体" w:cs="宋体" w:eastAsia="宋体" w:hint="default"/>
                <w:sz w:val="15"/>
                <w:szCs w:val="15"/>
              </w:rPr>
              <w:t>中国人寿保险股份有限公司</w:t>
            </w:r>
            <w:r>
              <w:rPr>
                <w:rFonts w:ascii="Times New Roman" w:hAnsi="Times New Roman" w:cs="Times New Roman" w:eastAsia="Times New Roman" w:hint="default"/>
                <w:sz w:val="15"/>
                <w:szCs w:val="15"/>
              </w:rPr>
              <w:t>IT</w:t>
            </w:r>
            <w:r>
              <w:rPr>
                <w:rFonts w:ascii="宋体" w:hAnsi="宋体" w:cs="宋体" w:eastAsia="宋体" w:hint="default"/>
                <w:sz w:val="15"/>
                <w:szCs w:val="15"/>
              </w:rPr>
              <w:t>服务管理平台流程引擎浮动许可</w:t>
            </w:r>
          </w:p>
          <w:p>
            <w:pPr>
              <w:pStyle w:val="TableParagraph"/>
              <w:spacing w:line="240" w:lineRule="auto" w:before="85"/>
              <w:ind w:left="4" w:right="0"/>
              <w:jc w:val="left"/>
              <w:rPr>
                <w:rFonts w:ascii="宋体" w:hAnsi="宋体" w:cs="宋体" w:eastAsia="宋体" w:hint="default"/>
                <w:sz w:val="15"/>
                <w:szCs w:val="15"/>
              </w:rPr>
            </w:pPr>
            <w:r>
              <w:rPr>
                <w:rFonts w:ascii="宋体" w:hAnsi="宋体" w:cs="宋体" w:eastAsia="宋体" w:hint="default"/>
                <w:sz w:val="15"/>
                <w:szCs w:val="15"/>
              </w:rPr>
              <w:t>证软件采购合同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4" w:right="0"/>
              <w:jc w:val="center"/>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2,938,000.00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center"/>
              <w:rPr>
                <w:rFonts w:ascii="Times New Roman" w:hAnsi="Times New Roman" w:cs="Times New Roman" w:eastAsia="Times New Roman" w:hint="default"/>
                <w:sz w:val="15"/>
                <w:szCs w:val="15"/>
              </w:rPr>
            </w:pPr>
            <w:r>
              <w:rPr>
                <w:rFonts w:ascii="Times New Roman"/>
                <w:w w:val="100"/>
                <w:sz w:val="15"/>
              </w:rPr>
              <w:t>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146,900.00</w:t>
            </w:r>
          </w:p>
        </w:tc>
      </w:tr>
      <w:tr>
        <w:trPr>
          <w:trHeight w:val="617"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4" w:right="0"/>
              <w:jc w:val="left"/>
              <w:rPr>
                <w:rFonts w:ascii="宋体" w:hAnsi="宋体" w:cs="宋体" w:eastAsia="宋体" w:hint="default"/>
                <w:sz w:val="15"/>
                <w:szCs w:val="15"/>
              </w:rPr>
            </w:pPr>
            <w:r>
              <w:rPr>
                <w:rFonts w:ascii="宋体" w:hAnsi="宋体" w:cs="宋体" w:eastAsia="宋体" w:hint="default"/>
                <w:sz w:val="15"/>
                <w:szCs w:val="15"/>
              </w:rPr>
              <w:t>中国电信二〇一〇年业务平台集中监控系统升级工程系统集成</w:t>
            </w:r>
          </w:p>
          <w:p>
            <w:pPr>
              <w:pStyle w:val="TableParagraph"/>
              <w:spacing w:line="240" w:lineRule="auto" w:before="96"/>
              <w:ind w:left="4" w:right="0"/>
              <w:jc w:val="left"/>
              <w:rPr>
                <w:rFonts w:ascii="宋体" w:hAnsi="宋体" w:cs="宋体" w:eastAsia="宋体" w:hint="default"/>
                <w:sz w:val="15"/>
                <w:szCs w:val="15"/>
              </w:rPr>
            </w:pPr>
            <w:r>
              <w:rPr>
                <w:rFonts w:ascii="宋体" w:hAnsi="宋体" w:cs="宋体" w:eastAsia="宋体" w:hint="default"/>
                <w:sz w:val="15"/>
                <w:szCs w:val="15"/>
              </w:rPr>
              <w:t>合同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4" w:right="0"/>
              <w:jc w:val="center"/>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129,200.00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center"/>
              <w:rPr>
                <w:rFonts w:ascii="Times New Roman" w:hAnsi="Times New Roman" w:cs="Times New Roman" w:eastAsia="Times New Roman" w:hint="default"/>
                <w:sz w:val="15"/>
                <w:szCs w:val="15"/>
              </w:rPr>
            </w:pPr>
            <w:r>
              <w:rPr>
                <w:rFonts w:ascii="Times New Roman"/>
                <w:sz w:val="15"/>
              </w:rPr>
              <w:t>10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12,920.00</w:t>
            </w:r>
          </w:p>
        </w:tc>
      </w:tr>
      <w:tr>
        <w:trPr>
          <w:trHeight w:val="619"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中国电信二〇一〇年业务平台集中监控系统升级工程软件许可</w:t>
            </w:r>
          </w:p>
          <w:p>
            <w:pPr>
              <w:pStyle w:val="TableParagraph"/>
              <w:spacing w:line="240" w:lineRule="auto" w:before="94"/>
              <w:ind w:left="4" w:right="0"/>
              <w:jc w:val="left"/>
              <w:rPr>
                <w:rFonts w:ascii="宋体" w:hAnsi="宋体" w:cs="宋体" w:eastAsia="宋体" w:hint="default"/>
                <w:sz w:val="15"/>
                <w:szCs w:val="15"/>
              </w:rPr>
            </w:pPr>
            <w:r>
              <w:rPr>
                <w:rFonts w:ascii="宋体" w:hAnsi="宋体" w:cs="宋体" w:eastAsia="宋体" w:hint="default"/>
                <w:sz w:val="15"/>
                <w:szCs w:val="15"/>
              </w:rPr>
              <w:t>协议</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4" w:right="0"/>
              <w:jc w:val="center"/>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5"/>
                <w:szCs w:val="15"/>
              </w:rPr>
            </w:pPr>
            <w:r>
              <w:rPr>
                <w:rFonts w:ascii="Times New Roman"/>
                <w:spacing w:val="-1"/>
                <w:sz w:val="15"/>
              </w:rPr>
              <w:t>1,459,096.00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0"/>
              <w:jc w:val="center"/>
              <w:rPr>
                <w:rFonts w:ascii="Times New Roman" w:hAnsi="Times New Roman" w:cs="Times New Roman" w:eastAsia="Times New Roman" w:hint="default"/>
                <w:sz w:val="15"/>
                <w:szCs w:val="15"/>
              </w:rPr>
            </w:pPr>
            <w:r>
              <w:rPr>
                <w:rFonts w:ascii="Times New Roman"/>
                <w:sz w:val="15"/>
              </w:rPr>
              <w:t>10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5"/>
                <w:szCs w:val="15"/>
              </w:rPr>
            </w:pPr>
            <w:r>
              <w:rPr>
                <w:rFonts w:ascii="Times New Roman"/>
                <w:spacing w:val="-1"/>
                <w:sz w:val="15"/>
              </w:rPr>
              <w:t>145,909.60</w:t>
            </w:r>
          </w:p>
        </w:tc>
      </w:tr>
      <w:tr>
        <w:trPr>
          <w:trHeight w:val="32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中国电信集团业务平台集中监控系统二期工程</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4" w:right="0"/>
              <w:jc w:val="center"/>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5"/>
                <w:szCs w:val="15"/>
              </w:rPr>
            </w:pPr>
            <w:r>
              <w:rPr>
                <w:rFonts w:ascii="Times New Roman"/>
                <w:spacing w:val="-1"/>
                <w:sz w:val="15"/>
              </w:rPr>
              <w:t>1,198,900.00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0"/>
              <w:jc w:val="center"/>
              <w:rPr>
                <w:rFonts w:ascii="Times New Roman" w:hAnsi="Times New Roman" w:cs="Times New Roman" w:eastAsia="Times New Roman" w:hint="default"/>
                <w:sz w:val="15"/>
                <w:szCs w:val="15"/>
              </w:rPr>
            </w:pPr>
            <w:r>
              <w:rPr>
                <w:rFonts w:ascii="Times New Roman"/>
                <w:sz w:val="15"/>
              </w:rPr>
              <w:t>10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5"/>
                <w:szCs w:val="15"/>
              </w:rPr>
            </w:pPr>
            <w:r>
              <w:rPr>
                <w:rFonts w:ascii="Times New Roman"/>
                <w:spacing w:val="-1"/>
                <w:sz w:val="15"/>
              </w:rPr>
              <w:t>119,890.00</w:t>
            </w:r>
          </w:p>
        </w:tc>
      </w:tr>
      <w:tr>
        <w:trPr>
          <w:trHeight w:val="619"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内蒙古电信业务平台集中监控系统三期工程设备及相关服务采</w:t>
            </w:r>
          </w:p>
          <w:p>
            <w:pPr>
              <w:pStyle w:val="TableParagraph"/>
              <w:spacing w:line="240" w:lineRule="auto" w:before="94"/>
              <w:ind w:left="4" w:right="0"/>
              <w:jc w:val="left"/>
              <w:rPr>
                <w:rFonts w:ascii="宋体" w:hAnsi="宋体" w:cs="宋体" w:eastAsia="宋体" w:hint="default"/>
                <w:sz w:val="15"/>
                <w:szCs w:val="15"/>
              </w:rPr>
            </w:pPr>
            <w:r>
              <w:rPr>
                <w:rFonts w:ascii="宋体" w:hAnsi="宋体" w:cs="宋体" w:eastAsia="宋体" w:hint="default"/>
                <w:sz w:val="15"/>
                <w:szCs w:val="15"/>
              </w:rPr>
              <w:t>购合同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4" w:right="0"/>
              <w:jc w:val="center"/>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5"/>
                <w:szCs w:val="15"/>
              </w:rPr>
            </w:pPr>
            <w:r>
              <w:rPr>
                <w:rFonts w:ascii="Times New Roman"/>
                <w:spacing w:val="-1"/>
                <w:sz w:val="15"/>
              </w:rPr>
              <w:t>1,400,000.00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0"/>
              <w:jc w:val="center"/>
              <w:rPr>
                <w:rFonts w:ascii="Times New Roman" w:hAnsi="Times New Roman" w:cs="Times New Roman" w:eastAsia="Times New Roman" w:hint="default"/>
                <w:sz w:val="15"/>
                <w:szCs w:val="15"/>
              </w:rPr>
            </w:pPr>
            <w:r>
              <w:rPr>
                <w:rFonts w:ascii="Times New Roman"/>
                <w:sz w:val="15"/>
              </w:rPr>
              <w:t>10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5"/>
                <w:szCs w:val="15"/>
              </w:rPr>
            </w:pPr>
            <w:r>
              <w:rPr>
                <w:rFonts w:ascii="Times New Roman"/>
                <w:spacing w:val="-1"/>
                <w:sz w:val="15"/>
              </w:rPr>
              <w:t>140,000.00</w:t>
            </w:r>
          </w:p>
        </w:tc>
      </w:tr>
      <w:tr>
        <w:trPr>
          <w:trHeight w:val="619"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河北移动信息系统安全二期网管系统安全运维管理中心工程应</w:t>
            </w:r>
          </w:p>
          <w:p>
            <w:pPr>
              <w:pStyle w:val="TableParagraph"/>
              <w:spacing w:line="240" w:lineRule="auto" w:before="94"/>
              <w:ind w:left="4" w:right="0"/>
              <w:jc w:val="left"/>
              <w:rPr>
                <w:rFonts w:ascii="宋体" w:hAnsi="宋体" w:cs="宋体" w:eastAsia="宋体" w:hint="default"/>
                <w:sz w:val="15"/>
                <w:szCs w:val="15"/>
              </w:rPr>
            </w:pPr>
            <w:r>
              <w:rPr>
                <w:rFonts w:ascii="宋体" w:hAnsi="宋体" w:cs="宋体" w:eastAsia="宋体" w:hint="default"/>
                <w:sz w:val="15"/>
                <w:szCs w:val="15"/>
              </w:rPr>
              <w:t>用软件开发和集成服务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4" w:right="0"/>
              <w:jc w:val="center"/>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5"/>
                <w:szCs w:val="15"/>
              </w:rPr>
            </w:pPr>
            <w:r>
              <w:rPr>
                <w:rFonts w:ascii="Times New Roman"/>
                <w:spacing w:val="-1"/>
                <w:sz w:val="15"/>
              </w:rPr>
              <w:t>3,932,800.00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3" w:right="0"/>
              <w:jc w:val="center"/>
              <w:rPr>
                <w:rFonts w:ascii="Times New Roman" w:hAnsi="Times New Roman" w:cs="Times New Roman" w:eastAsia="Times New Roman" w:hint="default"/>
                <w:sz w:val="15"/>
                <w:szCs w:val="15"/>
              </w:rPr>
            </w:pPr>
            <w:r>
              <w:rPr>
                <w:rFonts w:ascii="Times New Roman"/>
                <w:w w:val="100"/>
                <w:sz w:val="15"/>
              </w:rPr>
              <w:t>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5"/>
                <w:szCs w:val="15"/>
              </w:rPr>
            </w:pPr>
            <w:r>
              <w:rPr>
                <w:rFonts w:ascii="Times New Roman"/>
                <w:spacing w:val="-1"/>
                <w:sz w:val="15"/>
              </w:rPr>
              <w:t>196,640.00</w:t>
            </w:r>
          </w:p>
        </w:tc>
      </w:tr>
      <w:tr>
        <w:trPr>
          <w:trHeight w:val="32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4" w:right="0"/>
              <w:jc w:val="left"/>
              <w:rPr>
                <w:rFonts w:ascii="宋体" w:hAnsi="宋体" w:cs="宋体" w:eastAsia="宋体" w:hint="default"/>
                <w:sz w:val="15"/>
                <w:szCs w:val="15"/>
              </w:rPr>
            </w:pPr>
            <w:r>
              <w:rPr>
                <w:rFonts w:ascii="宋体" w:hAnsi="宋体" w:cs="宋体" w:eastAsia="宋体" w:hint="default"/>
                <w:sz w:val="15"/>
                <w:szCs w:val="15"/>
              </w:rPr>
              <w:t>数据库管理软件</w:t>
            </w:r>
            <w:r>
              <w:rPr>
                <w:rFonts w:ascii="Times New Roman" w:hAnsi="Times New Roman" w:cs="Times New Roman" w:eastAsia="Times New Roman" w:hint="default"/>
                <w:sz w:val="15"/>
                <w:szCs w:val="15"/>
              </w:rPr>
              <w:t>ORACLE</w:t>
            </w:r>
            <w:r>
              <w:rPr>
                <w:rFonts w:ascii="宋体" w:hAnsi="宋体" w:cs="宋体" w:eastAsia="宋体" w:hint="default"/>
                <w:sz w:val="15"/>
                <w:szCs w:val="15"/>
              </w:rPr>
              <w:t>采购项目</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4" w:right="0"/>
              <w:jc w:val="center"/>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100,000.00</w:t>
            </w:r>
          </w:p>
        </w:tc>
      </w:tr>
      <w:tr>
        <w:trPr>
          <w:trHeight w:val="620"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4" w:right="0"/>
              <w:jc w:val="left"/>
              <w:rPr>
                <w:rFonts w:ascii="宋体" w:hAnsi="宋体" w:cs="宋体" w:eastAsia="宋体" w:hint="default"/>
                <w:sz w:val="15"/>
                <w:szCs w:val="15"/>
              </w:rPr>
            </w:pPr>
            <w:r>
              <w:rPr>
                <w:rFonts w:ascii="宋体" w:hAnsi="宋体" w:cs="宋体" w:eastAsia="宋体" w:hint="default"/>
                <w:spacing w:val="-2"/>
                <w:sz w:val="15"/>
                <w:szCs w:val="15"/>
              </w:rPr>
              <w:t>中国移动一级业务支撑系统安全域改造二期工程</w:t>
            </w:r>
            <w:r>
              <w:rPr>
                <w:rFonts w:ascii="Times New Roman" w:hAnsi="Times New Roman" w:cs="Times New Roman" w:eastAsia="Times New Roman" w:hint="default"/>
                <w:spacing w:val="-2"/>
                <w:sz w:val="15"/>
                <w:szCs w:val="15"/>
              </w:rPr>
              <w:t>WEB</w:t>
            </w:r>
            <w:r>
              <w:rPr>
                <w:rFonts w:ascii="宋体" w:hAnsi="宋体" w:cs="宋体" w:eastAsia="宋体" w:hint="default"/>
                <w:spacing w:val="-2"/>
                <w:sz w:val="15"/>
                <w:szCs w:val="15"/>
              </w:rPr>
              <w:t>防火墙和</w:t>
            </w:r>
          </w:p>
          <w:p>
            <w:pPr>
              <w:pStyle w:val="TableParagraph"/>
              <w:spacing w:line="240" w:lineRule="auto" w:before="85"/>
              <w:ind w:left="4" w:right="0"/>
              <w:jc w:val="left"/>
              <w:rPr>
                <w:rFonts w:ascii="宋体" w:hAnsi="宋体" w:cs="宋体" w:eastAsia="宋体" w:hint="default"/>
                <w:sz w:val="15"/>
                <w:szCs w:val="15"/>
              </w:rPr>
            </w:pPr>
            <w:r>
              <w:rPr>
                <w:rFonts w:ascii="宋体" w:hAnsi="宋体" w:cs="宋体" w:eastAsia="宋体" w:hint="default"/>
                <w:sz w:val="15"/>
                <w:szCs w:val="15"/>
              </w:rPr>
              <w:t>抗</w:t>
            </w:r>
            <w:r>
              <w:rPr>
                <w:rFonts w:ascii="Times New Roman" w:hAnsi="Times New Roman" w:cs="Times New Roman" w:eastAsia="Times New Roman" w:hint="default"/>
                <w:sz w:val="15"/>
                <w:szCs w:val="15"/>
              </w:rPr>
              <w:t>Ddos</w:t>
            </w:r>
            <w:r>
              <w:rPr>
                <w:rFonts w:ascii="宋体" w:hAnsi="宋体" w:cs="宋体" w:eastAsia="宋体" w:hint="default"/>
                <w:sz w:val="15"/>
                <w:szCs w:val="15"/>
              </w:rPr>
              <w:t>设备采购</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left="4" w:right="0"/>
              <w:jc w:val="center"/>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20,000.00</w:t>
            </w:r>
          </w:p>
        </w:tc>
      </w:tr>
      <w:tr>
        <w:trPr>
          <w:trHeight w:val="619"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4" w:right="0"/>
              <w:jc w:val="left"/>
              <w:rPr>
                <w:rFonts w:ascii="宋体" w:hAnsi="宋体" w:cs="宋体" w:eastAsia="宋体" w:hint="default"/>
                <w:sz w:val="15"/>
                <w:szCs w:val="15"/>
              </w:rPr>
            </w:pPr>
            <w:r>
              <w:rPr>
                <w:rFonts w:ascii="宋体" w:hAnsi="宋体" w:cs="宋体" w:eastAsia="宋体" w:hint="default"/>
                <w:sz w:val="15"/>
                <w:szCs w:val="15"/>
              </w:rPr>
              <w:t>中国移动一级业务支撑系统安全域改造二期工程防绕行安全审</w:t>
            </w:r>
          </w:p>
          <w:p>
            <w:pPr>
              <w:pStyle w:val="TableParagraph"/>
              <w:spacing w:line="240" w:lineRule="auto" w:before="96"/>
              <w:ind w:left="4" w:right="0"/>
              <w:jc w:val="left"/>
              <w:rPr>
                <w:rFonts w:ascii="宋体" w:hAnsi="宋体" w:cs="宋体" w:eastAsia="宋体" w:hint="default"/>
                <w:sz w:val="15"/>
                <w:szCs w:val="15"/>
              </w:rPr>
            </w:pPr>
            <w:r>
              <w:rPr>
                <w:rFonts w:ascii="宋体" w:hAnsi="宋体" w:cs="宋体" w:eastAsia="宋体" w:hint="default"/>
                <w:sz w:val="15"/>
                <w:szCs w:val="15"/>
              </w:rPr>
              <w:t>计设备系统采购</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4" w:right="0"/>
              <w:jc w:val="center"/>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20,000.00</w:t>
            </w:r>
          </w:p>
        </w:tc>
      </w:tr>
      <w:tr>
        <w:trPr>
          <w:trHeight w:val="617"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4" w:right="0"/>
              <w:jc w:val="left"/>
              <w:rPr>
                <w:rFonts w:ascii="宋体" w:hAnsi="宋体" w:cs="宋体" w:eastAsia="宋体" w:hint="default"/>
                <w:sz w:val="15"/>
                <w:szCs w:val="15"/>
              </w:rPr>
            </w:pPr>
            <w:r>
              <w:rPr>
                <w:rFonts w:ascii="宋体" w:hAnsi="宋体" w:cs="宋体" w:eastAsia="宋体" w:hint="default"/>
                <w:sz w:val="15"/>
                <w:szCs w:val="15"/>
              </w:rPr>
              <w:t>内蒙古电信</w:t>
            </w:r>
            <w:r>
              <w:rPr>
                <w:rFonts w:ascii="Times New Roman" w:hAnsi="Times New Roman" w:cs="Times New Roman" w:eastAsia="Times New Roman" w:hint="default"/>
                <w:sz w:val="15"/>
                <w:szCs w:val="15"/>
              </w:rPr>
              <w:t>2011</w:t>
            </w:r>
            <w:r>
              <w:rPr>
                <w:rFonts w:ascii="宋体" w:hAnsi="宋体" w:cs="宋体" w:eastAsia="宋体" w:hint="default"/>
                <w:sz w:val="15"/>
                <w:szCs w:val="15"/>
              </w:rPr>
              <w:t>年业务平台集中监控系统四期扩容工程设备及</w:t>
            </w:r>
          </w:p>
          <w:p>
            <w:pPr>
              <w:pStyle w:val="TableParagraph"/>
              <w:spacing w:line="240" w:lineRule="auto" w:before="85"/>
              <w:ind w:left="4" w:right="0"/>
              <w:jc w:val="left"/>
              <w:rPr>
                <w:rFonts w:ascii="宋体" w:hAnsi="宋体" w:cs="宋体" w:eastAsia="宋体" w:hint="default"/>
                <w:sz w:val="15"/>
                <w:szCs w:val="15"/>
              </w:rPr>
            </w:pPr>
            <w:r>
              <w:rPr>
                <w:rFonts w:ascii="宋体" w:hAnsi="宋体" w:cs="宋体" w:eastAsia="宋体" w:hint="default"/>
                <w:sz w:val="15"/>
                <w:szCs w:val="15"/>
              </w:rPr>
              <w:t>相关服务采购合同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4" w:right="0"/>
              <w:jc w:val="center"/>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1,660,000.00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center"/>
              <w:rPr>
                <w:rFonts w:ascii="Times New Roman" w:hAnsi="Times New Roman" w:cs="Times New Roman" w:eastAsia="Times New Roman" w:hint="default"/>
                <w:sz w:val="15"/>
                <w:szCs w:val="15"/>
              </w:rPr>
            </w:pPr>
            <w:r>
              <w:rPr>
                <w:rFonts w:ascii="Times New Roman"/>
                <w:sz w:val="15"/>
              </w:rPr>
              <w:t>10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166,000.00</w:t>
            </w:r>
          </w:p>
        </w:tc>
      </w:tr>
      <w:tr>
        <w:trPr>
          <w:trHeight w:val="32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国家统计局综合网络运维管理系统集成项目实施服务合同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4" w:right="0"/>
              <w:jc w:val="center"/>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5"/>
                <w:szCs w:val="15"/>
              </w:rPr>
            </w:pPr>
            <w:r>
              <w:rPr>
                <w:rFonts w:ascii="Times New Roman"/>
                <w:spacing w:val="-1"/>
                <w:sz w:val="15"/>
              </w:rPr>
              <w:t>1,162,000.00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0"/>
              <w:jc w:val="center"/>
              <w:rPr>
                <w:rFonts w:ascii="Times New Roman" w:hAnsi="Times New Roman" w:cs="Times New Roman" w:eastAsia="Times New Roman" w:hint="default"/>
                <w:sz w:val="15"/>
                <w:szCs w:val="15"/>
              </w:rPr>
            </w:pPr>
            <w:r>
              <w:rPr>
                <w:rFonts w:ascii="Times New Roman"/>
                <w:sz w:val="15"/>
              </w:rPr>
              <w:t>10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5"/>
                <w:szCs w:val="15"/>
              </w:rPr>
            </w:pPr>
            <w:r>
              <w:rPr>
                <w:rFonts w:ascii="Times New Roman"/>
                <w:spacing w:val="-1"/>
                <w:sz w:val="15"/>
              </w:rPr>
              <w:t>116,200.00</w:t>
            </w:r>
          </w:p>
        </w:tc>
      </w:tr>
      <w:tr>
        <w:trPr>
          <w:trHeight w:val="329"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中国人寿保险股份有限公司统一用户系统目录产品采购项目</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4" w:right="0"/>
              <w:jc w:val="center"/>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5"/>
                <w:szCs w:val="15"/>
              </w:rPr>
            </w:pPr>
            <w:r>
              <w:rPr>
                <w:rFonts w:ascii="Times New Roman"/>
                <w:spacing w:val="-1"/>
                <w:sz w:val="15"/>
              </w:rPr>
              <w:t>20,000.00</w:t>
            </w:r>
          </w:p>
        </w:tc>
      </w:tr>
      <w:tr>
        <w:trPr>
          <w:trHeight w:val="617"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4" w:right="0"/>
              <w:jc w:val="left"/>
              <w:rPr>
                <w:rFonts w:ascii="宋体" w:hAnsi="宋体" w:cs="宋体" w:eastAsia="宋体" w:hint="default"/>
                <w:sz w:val="15"/>
                <w:szCs w:val="15"/>
              </w:rPr>
            </w:pPr>
            <w:r>
              <w:rPr>
                <w:rFonts w:ascii="宋体" w:hAnsi="宋体" w:cs="宋体" w:eastAsia="宋体" w:hint="default"/>
                <w:sz w:val="15"/>
                <w:szCs w:val="15"/>
              </w:rPr>
              <w:t>河北移动</w:t>
            </w:r>
            <w:r>
              <w:rPr>
                <w:rFonts w:ascii="Times New Roman" w:hAnsi="Times New Roman" w:cs="Times New Roman" w:eastAsia="Times New Roman" w:hint="default"/>
                <w:sz w:val="15"/>
                <w:szCs w:val="15"/>
              </w:rPr>
              <w:t>NGBOSS(1.0</w:t>
            </w:r>
            <w:r>
              <w:rPr>
                <w:rFonts w:ascii="宋体" w:hAnsi="宋体" w:cs="宋体" w:eastAsia="宋体" w:hint="default"/>
                <w:sz w:val="15"/>
                <w:szCs w:val="15"/>
              </w:rPr>
              <w:t>版</w:t>
            </w:r>
            <w:r>
              <w:rPr>
                <w:rFonts w:ascii="Times New Roman" w:hAnsi="Times New Roman" w:cs="Times New Roman" w:eastAsia="Times New Roman" w:hint="default"/>
                <w:sz w:val="15"/>
                <w:szCs w:val="15"/>
              </w:rPr>
              <w:t>)</w:t>
            </w:r>
            <w:r>
              <w:rPr>
                <w:rFonts w:ascii="宋体" w:hAnsi="宋体" w:cs="宋体" w:eastAsia="宋体" w:hint="default"/>
                <w:sz w:val="15"/>
                <w:szCs w:val="15"/>
              </w:rPr>
              <w:t>扩容改造工程</w:t>
            </w:r>
            <w:r>
              <w:rPr>
                <w:rFonts w:ascii="Times New Roman" w:hAnsi="Times New Roman" w:cs="Times New Roman" w:eastAsia="Times New Roman" w:hint="default"/>
                <w:sz w:val="15"/>
                <w:szCs w:val="15"/>
              </w:rPr>
              <w:t>(</w:t>
            </w:r>
            <w:r>
              <w:rPr>
                <w:rFonts w:ascii="宋体" w:hAnsi="宋体" w:cs="宋体" w:eastAsia="宋体" w:hint="default"/>
                <w:sz w:val="15"/>
                <w:szCs w:val="15"/>
              </w:rPr>
              <w:t>监控服务管理部分</w:t>
            </w:r>
            <w:r>
              <w:rPr>
                <w:rFonts w:ascii="Times New Roman" w:hAnsi="Times New Roman" w:cs="Times New Roman" w:eastAsia="Times New Roman" w:hint="default"/>
                <w:sz w:val="15"/>
                <w:szCs w:val="15"/>
              </w:rPr>
              <w:t>)</w:t>
            </w:r>
            <w:r>
              <w:rPr>
                <w:rFonts w:ascii="宋体" w:hAnsi="宋体" w:cs="宋体" w:eastAsia="宋体" w:hint="default"/>
                <w:sz w:val="15"/>
                <w:szCs w:val="15"/>
              </w:rPr>
              <w:t>应</w:t>
            </w:r>
          </w:p>
          <w:p>
            <w:pPr>
              <w:pStyle w:val="TableParagraph"/>
              <w:spacing w:line="240" w:lineRule="auto" w:before="85"/>
              <w:ind w:left="4" w:right="0"/>
              <w:jc w:val="left"/>
              <w:rPr>
                <w:rFonts w:ascii="宋体" w:hAnsi="宋体" w:cs="宋体" w:eastAsia="宋体" w:hint="default"/>
                <w:sz w:val="15"/>
                <w:szCs w:val="15"/>
              </w:rPr>
            </w:pPr>
            <w:r>
              <w:rPr>
                <w:rFonts w:ascii="宋体" w:hAnsi="宋体" w:cs="宋体" w:eastAsia="宋体" w:hint="default"/>
                <w:sz w:val="15"/>
                <w:szCs w:val="15"/>
              </w:rPr>
              <w:t>用软件开发和集成服务采购合同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4" w:right="0"/>
              <w:jc w:val="center"/>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4,700,000.00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center"/>
              <w:rPr>
                <w:rFonts w:ascii="Times New Roman" w:hAnsi="Times New Roman" w:cs="Times New Roman" w:eastAsia="Times New Roman" w:hint="default"/>
                <w:sz w:val="15"/>
                <w:szCs w:val="15"/>
              </w:rPr>
            </w:pPr>
            <w:r>
              <w:rPr>
                <w:rFonts w:ascii="Times New Roman"/>
                <w:w w:val="100"/>
                <w:sz w:val="15"/>
              </w:rPr>
              <w:t>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235,000.00</w:t>
            </w:r>
          </w:p>
        </w:tc>
      </w:tr>
      <w:tr>
        <w:trPr>
          <w:trHeight w:val="620"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 w:right="0"/>
              <w:jc w:val="left"/>
              <w:rPr>
                <w:rFonts w:ascii="宋体" w:hAnsi="宋体" w:cs="宋体" w:eastAsia="宋体" w:hint="default"/>
                <w:sz w:val="15"/>
                <w:szCs w:val="15"/>
              </w:rPr>
            </w:pPr>
            <w:r>
              <w:rPr>
                <w:rFonts w:ascii="宋体" w:hAnsi="宋体" w:cs="宋体" w:eastAsia="宋体" w:hint="default"/>
                <w:spacing w:val="-2"/>
                <w:sz w:val="15"/>
                <w:szCs w:val="15"/>
              </w:rPr>
              <w:t>中国移动一级业务支撑系统安全域改造二期工程</w:t>
            </w:r>
            <w:r>
              <w:rPr>
                <w:rFonts w:ascii="Times New Roman" w:hAnsi="Times New Roman" w:cs="Times New Roman" w:eastAsia="Times New Roman" w:hint="default"/>
                <w:spacing w:val="-2"/>
                <w:sz w:val="15"/>
                <w:szCs w:val="15"/>
              </w:rPr>
              <w:t>WEB</w:t>
            </w:r>
            <w:r>
              <w:rPr>
                <w:rFonts w:ascii="宋体" w:hAnsi="宋体" w:cs="宋体" w:eastAsia="宋体" w:hint="default"/>
                <w:spacing w:val="-2"/>
                <w:sz w:val="15"/>
                <w:szCs w:val="15"/>
              </w:rPr>
              <w:t>防火墙和</w:t>
            </w:r>
          </w:p>
          <w:p>
            <w:pPr>
              <w:pStyle w:val="TableParagraph"/>
              <w:spacing w:line="240" w:lineRule="auto" w:before="82"/>
              <w:ind w:left="4" w:right="0"/>
              <w:jc w:val="left"/>
              <w:rPr>
                <w:rFonts w:ascii="宋体" w:hAnsi="宋体" w:cs="宋体" w:eastAsia="宋体" w:hint="default"/>
                <w:sz w:val="15"/>
                <w:szCs w:val="15"/>
              </w:rPr>
            </w:pPr>
            <w:r>
              <w:rPr>
                <w:rFonts w:ascii="宋体" w:hAnsi="宋体" w:cs="宋体" w:eastAsia="宋体" w:hint="default"/>
                <w:sz w:val="15"/>
                <w:szCs w:val="15"/>
              </w:rPr>
              <w:t>抗</w:t>
            </w:r>
            <w:r>
              <w:rPr>
                <w:rFonts w:ascii="Times New Roman" w:hAnsi="Times New Roman" w:cs="Times New Roman" w:eastAsia="Times New Roman" w:hint="default"/>
                <w:sz w:val="15"/>
                <w:szCs w:val="15"/>
              </w:rPr>
              <w:t>Ddos</w:t>
            </w:r>
            <w:r>
              <w:rPr>
                <w:rFonts w:ascii="宋体" w:hAnsi="宋体" w:cs="宋体" w:eastAsia="宋体" w:hint="default"/>
                <w:sz w:val="15"/>
                <w:szCs w:val="15"/>
              </w:rPr>
              <w:t>设备采购</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4" w:right="0"/>
              <w:jc w:val="center"/>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5"/>
                <w:szCs w:val="15"/>
              </w:rPr>
            </w:pPr>
            <w:r>
              <w:rPr>
                <w:rFonts w:ascii="Times New Roman"/>
                <w:spacing w:val="-1"/>
                <w:sz w:val="15"/>
              </w:rPr>
              <w:t>20,000.00</w:t>
            </w:r>
          </w:p>
        </w:tc>
      </w:tr>
      <w:tr>
        <w:trPr>
          <w:trHeight w:val="32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 w:right="0"/>
              <w:jc w:val="left"/>
              <w:rPr>
                <w:rFonts w:ascii="宋体" w:hAnsi="宋体" w:cs="宋体" w:eastAsia="宋体" w:hint="default"/>
                <w:sz w:val="15"/>
                <w:szCs w:val="15"/>
              </w:rPr>
            </w:pPr>
            <w:r>
              <w:rPr>
                <w:rFonts w:ascii="宋体" w:hAnsi="宋体" w:cs="宋体" w:eastAsia="宋体" w:hint="default"/>
                <w:sz w:val="15"/>
                <w:szCs w:val="15"/>
              </w:rPr>
              <w:t>互联网基地</w:t>
            </w:r>
            <w:r>
              <w:rPr>
                <w:rFonts w:ascii="Times New Roman" w:hAnsi="Times New Roman" w:cs="Times New Roman" w:eastAsia="Times New Roman" w:hint="default"/>
                <w:sz w:val="15"/>
                <w:szCs w:val="15"/>
              </w:rPr>
              <w:t>2012</w:t>
            </w:r>
            <w:r>
              <w:rPr>
                <w:rFonts w:ascii="宋体" w:hAnsi="宋体" w:cs="宋体" w:eastAsia="宋体" w:hint="default"/>
                <w:sz w:val="15"/>
                <w:szCs w:val="15"/>
              </w:rPr>
              <w:t>年飞信扩容工程基础设施部分集成服务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4" w:right="0"/>
              <w:jc w:val="center"/>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5"/>
                <w:szCs w:val="15"/>
              </w:rPr>
            </w:pPr>
            <w:r>
              <w:rPr>
                <w:rFonts w:ascii="Times New Roman"/>
                <w:spacing w:val="-1"/>
                <w:sz w:val="15"/>
              </w:rPr>
              <w:t>30,000.00</w:t>
            </w:r>
          </w:p>
        </w:tc>
      </w:tr>
      <w:tr>
        <w:trPr>
          <w:trHeight w:val="619"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 w:right="0"/>
              <w:jc w:val="left"/>
              <w:rPr>
                <w:rFonts w:ascii="宋体" w:hAnsi="宋体" w:cs="宋体" w:eastAsia="宋体" w:hint="default"/>
                <w:sz w:val="15"/>
                <w:szCs w:val="15"/>
              </w:rPr>
            </w:pPr>
            <w:r>
              <w:rPr>
                <w:rFonts w:ascii="宋体" w:hAnsi="宋体" w:cs="宋体" w:eastAsia="宋体" w:hint="default"/>
                <w:sz w:val="15"/>
                <w:szCs w:val="15"/>
              </w:rPr>
              <w:t>中国联通</w:t>
            </w:r>
            <w:r>
              <w:rPr>
                <w:rFonts w:ascii="Times New Roman" w:hAnsi="Times New Roman" w:cs="Times New Roman" w:eastAsia="Times New Roman" w:hint="default"/>
                <w:sz w:val="15"/>
                <w:szCs w:val="15"/>
              </w:rPr>
              <w:t>2008</w:t>
            </w:r>
            <w:r>
              <w:rPr>
                <w:rFonts w:ascii="宋体" w:hAnsi="宋体" w:cs="宋体" w:eastAsia="宋体" w:hint="default"/>
                <w:sz w:val="15"/>
                <w:szCs w:val="15"/>
              </w:rPr>
              <w:t>年电子渠道系统工程（三期）（监控系统部分）</w:t>
            </w:r>
          </w:p>
          <w:p>
            <w:pPr>
              <w:pStyle w:val="TableParagraph"/>
              <w:spacing w:line="240" w:lineRule="auto" w:before="82"/>
              <w:ind w:left="4" w:right="0"/>
              <w:jc w:val="left"/>
              <w:rPr>
                <w:rFonts w:ascii="宋体" w:hAnsi="宋体" w:cs="宋体" w:eastAsia="宋体" w:hint="default"/>
                <w:sz w:val="15"/>
                <w:szCs w:val="15"/>
              </w:rPr>
            </w:pPr>
            <w:r>
              <w:rPr>
                <w:rFonts w:ascii="宋体" w:hAnsi="宋体" w:cs="宋体" w:eastAsia="宋体" w:hint="default"/>
                <w:sz w:val="15"/>
                <w:szCs w:val="15"/>
              </w:rPr>
              <w:t>采购合同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1" w:right="0"/>
              <w:jc w:val="center"/>
              <w:rPr>
                <w:rFonts w:ascii="宋体" w:hAnsi="宋体" w:cs="宋体" w:eastAsia="宋体" w:hint="default"/>
                <w:sz w:val="15"/>
                <w:szCs w:val="15"/>
              </w:rPr>
            </w:pPr>
            <w:r>
              <w:rPr>
                <w:rFonts w:ascii="宋体" w:hAnsi="宋体" w:cs="宋体" w:eastAsia="宋体" w:hint="default"/>
                <w:sz w:val="15"/>
                <w:szCs w:val="15"/>
              </w:rPr>
              <w:t>民生银行北京上地支</w:t>
            </w:r>
          </w:p>
          <w:p>
            <w:pPr>
              <w:pStyle w:val="TableParagraph"/>
              <w:spacing w:line="240" w:lineRule="auto" w:before="94"/>
              <w:ind w:right="0"/>
              <w:jc w:val="center"/>
              <w:rPr>
                <w:rFonts w:ascii="宋体" w:hAnsi="宋体" w:cs="宋体" w:eastAsia="宋体" w:hint="default"/>
                <w:sz w:val="15"/>
                <w:szCs w:val="15"/>
              </w:rPr>
            </w:pPr>
            <w:r>
              <w:rPr>
                <w:rFonts w:ascii="宋体" w:hAnsi="宋体" w:cs="宋体" w:eastAsia="宋体" w:hint="default"/>
                <w:w w:val="100"/>
                <w:sz w:val="15"/>
                <w:szCs w:val="15"/>
              </w:rPr>
              <w:t>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5"/>
                <w:szCs w:val="15"/>
              </w:rPr>
            </w:pPr>
            <w:r>
              <w:rPr>
                <w:rFonts w:ascii="Times New Roman"/>
                <w:spacing w:val="-1"/>
                <w:sz w:val="15"/>
              </w:rPr>
              <w:t>269,896.50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5" w:right="0"/>
              <w:jc w:val="center"/>
              <w:rPr>
                <w:rFonts w:ascii="Times New Roman" w:hAnsi="Times New Roman" w:cs="Times New Roman" w:eastAsia="Times New Roman" w:hint="default"/>
                <w:sz w:val="15"/>
                <w:szCs w:val="15"/>
              </w:rPr>
            </w:pPr>
            <w:r>
              <w:rPr>
                <w:rFonts w:ascii="Times New Roman"/>
                <w:sz w:val="15"/>
              </w:rPr>
              <w:t>100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5"/>
                <w:szCs w:val="15"/>
              </w:rPr>
            </w:pPr>
            <w:r>
              <w:rPr>
                <w:rFonts w:ascii="Times New Roman"/>
                <w:spacing w:val="-1"/>
                <w:sz w:val="15"/>
              </w:rPr>
              <w:t>269,896.50</w:t>
            </w:r>
          </w:p>
        </w:tc>
      </w:tr>
      <w:tr>
        <w:trPr>
          <w:trHeight w:val="32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GSM</w:t>
            </w:r>
            <w:r>
              <w:rPr>
                <w:rFonts w:ascii="宋体" w:hAnsi="宋体" w:cs="宋体" w:eastAsia="宋体" w:hint="default"/>
                <w:sz w:val="15"/>
                <w:szCs w:val="15"/>
              </w:rPr>
              <w:t>基本型效果监控设备框架协议</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4" w:right="0"/>
              <w:jc w:val="center"/>
              <w:rPr>
                <w:rFonts w:ascii="宋体" w:hAnsi="宋体" w:cs="宋体" w:eastAsia="宋体" w:hint="default"/>
                <w:sz w:val="15"/>
                <w:szCs w:val="15"/>
              </w:rPr>
            </w:pPr>
            <w:r>
              <w:rPr>
                <w:rFonts w:ascii="宋体" w:hAnsi="宋体" w:cs="宋体" w:eastAsia="宋体" w:hint="default"/>
                <w:sz w:val="15"/>
                <w:szCs w:val="15"/>
              </w:rPr>
              <w:t>杭州工行众安支行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2,500,000.00</w:t>
            </w:r>
          </w:p>
        </w:tc>
        <w:tc>
          <w:tcPr>
            <w:tcW w:w="850"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100,000.00</w:t>
            </w:r>
          </w:p>
        </w:tc>
      </w:tr>
      <w:tr>
        <w:trPr>
          <w:trHeight w:val="32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 w:right="0"/>
              <w:jc w:val="left"/>
              <w:rPr>
                <w:rFonts w:ascii="宋体" w:hAnsi="宋体" w:cs="宋体" w:eastAsia="宋体" w:hint="default"/>
                <w:sz w:val="15"/>
                <w:szCs w:val="15"/>
              </w:rPr>
            </w:pPr>
            <w:r>
              <w:rPr>
                <w:rFonts w:ascii="宋体" w:hAnsi="宋体" w:cs="宋体" w:eastAsia="宋体" w:hint="default"/>
                <w:sz w:val="15"/>
                <w:szCs w:val="15"/>
              </w:rPr>
              <w:t>关于新建</w:t>
            </w:r>
            <w:r>
              <w:rPr>
                <w:rFonts w:ascii="Times New Roman" w:hAnsi="Times New Roman" w:cs="Times New Roman" w:eastAsia="Times New Roman" w:hint="default"/>
                <w:sz w:val="15"/>
                <w:szCs w:val="15"/>
              </w:rPr>
              <w:t>ARUBA</w:t>
            </w:r>
            <w:r>
              <w:rPr>
                <w:rFonts w:ascii="宋体" w:hAnsi="宋体" w:cs="宋体" w:eastAsia="宋体" w:hint="default"/>
                <w:sz w:val="15"/>
                <w:szCs w:val="15"/>
              </w:rPr>
              <w:t>设备采购的框架合同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4" w:right="0"/>
              <w:jc w:val="center"/>
              <w:rPr>
                <w:rFonts w:ascii="宋体" w:hAnsi="宋体" w:cs="宋体" w:eastAsia="宋体" w:hint="default"/>
                <w:sz w:val="15"/>
                <w:szCs w:val="15"/>
              </w:rPr>
            </w:pPr>
            <w:r>
              <w:rPr>
                <w:rFonts w:ascii="宋体" w:hAnsi="宋体" w:cs="宋体" w:eastAsia="宋体" w:hint="default"/>
                <w:sz w:val="15"/>
                <w:szCs w:val="15"/>
              </w:rPr>
              <w:t>建行宁波西郊支行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5"/>
                <w:szCs w:val="15"/>
              </w:rPr>
            </w:pPr>
            <w:r>
              <w:rPr>
                <w:rFonts w:ascii="Times New Roman"/>
                <w:spacing w:val="-1"/>
                <w:sz w:val="15"/>
              </w:rPr>
              <w:t>13,500,000.00</w:t>
            </w:r>
          </w:p>
        </w:tc>
        <w:tc>
          <w:tcPr>
            <w:tcW w:w="850"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5"/>
                <w:szCs w:val="15"/>
              </w:rPr>
            </w:pPr>
            <w:r>
              <w:rPr>
                <w:rFonts w:ascii="Times New Roman"/>
                <w:spacing w:val="-1"/>
                <w:sz w:val="15"/>
              </w:rPr>
              <w:t>300,000.00</w:t>
            </w:r>
          </w:p>
        </w:tc>
      </w:tr>
      <w:tr>
        <w:trPr>
          <w:trHeight w:val="329"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sz w:val="15"/>
                <w:szCs w:val="15"/>
              </w:rPr>
              <w:t>模拟人手机械臂采购项目国内设备采购合同</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4" w:right="0"/>
              <w:jc w:val="center"/>
              <w:rPr>
                <w:rFonts w:ascii="宋体" w:hAnsi="宋体" w:cs="宋体" w:eastAsia="宋体" w:hint="default"/>
                <w:sz w:val="15"/>
                <w:szCs w:val="15"/>
              </w:rPr>
            </w:pPr>
            <w:r>
              <w:rPr>
                <w:rFonts w:ascii="宋体" w:hAnsi="宋体" w:cs="宋体" w:eastAsia="宋体" w:hint="default"/>
                <w:sz w:val="15"/>
                <w:szCs w:val="15"/>
              </w:rPr>
              <w:t>建行宁波西郊支行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5"/>
                <w:szCs w:val="15"/>
              </w:rPr>
            </w:pPr>
            <w:r>
              <w:rPr>
                <w:rFonts w:ascii="Times New Roman"/>
                <w:spacing w:val="-1"/>
                <w:sz w:val="15"/>
              </w:rPr>
              <w:t>189,000.00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0"/>
              <w:jc w:val="center"/>
              <w:rPr>
                <w:rFonts w:ascii="Times New Roman" w:hAnsi="Times New Roman" w:cs="Times New Roman" w:eastAsia="Times New Roman" w:hint="default"/>
                <w:sz w:val="15"/>
                <w:szCs w:val="15"/>
              </w:rPr>
            </w:pPr>
            <w:r>
              <w:rPr>
                <w:rFonts w:ascii="Times New Roman"/>
                <w:sz w:val="15"/>
              </w:rPr>
              <w:t>50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15"/>
                <w:szCs w:val="15"/>
              </w:rPr>
            </w:pPr>
            <w:r>
              <w:rPr>
                <w:rFonts w:ascii="Times New Roman"/>
                <w:spacing w:val="-1"/>
                <w:sz w:val="15"/>
              </w:rPr>
              <w:t>94,500.00</w:t>
            </w:r>
          </w:p>
        </w:tc>
      </w:tr>
      <w:tr>
        <w:trPr>
          <w:trHeight w:val="32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tabs>
                <w:tab w:pos="455" w:val="left" w:leader="none"/>
              </w:tabs>
              <w:spacing w:line="179" w:lineRule="exact"/>
              <w:ind w:left="4" w:right="0"/>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141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5"/>
                <w:szCs w:val="15"/>
              </w:rPr>
            </w:pPr>
            <w:r>
              <w:rPr>
                <w:rFonts w:ascii="Times New Roman"/>
                <w:spacing w:val="-1"/>
                <w:sz w:val="15"/>
              </w:rPr>
              <w:t>4,324,960.08</w:t>
            </w:r>
          </w:p>
        </w:tc>
      </w:tr>
    </w:tbl>
    <w:p>
      <w:pPr>
        <w:spacing w:line="240" w:lineRule="auto" w:before="11"/>
        <w:rPr>
          <w:rFonts w:ascii="宋体" w:hAnsi="宋体" w:cs="宋体" w:eastAsia="宋体" w:hint="default"/>
          <w:sz w:val="17"/>
          <w:szCs w:val="17"/>
        </w:rPr>
      </w:pPr>
    </w:p>
    <w:p>
      <w:pPr>
        <w:spacing w:line="472" w:lineRule="auto" w:before="26"/>
        <w:ind w:left="152" w:right="6423" w:firstLine="0"/>
        <w:jc w:val="left"/>
        <w:rPr>
          <w:rFonts w:ascii="宋体" w:hAnsi="宋体" w:cs="宋体" w:eastAsia="宋体" w:hint="default"/>
          <w:sz w:val="18"/>
          <w:szCs w:val="18"/>
        </w:rPr>
      </w:pPr>
      <w:r>
        <w:rPr>
          <w:rFonts w:ascii="宋体" w:hAnsi="宋体" w:cs="宋体" w:eastAsia="宋体" w:hint="default"/>
          <w:b/>
          <w:bCs/>
          <w:sz w:val="24"/>
          <w:szCs w:val="24"/>
        </w:rPr>
        <w:t>十三、资产负债表日后事项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、重要的资产负债表日后事项说明</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18"/>
          <w:szCs w:val="18"/>
        </w:rPr>
        <w:t>无</w:t>
      </w:r>
    </w:p>
    <w:p>
      <w:pPr>
        <w:pStyle w:val="Heading3"/>
        <w:spacing w:line="240" w:lineRule="auto" w:before="123"/>
        <w:ind w:right="94"/>
        <w:jc w:val="left"/>
        <w:rPr>
          <w:b w:val="0"/>
          <w:bCs w:val="0"/>
        </w:rPr>
      </w:pPr>
      <w:r>
        <w:rPr>
          <w:rFonts w:ascii="Times New Roman" w:hAnsi="Times New Roman" w:cs="Times New Roman" w:eastAsia="Times New Roman" w:hint="default"/>
        </w:rPr>
        <w:t>2</w:t>
      </w:r>
      <w:r>
        <w:rPr/>
        <w:t>、</w:t>
      </w:r>
      <w:r>
        <w:rPr>
          <w:spacing w:val="-63"/>
        </w:rPr>
        <w:t> </w:t>
      </w:r>
      <w:r>
        <w:rPr/>
        <w:t>资产负债表日后利润分配情况说明</w:t>
      </w:r>
      <w:r>
        <w:rPr>
          <w:b w:val="0"/>
          <w:bCs w:val="0"/>
        </w:rPr>
      </w:r>
    </w:p>
    <w:p>
      <w:pPr>
        <w:spacing w:line="240" w:lineRule="auto" w:before="7"/>
        <w:rPr>
          <w:rFonts w:ascii="宋体" w:hAnsi="宋体" w:cs="宋体" w:eastAsia="宋体" w:hint="default"/>
          <w:b/>
          <w:bCs/>
          <w:sz w:val="21"/>
          <w:szCs w:val="21"/>
        </w:rPr>
      </w:pPr>
    </w:p>
    <w:p>
      <w:pPr>
        <w:pStyle w:val="BodyText"/>
        <w:spacing w:line="357" w:lineRule="auto"/>
        <w:ind w:right="94"/>
        <w:jc w:val="left"/>
      </w:pPr>
      <w:r>
        <w:rPr>
          <w:rFonts w:ascii="宋体" w:hAnsi="宋体" w:cs="宋体" w:eastAsia="宋体" w:hint="default"/>
          <w:spacing w:val="-2"/>
        </w:rPr>
        <w:t>2013</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24</w:t>
      </w:r>
      <w:r>
        <w:rPr>
          <w:spacing w:val="-2"/>
        </w:rPr>
        <w:t>日，公司召开第四届第三十五次董事会，会议审议并通过了《</w:t>
      </w:r>
      <w:r>
        <w:rPr>
          <w:rFonts w:ascii="宋体" w:hAnsi="宋体" w:cs="宋体" w:eastAsia="宋体" w:hint="default"/>
          <w:spacing w:val="-2"/>
        </w:rPr>
        <w:t>2012</w:t>
      </w:r>
      <w:r>
        <w:rPr>
          <w:spacing w:val="-2"/>
        </w:rPr>
        <w:t>年度利润分配及资本公积金转增股本预案》，</w:t>
      </w:r>
      <w:r>
        <w:rPr>
          <w:spacing w:val="-56"/>
        </w:rPr>
        <w:t> </w:t>
      </w:r>
      <w:r>
        <w:rPr>
          <w:spacing w:val="-56"/>
        </w:rPr>
      </w:r>
      <w:r>
        <w:rPr/>
        <w:t>按</w:t>
      </w:r>
      <w:r>
        <w:rPr>
          <w:rFonts w:ascii="宋体" w:hAnsi="宋体" w:cs="宋体" w:eastAsia="宋体" w:hint="default"/>
        </w:rPr>
        <w:t>2012</w:t>
      </w:r>
      <w:r>
        <w:rPr/>
        <w:t>年度母公司实现净利润的</w:t>
      </w:r>
      <w:r>
        <w:rPr>
          <w:rFonts w:ascii="宋体" w:hAnsi="宋体" w:cs="宋体" w:eastAsia="宋体" w:hint="default"/>
        </w:rPr>
        <w:t>10%</w:t>
      </w:r>
      <w:r>
        <w:rPr/>
        <w:t>提取法定盈余公积</w:t>
      </w:r>
      <w:r>
        <w:rPr>
          <w:rFonts w:ascii="宋体" w:hAnsi="宋体" w:cs="宋体" w:eastAsia="宋体" w:hint="default"/>
        </w:rPr>
        <w:t>23,092,599.24</w:t>
      </w:r>
      <w:r>
        <w:rPr/>
        <w:t>元后，公司可供股东分配的利润为</w:t>
      </w:r>
      <w:r>
        <w:rPr>
          <w:rFonts w:ascii="宋体" w:hAnsi="宋体" w:cs="宋体" w:eastAsia="宋体" w:hint="default"/>
        </w:rPr>
        <w:t>507,021,394.88</w:t>
      </w:r>
      <w:r>
        <w:rPr/>
        <w:t>元。 </w:t>
      </w:r>
      <w:r>
        <w:rPr>
          <w:spacing w:val="-2"/>
        </w:rPr>
        <w:t>以截至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日止的总股本</w:t>
      </w:r>
      <w:r>
        <w:rPr>
          <w:rFonts w:ascii="宋体" w:hAnsi="宋体" w:cs="宋体" w:eastAsia="宋体" w:hint="default"/>
          <w:spacing w:val="-2"/>
        </w:rPr>
        <w:t>38,338.37</w:t>
      </w:r>
      <w:r>
        <w:rPr>
          <w:spacing w:val="-2"/>
        </w:rPr>
        <w:t>万股为基数，以未分配利润向全体股东每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4</w:t>
      </w:r>
      <w:r>
        <w:rPr>
          <w:spacing w:val="-2"/>
        </w:rPr>
        <w:t>元（含税），共计</w:t>
      </w:r>
      <w:r>
        <w:rPr>
          <w:spacing w:val="-55"/>
        </w:rPr>
        <w:t> </w:t>
      </w:r>
      <w:r>
        <w:rPr>
          <w:spacing w:val="-55"/>
        </w:rPr>
      </w:r>
      <w:r>
        <w:rPr/>
        <w:t>派送现金红利</w:t>
      </w:r>
      <w:r>
        <w:rPr>
          <w:rFonts w:ascii="宋体" w:hAnsi="宋体" w:cs="宋体" w:eastAsia="宋体" w:hint="default"/>
        </w:rPr>
        <w:t>15,335.35</w:t>
      </w:r>
      <w:r>
        <w:rPr/>
        <w:t>万元（含税），剩余未分配利润结转以后年度。</w:t>
      </w:r>
    </w:p>
    <w:p>
      <w:pPr>
        <w:spacing w:after="0" w:line="357" w:lineRule="auto"/>
        <w:jc w:val="left"/>
        <w:sectPr>
          <w:pgSz w:w="11910" w:h="16840"/>
          <w:pgMar w:header="852" w:footer="980" w:top="1440" w:bottom="1160" w:left="980" w:right="940"/>
        </w:sectPr>
      </w:pPr>
    </w:p>
    <w:p>
      <w:pPr>
        <w:pStyle w:val="BodyText"/>
        <w:spacing w:line="357" w:lineRule="auto" w:before="61"/>
        <w:ind w:right="144"/>
        <w:jc w:val="left"/>
      </w:pPr>
      <w:r>
        <w:rPr/>
        <w:t>同时，截止</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日，母公司资本公积金为</w:t>
      </w:r>
      <w:r>
        <w:rPr>
          <w:rFonts w:ascii="宋体" w:hAnsi="宋体" w:cs="宋体" w:eastAsia="宋体" w:hint="default"/>
        </w:rPr>
        <w:t>1,556,513,432.57</w:t>
      </w:r>
      <w:r>
        <w:rPr/>
        <w:t>元，以</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38,338.37</w:t>
      </w:r>
      <w:r>
        <w:rPr/>
        <w:t>万股为基 数，由资本公积金向全体股东每</w:t>
      </w:r>
      <w:r>
        <w:rPr>
          <w:rFonts w:ascii="宋体" w:hAnsi="宋体" w:cs="宋体" w:eastAsia="宋体" w:hint="default"/>
        </w:rPr>
        <w:t>10</w:t>
      </w:r>
      <w:r>
        <w:rPr>
          <w:rFonts w:ascii="宋体" w:hAnsi="宋体" w:cs="宋体" w:eastAsia="宋体" w:hint="default"/>
          <w:spacing w:val="2"/>
        </w:rPr>
        <w:t> </w:t>
      </w:r>
      <w:r>
        <w:rPr/>
        <w:t>股转增</w:t>
      </w:r>
      <w:r>
        <w:rPr>
          <w:rFonts w:ascii="宋体" w:hAnsi="宋体" w:cs="宋体" w:eastAsia="宋体" w:hint="default"/>
        </w:rPr>
        <w:t>6</w:t>
      </w:r>
      <w:r>
        <w:rPr/>
        <w:t>股，合计转增</w:t>
      </w:r>
      <w:r>
        <w:rPr>
          <w:rFonts w:ascii="宋体" w:hAnsi="宋体" w:cs="宋体" w:eastAsia="宋体" w:hint="default"/>
        </w:rPr>
        <w:t>23,003.02</w:t>
      </w:r>
      <w:r>
        <w:rPr/>
        <w:t>万股。 上述预案尚需提交公司</w:t>
      </w:r>
      <w:r>
        <w:rPr>
          <w:rFonts w:ascii="宋体" w:hAnsi="宋体" w:cs="宋体" w:eastAsia="宋体" w:hint="default"/>
        </w:rPr>
        <w:t>2012</w:t>
      </w:r>
      <w:r>
        <w:rPr/>
        <w:t>年股东大会审议批准。</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141"/>
        <w:jc w:val="left"/>
      </w:pPr>
      <w:r>
        <w:rPr>
          <w:rFonts w:ascii="宋体" w:hAnsi="宋体" w:cs="宋体" w:eastAsia="宋体" w:hint="default"/>
          <w:spacing w:val="-3"/>
        </w:rPr>
        <w:t>2013</w:t>
      </w:r>
      <w:r>
        <w:rPr>
          <w:spacing w:val="-3"/>
        </w:rPr>
        <w:t>年</w:t>
      </w:r>
      <w:r>
        <w:rPr>
          <w:rFonts w:ascii="宋体" w:hAnsi="宋体" w:cs="宋体" w:eastAsia="宋体" w:hint="default"/>
          <w:spacing w:val="-3"/>
        </w:rPr>
        <w:t>4</w:t>
      </w:r>
      <w:r>
        <w:rPr>
          <w:spacing w:val="-3"/>
        </w:rPr>
        <w:t>月，公司全资子公司——北京新媒传信科技有限公司（下称“新媒传信”）与中国移动通信集团广东有限公司就</w:t>
      </w:r>
      <w:r>
        <w:rPr>
          <w:rFonts w:ascii="宋体" w:hAnsi="宋体" w:cs="宋体" w:eastAsia="宋体" w:hint="default"/>
          <w:spacing w:val="-3"/>
        </w:rPr>
        <w:t>2012</w:t>
      </w:r>
      <w:r>
        <w:rPr>
          <w:rFonts w:ascii="宋体" w:hAnsi="宋体" w:cs="宋体" w:eastAsia="宋体" w:hint="default"/>
        </w:rPr>
        <w:t> </w:t>
      </w:r>
      <w:r>
        <w:rPr/>
        <w:t>年</w:t>
      </w:r>
      <w:r>
        <w:rPr>
          <w:rFonts w:ascii="宋体" w:hAnsi="宋体" w:cs="宋体" w:eastAsia="宋体" w:hint="default"/>
        </w:rPr>
        <w:t>11</w:t>
      </w:r>
      <w:r>
        <w:rPr/>
        <w:t>月</w:t>
      </w:r>
      <w:r>
        <w:rPr>
          <w:rFonts w:ascii="宋体" w:hAnsi="宋体" w:cs="宋体" w:eastAsia="宋体" w:hint="default"/>
        </w:rPr>
        <w:t>1</w:t>
      </w:r>
      <w:r>
        <w:rPr/>
        <w:t>日至</w:t>
      </w:r>
      <w:r>
        <w:rPr>
          <w:rFonts w:ascii="宋体" w:hAnsi="宋体" w:cs="宋体" w:eastAsia="宋体" w:hint="default"/>
        </w:rPr>
        <w:t>2013</w:t>
      </w:r>
      <w:r>
        <w:rPr/>
        <w:t>年</w:t>
      </w:r>
      <w:r>
        <w:rPr>
          <w:rFonts w:ascii="宋体" w:hAnsi="宋体" w:cs="宋体" w:eastAsia="宋体" w:hint="default"/>
        </w:rPr>
        <w:t>6</w:t>
      </w:r>
      <w:r>
        <w:rPr/>
        <w:t>月</w:t>
      </w:r>
      <w:r>
        <w:rPr>
          <w:rFonts w:ascii="宋体" w:hAnsi="宋体" w:cs="宋体" w:eastAsia="宋体" w:hint="default"/>
        </w:rPr>
        <w:t>30</w:t>
      </w:r>
      <w:r>
        <w:rPr/>
        <w:t>日期间的飞信系统开发与支撑签署了相关合同，约定该期间的服务价款上限金额为</w:t>
      </w:r>
      <w:r>
        <w:rPr>
          <w:rFonts w:ascii="宋体" w:hAnsi="宋体" w:cs="宋体" w:eastAsia="宋体" w:hint="default"/>
        </w:rPr>
        <w:t>3.24</w:t>
      </w:r>
      <w:r>
        <w:rPr/>
        <w:t>亿元。</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十四、其他重要事项</w:t>
      </w:r>
      <w:r>
        <w:rPr>
          <w:b w:val="0"/>
          <w:bCs w:val="0"/>
        </w:rPr>
      </w:r>
    </w:p>
    <w:p>
      <w:pPr>
        <w:spacing w:line="240" w:lineRule="auto" w:before="6"/>
        <w:rPr>
          <w:rFonts w:ascii="宋体" w:hAnsi="宋体" w:cs="宋体" w:eastAsia="宋体" w:hint="default"/>
          <w:b/>
          <w:bCs/>
          <w:sz w:val="23"/>
          <w:szCs w:val="23"/>
        </w:rPr>
      </w:pPr>
    </w:p>
    <w:p>
      <w:pPr>
        <w:spacing w:line="494" w:lineRule="auto" w:before="0"/>
        <w:ind w:left="152" w:right="23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、租赁</w:t>
      </w:r>
      <w:r>
        <w:rPr>
          <w:rFonts w:ascii="宋体" w:hAnsi="宋体" w:cs="宋体" w:eastAsia="宋体" w:hint="default"/>
          <w:b/>
          <w:bCs/>
          <w:w w:val="100"/>
          <w:sz w:val="21"/>
          <w:szCs w:val="21"/>
        </w:rPr>
        <w:t> </w:t>
      </w:r>
      <w:r>
        <w:rPr>
          <w:rFonts w:ascii="宋体" w:hAnsi="宋体" w:cs="宋体" w:eastAsia="宋体" w:hint="default"/>
          <w:sz w:val="18"/>
          <w:szCs w:val="18"/>
        </w:rPr>
        <w:t>公司将北辰泰岳大厦部分楼层及停车位用于经营租赁租出，本年共取得租赁收入</w:t>
      </w:r>
      <w:r>
        <w:rPr>
          <w:rFonts w:ascii="Times New Roman" w:hAnsi="Times New Roman" w:cs="Times New Roman" w:eastAsia="Times New Roman" w:hint="default"/>
          <w:sz w:val="18"/>
          <w:szCs w:val="18"/>
        </w:rPr>
        <w:t>1,860.34</w:t>
      </w:r>
      <w:r>
        <w:rPr>
          <w:rFonts w:ascii="宋体" w:hAnsi="宋体" w:cs="宋体" w:eastAsia="宋体" w:hint="default"/>
          <w:sz w:val="18"/>
          <w:szCs w:val="18"/>
        </w:rPr>
        <w:t>万元。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pStyle w:val="BodyText"/>
        <w:spacing w:line="240" w:lineRule="auto" w:before="38"/>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、外币金融资产和外币金融负债</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2"/>
        <w:rPr>
          <w:rFonts w:ascii="宋体" w:hAnsi="宋体" w:cs="宋体" w:eastAsia="宋体" w:hint="default"/>
          <w:sz w:val="22"/>
          <w:szCs w:val="22"/>
        </w:rPr>
      </w:pPr>
    </w:p>
    <w:p>
      <w:pPr>
        <w:pStyle w:val="Heading2"/>
        <w:spacing w:line="240" w:lineRule="auto"/>
        <w:ind w:right="0"/>
        <w:jc w:val="left"/>
        <w:rPr>
          <w:b w:val="0"/>
          <w:bCs w:val="0"/>
        </w:rPr>
      </w:pPr>
      <w:r>
        <w:rPr/>
        <w:t>十五、母公司财务报表主要项目注释</w:t>
      </w:r>
      <w:r>
        <w:rPr>
          <w:b w:val="0"/>
          <w:bCs w:val="0"/>
        </w:rPr>
      </w:r>
    </w:p>
    <w:p>
      <w:pPr>
        <w:spacing w:line="240" w:lineRule="auto" w:before="6"/>
        <w:rPr>
          <w:rFonts w:ascii="宋体" w:hAnsi="宋体" w:cs="宋体" w:eastAsia="宋体" w:hint="default"/>
          <w:b/>
          <w:bCs/>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51"/>
        <w:jc w:val="right"/>
      </w:pPr>
      <w:r>
        <w:rPr/>
        <w:t>单位：</w:t>
      </w:r>
      <w:r>
        <w:rPr>
          <w:spacing w:val="1"/>
        </w:rPr>
        <w:t> </w:t>
      </w:r>
      <w:r>
        <w:rPr/>
        <w:t>元</w:t>
      </w:r>
    </w:p>
    <w:p>
      <w:pPr>
        <w:spacing w:line="240" w:lineRule="auto" w:before="6"/>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98"/>
        <w:gridCol w:w="1193"/>
        <w:gridCol w:w="533"/>
        <w:gridCol w:w="1327"/>
        <w:gridCol w:w="665"/>
        <w:gridCol w:w="1195"/>
        <w:gridCol w:w="665"/>
        <w:gridCol w:w="1328"/>
        <w:gridCol w:w="665"/>
      </w:tblGrid>
      <w:tr>
        <w:trPr>
          <w:trHeight w:val="323"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1998"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30"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32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3" w:right="0"/>
              <w:jc w:val="center"/>
              <w:rPr>
                <w:rFonts w:ascii="Times New Roman" w:hAnsi="Times New Roman" w:cs="Times New Roman" w:eastAsia="Times New Roman" w:hint="default"/>
                <w:sz w:val="18"/>
                <w:szCs w:val="18"/>
              </w:rPr>
            </w:pPr>
            <w:r>
              <w:rPr>
                <w:rFonts w:ascii="Times New Roman"/>
                <w:sz w:val="18"/>
              </w:rPr>
              <w:t>258,508,390.81</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28,885,039.87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6" w:right="0"/>
              <w:jc w:val="left"/>
              <w:rPr>
                <w:rFonts w:ascii="Times New Roman" w:hAnsi="Times New Roman" w:cs="Times New Roman" w:eastAsia="Times New Roman" w:hint="default"/>
                <w:sz w:val="18"/>
                <w:szCs w:val="18"/>
              </w:rPr>
            </w:pPr>
            <w:r>
              <w:rPr>
                <w:rFonts w:ascii="Times New Roman"/>
                <w:sz w:val="18"/>
              </w:rPr>
              <w:t>11.17%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1" w:right="0"/>
              <w:jc w:val="center"/>
              <w:rPr>
                <w:rFonts w:ascii="Times New Roman" w:hAnsi="Times New Roman" w:cs="Times New Roman" w:eastAsia="Times New Roman" w:hint="default"/>
                <w:sz w:val="18"/>
                <w:szCs w:val="18"/>
              </w:rPr>
            </w:pPr>
            <w:r>
              <w:rPr>
                <w:rFonts w:ascii="Times New Roman"/>
                <w:sz w:val="18"/>
              </w:rPr>
              <w:t>212,729,350.77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18,608,369.57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8.75%</w:t>
            </w:r>
          </w:p>
        </w:tc>
      </w:tr>
      <w:tr>
        <w:trPr>
          <w:trHeight w:val="325"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3" w:right="0"/>
              <w:jc w:val="center"/>
              <w:rPr>
                <w:rFonts w:ascii="Times New Roman" w:hAnsi="Times New Roman" w:cs="Times New Roman" w:eastAsia="Times New Roman" w:hint="default"/>
                <w:sz w:val="18"/>
                <w:szCs w:val="18"/>
              </w:rPr>
            </w:pPr>
            <w:r>
              <w:rPr>
                <w:rFonts w:ascii="Times New Roman"/>
                <w:sz w:val="18"/>
              </w:rPr>
              <w:t>258,508,390.81</w:t>
            </w:r>
          </w:p>
        </w:tc>
        <w:tc>
          <w:tcPr>
            <w:tcW w:w="533" w:type="dxa"/>
            <w:tcBorders>
              <w:top w:val="single" w:sz="4" w:space="0" w:color="000000"/>
              <w:left w:val="single" w:sz="4" w:space="0" w:color="000000"/>
              <w:bottom w:val="single" w:sz="6" w:space="0" w:color="D2D2D2"/>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28,885,039.87</w:t>
            </w:r>
          </w:p>
        </w:tc>
        <w:tc>
          <w:tcPr>
            <w:tcW w:w="665" w:type="dxa"/>
            <w:tcBorders>
              <w:top w:val="single" w:sz="4" w:space="0" w:color="000000"/>
              <w:left w:val="single" w:sz="4" w:space="0" w:color="000000"/>
              <w:bottom w:val="single" w:sz="6" w:space="0" w:color="D2D2D2"/>
              <w:right w:val="single" w:sz="4" w:space="0" w:color="000000"/>
            </w:tcBorders>
          </w:tcPr>
          <w:p>
            <w:pPr>
              <w:pStyle w:val="TableParagraph"/>
              <w:spacing w:line="240" w:lineRule="auto" w:before="48"/>
              <w:ind w:left="86" w:right="0"/>
              <w:jc w:val="left"/>
              <w:rPr>
                <w:rFonts w:ascii="Times New Roman" w:hAnsi="Times New Roman" w:cs="Times New Roman" w:eastAsia="Times New Roman" w:hint="default"/>
                <w:sz w:val="18"/>
                <w:szCs w:val="18"/>
              </w:rPr>
            </w:pPr>
            <w:r>
              <w:rPr>
                <w:rFonts w:ascii="Times New Roman"/>
                <w:sz w:val="18"/>
              </w:rPr>
              <w:t>11.17%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1" w:right="0"/>
              <w:jc w:val="center"/>
              <w:rPr>
                <w:rFonts w:ascii="Times New Roman" w:hAnsi="Times New Roman" w:cs="Times New Roman" w:eastAsia="Times New Roman" w:hint="default"/>
                <w:sz w:val="18"/>
                <w:szCs w:val="18"/>
              </w:rPr>
            </w:pPr>
            <w:r>
              <w:rPr>
                <w:rFonts w:ascii="Times New Roman"/>
                <w:sz w:val="18"/>
              </w:rPr>
              <w:t>212,729,350.77</w:t>
            </w:r>
          </w:p>
        </w:tc>
        <w:tc>
          <w:tcPr>
            <w:tcW w:w="665" w:type="dxa"/>
            <w:tcBorders>
              <w:top w:val="single" w:sz="4" w:space="0" w:color="000000"/>
              <w:left w:val="single" w:sz="4" w:space="0" w:color="000000"/>
              <w:bottom w:val="single" w:sz="6" w:space="0" w:color="D2D2D2"/>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18,608,369.57</w:t>
            </w:r>
          </w:p>
        </w:tc>
        <w:tc>
          <w:tcPr>
            <w:tcW w:w="665" w:type="dxa"/>
            <w:tcBorders>
              <w:top w:val="single" w:sz="4" w:space="0" w:color="000000"/>
              <w:left w:val="single" w:sz="4" w:space="0" w:color="000000"/>
              <w:bottom w:val="single" w:sz="6" w:space="0" w:color="D2D2D2"/>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8.75%</w:t>
            </w:r>
          </w:p>
        </w:tc>
      </w:tr>
      <w:tr>
        <w:trPr>
          <w:trHeight w:val="324"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5" w:right="0"/>
              <w:jc w:val="center"/>
              <w:rPr>
                <w:rFonts w:ascii="Times New Roman" w:hAnsi="Times New Roman" w:cs="Times New Roman" w:eastAsia="Times New Roman" w:hint="default"/>
                <w:sz w:val="18"/>
                <w:szCs w:val="18"/>
              </w:rPr>
            </w:pPr>
            <w:r>
              <w:rPr>
                <w:rFonts w:ascii="Times New Roman"/>
                <w:sz w:val="18"/>
              </w:rPr>
              <w:t>258,508,390.81</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8"/>
              <w:ind w:right="7"/>
              <w:jc w:val="right"/>
              <w:rPr>
                <w:rFonts w:ascii="Times New Roman" w:hAnsi="Times New Roman" w:cs="Times New Roman" w:eastAsia="Times New Roman" w:hint="default"/>
                <w:sz w:val="18"/>
                <w:szCs w:val="18"/>
              </w:rPr>
            </w:pPr>
            <w:r>
              <w:rPr>
                <w:rFonts w:ascii="Times New Roman"/>
                <w:spacing w:val="-1"/>
                <w:sz w:val="18"/>
              </w:rPr>
              <w:t>28,885,039.87</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1" w:right="0"/>
              <w:jc w:val="center"/>
              <w:rPr>
                <w:rFonts w:ascii="Times New Roman" w:hAnsi="Times New Roman" w:cs="Times New Roman" w:eastAsia="Times New Roman" w:hint="default"/>
                <w:sz w:val="18"/>
                <w:szCs w:val="18"/>
              </w:rPr>
            </w:pPr>
            <w:r>
              <w:rPr>
                <w:rFonts w:ascii="Times New Roman"/>
                <w:sz w:val="18"/>
              </w:rPr>
              <w:t>212,729,350.77</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18,608,369.57</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87"/>
        <w:ind w:right="5814"/>
        <w:jc w:val="left"/>
      </w:pPr>
      <w:r>
        <w:rPr/>
        <w:t>应收账款种类的说明 期末单项金额重大并单项计提坏账准备的应收账款</w:t>
      </w:r>
    </w:p>
    <w:p>
      <w:pPr>
        <w:pStyle w:val="BodyText"/>
        <w:spacing w:line="338" w:lineRule="auto" w:before="26"/>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组合中，采用账龄分析法计提坏账准备的应收账款</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42"/>
        <w:ind w:left="0" w:right="15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65"/>
        <w:gridCol w:w="4119"/>
        <w:gridCol w:w="4374"/>
      </w:tblGrid>
      <w:tr>
        <w:trPr>
          <w:trHeight w:val="324"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52" w:footer="980" w:top="1340" w:bottom="1160" w:left="980" w:right="980"/>
        </w:sectPr>
      </w:pPr>
    </w:p>
    <w:p>
      <w:pPr>
        <w:spacing w:line="240" w:lineRule="auto" w:before="2"/>
        <w:rPr>
          <w:rFonts w:ascii="宋体" w:hAnsi="宋体" w:cs="宋体" w:eastAsia="宋体" w:hint="default"/>
          <w:sz w:val="7"/>
          <w:szCs w:val="7"/>
        </w:rPr>
      </w:pPr>
      <w:r>
        <w:rPr/>
        <w:pict>
          <v:shape style="position:absolute;margin-left:424.869995pt;margin-top:671.619995pt;width:109pt;height:17.5pt;mso-position-horizontal-relative:page;mso-position-vertical-relative:page;z-index:-945520" type="#_x0000_t202" filled="false" stroked="false">
            <v:textbox inset="0,0,0,0">
              <w:txbxContent>
                <w:p>
                  <w:pPr>
                    <w:pStyle w:val="BodyText"/>
                    <w:spacing w:line="240" w:lineRule="auto" w:before="113"/>
                    <w:ind w:left="0" w:right="0"/>
                    <w:jc w:val="left"/>
                  </w:pPr>
                  <w:r>
                    <w:rPr/>
                    <w:t>元；</w:t>
                  </w:r>
                </w:p>
              </w:txbxContent>
            </v:textbox>
            <w10:wrap type="none"/>
          </v:shape>
        </w:pict>
      </w:r>
      <w:r>
        <w:rPr/>
        <w:pict>
          <v:shape style="position:absolute;margin-left:433.869995pt;margin-top:737.135986pt;width:101.2pt;height:18.25pt;mso-position-horizontal-relative:page;mso-position-vertical-relative:page;z-index:-945496" type="#_x0000_t202" filled="false" stroked="false">
            <v:textbox inset="0,0,0,0">
              <w:txbxContent>
                <w:p>
                  <w:pPr>
                    <w:pStyle w:val="BodyText"/>
                    <w:spacing w:line="240" w:lineRule="auto" w:before="58"/>
                    <w:ind w:left="0" w:right="0"/>
                    <w:jc w:val="left"/>
                  </w:pPr>
                  <w:r>
                    <w:rPr/>
                    <w:t>。</w:t>
                  </w:r>
                </w:p>
              </w:txbxContent>
            </v:textbox>
            <w10:wrap type="none"/>
          </v:shape>
        </w:pict>
      </w:r>
      <w:r>
        <w:rPr/>
        <w:pict>
          <v:group style="position:absolute;margin-left:439.869995pt;margin-top:671.067993pt;width:95.2pt;height:33.1pt;mso-position-horizontal-relative:page;mso-position-vertical-relative:page;z-index:-945448" coordorigin="8797,13421" coordsize="1904,662">
            <v:group style="position:absolute;left:8808;top:13432;width:2;height:288" coordorigin="8808,13432" coordsize="2,288">
              <v:shape style="position:absolute;left:8808;top:13432;width:2;height:288" coordorigin="8808,13432" coordsize="0,288" path="m8808,13432l8808,13720e" filled="false" stroked="true" strokeweight="1.104pt" strokecolor="#ffffff">
                <v:path arrowok="t"/>
              </v:shape>
            </v:group>
            <v:group style="position:absolute;left:8797;top:13720;width:1904;height:363" coordorigin="8797,13720" coordsize="1904,363">
              <v:shape style="position:absolute;left:8797;top:13720;width:1904;height:363" coordorigin="8797,13720" coordsize="1904,363" path="m8797,14083l10701,14083,10701,13720,8797,13720,8797,14083xe" filled="true" fillcolor="#ffffff" stroked="false">
                <v:path arrowok="t"/>
                <v:fill type="solid"/>
              </v:shape>
            </v:group>
            <v:group style="position:absolute;left:8820;top:13432;width:1858;height:288" coordorigin="8820,13432" coordsize="1858,288">
              <v:shape style="position:absolute;left:8820;top:13432;width:1858;height:288" coordorigin="8820,13432" coordsize="1858,288" path="m8820,13720l10677,13720,10677,13432,8820,13432,8820,13720xe" filled="true" fillcolor="#ffffff" stroked="false">
                <v:path arrowok="t"/>
                <v:fill type="solid"/>
              </v:shape>
            </v:group>
            <w10:wrap type="none"/>
          </v:group>
        </w:pict>
      </w:r>
      <w:r>
        <w:rPr/>
        <w:pict>
          <v:group style="position:absolute;margin-left:439.869995pt;margin-top:737.135986pt;width:95.2pt;height:18.25pt;mso-position-horizontal-relative:page;mso-position-vertical-relative:page;z-index:-945424" coordorigin="8797,14743" coordsize="1904,365">
            <v:shape style="position:absolute;left:8797;top:14743;width:1904;height:365" coordorigin="8797,14743" coordsize="1904,365" path="m8797,15108l10701,15108,10701,14743,8797,14743,8797,15108xe" filled="true" fillcolor="#ffffff" stroked="false">
              <v:path arrowok="t"/>
              <v:fill type="solid"/>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1049"/>
        <w:gridCol w:w="2006"/>
        <w:gridCol w:w="651"/>
        <w:gridCol w:w="1462"/>
        <w:gridCol w:w="2138"/>
        <w:gridCol w:w="654"/>
        <w:gridCol w:w="1599"/>
      </w:tblGrid>
      <w:tr>
        <w:trPr>
          <w:trHeight w:val="376" w:hRule="exact"/>
        </w:trPr>
        <w:tc>
          <w:tcPr>
            <w:tcW w:w="1049" w:type="dxa"/>
            <w:vMerge w:val="restart"/>
            <w:tcBorders>
              <w:top w:val="single" w:sz="4" w:space="0" w:color="000000"/>
              <w:left w:val="single" w:sz="4" w:space="0" w:color="000000"/>
              <w:right w:val="single" w:sz="4" w:space="0" w:color="000000"/>
            </w:tcBorders>
            <w:shd w:val="clear" w:color="auto" w:fill="D2D2D2"/>
          </w:tcPr>
          <w:p>
            <w:pPr/>
          </w:p>
        </w:tc>
        <w:tc>
          <w:tcPr>
            <w:tcW w:w="26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8" w:hRule="exact"/>
        </w:trPr>
        <w:tc>
          <w:tcPr>
            <w:tcW w:w="1049" w:type="dxa"/>
            <w:vMerge/>
            <w:tcBorders>
              <w:left w:val="single" w:sz="4" w:space="0" w:color="000000"/>
              <w:right w:val="single" w:sz="4" w:space="0" w:color="000000"/>
            </w:tcBorders>
            <w:shd w:val="clear" w:color="auto" w:fill="D2D2D2"/>
          </w:tcPr>
          <w:p>
            <w:pPr/>
          </w:p>
        </w:tc>
        <w:tc>
          <w:tcPr>
            <w:tcW w:w="2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51" w:type="dxa"/>
            <w:vMerge w:val="restart"/>
            <w:tcBorders>
              <w:top w:val="single" w:sz="4" w:space="0" w:color="000000"/>
              <w:left w:val="single" w:sz="4" w:space="0" w:color="000000"/>
              <w:right w:val="single" w:sz="4" w:space="0" w:color="000000"/>
            </w:tcBorders>
            <w:shd w:val="clear" w:color="auto" w:fill="D2D2D2"/>
          </w:tcPr>
          <w:p>
            <w:pPr>
              <w:pStyle w:val="TableParagraph"/>
              <w:spacing w:line="192" w:lineRule="exact"/>
              <w:ind w:left="185"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left="185"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0" w:lineRule="exact"/>
              <w:ind w:left="3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0"/>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192" w:lineRule="exact"/>
              <w:ind w:left="186"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left="186" w:right="0"/>
              <w:jc w:val="left"/>
              <w:rPr>
                <w:rFonts w:ascii="Times New Roman" w:hAnsi="Times New Roman" w:cs="Times New Roman" w:eastAsia="Times New Roman" w:hint="default"/>
                <w:sz w:val="18"/>
                <w:szCs w:val="18"/>
              </w:rPr>
            </w:pPr>
            <w:r>
              <w:rPr>
                <w:rFonts w:ascii="Times New Roman"/>
                <w:sz w:val="18"/>
              </w:rPr>
              <w:t>(%)</w:t>
            </w:r>
          </w:p>
        </w:tc>
        <w:tc>
          <w:tcPr>
            <w:tcW w:w="1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0" w:lineRule="exact"/>
              <w:ind w:left="43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76" w:hRule="exact"/>
        </w:trPr>
        <w:tc>
          <w:tcPr>
            <w:tcW w:w="1049" w:type="dxa"/>
            <w:vMerge/>
            <w:tcBorders>
              <w:left w:val="single" w:sz="4" w:space="0" w:color="000000"/>
              <w:bottom w:val="single" w:sz="4" w:space="0" w:color="000000"/>
              <w:right w:val="single" w:sz="4" w:space="0" w:color="000000"/>
            </w:tcBorders>
            <w:shd w:val="clear" w:color="auto" w:fill="D2D2D2"/>
          </w:tcPr>
          <w:p>
            <w:pPr/>
          </w:p>
        </w:tc>
        <w:tc>
          <w:tcPr>
            <w:tcW w:w="2006" w:type="dxa"/>
            <w:vMerge/>
            <w:tcBorders>
              <w:left w:val="single" w:sz="4" w:space="0" w:color="000000"/>
              <w:bottom w:val="single" w:sz="4" w:space="0" w:color="000000"/>
              <w:right w:val="single" w:sz="4" w:space="0" w:color="000000"/>
            </w:tcBorders>
            <w:shd w:val="clear" w:color="auto" w:fill="D2D2D2"/>
          </w:tcPr>
          <w:p>
            <w:pPr/>
          </w:p>
        </w:tc>
        <w:tc>
          <w:tcPr>
            <w:tcW w:w="651"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nil" w:sz="6" w:space="0" w:color="auto"/>
              <w:left w:val="single" w:sz="4" w:space="0" w:color="000000"/>
              <w:bottom w:val="single" w:sz="4" w:space="0" w:color="000000"/>
              <w:right w:val="single" w:sz="4" w:space="0" w:color="000000"/>
            </w:tcBorders>
            <w:shd w:val="clear" w:color="auto" w:fill="D2D2D2"/>
          </w:tcPr>
          <w:p>
            <w:pPr/>
          </w:p>
        </w:tc>
        <w:tc>
          <w:tcPr>
            <w:tcW w:w="2138" w:type="dxa"/>
            <w:vMerge/>
            <w:tcBorders>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5"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310"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9" w:right="0"/>
              <w:jc w:val="left"/>
              <w:rPr>
                <w:rFonts w:ascii="Times New Roman" w:hAnsi="Times New Roman" w:cs="Times New Roman" w:eastAsia="Times New Roman" w:hint="default"/>
                <w:sz w:val="18"/>
                <w:szCs w:val="18"/>
              </w:rPr>
            </w:pPr>
            <w:r>
              <w:rPr>
                <w:rFonts w:ascii="Times New Roman"/>
                <w:sz w:val="18"/>
              </w:rPr>
              <w:t>--</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7"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9" w:right="0"/>
              <w:jc w:val="left"/>
              <w:rPr>
                <w:rFonts w:ascii="Times New Roman" w:hAnsi="Times New Roman" w:cs="Times New Roman" w:eastAsia="Times New Roman" w:hint="default"/>
                <w:sz w:val="18"/>
                <w:szCs w:val="18"/>
              </w:rPr>
            </w:pPr>
            <w:r>
              <w:rPr>
                <w:rFonts w:ascii="Times New Roman"/>
                <w:sz w:val="18"/>
              </w:rPr>
              <w:t>--</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1" w:right="0"/>
              <w:jc w:val="left"/>
              <w:rPr>
                <w:rFonts w:ascii="Times New Roman" w:hAnsi="Times New Roman" w:cs="Times New Roman" w:eastAsia="Times New Roman" w:hint="default"/>
                <w:sz w:val="18"/>
                <w:szCs w:val="18"/>
              </w:rPr>
            </w:pPr>
            <w:r>
              <w:rPr>
                <w:rFonts w:ascii="Times New Roman"/>
                <w:sz w:val="18"/>
              </w:rPr>
              <w:t>--</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8" w:right="0"/>
              <w:jc w:val="left"/>
              <w:rPr>
                <w:rFonts w:ascii="Times New Roman" w:hAnsi="Times New Roman" w:cs="Times New Roman" w:eastAsia="Times New Roman" w:hint="default"/>
                <w:sz w:val="18"/>
                <w:szCs w:val="18"/>
              </w:rPr>
            </w:pPr>
            <w:r>
              <w:rPr>
                <w:rFonts w:ascii="Times New Roman"/>
                <w:sz w:val="18"/>
              </w:rPr>
              <w:t>--</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9" w:right="0"/>
              <w:jc w:val="left"/>
              <w:rPr>
                <w:rFonts w:ascii="Times New Roman" w:hAnsi="Times New Roman" w:cs="Times New Roman" w:eastAsia="Times New Roman" w:hint="default"/>
                <w:sz w:val="18"/>
                <w:szCs w:val="18"/>
              </w:rPr>
            </w:pPr>
            <w:r>
              <w:rPr>
                <w:rFonts w:ascii="Times New Roman"/>
                <w:sz w:val="18"/>
              </w:rPr>
              <w:t>--</w:t>
            </w:r>
          </w:p>
        </w:tc>
      </w:tr>
      <w:tr>
        <w:trPr>
          <w:trHeight w:val="56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9"/>
              <w:ind w:left="12" w:right="16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 计</w:t>
            </w:r>
          </w:p>
        </w:tc>
        <w:tc>
          <w:tcPr>
            <w:tcW w:w="2006" w:type="dxa"/>
            <w:tcBorders>
              <w:top w:val="single" w:sz="9" w:space="0" w:color="D2D2D2"/>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186,496,012.87</w:t>
            </w:r>
          </w:p>
        </w:tc>
        <w:tc>
          <w:tcPr>
            <w:tcW w:w="651"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72.14%</w:t>
            </w:r>
          </w:p>
        </w:tc>
        <w:tc>
          <w:tcPr>
            <w:tcW w:w="1462"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9,324,800.64</w:t>
            </w:r>
          </w:p>
        </w:tc>
        <w:tc>
          <w:tcPr>
            <w:tcW w:w="2138"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140,176,545.85</w:t>
            </w:r>
          </w:p>
        </w:tc>
        <w:tc>
          <w:tcPr>
            <w:tcW w:w="654"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65.89%</w:t>
            </w:r>
          </w:p>
        </w:tc>
        <w:tc>
          <w:tcPr>
            <w:tcW w:w="1599"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7,008,827.28</w:t>
            </w:r>
          </w:p>
        </w:tc>
      </w:tr>
      <w:tr>
        <w:trPr>
          <w:trHeight w:val="324"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8"/>
              <w:jc w:val="right"/>
              <w:rPr>
                <w:rFonts w:ascii="Times New Roman" w:hAnsi="Times New Roman" w:cs="Times New Roman" w:eastAsia="Times New Roman" w:hint="default"/>
                <w:sz w:val="18"/>
                <w:szCs w:val="18"/>
              </w:rPr>
            </w:pPr>
            <w:r>
              <w:rPr>
                <w:rFonts w:ascii="Times New Roman"/>
                <w:spacing w:val="-1"/>
                <w:sz w:val="18"/>
              </w:rPr>
              <w:t>26,229,569.42</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0" w:right="0"/>
              <w:jc w:val="left"/>
              <w:rPr>
                <w:rFonts w:ascii="Times New Roman" w:hAnsi="Times New Roman" w:cs="Times New Roman" w:eastAsia="Times New Roman" w:hint="default"/>
                <w:sz w:val="18"/>
                <w:szCs w:val="18"/>
              </w:rPr>
            </w:pPr>
            <w:r>
              <w:rPr>
                <w:rFonts w:ascii="Times New Roman"/>
                <w:sz w:val="18"/>
              </w:rPr>
              <w:t>10.15%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2,622,956.94</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pacing w:val="-1"/>
                <w:sz w:val="18"/>
              </w:rPr>
              <w:t>57,478,268.87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z w:val="18"/>
              </w:rPr>
              <w:t>27.02%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5,747,826.89</w:t>
            </w:r>
          </w:p>
        </w:tc>
      </w:tr>
      <w:tr>
        <w:trPr>
          <w:trHeight w:val="324"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8"/>
              <w:jc w:val="right"/>
              <w:rPr>
                <w:rFonts w:ascii="Times New Roman" w:hAnsi="Times New Roman" w:cs="Times New Roman" w:eastAsia="Times New Roman" w:hint="default"/>
                <w:sz w:val="18"/>
                <w:szCs w:val="18"/>
              </w:rPr>
            </w:pPr>
            <w:r>
              <w:rPr>
                <w:rFonts w:ascii="Times New Roman"/>
                <w:spacing w:val="-1"/>
                <w:sz w:val="18"/>
              </w:rPr>
              <w:t>36,636,136.70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0" w:right="0"/>
              <w:jc w:val="left"/>
              <w:rPr>
                <w:rFonts w:ascii="Times New Roman" w:hAnsi="Times New Roman" w:cs="Times New Roman" w:eastAsia="Times New Roman" w:hint="default"/>
                <w:sz w:val="18"/>
                <w:szCs w:val="18"/>
              </w:rPr>
            </w:pPr>
            <w:r>
              <w:rPr>
                <w:rFonts w:ascii="Times New Roman"/>
                <w:sz w:val="18"/>
              </w:rPr>
              <w:t>14.17%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10,990,841.01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pacing w:val="-1"/>
                <w:sz w:val="18"/>
              </w:rPr>
              <w:t>9,894,209.55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4.65%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2,968,262.87</w:t>
            </w:r>
          </w:p>
        </w:tc>
      </w:tr>
      <w:tr>
        <w:trPr>
          <w:trHeight w:val="324"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8"/>
              <w:jc w:val="right"/>
              <w:rPr>
                <w:rFonts w:ascii="Times New Roman" w:hAnsi="Times New Roman" w:cs="Times New Roman" w:eastAsia="Times New Roman" w:hint="default"/>
                <w:sz w:val="18"/>
                <w:szCs w:val="18"/>
              </w:rPr>
            </w:pPr>
            <w:r>
              <w:rPr>
                <w:rFonts w:ascii="Times New Roman"/>
                <w:spacing w:val="-1"/>
                <w:sz w:val="18"/>
              </w:rPr>
              <w:t>4,936,391.32</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z w:val="18"/>
              </w:rPr>
              <w:t>1.91%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2,468,195.66</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pacing w:val="-1"/>
                <w:sz w:val="18"/>
              </w:rPr>
              <w:t>4,531,886.65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2.13%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2,265,943.33</w:t>
            </w:r>
          </w:p>
        </w:tc>
      </w:tr>
      <w:tr>
        <w:trPr>
          <w:trHeight w:val="322"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28"/>
              <w:jc w:val="right"/>
              <w:rPr>
                <w:rFonts w:ascii="Times New Roman" w:hAnsi="Times New Roman" w:cs="Times New Roman" w:eastAsia="Times New Roman" w:hint="default"/>
                <w:sz w:val="18"/>
                <w:szCs w:val="18"/>
              </w:rPr>
            </w:pPr>
            <w:r>
              <w:rPr>
                <w:rFonts w:ascii="Times New Roman"/>
                <w:spacing w:val="-1"/>
                <w:sz w:val="18"/>
              </w:rPr>
              <w:t>3,660,174.42</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3"/>
              <w:jc w:val="right"/>
              <w:rPr>
                <w:rFonts w:ascii="Times New Roman" w:hAnsi="Times New Roman" w:cs="Times New Roman" w:eastAsia="Times New Roman" w:hint="default"/>
                <w:sz w:val="18"/>
                <w:szCs w:val="18"/>
              </w:rPr>
            </w:pPr>
            <w:r>
              <w:rPr>
                <w:rFonts w:ascii="Times New Roman"/>
                <w:sz w:val="18"/>
              </w:rPr>
              <w:t>1.42%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4"/>
              <w:jc w:val="right"/>
              <w:rPr>
                <w:rFonts w:ascii="Times New Roman" w:hAnsi="Times New Roman" w:cs="Times New Roman" w:eastAsia="Times New Roman" w:hint="default"/>
                <w:sz w:val="18"/>
                <w:szCs w:val="18"/>
              </w:rPr>
            </w:pPr>
            <w:r>
              <w:rPr>
                <w:rFonts w:ascii="Times New Roman"/>
                <w:spacing w:val="-1"/>
                <w:sz w:val="18"/>
              </w:rPr>
              <w:t>2,928,139.54</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154,653.26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0.07%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123,722.61</w:t>
            </w:r>
          </w:p>
        </w:tc>
      </w:tr>
      <w:tr>
        <w:trPr>
          <w:trHeight w:val="324"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8"/>
              <w:jc w:val="right"/>
              <w:rPr>
                <w:rFonts w:ascii="Times New Roman" w:hAnsi="Times New Roman" w:cs="Times New Roman" w:eastAsia="Times New Roman" w:hint="default"/>
                <w:sz w:val="18"/>
                <w:szCs w:val="18"/>
              </w:rPr>
            </w:pPr>
            <w:r>
              <w:rPr>
                <w:rFonts w:ascii="Times New Roman"/>
                <w:spacing w:val="-1"/>
                <w:sz w:val="18"/>
              </w:rPr>
              <w:t>550,106.08</w:t>
            </w:r>
          </w:p>
        </w:tc>
        <w:tc>
          <w:tcPr>
            <w:tcW w:w="651"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z w:val="18"/>
              </w:rPr>
              <w:t>0.21%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550,106.08</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493,786.59</w:t>
            </w:r>
          </w:p>
        </w:tc>
        <w:tc>
          <w:tcPr>
            <w:tcW w:w="654"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0.24%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493,786.59</w:t>
            </w:r>
          </w:p>
        </w:tc>
      </w:tr>
      <w:tr>
        <w:trPr>
          <w:trHeight w:val="325"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6"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258,508,390.81</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28,885,039.87</w:t>
            </w:r>
          </w:p>
        </w:tc>
        <w:tc>
          <w:tcPr>
            <w:tcW w:w="213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8"/>
              <w:ind w:right="11"/>
              <w:jc w:val="right"/>
              <w:rPr>
                <w:rFonts w:ascii="Times New Roman" w:hAnsi="Times New Roman" w:cs="Times New Roman" w:eastAsia="Times New Roman" w:hint="default"/>
                <w:sz w:val="18"/>
                <w:szCs w:val="18"/>
              </w:rPr>
            </w:pPr>
            <w:r>
              <w:rPr>
                <w:rFonts w:ascii="Times New Roman"/>
                <w:spacing w:val="-1"/>
                <w:sz w:val="18"/>
              </w:rPr>
              <w:t>212,729,350.77</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w:t>
            </w:r>
          </w:p>
        </w:tc>
        <w:tc>
          <w:tcPr>
            <w:tcW w:w="15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18,608,369.57</w:t>
            </w:r>
          </w:p>
        </w:tc>
      </w:tr>
    </w:tbl>
    <w:p>
      <w:pPr>
        <w:pStyle w:val="BodyText"/>
        <w:spacing w:line="240" w:lineRule="auto" w:before="87"/>
        <w:ind w:right="0"/>
        <w:jc w:val="left"/>
      </w:pPr>
      <w:r>
        <w:rPr/>
        <w:t>组合中，采用余额百分比法计提坏账准备的应收账款</w:t>
      </w:r>
    </w:p>
    <w:p>
      <w:pPr>
        <w:pStyle w:val="BodyText"/>
        <w:spacing w:line="338" w:lineRule="auto" w:before="115"/>
        <w:ind w:right="5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38" w:lineRule="auto" w:before="41"/>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62"/>
        <w:ind w:right="0"/>
        <w:jc w:val="left"/>
        <w:rPr>
          <w:b w:val="0"/>
          <w:bCs w:val="0"/>
        </w:rPr>
      </w:pPr>
      <w:r>
        <w:rPr/>
        <w:t>（</w:t>
      </w:r>
      <w:r>
        <w:rPr>
          <w:rFonts w:ascii="Times New Roman" w:hAnsi="Times New Roman" w:cs="Times New Roman" w:eastAsia="Times New Roman" w:hint="default"/>
        </w:rPr>
        <w:t>2</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）应收账款中金额前五名单位情况</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pict>
          <v:shape style="position:absolute;margin-left:433.869995pt;margin-top:82.737358pt;width:101.2pt;height:24.1pt;mso-position-horizontal-relative:page;mso-position-vertical-relative:paragraph;z-index:-945544" type="#_x0000_t202" filled="false" stroked="false">
            <v:textbox inset="0,0,0,0">
              <w:txbxContent>
                <w:p>
                  <w:pPr>
                    <w:pStyle w:val="BodyText"/>
                    <w:spacing w:line="180" w:lineRule="exact"/>
                    <w:ind w:left="0" w:right="0"/>
                    <w:jc w:val="left"/>
                  </w:pPr>
                  <w:r>
                    <w:rPr/>
                    <w:t>；</w:t>
                  </w:r>
                </w:p>
              </w:txbxContent>
            </v:textbox>
            <w10:wrap type="none"/>
          </v:shape>
        </w:pict>
      </w:r>
      <w:r>
        <w:rPr/>
        <w:pict>
          <v:group style="position:absolute;margin-left:439.869995pt;margin-top:82.791733pt;width:95.2pt;height:24pt;mso-position-horizontal-relative:page;mso-position-vertical-relative:paragraph;z-index:-945472" coordorigin="8797,1656" coordsize="1904,480">
            <v:shape style="position:absolute;left:8797;top:1656;width:1904;height:480" coordorigin="8797,1656" coordsize="1904,480" path="m8797,2136l10701,2136,10701,1656,8797,1656,8797,2136xe" filled="true" fillcolor="#ffffff" stroked="false">
              <v:path arrowok="t"/>
              <v:fill type="solid"/>
            </v:shape>
            <w10:wrap type="none"/>
          </v:group>
        </w:pict>
      </w: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835"/>
        <w:gridCol w:w="1560"/>
        <w:gridCol w:w="1349"/>
        <w:gridCol w:w="1913"/>
        <w:gridCol w:w="1916"/>
      </w:tblGrid>
      <w:tr>
        <w:trPr>
          <w:trHeight w:val="530"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22"/>
              <w:ind w:right="0"/>
              <w:jc w:val="center"/>
              <w:rPr>
                <w:rFonts w:ascii="Times New Roman" w:hAnsi="Times New Roman" w:cs="Times New Roman" w:eastAsia="Times New Roman" w:hint="default"/>
                <w:sz w:val="18"/>
                <w:szCs w:val="18"/>
              </w:rPr>
            </w:pPr>
            <w:r>
              <w:rPr>
                <w:rFonts w:ascii="Times New Roman"/>
                <w:sz w:val="18"/>
              </w:rPr>
              <w:t>(%)</w:t>
            </w:r>
          </w:p>
        </w:tc>
      </w:tr>
      <w:tr>
        <w:trPr>
          <w:trHeight w:val="125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中国移动通信集团湖南有限公司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主要客户</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18,610,804.21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9,192,777.00</w:t>
            </w:r>
          </w:p>
          <w:p>
            <w:pPr>
              <w:pStyle w:val="TableParagraph"/>
              <w:spacing w:line="234"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1,945,687.60</w:t>
            </w:r>
          </w:p>
          <w:p>
            <w:pPr>
              <w:pStyle w:val="TableParagraph"/>
              <w:spacing w:line="223" w:lineRule="auto" w:before="6"/>
              <w:ind w:left="23" w:right="62"/>
              <w:jc w:val="both"/>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6,744,217.60 </w:t>
            </w:r>
            <w:r>
              <w:rPr>
                <w:rFonts w:ascii="宋体" w:hAnsi="宋体" w:cs="宋体" w:eastAsia="宋体" w:hint="default"/>
                <w:spacing w:val="-19"/>
                <w:sz w:val="18"/>
                <w:szCs w:val="18"/>
              </w:rPr>
              <w:t>元；</w:t>
            </w:r>
            <w:r>
              <w:rPr>
                <w:rFonts w:ascii="Times New Roman" w:hAnsi="Times New Roman" w:cs="Times New Roman" w:eastAsia="Times New Roman" w:hint="default"/>
                <w:spacing w:val="-19"/>
                <w:sz w:val="18"/>
                <w:szCs w:val="18"/>
              </w:rPr>
              <w:t>3-4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1"/>
                <w:sz w:val="18"/>
                <w:szCs w:val="18"/>
              </w:rPr>
              <w:t>442,548.01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285,574.00 </w:t>
            </w:r>
            <w:r>
              <w:rPr>
                <w:rFonts w:ascii="宋体" w:hAnsi="宋体" w:cs="宋体" w:eastAsia="宋体" w:hint="default"/>
                <w:sz w:val="18"/>
                <w:szCs w:val="18"/>
              </w:rPr>
              <w:t>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7.2%</w:t>
            </w:r>
          </w:p>
        </w:tc>
      </w:tr>
      <w:tr>
        <w:trPr>
          <w:trHeight w:val="32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北京实利通和科技发展有限公司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主要客户</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14,426,570.00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5.58%</w:t>
            </w:r>
          </w:p>
        </w:tc>
      </w:tr>
      <w:tr>
        <w:trPr>
          <w:trHeight w:val="102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中国移动通信集团重庆有限公司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主要客户</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14,119,850.71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7,924,701.41</w:t>
            </w:r>
          </w:p>
          <w:p>
            <w:pPr>
              <w:pStyle w:val="TableParagraph"/>
              <w:spacing w:line="236"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1,175,242.60</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5,019,906.70</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5.46%</w:t>
            </w:r>
          </w:p>
        </w:tc>
      </w:tr>
      <w:tr>
        <w:trPr>
          <w:trHeight w:val="102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中国移动通信集团辽宁有限公司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主要客户</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2"/>
              <w:jc w:val="right"/>
              <w:rPr>
                <w:rFonts w:ascii="Times New Roman" w:hAnsi="Times New Roman" w:cs="Times New Roman" w:eastAsia="Times New Roman" w:hint="default"/>
                <w:sz w:val="18"/>
                <w:szCs w:val="18"/>
              </w:rPr>
            </w:pPr>
            <w:r>
              <w:rPr>
                <w:rFonts w:ascii="Times New Roman"/>
                <w:spacing w:val="-1"/>
                <w:sz w:val="18"/>
              </w:rPr>
              <w:t>11,598,565.00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9,649,837.20</w:t>
            </w:r>
          </w:p>
          <w:p>
            <w:pPr>
              <w:pStyle w:val="TableParagraph"/>
              <w:spacing w:line="234"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1,082,633.40</w:t>
            </w:r>
          </w:p>
          <w:p>
            <w:pPr>
              <w:pStyle w:val="TableParagraph"/>
              <w:spacing w:line="232"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宋体" w:hAnsi="宋体" w:cs="宋体" w:eastAsia="宋体" w:hint="default"/>
                <w:spacing w:val="-9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p>
          <w:p>
            <w:pPr>
              <w:pStyle w:val="TableParagraph"/>
              <w:spacing w:line="24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84,000.40 </w:t>
            </w:r>
            <w:r>
              <w:rPr>
                <w:rFonts w:ascii="宋体" w:hAnsi="宋体" w:cs="宋体" w:eastAsia="宋体" w:hint="default"/>
                <w:sz w:val="18"/>
                <w:szCs w:val="18"/>
              </w:rPr>
              <w:t>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z w:val="18"/>
              </w:rPr>
              <w:t>4.49%</w:t>
            </w:r>
          </w:p>
        </w:tc>
      </w:tr>
      <w:tr>
        <w:trPr>
          <w:trHeight w:val="102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中国移动通信集团河南有限公司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主要客户</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9,783,148.79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5,113,974.70</w:t>
            </w:r>
          </w:p>
          <w:p>
            <w:pPr>
              <w:pStyle w:val="TableParagraph"/>
              <w:spacing w:line="235"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1,578,000.00</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2,410,993.89</w:t>
            </w:r>
          </w:p>
          <w:p>
            <w:pPr>
              <w:pStyle w:val="TableParagraph"/>
              <w:spacing w:line="240" w:lineRule="exact"/>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9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3.78%</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40" w:bottom="1160" w:left="980" w:right="980"/>
        </w:sectPr>
      </w:pPr>
    </w:p>
    <w:p>
      <w:pPr>
        <w:spacing w:line="240" w:lineRule="auto" w:before="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4"/>
        <w:gridCol w:w="1560"/>
        <w:gridCol w:w="1349"/>
        <w:gridCol w:w="1902"/>
        <w:gridCol w:w="1929"/>
      </w:tblGrid>
      <w:tr>
        <w:trPr>
          <w:trHeight w:val="324"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80" w:right="0"/>
              <w:jc w:val="left"/>
              <w:rPr>
                <w:rFonts w:ascii="Times New Roman" w:hAnsi="Times New Roman" w:cs="Times New Roman" w:eastAsia="Times New Roman" w:hint="default"/>
                <w:sz w:val="18"/>
                <w:szCs w:val="18"/>
              </w:rPr>
            </w:pPr>
            <w:r>
              <w:rPr>
                <w:rFonts w:ascii="Times New Roman"/>
                <w:sz w:val="18"/>
              </w:rPr>
              <w:t>68,538,938.71</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3" w:right="0"/>
              <w:jc w:val="center"/>
              <w:rPr>
                <w:rFonts w:ascii="Times New Roman" w:hAnsi="Times New Roman" w:cs="Times New Roman" w:eastAsia="Times New Roman" w:hint="default"/>
                <w:sz w:val="18"/>
                <w:szCs w:val="18"/>
              </w:rPr>
            </w:pPr>
            <w:r>
              <w:rPr>
                <w:rFonts w:ascii="Times New Roman"/>
                <w:sz w:val="18"/>
              </w:rPr>
              <w:t>--</w:t>
            </w:r>
          </w:p>
        </w:tc>
        <w:tc>
          <w:tcPr>
            <w:tcW w:w="19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26.51%</w:t>
            </w:r>
          </w:p>
        </w:tc>
      </w:tr>
    </w:tbl>
    <w:p>
      <w:pPr>
        <w:spacing w:line="240" w:lineRule="auto" w:before="8"/>
        <w:rPr>
          <w:rFonts w:ascii="宋体" w:hAnsi="宋体" w:cs="宋体" w:eastAsia="宋体" w:hint="default"/>
          <w:sz w:val="17"/>
          <w:szCs w:val="17"/>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170"/>
        <w:gridCol w:w="1455"/>
        <w:gridCol w:w="528"/>
        <w:gridCol w:w="1320"/>
        <w:gridCol w:w="528"/>
        <w:gridCol w:w="1322"/>
        <w:gridCol w:w="529"/>
        <w:gridCol w:w="1190"/>
        <w:gridCol w:w="526"/>
      </w:tblGrid>
      <w:tr>
        <w:trPr>
          <w:trHeight w:val="324" w:hRule="exact"/>
        </w:trPr>
        <w:tc>
          <w:tcPr>
            <w:tcW w:w="21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2" w:hRule="exact"/>
        </w:trPr>
        <w:tc>
          <w:tcPr>
            <w:tcW w:w="2170" w:type="dxa"/>
            <w:vMerge/>
            <w:tcBorders>
              <w:left w:val="single" w:sz="4" w:space="0" w:color="000000"/>
              <w:right w:val="single" w:sz="4" w:space="0" w:color="000000"/>
            </w:tcBorders>
            <w:shd w:val="clear" w:color="auto" w:fill="D2D2D2"/>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30" w:hRule="exact"/>
        </w:trPr>
        <w:tc>
          <w:tcPr>
            <w:tcW w:w="2170"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left="1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3"/>
              <w:ind w:left="47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left="127"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3"/>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left="1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505"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5,082,175.13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1" w:right="0"/>
              <w:jc w:val="left"/>
              <w:rPr>
                <w:rFonts w:ascii="Times New Roman" w:hAnsi="Times New Roman" w:cs="Times New Roman" w:eastAsia="Times New Roman" w:hint="default"/>
                <w:sz w:val="18"/>
                <w:szCs w:val="18"/>
              </w:rPr>
            </w:pPr>
            <w:r>
              <w:rPr>
                <w:rFonts w:ascii="Times New Roman"/>
                <w:sz w:val="18"/>
              </w:rPr>
              <w:t>3.47%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77" w:right="0"/>
              <w:jc w:val="left"/>
              <w:rPr>
                <w:rFonts w:ascii="Times New Roman" w:hAnsi="Times New Roman" w:cs="Times New Roman" w:eastAsia="Times New Roman" w:hint="default"/>
                <w:sz w:val="18"/>
                <w:szCs w:val="18"/>
              </w:rPr>
            </w:pPr>
            <w:r>
              <w:rPr>
                <w:rFonts w:ascii="Times New Roman"/>
                <w:sz w:val="18"/>
              </w:rPr>
              <w:t>685,177.61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6"/>
              <w:jc w:val="right"/>
              <w:rPr>
                <w:rFonts w:ascii="Times New Roman" w:hAnsi="Times New Roman" w:cs="Times New Roman" w:eastAsia="Times New Roman" w:hint="default"/>
                <w:sz w:val="18"/>
                <w:szCs w:val="18"/>
              </w:rPr>
            </w:pPr>
            <w:r>
              <w:rPr>
                <w:rFonts w:ascii="Times New Roman"/>
                <w:sz w:val="18"/>
              </w:rPr>
              <w:t>13.48</w:t>
            </w: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pacing w:val="-1"/>
                <w:sz w:val="18"/>
              </w:rPr>
              <w:t>18,740,400.29</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2"/>
                <w:sz w:val="18"/>
              </w:rPr>
              <w:t>11.72</w:t>
            </w: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1,221,697.09</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8" w:right="0"/>
              <w:jc w:val="left"/>
              <w:rPr>
                <w:rFonts w:ascii="Times New Roman" w:hAnsi="Times New Roman" w:cs="Times New Roman" w:eastAsia="Times New Roman" w:hint="default"/>
                <w:sz w:val="18"/>
                <w:szCs w:val="18"/>
              </w:rPr>
            </w:pPr>
            <w:r>
              <w:rPr>
                <w:rFonts w:ascii="Times New Roman"/>
                <w:sz w:val="18"/>
              </w:rPr>
              <w:t>6.52%</w:t>
            </w:r>
          </w:p>
        </w:tc>
      </w:tr>
      <w:tr>
        <w:trPr>
          <w:trHeight w:val="50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141,169,145.62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z w:val="18"/>
              </w:rPr>
              <w:t>96.53</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pacing w:val="-1"/>
                <w:sz w:val="18"/>
              </w:rPr>
              <w:t>141,169,145.62</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9"/>
              <w:jc w:val="right"/>
              <w:rPr>
                <w:rFonts w:ascii="Times New Roman" w:hAnsi="Times New Roman" w:cs="Times New Roman" w:eastAsia="Times New Roman" w:hint="default"/>
                <w:sz w:val="18"/>
                <w:szCs w:val="18"/>
              </w:rPr>
            </w:pPr>
            <w:r>
              <w:rPr>
                <w:rFonts w:ascii="Times New Roman"/>
                <w:sz w:val="18"/>
              </w:rPr>
              <w:t>88.28</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146,251,320.75</w:t>
            </w:r>
          </w:p>
        </w:tc>
        <w:tc>
          <w:tcPr>
            <w:tcW w:w="528"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8"/>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77" w:right="0"/>
              <w:jc w:val="left"/>
              <w:rPr>
                <w:rFonts w:ascii="Times New Roman" w:hAnsi="Times New Roman" w:cs="Times New Roman" w:eastAsia="Times New Roman" w:hint="default"/>
                <w:sz w:val="18"/>
                <w:szCs w:val="18"/>
              </w:rPr>
            </w:pPr>
            <w:r>
              <w:rPr>
                <w:rFonts w:ascii="Times New Roman"/>
                <w:sz w:val="18"/>
              </w:rPr>
              <w:t>685,177.61</w:t>
            </w:r>
          </w:p>
        </w:tc>
        <w:tc>
          <w:tcPr>
            <w:tcW w:w="528" w:type="dxa"/>
            <w:tcBorders>
              <w:top w:val="single" w:sz="4" w:space="0" w:color="000000"/>
              <w:left w:val="single" w:sz="4" w:space="0" w:color="000000"/>
              <w:bottom w:val="single" w:sz="9" w:space="0" w:color="D2D2D2"/>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159,909,545.91</w:t>
            </w:r>
          </w:p>
        </w:tc>
        <w:tc>
          <w:tcPr>
            <w:tcW w:w="529"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8"/>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1,221,697.09</w:t>
            </w:r>
          </w:p>
        </w:tc>
        <w:tc>
          <w:tcPr>
            <w:tcW w:w="526" w:type="dxa"/>
            <w:tcBorders>
              <w:top w:val="single" w:sz="4" w:space="0" w:color="000000"/>
              <w:left w:val="single" w:sz="4" w:space="0" w:color="000000"/>
              <w:bottom w:val="single" w:sz="9" w:space="0" w:color="D2D2D2"/>
              <w:right w:val="single" w:sz="4" w:space="0" w:color="000000"/>
            </w:tcBorders>
          </w:tcPr>
          <w:p>
            <w:pPr/>
          </w:p>
        </w:tc>
      </w:tr>
      <w:tr>
        <w:trPr>
          <w:trHeight w:val="324"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146,251,320.75</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77" w:right="0"/>
              <w:jc w:val="left"/>
              <w:rPr>
                <w:rFonts w:ascii="Times New Roman" w:hAnsi="Times New Roman" w:cs="Times New Roman" w:eastAsia="Times New Roman" w:hint="default"/>
                <w:sz w:val="18"/>
                <w:szCs w:val="18"/>
              </w:rPr>
            </w:pPr>
            <w:r>
              <w:rPr>
                <w:rFonts w:ascii="Times New Roman"/>
                <w:sz w:val="18"/>
              </w:rPr>
              <w:t>685,177.61</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26"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pacing w:val="-1"/>
                <w:sz w:val="18"/>
              </w:rPr>
              <w:t>159,909,545.91</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23"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1,221,697.09</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23"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87"/>
        <w:ind w:right="5634"/>
        <w:jc w:val="left"/>
      </w:pPr>
      <w:r>
        <w:rPr/>
        <w:t>其他应收款种类的说明 期末单项金额重大并单项计提坏账准备的其他应收款</w:t>
      </w:r>
    </w:p>
    <w:p>
      <w:pPr>
        <w:pStyle w:val="BodyText"/>
        <w:spacing w:line="336" w:lineRule="auto" w:before="26"/>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42"/>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250"/>
        <w:gridCol w:w="1805"/>
        <w:gridCol w:w="657"/>
        <w:gridCol w:w="1600"/>
        <w:gridCol w:w="1862"/>
        <w:gridCol w:w="654"/>
        <w:gridCol w:w="1731"/>
      </w:tblGrid>
      <w:tr>
        <w:trPr>
          <w:trHeight w:val="324" w:hRule="exact"/>
        </w:trPr>
        <w:tc>
          <w:tcPr>
            <w:tcW w:w="1250" w:type="dxa"/>
            <w:vMerge w:val="restart"/>
            <w:tcBorders>
              <w:top w:val="single" w:sz="4" w:space="0" w:color="000000"/>
              <w:left w:val="single" w:sz="4" w:space="0" w:color="000000"/>
              <w:right w:val="single" w:sz="4" w:space="0" w:color="000000"/>
            </w:tcBorders>
            <w:shd w:val="clear" w:color="auto" w:fill="D2D2D2"/>
          </w:tcPr>
          <w:p>
            <w:pPr/>
          </w:p>
        </w:tc>
        <w:tc>
          <w:tcPr>
            <w:tcW w:w="40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08" w:hRule="exact"/>
        </w:trPr>
        <w:tc>
          <w:tcPr>
            <w:tcW w:w="1250" w:type="dxa"/>
            <w:vMerge/>
            <w:tcBorders>
              <w:left w:val="single" w:sz="4" w:space="0" w:color="000000"/>
              <w:bottom w:val="nil" w:sz="6" w:space="0" w:color="auto"/>
              <w:right w:val="single" w:sz="4" w:space="0" w:color="000000"/>
            </w:tcBorders>
            <w:shd w:val="clear" w:color="auto" w:fill="D2D2D2"/>
          </w:tcPr>
          <w:p>
            <w:pPr/>
          </w:p>
        </w:tc>
        <w:tc>
          <w:tcPr>
            <w:tcW w:w="24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00" w:type="dxa"/>
            <w:vMerge w:val="restart"/>
            <w:tcBorders>
              <w:top w:val="single" w:sz="4" w:space="0" w:color="000000"/>
              <w:left w:val="single" w:sz="4" w:space="0" w:color="000000"/>
              <w:right w:val="single" w:sz="4" w:space="0" w:color="000000"/>
            </w:tcBorders>
            <w:shd w:val="clear" w:color="auto" w:fill="D2D2D2"/>
          </w:tcPr>
          <w:p>
            <w:pPr/>
          </w:p>
        </w:tc>
        <w:tc>
          <w:tcPr>
            <w:tcW w:w="25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2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2462" w:type="dxa"/>
            <w:gridSpan w:val="2"/>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nil" w:sz="6" w:space="0" w:color="auto"/>
              <w:right w:val="single" w:sz="4" w:space="0" w:color="000000"/>
            </w:tcBorders>
            <w:shd w:val="clear" w:color="auto" w:fill="D2D2D2"/>
          </w:tcPr>
          <w:p>
            <w:pPr/>
          </w:p>
        </w:tc>
        <w:tc>
          <w:tcPr>
            <w:tcW w:w="2516" w:type="dxa"/>
            <w:gridSpan w:val="2"/>
            <w:vMerge/>
            <w:tcBorders>
              <w:left w:val="single" w:sz="4" w:space="0" w:color="000000"/>
              <w:bottom w:val="single" w:sz="4" w:space="0" w:color="000000"/>
              <w:right w:val="single" w:sz="4" w:space="0" w:color="000000"/>
            </w:tcBorders>
            <w:shd w:val="clear" w:color="auto" w:fill="D2D2D2"/>
          </w:tcPr>
          <w:p>
            <w:pPr/>
          </w:p>
        </w:tc>
        <w:tc>
          <w:tcPr>
            <w:tcW w:w="1731" w:type="dxa"/>
            <w:vMerge/>
            <w:tcBorders>
              <w:left w:val="single" w:sz="4" w:space="0" w:color="000000"/>
              <w:bottom w:val="nil" w:sz="6" w:space="0" w:color="auto"/>
              <w:right w:val="single" w:sz="4" w:space="0" w:color="000000"/>
            </w:tcBorders>
            <w:shd w:val="clear" w:color="auto" w:fill="D2D2D2"/>
          </w:tcPr>
          <w:p>
            <w:pPr/>
          </w:p>
        </w:tc>
      </w:tr>
      <w:tr>
        <w:trPr>
          <w:trHeight w:val="233" w:hRule="exact"/>
        </w:trPr>
        <w:tc>
          <w:tcPr>
            <w:tcW w:w="1250" w:type="dxa"/>
            <w:vMerge w:val="restart"/>
            <w:tcBorders>
              <w:top w:val="nil" w:sz="6" w:space="0" w:color="auto"/>
              <w:left w:val="single" w:sz="4" w:space="0" w:color="000000"/>
              <w:right w:val="single" w:sz="4" w:space="0" w:color="000000"/>
            </w:tcBorders>
            <w:shd w:val="clear" w:color="auto" w:fill="D2D2D2"/>
          </w:tcPr>
          <w:p>
            <w:pP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5"/>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7" w:type="dxa"/>
            <w:vMerge w:val="restart"/>
            <w:tcBorders>
              <w:top w:val="single" w:sz="4" w:space="0" w:color="000000"/>
              <w:left w:val="single" w:sz="4" w:space="0" w:color="000000"/>
              <w:right w:val="single" w:sz="4" w:space="0" w:color="000000"/>
            </w:tcBorders>
            <w:shd w:val="clear" w:color="auto" w:fill="D2D2D2"/>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0"/>
              <w:ind w:left="185" w:right="0"/>
              <w:jc w:val="left"/>
              <w:rPr>
                <w:rFonts w:ascii="Times New Roman" w:hAnsi="Times New Roman" w:cs="Times New Roman" w:eastAsia="Times New Roman" w:hint="default"/>
                <w:sz w:val="18"/>
                <w:szCs w:val="18"/>
              </w:rPr>
            </w:pPr>
            <w:r>
              <w:rPr>
                <w:rFonts w:ascii="Times New Roman"/>
                <w:sz w:val="18"/>
              </w:rPr>
              <w:t>(%)</w:t>
            </w:r>
          </w:p>
        </w:tc>
        <w:tc>
          <w:tcPr>
            <w:tcW w:w="16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62" w:lineRule="exact"/>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17" w:lineRule="exact"/>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0"/>
              <w:ind w:left="188" w:right="0"/>
              <w:jc w:val="left"/>
              <w:rPr>
                <w:rFonts w:ascii="Times New Roman" w:hAnsi="Times New Roman" w:cs="Times New Roman" w:eastAsia="Times New Roman" w:hint="default"/>
                <w:sz w:val="18"/>
                <w:szCs w:val="18"/>
              </w:rPr>
            </w:pPr>
            <w:r>
              <w:rPr>
                <w:rFonts w:ascii="Times New Roman"/>
                <w:sz w:val="18"/>
              </w:rPr>
              <w:t>(%)</w:t>
            </w:r>
          </w:p>
        </w:tc>
        <w:tc>
          <w:tcPr>
            <w:tcW w:w="17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62" w:lineRule="exact"/>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70" w:hRule="exact"/>
        </w:trPr>
        <w:tc>
          <w:tcPr>
            <w:tcW w:w="1250" w:type="dxa"/>
            <w:vMerge/>
            <w:tcBorders>
              <w:left w:val="single" w:sz="4" w:space="0" w:color="000000"/>
              <w:bottom w:val="single" w:sz="4" w:space="0" w:color="000000"/>
              <w:right w:val="single" w:sz="4" w:space="0" w:color="000000"/>
            </w:tcBorders>
            <w:shd w:val="clear" w:color="auto" w:fill="D2D2D2"/>
          </w:tcPr>
          <w:p>
            <w:pPr/>
          </w:p>
        </w:tc>
        <w:tc>
          <w:tcPr>
            <w:tcW w:w="1805" w:type="dxa"/>
            <w:vMerge/>
            <w:tcBorders>
              <w:left w:val="single" w:sz="4" w:space="0" w:color="000000"/>
              <w:bottom w:val="single" w:sz="4" w:space="0" w:color="000000"/>
              <w:right w:val="single" w:sz="4" w:space="0" w:color="000000"/>
            </w:tcBorders>
            <w:shd w:val="clear" w:color="auto" w:fill="D2D2D2"/>
          </w:tcPr>
          <w:p>
            <w:pPr/>
          </w:p>
        </w:tc>
        <w:tc>
          <w:tcPr>
            <w:tcW w:w="657" w:type="dxa"/>
            <w:vMerge/>
            <w:tcBorders>
              <w:left w:val="single" w:sz="4" w:space="0" w:color="000000"/>
              <w:bottom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62" w:type="dxa"/>
            <w:vMerge/>
            <w:tcBorders>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17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30"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310"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9" w:right="0"/>
              <w:jc w:val="left"/>
              <w:rPr>
                <w:rFonts w:ascii="Times New Roman" w:hAnsi="Times New Roman" w:cs="Times New Roman" w:eastAsia="Times New Roman" w:hint="default"/>
                <w:sz w:val="18"/>
                <w:szCs w:val="18"/>
              </w:rPr>
            </w:pPr>
            <w:r>
              <w:rPr>
                <w:rFonts w:ascii="Times New Roman"/>
                <w:sz w:val="18"/>
              </w:rPr>
              <w:t>--</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7" w:right="0"/>
              <w:jc w:val="left"/>
              <w:rPr>
                <w:rFonts w:ascii="Times New Roman" w:hAnsi="Times New Roman" w:cs="Times New Roman" w:eastAsia="Times New Roman" w:hint="default"/>
                <w:sz w:val="18"/>
                <w:szCs w:val="18"/>
              </w:rPr>
            </w:pPr>
            <w:r>
              <w:rPr>
                <w:rFonts w:ascii="Times New Roman"/>
                <w:sz w:val="18"/>
              </w:rPr>
              <w:t>--</w:t>
            </w:r>
          </w:p>
        </w:tc>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3" w:right="0"/>
              <w:jc w:val="lef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9" w:right="0"/>
              <w:jc w:val="left"/>
              <w:rPr>
                <w:rFonts w:ascii="Times New Roman" w:hAnsi="Times New Roman" w:cs="Times New Roman" w:eastAsia="Times New Roman" w:hint="default"/>
                <w:sz w:val="18"/>
                <w:szCs w:val="18"/>
              </w:rPr>
            </w:pPr>
            <w:r>
              <w:rPr>
                <w:rFonts w:ascii="Times New Roman"/>
                <w:sz w:val="18"/>
              </w:rPr>
              <w:t>--</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7" w:right="0"/>
              <w:jc w:val="left"/>
              <w:rPr>
                <w:rFonts w:ascii="Times New Roman" w:hAnsi="Times New Roman" w:cs="Times New Roman" w:eastAsia="Times New Roman" w:hint="default"/>
                <w:sz w:val="18"/>
                <w:szCs w:val="18"/>
              </w:rPr>
            </w:pPr>
            <w:r>
              <w:rPr>
                <w:rFonts w:ascii="Times New Roman"/>
                <w:sz w:val="18"/>
              </w:rPr>
              <w:t>--</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9" w:right="0"/>
              <w:jc w:val="left"/>
              <w:rPr>
                <w:rFonts w:ascii="Times New Roman" w:hAnsi="Times New Roman" w:cs="Times New Roman" w:eastAsia="Times New Roman" w:hint="default"/>
                <w:sz w:val="18"/>
                <w:szCs w:val="18"/>
              </w:rPr>
            </w:pPr>
            <w:r>
              <w:rPr>
                <w:rFonts w:ascii="Times New Roman"/>
                <w:sz w:val="18"/>
              </w:rPr>
              <w:t>--</w:t>
            </w:r>
          </w:p>
        </w:tc>
      </w:tr>
      <w:tr>
        <w:trPr>
          <w:trHeight w:val="33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05" w:type="dxa"/>
            <w:tcBorders>
              <w:top w:val="single" w:sz="6" w:space="0" w:color="D2D2D2"/>
              <w:left w:val="single" w:sz="13" w:space="0" w:color="D2D2D2"/>
              <w:bottom w:val="single" w:sz="4" w:space="0" w:color="000000"/>
              <w:right w:val="single" w:sz="4" w:space="0" w:color="000000"/>
            </w:tcBorders>
          </w:tcPr>
          <w:p>
            <w:pPr>
              <w:pStyle w:val="TableParagraph"/>
              <w:spacing w:line="240" w:lineRule="auto" w:before="52"/>
              <w:ind w:right="26"/>
              <w:jc w:val="right"/>
              <w:rPr>
                <w:rFonts w:ascii="Times New Roman" w:hAnsi="Times New Roman" w:cs="Times New Roman" w:eastAsia="Times New Roman" w:hint="default"/>
                <w:sz w:val="18"/>
                <w:szCs w:val="18"/>
              </w:rPr>
            </w:pPr>
            <w:r>
              <w:rPr>
                <w:rFonts w:ascii="Times New Roman"/>
                <w:spacing w:val="-1"/>
                <w:sz w:val="18"/>
              </w:rPr>
              <w:t>3,774,879.73</w:t>
            </w:r>
          </w:p>
        </w:tc>
        <w:tc>
          <w:tcPr>
            <w:tcW w:w="657"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52"/>
              <w:ind w:left="70" w:right="0"/>
              <w:jc w:val="left"/>
              <w:rPr>
                <w:rFonts w:ascii="Times New Roman" w:hAnsi="Times New Roman" w:cs="Times New Roman" w:eastAsia="Times New Roman" w:hint="default"/>
                <w:sz w:val="18"/>
                <w:szCs w:val="18"/>
              </w:rPr>
            </w:pPr>
            <w:r>
              <w:rPr>
                <w:rFonts w:ascii="Times New Roman"/>
                <w:sz w:val="18"/>
              </w:rPr>
              <w:t>74.28%</w:t>
            </w:r>
          </w:p>
        </w:tc>
        <w:tc>
          <w:tcPr>
            <w:tcW w:w="1600"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52"/>
              <w:ind w:right="26"/>
              <w:jc w:val="right"/>
              <w:rPr>
                <w:rFonts w:ascii="Times New Roman" w:hAnsi="Times New Roman" w:cs="Times New Roman" w:eastAsia="Times New Roman" w:hint="default"/>
                <w:sz w:val="18"/>
                <w:szCs w:val="18"/>
              </w:rPr>
            </w:pPr>
            <w:r>
              <w:rPr>
                <w:rFonts w:ascii="Times New Roman"/>
                <w:spacing w:val="-1"/>
                <w:sz w:val="18"/>
              </w:rPr>
              <w:t>188,744.03</w:t>
            </w:r>
          </w:p>
        </w:tc>
        <w:tc>
          <w:tcPr>
            <w:tcW w:w="1862"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52"/>
              <w:ind w:right="25"/>
              <w:jc w:val="right"/>
              <w:rPr>
                <w:rFonts w:ascii="Times New Roman" w:hAnsi="Times New Roman" w:cs="Times New Roman" w:eastAsia="Times New Roman" w:hint="default"/>
                <w:sz w:val="18"/>
                <w:szCs w:val="18"/>
              </w:rPr>
            </w:pPr>
            <w:r>
              <w:rPr>
                <w:rFonts w:ascii="Times New Roman"/>
                <w:spacing w:val="-1"/>
                <w:sz w:val="18"/>
              </w:rPr>
              <w:t>17,020,968.14</w:t>
            </w:r>
          </w:p>
        </w:tc>
        <w:tc>
          <w:tcPr>
            <w:tcW w:w="654"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52"/>
              <w:ind w:left="73" w:right="0"/>
              <w:jc w:val="left"/>
              <w:rPr>
                <w:rFonts w:ascii="Times New Roman" w:hAnsi="Times New Roman" w:cs="Times New Roman" w:eastAsia="Times New Roman" w:hint="default"/>
                <w:sz w:val="18"/>
                <w:szCs w:val="18"/>
              </w:rPr>
            </w:pPr>
            <w:r>
              <w:rPr>
                <w:rFonts w:ascii="Times New Roman"/>
                <w:sz w:val="18"/>
              </w:rPr>
              <w:t>90.82%</w:t>
            </w:r>
          </w:p>
        </w:tc>
        <w:tc>
          <w:tcPr>
            <w:tcW w:w="1731"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851,048.41</w:t>
            </w:r>
          </w:p>
        </w:tc>
      </w:tr>
      <w:tr>
        <w:trPr>
          <w:trHeight w:val="322"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5"/>
              <w:jc w:val="right"/>
              <w:rPr>
                <w:rFonts w:ascii="Times New Roman" w:hAnsi="Times New Roman" w:cs="Times New Roman" w:eastAsia="Times New Roman" w:hint="default"/>
                <w:sz w:val="18"/>
                <w:szCs w:val="18"/>
              </w:rPr>
            </w:pPr>
            <w:r>
              <w:rPr>
                <w:rFonts w:ascii="Times New Roman"/>
                <w:spacing w:val="-1"/>
                <w:sz w:val="18"/>
              </w:rPr>
              <w:t>391,587.83</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7.71%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6"/>
              <w:jc w:val="right"/>
              <w:rPr>
                <w:rFonts w:ascii="Times New Roman" w:hAnsi="Times New Roman" w:cs="Times New Roman" w:eastAsia="Times New Roman" w:hint="default"/>
                <w:sz w:val="18"/>
                <w:szCs w:val="18"/>
              </w:rPr>
            </w:pPr>
            <w:r>
              <w:rPr>
                <w:rFonts w:ascii="Times New Roman"/>
                <w:spacing w:val="-1"/>
                <w:sz w:val="18"/>
              </w:rPr>
              <w:t>39,158.78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5"/>
              <w:jc w:val="right"/>
              <w:rPr>
                <w:rFonts w:ascii="Times New Roman" w:hAnsi="Times New Roman" w:cs="Times New Roman" w:eastAsia="Times New Roman" w:hint="default"/>
                <w:sz w:val="18"/>
                <w:szCs w:val="18"/>
              </w:rPr>
            </w:pPr>
            <w:r>
              <w:rPr>
                <w:rFonts w:ascii="Times New Roman"/>
                <w:spacing w:val="-1"/>
                <w:sz w:val="18"/>
              </w:rPr>
              <w:t>948,879.75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4"/>
              <w:jc w:val="right"/>
              <w:rPr>
                <w:rFonts w:ascii="Times New Roman" w:hAnsi="Times New Roman" w:cs="Times New Roman" w:eastAsia="Times New Roman" w:hint="default"/>
                <w:sz w:val="18"/>
                <w:szCs w:val="18"/>
              </w:rPr>
            </w:pPr>
            <w:r>
              <w:rPr>
                <w:rFonts w:ascii="Times New Roman"/>
                <w:sz w:val="18"/>
              </w:rPr>
              <w:t>5.06%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94,888.01</w:t>
            </w:r>
          </w:p>
        </w:tc>
      </w:tr>
      <w:tr>
        <w:trPr>
          <w:trHeight w:val="324"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152,341.17</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6"/>
              <w:jc w:val="right"/>
              <w:rPr>
                <w:rFonts w:ascii="Times New Roman" w:hAnsi="Times New Roman" w:cs="Times New Roman" w:eastAsia="Times New Roman" w:hint="default"/>
                <w:sz w:val="18"/>
                <w:szCs w:val="18"/>
              </w:rPr>
            </w:pPr>
            <w:r>
              <w:rPr>
                <w:rFonts w:ascii="Times New Roman"/>
                <w:spacing w:val="-1"/>
                <w:sz w:val="18"/>
              </w:rPr>
              <w:t>45,702.35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705,273.90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z w:val="18"/>
              </w:rPr>
              <w:t>3.76%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211,582.17</w:t>
            </w:r>
          </w:p>
        </w:tc>
      </w:tr>
      <w:tr>
        <w:trPr>
          <w:trHeight w:val="324"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703,587.90</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0" w:right="0"/>
              <w:jc w:val="left"/>
              <w:rPr>
                <w:rFonts w:ascii="Times New Roman" w:hAnsi="Times New Roman" w:cs="Times New Roman" w:eastAsia="Times New Roman" w:hint="default"/>
                <w:sz w:val="18"/>
                <w:szCs w:val="18"/>
              </w:rPr>
            </w:pPr>
            <w:r>
              <w:rPr>
                <w:rFonts w:ascii="Times New Roman"/>
                <w:sz w:val="18"/>
              </w:rPr>
              <w:t>13.84%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6"/>
              <w:jc w:val="right"/>
              <w:rPr>
                <w:rFonts w:ascii="Times New Roman" w:hAnsi="Times New Roman" w:cs="Times New Roman" w:eastAsia="Times New Roman" w:hint="default"/>
                <w:sz w:val="18"/>
                <w:szCs w:val="18"/>
              </w:rPr>
            </w:pPr>
            <w:r>
              <w:rPr>
                <w:rFonts w:ascii="Times New Roman"/>
                <w:spacing w:val="-1"/>
                <w:sz w:val="18"/>
              </w:rPr>
              <w:t>351,793.95</w:t>
            </w:r>
          </w:p>
        </w:tc>
        <w:tc>
          <w:tcPr>
            <w:tcW w:w="1862"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
        </w:tc>
        <w:tc>
          <w:tcPr>
            <w:tcW w:w="657"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w w:val="95"/>
                <w:sz w:val="18"/>
              </w:rPr>
              <w:t>5,500.00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z w:val="18"/>
              </w:rPr>
              <w:t>0.03%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w w:val="95"/>
                <w:sz w:val="18"/>
              </w:rPr>
              <w:t>4,400.00</w:t>
            </w:r>
          </w:p>
        </w:tc>
      </w:tr>
      <w:tr>
        <w:trPr>
          <w:trHeight w:val="32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right="25"/>
              <w:jc w:val="right"/>
              <w:rPr>
                <w:rFonts w:ascii="Times New Roman" w:hAnsi="Times New Roman" w:cs="Times New Roman" w:eastAsia="Times New Roman" w:hint="default"/>
                <w:sz w:val="18"/>
                <w:szCs w:val="18"/>
              </w:rPr>
            </w:pPr>
            <w:r>
              <w:rPr>
                <w:rFonts w:ascii="Times New Roman"/>
                <w:spacing w:val="-1"/>
                <w:sz w:val="18"/>
              </w:rPr>
              <w:t>59,778.50</w:t>
            </w:r>
          </w:p>
        </w:tc>
        <w:tc>
          <w:tcPr>
            <w:tcW w:w="657"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1.17%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
              <w:jc w:val="right"/>
              <w:rPr>
                <w:rFonts w:ascii="Times New Roman" w:hAnsi="Times New Roman" w:cs="Times New Roman" w:eastAsia="Times New Roman" w:hint="default"/>
                <w:sz w:val="18"/>
                <w:szCs w:val="18"/>
              </w:rPr>
            </w:pPr>
            <w:r>
              <w:rPr>
                <w:rFonts w:ascii="Times New Roman"/>
                <w:spacing w:val="-1"/>
                <w:sz w:val="18"/>
              </w:rPr>
              <w:t>59,778.50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
              <w:jc w:val="right"/>
              <w:rPr>
                <w:rFonts w:ascii="Times New Roman" w:hAnsi="Times New Roman" w:cs="Times New Roman" w:eastAsia="Times New Roman" w:hint="default"/>
                <w:sz w:val="18"/>
                <w:szCs w:val="18"/>
              </w:rPr>
            </w:pPr>
            <w:r>
              <w:rPr>
                <w:rFonts w:ascii="Times New Roman"/>
                <w:spacing w:val="-1"/>
                <w:sz w:val="18"/>
              </w:rPr>
              <w:t>59,778.50</w:t>
            </w:r>
          </w:p>
        </w:tc>
        <w:tc>
          <w:tcPr>
            <w:tcW w:w="654"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6"/>
              <w:ind w:right="14"/>
              <w:jc w:val="right"/>
              <w:rPr>
                <w:rFonts w:ascii="Times New Roman" w:hAnsi="Times New Roman" w:cs="Times New Roman" w:eastAsia="Times New Roman" w:hint="default"/>
                <w:sz w:val="18"/>
                <w:szCs w:val="18"/>
              </w:rPr>
            </w:pPr>
            <w:r>
              <w:rPr>
                <w:rFonts w:ascii="Times New Roman"/>
                <w:sz w:val="18"/>
              </w:rPr>
              <w:t>0.33%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59,778.50</w:t>
            </w:r>
          </w:p>
        </w:tc>
      </w:tr>
      <w:tr>
        <w:trPr>
          <w:trHeight w:val="32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46"/>
              <w:ind w:right="14"/>
              <w:jc w:val="right"/>
              <w:rPr>
                <w:rFonts w:ascii="Times New Roman" w:hAnsi="Times New Roman" w:cs="Times New Roman" w:eastAsia="Times New Roman" w:hint="default"/>
                <w:sz w:val="18"/>
                <w:szCs w:val="18"/>
              </w:rPr>
            </w:pPr>
            <w:r>
              <w:rPr>
                <w:rFonts w:ascii="Times New Roman"/>
                <w:spacing w:val="-1"/>
                <w:sz w:val="18"/>
              </w:rPr>
              <w:t>5,082,175.13</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4"/>
              <w:jc w:val="center"/>
              <w:rPr>
                <w:rFonts w:ascii="Times New Roman" w:hAnsi="Times New Roman" w:cs="Times New Roman" w:eastAsia="Times New Roman" w:hint="default"/>
                <w:sz w:val="18"/>
                <w:szCs w:val="18"/>
              </w:rPr>
            </w:pPr>
            <w:r>
              <w:rPr>
                <w:rFonts w:ascii="Times New Roman"/>
                <w:sz w:val="18"/>
              </w:rPr>
              <w:t>--</w:t>
            </w:r>
          </w:p>
        </w:tc>
        <w:tc>
          <w:tcPr>
            <w:tcW w:w="16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6"/>
              <w:ind w:right="26"/>
              <w:jc w:val="right"/>
              <w:rPr>
                <w:rFonts w:ascii="Times New Roman" w:hAnsi="Times New Roman" w:cs="Times New Roman" w:eastAsia="Times New Roman" w:hint="default"/>
                <w:sz w:val="18"/>
                <w:szCs w:val="18"/>
              </w:rPr>
            </w:pPr>
            <w:r>
              <w:rPr>
                <w:rFonts w:ascii="Times New Roman"/>
                <w:spacing w:val="-1"/>
                <w:sz w:val="18"/>
              </w:rPr>
              <w:t>685,177.61</w:t>
            </w:r>
          </w:p>
        </w:tc>
        <w:tc>
          <w:tcPr>
            <w:tcW w:w="18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6"/>
              <w:ind w:right="13"/>
              <w:jc w:val="right"/>
              <w:rPr>
                <w:rFonts w:ascii="Times New Roman" w:hAnsi="Times New Roman" w:cs="Times New Roman" w:eastAsia="Times New Roman" w:hint="default"/>
                <w:sz w:val="18"/>
                <w:szCs w:val="18"/>
              </w:rPr>
            </w:pPr>
            <w:r>
              <w:rPr>
                <w:rFonts w:ascii="Times New Roman"/>
                <w:spacing w:val="-1"/>
                <w:sz w:val="18"/>
              </w:rPr>
              <w:t>18,740,400.29</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w:t>
            </w:r>
          </w:p>
        </w:tc>
        <w:tc>
          <w:tcPr>
            <w:tcW w:w="17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1,221,697.09</w:t>
            </w:r>
          </w:p>
        </w:tc>
      </w:tr>
    </w:tbl>
    <w:p>
      <w:pPr>
        <w:pStyle w:val="BodyText"/>
        <w:spacing w:line="240" w:lineRule="auto" w:before="87"/>
        <w:ind w:right="0"/>
        <w:jc w:val="left"/>
      </w:pPr>
      <w:r>
        <w:rPr/>
        <w:t>组合中，采用余额百分比法计提坏账准备的其他应收款</w:t>
      </w:r>
    </w:p>
    <w:p>
      <w:pPr>
        <w:pStyle w:val="BodyText"/>
        <w:spacing w:line="338"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38" w:lineRule="auto" w:before="41"/>
        <w:ind w:right="5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52" w:footer="980" w:top="1340" w:bottom="1160" w:left="980" w:right="980"/>
        </w:sectPr>
      </w:pPr>
    </w:p>
    <w:p>
      <w:pPr>
        <w:pStyle w:val="Heading3"/>
        <w:spacing w:line="240" w:lineRule="auto" w:before="59"/>
        <w:ind w:right="0"/>
        <w:jc w:val="left"/>
        <w:rPr>
          <w:b w:val="0"/>
          <w:bCs w:val="0"/>
        </w:rPr>
      </w:pPr>
      <w:r>
        <w:rPr/>
        <w:t>（</w:t>
      </w:r>
      <w:r>
        <w:rPr>
          <w:rFonts w:ascii="Times New Roman" w:hAnsi="Times New Roman" w:cs="Times New Roman" w:eastAsia="Times New Roman" w:hint="default"/>
        </w:rPr>
        <w:t>2</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）其他应收款金额前五名单位情况</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268"/>
        <w:gridCol w:w="1561"/>
        <w:gridCol w:w="1916"/>
        <w:gridCol w:w="2055"/>
        <w:gridCol w:w="1774"/>
      </w:tblGrid>
      <w:tr>
        <w:trPr>
          <w:trHeight w:val="557"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566" w:right="71" w:hanging="49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 比例</w:t>
            </w:r>
            <w:r>
              <w:rPr>
                <w:rFonts w:ascii="Times New Roman" w:hAnsi="Times New Roman" w:cs="Times New Roman" w:eastAsia="Times New Roman" w:hint="default"/>
                <w:sz w:val="18"/>
                <w:szCs w:val="18"/>
              </w:rPr>
              <w:t>(%)</w:t>
            </w:r>
          </w:p>
        </w:tc>
      </w:tr>
      <w:tr>
        <w:trPr>
          <w:trHeight w:val="557"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141,169,145.62</w:t>
            </w:r>
          </w:p>
        </w:tc>
        <w:tc>
          <w:tcPr>
            <w:tcW w:w="2055" w:type="dxa"/>
            <w:tcBorders>
              <w:top w:val="single" w:sz="4" w:space="0" w:color="000000"/>
              <w:left w:val="single" w:sz="4" w:space="0" w:color="000000"/>
              <w:bottom w:val="single" w:sz="4" w:space="0" w:color="000000"/>
              <w:right w:val="single" w:sz="13" w:space="0" w:color="FFFFFF"/>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30,300,397.40 </w:t>
            </w:r>
            <w:r>
              <w:rPr>
                <w:rFonts w:ascii="宋体" w:hAnsi="宋体" w:cs="宋体" w:eastAsia="宋体" w:hint="default"/>
                <w:sz w:val="18"/>
                <w:szCs w:val="18"/>
              </w:rPr>
              <w:t>元；</w:t>
            </w:r>
          </w:p>
          <w:p>
            <w:pPr>
              <w:pStyle w:val="TableParagraph"/>
              <w:spacing w:line="241" w:lineRule="exact"/>
              <w:ind w:left="23"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110,868,748.22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77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96.53%</w:t>
            </w: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奇点新源国际技术开发公司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0.68%</w:t>
            </w:r>
          </w:p>
        </w:tc>
      </w:tr>
      <w:tr>
        <w:trPr>
          <w:trHeight w:val="557"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中招国际招标公司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549,500.00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460,000.00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89,500.00 </w:t>
            </w:r>
            <w:r>
              <w:rPr>
                <w:rFonts w:ascii="宋体" w:hAnsi="宋体" w:cs="宋体" w:eastAsia="宋体" w:hint="default"/>
                <w:sz w:val="18"/>
                <w:szCs w:val="18"/>
              </w:rPr>
              <w:t>元。</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0.38%</w:t>
            </w: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中国人民银行集中采购中心</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345,769.90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0.24%</w:t>
            </w: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项目实施备用金</w:t>
            </w:r>
          </w:p>
        </w:tc>
        <w:tc>
          <w:tcPr>
            <w:tcW w:w="1561"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170,182.00</w:t>
            </w:r>
          </w:p>
        </w:tc>
        <w:tc>
          <w:tcPr>
            <w:tcW w:w="2055"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2"/>
                <w:sz w:val="18"/>
              </w:rPr>
              <w:t>0.11%</w:t>
            </w: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143,234,597.52</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c>
          <w:tcPr>
            <w:tcW w:w="17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97.94%</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）其他应收关联方账款情况</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324"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32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8"/>
              <w:jc w:val="center"/>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141,169,145.62</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96.53%</w:t>
            </w:r>
          </w:p>
        </w:tc>
      </w:tr>
      <w:tr>
        <w:trPr>
          <w:trHeight w:val="32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8"/>
              <w:jc w:val="center"/>
              <w:rPr>
                <w:rFonts w:ascii="宋体" w:hAnsi="宋体" w:cs="宋体" w:eastAsia="宋体" w:hint="default"/>
                <w:sz w:val="18"/>
                <w:szCs w:val="18"/>
              </w:rPr>
            </w:pPr>
            <w:r>
              <w:rPr>
                <w:rFonts w:ascii="宋体" w:hAnsi="宋体" w:cs="宋体" w:eastAsia="宋体" w:hint="default"/>
                <w:sz w:val="18"/>
                <w:szCs w:val="18"/>
              </w:rPr>
              <w:t>奇点新源国际技术开发公司</w:t>
            </w:r>
          </w:p>
        </w:tc>
        <w:tc>
          <w:tcPr>
            <w:tcW w:w="2429"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0.68%</w:t>
            </w:r>
          </w:p>
        </w:tc>
      </w:tr>
      <w:tr>
        <w:trPr>
          <w:trHeight w:val="32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142,169,145.62</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97.21%</w:t>
            </w:r>
          </w:p>
        </w:tc>
      </w:tr>
    </w:tbl>
    <w:p>
      <w:pPr>
        <w:spacing w:line="240" w:lineRule="auto" w:before="9"/>
        <w:rPr>
          <w:rFonts w:ascii="宋体" w:hAnsi="宋体" w:cs="宋体" w:eastAsia="宋体" w:hint="default"/>
          <w:sz w:val="17"/>
          <w:szCs w:val="17"/>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6"/>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492"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2" w:lineRule="exact"/>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4"/>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2" w:lineRule="exact"/>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2" w:lineRule="exact"/>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55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219"/>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39"/>
              <w:jc w:val="both"/>
              <w:rPr>
                <w:rFonts w:ascii="Times New Roman" w:hAnsi="Times New Roman" w:cs="Times New Roman" w:eastAsia="Times New Roman" w:hint="default"/>
                <w:sz w:val="18"/>
                <w:szCs w:val="18"/>
              </w:rPr>
            </w:pPr>
            <w:r>
              <w:rPr>
                <w:rFonts w:ascii="宋体" w:hAnsi="宋体" w:cs="宋体" w:eastAsia="宋体" w:hint="default"/>
                <w:sz w:val="18"/>
                <w:szCs w:val="18"/>
              </w:rPr>
              <w:t>大连华信 计算机技 术股份有 限公司</w:t>
            </w:r>
            <w:r>
              <w:rPr>
                <w:rFonts w:ascii="Times New Roman" w:hAnsi="Times New Roman" w:cs="Times New Roman" w:eastAsia="Times New Roman" w:hint="default"/>
                <w:sz w:val="18"/>
                <w:szCs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72,303,84</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96,425,85</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4.96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12,067,12</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3.99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108,492,9</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78.95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8.91%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8.91%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.00</w:t>
            </w:r>
          </w:p>
        </w:tc>
      </w:tr>
      <w:tr>
        <w:trPr>
          <w:trHeight w:val="1231"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39"/>
              <w:jc w:val="left"/>
              <w:rPr>
                <w:rFonts w:ascii="宋体" w:hAnsi="宋体" w:cs="宋体" w:eastAsia="宋体" w:hint="default"/>
                <w:sz w:val="18"/>
                <w:szCs w:val="18"/>
              </w:rPr>
            </w:pPr>
            <w:r>
              <w:rPr>
                <w:rFonts w:ascii="宋体" w:hAnsi="宋体" w:cs="宋体" w:eastAsia="宋体" w:hint="default"/>
                <w:sz w:val="18"/>
                <w:szCs w:val="18"/>
              </w:rPr>
              <w:t>神州泰岳 顶策科技</w:t>
            </w:r>
          </w:p>
          <w:p>
            <w:pPr>
              <w:pStyle w:val="TableParagraph"/>
              <w:spacing w:line="236" w:lineRule="exact" w:before="18"/>
              <w:ind w:left="24" w:right="39"/>
              <w:jc w:val="left"/>
              <w:rPr>
                <w:rFonts w:ascii="宋体" w:hAnsi="宋体" w:cs="宋体" w:eastAsia="宋体" w:hint="default"/>
                <w:sz w:val="18"/>
                <w:szCs w:val="18"/>
              </w:rPr>
            </w:pPr>
            <w:r>
              <w:rPr>
                <w:rFonts w:ascii="宋体" w:hAnsi="宋体" w:cs="宋体" w:eastAsia="宋体" w:hint="default"/>
                <w:sz w:val="18"/>
                <w:szCs w:val="18"/>
              </w:rPr>
              <w:t>（北京） 有限公司</w:t>
            </w:r>
          </w:p>
          <w:p>
            <w:pPr>
              <w:pStyle w:val="TableParagraph"/>
              <w:spacing w:line="205" w:lineRule="exact"/>
              <w:ind w:left="24" w:right="0"/>
              <w:jc w:val="left"/>
              <w:rPr>
                <w:rFonts w:ascii="Times New Roman" w:hAnsi="Times New Roman" w:cs="Times New Roman" w:eastAsia="Times New Roman" w:hint="default"/>
                <w:sz w:val="18"/>
                <w:szCs w:val="18"/>
              </w:rPr>
            </w:pPr>
            <w:r>
              <w:rPr>
                <w:rFonts w:ascii="Times New Roman"/>
                <w:spacing w:val="-4"/>
                <w:sz w:val="18"/>
              </w:rPr>
              <w:t>*2</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14,850,00</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12,351,53</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8.76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07" w:lineRule="exact"/>
              <w:ind w:left="76" w:right="0"/>
              <w:jc w:val="left"/>
              <w:rPr>
                <w:rFonts w:ascii="Times New Roman" w:hAnsi="Times New Roman" w:cs="Times New Roman" w:eastAsia="Times New Roman" w:hint="default"/>
                <w:sz w:val="18"/>
                <w:szCs w:val="18"/>
              </w:rPr>
            </w:pPr>
            <w:r>
              <w:rPr>
                <w:rFonts w:ascii="Times New Roman"/>
                <w:sz w:val="18"/>
              </w:rPr>
              <w:t>-1,327,68</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9.93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07" w:lineRule="exact"/>
              <w:ind w:left="52" w:right="0"/>
              <w:jc w:val="left"/>
              <w:rPr>
                <w:rFonts w:ascii="Times New Roman" w:hAnsi="Times New Roman" w:cs="Times New Roman" w:eastAsia="Times New Roman" w:hint="default"/>
                <w:sz w:val="18"/>
                <w:szCs w:val="18"/>
              </w:rPr>
            </w:pPr>
            <w:r>
              <w:rPr>
                <w:rFonts w:ascii="Times New Roman"/>
                <w:sz w:val="18"/>
              </w:rPr>
              <w:t>11,023,84</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8.83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29.72%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39"/>
              <w:jc w:val="both"/>
              <w:rPr>
                <w:rFonts w:ascii="宋体" w:hAnsi="宋体" w:cs="宋体" w:eastAsia="宋体" w:hint="default"/>
                <w:sz w:val="18"/>
                <w:szCs w:val="18"/>
              </w:rPr>
            </w:pPr>
            <w:r>
              <w:rPr>
                <w:rFonts w:ascii="宋体" w:hAnsi="宋体" w:cs="宋体" w:eastAsia="宋体" w:hint="default"/>
                <w:sz w:val="18"/>
                <w:szCs w:val="18"/>
              </w:rPr>
              <w:t>北京盈海 益讯科技 发展有限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2,484,927</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2,484,927</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.40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4"/>
              <w:jc w:val="right"/>
              <w:rPr>
                <w:rFonts w:ascii="Times New Roman" w:hAnsi="Times New Roman" w:cs="Times New Roman" w:eastAsia="Times New Roman" w:hint="default"/>
                <w:sz w:val="18"/>
                <w:szCs w:val="18"/>
              </w:rPr>
            </w:pPr>
            <w:r>
              <w:rPr>
                <w:rFonts w:ascii="Times New Roman"/>
                <w:sz w:val="18"/>
              </w:rPr>
              <w:t>30%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40" w:bottom="1160" w:left="980" w:right="980"/>
        </w:sect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790"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39"/>
              <w:jc w:val="both"/>
              <w:rPr>
                <w:rFonts w:ascii="宋体" w:hAnsi="宋体" w:cs="宋体" w:eastAsia="宋体" w:hint="default"/>
                <w:sz w:val="18"/>
                <w:szCs w:val="18"/>
              </w:rPr>
            </w:pPr>
            <w:r>
              <w:rPr>
                <w:rFonts w:ascii="宋体" w:hAnsi="宋体" w:cs="宋体" w:eastAsia="宋体" w:hint="default"/>
                <w:sz w:val="18"/>
                <w:szCs w:val="18"/>
              </w:rPr>
              <w:t>北京华泰 德丰技术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7,600,000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7,464,747</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.39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07" w:lineRule="exact"/>
              <w:ind w:left="76" w:right="0"/>
              <w:jc w:val="left"/>
              <w:rPr>
                <w:rFonts w:ascii="Times New Roman" w:hAnsi="Times New Roman" w:cs="Times New Roman" w:eastAsia="Times New Roman" w:hint="default"/>
                <w:sz w:val="18"/>
                <w:szCs w:val="18"/>
              </w:rPr>
            </w:pPr>
            <w:r>
              <w:rPr>
                <w:rFonts w:ascii="Times New Roman"/>
                <w:sz w:val="18"/>
              </w:rPr>
              <w:t>-3,312,77</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1.42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4,151,975</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.97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9"/>
              <w:jc w:val="right"/>
              <w:rPr>
                <w:rFonts w:ascii="宋体" w:hAnsi="宋体" w:cs="宋体" w:eastAsia="宋体" w:hint="default"/>
                <w:sz w:val="18"/>
                <w:szCs w:val="18"/>
              </w:rPr>
            </w:pPr>
            <w:r>
              <w:rPr>
                <w:rFonts w:ascii="宋体" w:hAnsi="宋体" w:cs="宋体" w:eastAsia="宋体" w:hint="default"/>
                <w:sz w:val="18"/>
                <w:szCs w:val="18"/>
              </w:rPr>
              <w:t>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39"/>
              <w:jc w:val="both"/>
              <w:rPr>
                <w:rFonts w:ascii="宋体" w:hAnsi="宋体" w:cs="宋体" w:eastAsia="宋体" w:hint="default"/>
                <w:sz w:val="18"/>
                <w:szCs w:val="18"/>
              </w:rPr>
            </w:pPr>
            <w:r>
              <w:rPr>
                <w:rFonts w:ascii="宋体" w:hAnsi="宋体" w:cs="宋体" w:eastAsia="宋体" w:hint="default"/>
                <w:sz w:val="18"/>
                <w:szCs w:val="18"/>
              </w:rPr>
              <w:t>北京新媒 传信科技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12,348,72</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0.16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12,348,72</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0.16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12,348,72</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0.16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72,000,00</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0.00</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39"/>
              <w:jc w:val="both"/>
              <w:rPr>
                <w:rFonts w:ascii="宋体" w:hAnsi="宋体" w:cs="宋体" w:eastAsia="宋体" w:hint="default"/>
                <w:sz w:val="18"/>
                <w:szCs w:val="18"/>
              </w:rPr>
            </w:pPr>
            <w:r>
              <w:rPr>
                <w:rFonts w:ascii="宋体" w:hAnsi="宋体" w:cs="宋体" w:eastAsia="宋体" w:hint="default"/>
                <w:sz w:val="18"/>
                <w:szCs w:val="18"/>
              </w:rPr>
              <w:t>北京神州 泰岳通信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4,310,800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4,310,800</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4,310,800</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39"/>
              <w:jc w:val="both"/>
              <w:rPr>
                <w:rFonts w:ascii="宋体" w:hAnsi="宋体" w:cs="宋体" w:eastAsia="宋体" w:hint="default"/>
                <w:sz w:val="18"/>
                <w:szCs w:val="18"/>
              </w:rPr>
            </w:pPr>
            <w:r>
              <w:rPr>
                <w:rFonts w:ascii="宋体" w:hAnsi="宋体" w:cs="宋体" w:eastAsia="宋体" w:hint="default"/>
                <w:sz w:val="18"/>
                <w:szCs w:val="18"/>
              </w:rPr>
              <w:t>北京神州 泰岳信息 安全技术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39"/>
              <w:jc w:val="both"/>
              <w:rPr>
                <w:rFonts w:ascii="宋体" w:hAnsi="宋体" w:cs="宋体" w:eastAsia="宋体" w:hint="default"/>
                <w:sz w:val="18"/>
                <w:szCs w:val="18"/>
              </w:rPr>
            </w:pPr>
            <w:r>
              <w:rPr>
                <w:rFonts w:ascii="宋体" w:hAnsi="宋体" w:cs="宋体" w:eastAsia="宋体" w:hint="default"/>
                <w:sz w:val="18"/>
                <w:szCs w:val="18"/>
              </w:rPr>
              <w:t>重庆新媒 农信科技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103,300,0</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103,300,0</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103,300,0</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39"/>
              <w:jc w:val="both"/>
              <w:rPr>
                <w:rFonts w:ascii="宋体" w:hAnsi="宋体" w:cs="宋体" w:eastAsia="宋体" w:hint="default"/>
                <w:sz w:val="18"/>
                <w:szCs w:val="18"/>
              </w:rPr>
            </w:pPr>
            <w:r>
              <w:rPr>
                <w:rFonts w:ascii="宋体" w:hAnsi="宋体" w:cs="宋体" w:eastAsia="宋体" w:hint="default"/>
                <w:sz w:val="18"/>
                <w:szCs w:val="18"/>
              </w:rPr>
              <w:t>北京互联 时代通讯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6,977,459</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6,977,459</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.86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6,977,459</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.86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39"/>
              <w:jc w:val="both"/>
              <w:rPr>
                <w:rFonts w:ascii="宋体" w:hAnsi="宋体" w:cs="宋体" w:eastAsia="宋体" w:hint="default"/>
                <w:sz w:val="18"/>
                <w:szCs w:val="18"/>
              </w:rPr>
            </w:pPr>
            <w:r>
              <w:rPr>
                <w:rFonts w:ascii="宋体" w:hAnsi="宋体" w:cs="宋体" w:eastAsia="宋体" w:hint="default"/>
                <w:sz w:val="18"/>
                <w:szCs w:val="18"/>
              </w:rPr>
              <w:t>北京友联 创新系统 集成有限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59,000,00</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59,000,00</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59,000,00</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39"/>
              <w:jc w:val="both"/>
              <w:rPr>
                <w:rFonts w:ascii="宋体" w:hAnsi="宋体" w:cs="宋体" w:eastAsia="宋体" w:hint="default"/>
                <w:sz w:val="18"/>
                <w:szCs w:val="18"/>
              </w:rPr>
            </w:pPr>
            <w:r>
              <w:rPr>
                <w:rFonts w:ascii="宋体" w:hAnsi="宋体" w:cs="宋体" w:eastAsia="宋体" w:hint="default"/>
                <w:sz w:val="18"/>
                <w:szCs w:val="18"/>
              </w:rPr>
              <w:t>宁波普天 通信技术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39"/>
              <w:jc w:val="both"/>
              <w:rPr>
                <w:rFonts w:ascii="宋体" w:hAnsi="宋体" w:cs="宋体" w:eastAsia="宋体" w:hint="default"/>
                <w:sz w:val="18"/>
                <w:szCs w:val="18"/>
              </w:rPr>
            </w:pPr>
            <w:r>
              <w:rPr>
                <w:rFonts w:ascii="宋体" w:hAnsi="宋体" w:cs="宋体" w:eastAsia="宋体" w:hint="default"/>
                <w:sz w:val="18"/>
                <w:szCs w:val="18"/>
              </w:rPr>
              <w:t>宁波普金 通讯设备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15,800,06</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5.45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15,800,06</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5.45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15,800,06</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5.45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25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39"/>
              <w:jc w:val="both"/>
              <w:rPr>
                <w:rFonts w:ascii="宋体" w:hAnsi="宋体" w:cs="宋体" w:eastAsia="宋体" w:hint="default"/>
                <w:sz w:val="18"/>
                <w:szCs w:val="18"/>
              </w:rPr>
            </w:pPr>
            <w:r>
              <w:rPr>
                <w:rFonts w:ascii="宋体" w:hAnsi="宋体" w:cs="宋体" w:eastAsia="宋体" w:hint="default"/>
                <w:sz w:val="18"/>
                <w:szCs w:val="18"/>
              </w:rPr>
              <w:t>奇点新源 国际技术 开发（北 京）有限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5" w:lineRule="exact"/>
              <w:ind w:left="45" w:right="0"/>
              <w:jc w:val="left"/>
              <w:rPr>
                <w:rFonts w:ascii="Times New Roman" w:hAnsi="Times New Roman" w:cs="Times New Roman" w:eastAsia="Times New Roman" w:hint="default"/>
                <w:sz w:val="18"/>
                <w:szCs w:val="18"/>
              </w:rPr>
            </w:pPr>
            <w:r>
              <w:rPr>
                <w:rFonts w:ascii="Times New Roman"/>
                <w:sz w:val="18"/>
              </w:rPr>
              <w:t>20,500,00</w:t>
            </w:r>
          </w:p>
          <w:p>
            <w:pPr>
              <w:pStyle w:val="TableParagraph"/>
              <w:spacing w:line="205" w:lineRule="exact"/>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5" w:lineRule="exact"/>
              <w:ind w:left="45" w:right="0"/>
              <w:jc w:val="left"/>
              <w:rPr>
                <w:rFonts w:ascii="Times New Roman" w:hAnsi="Times New Roman" w:cs="Times New Roman" w:eastAsia="Times New Roman" w:hint="default"/>
                <w:sz w:val="18"/>
                <w:szCs w:val="18"/>
              </w:rPr>
            </w:pPr>
            <w:r>
              <w:rPr>
                <w:rFonts w:ascii="Times New Roman"/>
                <w:sz w:val="18"/>
              </w:rPr>
              <w:t>20,500,00</w:t>
            </w:r>
          </w:p>
          <w:p>
            <w:pPr>
              <w:pStyle w:val="TableParagraph"/>
              <w:spacing w:line="205" w:lineRule="exact"/>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5" w:lineRule="exact"/>
              <w:ind w:left="45" w:right="0"/>
              <w:jc w:val="left"/>
              <w:rPr>
                <w:rFonts w:ascii="Times New Roman" w:hAnsi="Times New Roman" w:cs="Times New Roman" w:eastAsia="Times New Roman" w:hint="default"/>
                <w:sz w:val="18"/>
                <w:szCs w:val="18"/>
              </w:rPr>
            </w:pPr>
            <w:r>
              <w:rPr>
                <w:rFonts w:ascii="Times New Roman"/>
                <w:sz w:val="18"/>
              </w:rPr>
              <w:t>20,500,00</w:t>
            </w:r>
          </w:p>
          <w:p>
            <w:pPr>
              <w:pStyle w:val="TableParagraph"/>
              <w:spacing w:line="205" w:lineRule="exact"/>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39"/>
              <w:jc w:val="both"/>
              <w:rPr>
                <w:rFonts w:ascii="宋体" w:hAnsi="宋体" w:cs="宋体" w:eastAsia="宋体" w:hint="default"/>
                <w:sz w:val="18"/>
                <w:szCs w:val="18"/>
              </w:rPr>
            </w:pPr>
            <w:r>
              <w:rPr>
                <w:rFonts w:ascii="宋体" w:hAnsi="宋体" w:cs="宋体" w:eastAsia="宋体" w:hint="default"/>
                <w:sz w:val="18"/>
                <w:szCs w:val="18"/>
              </w:rPr>
              <w:t>北京神州 泰岳良品 电子商务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84,000,00</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84,000,00</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84,000,00</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神州泰岳</w:t>
            </w:r>
          </w:p>
          <w:p>
            <w:pPr>
              <w:pStyle w:val="TableParagraph"/>
              <w:spacing w:line="230" w:lineRule="exact" w:before="26"/>
              <w:ind w:left="24" w:right="39"/>
              <w:jc w:val="left"/>
              <w:rPr>
                <w:rFonts w:ascii="宋体" w:hAnsi="宋体" w:cs="宋体" w:eastAsia="宋体" w:hint="default"/>
                <w:sz w:val="18"/>
                <w:szCs w:val="18"/>
              </w:rPr>
            </w:pPr>
            <w:r>
              <w:rPr>
                <w:rFonts w:ascii="宋体" w:hAnsi="宋体" w:cs="宋体" w:eastAsia="宋体" w:hint="default"/>
                <w:sz w:val="18"/>
                <w:szCs w:val="18"/>
              </w:rPr>
              <w:t>（香港）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5,293,010</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5,293,010</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5,293,010</w:t>
            </w: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39"/>
              <w:jc w:val="left"/>
              <w:rPr>
                <w:rFonts w:ascii="宋体" w:hAnsi="宋体" w:cs="宋体" w:eastAsia="宋体" w:hint="default"/>
                <w:sz w:val="18"/>
                <w:szCs w:val="18"/>
              </w:rPr>
            </w:pPr>
            <w:r>
              <w:rPr>
                <w:rFonts w:ascii="宋体" w:hAnsi="宋体" w:cs="宋体" w:eastAsia="宋体" w:hint="default"/>
                <w:sz w:val="18"/>
                <w:szCs w:val="18"/>
              </w:rPr>
              <w:t>其他被投 资单位</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464"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39"/>
              <w:jc w:val="both"/>
              <w:rPr>
                <w:rFonts w:ascii="宋体" w:hAnsi="宋体" w:cs="宋体" w:eastAsia="宋体" w:hint="default"/>
                <w:sz w:val="18"/>
                <w:szCs w:val="18"/>
              </w:rPr>
            </w:pPr>
            <w:r>
              <w:rPr>
                <w:rFonts w:ascii="宋体" w:hAnsi="宋体" w:cs="宋体" w:eastAsia="宋体" w:hint="default"/>
                <w:sz w:val="18"/>
                <w:szCs w:val="18"/>
              </w:rPr>
              <w:t>北京润佳 华商创新 投资管理 中心（有 限合伙）</w:t>
            </w:r>
          </w:p>
          <w:p>
            <w:pPr>
              <w:pStyle w:val="TableParagraph"/>
              <w:spacing w:line="240" w:lineRule="auto" w:before="20"/>
              <w:ind w:left="24" w:right="0"/>
              <w:jc w:val="both"/>
              <w:rPr>
                <w:rFonts w:ascii="Times New Roman" w:hAnsi="Times New Roman" w:cs="Times New Roman" w:eastAsia="Times New Roman" w:hint="default"/>
                <w:sz w:val="18"/>
                <w:szCs w:val="18"/>
              </w:rPr>
            </w:pPr>
            <w:r>
              <w:rPr>
                <w:rFonts w:ascii="Times New Roman"/>
                <w:spacing w:val="-4"/>
                <w:sz w:val="18"/>
              </w:rPr>
              <w:t>*3</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65,000,00</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65,000,00</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65,000,00</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53.5%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z w:val="18"/>
              </w:rPr>
              <w:t>53.5%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9"/>
              <w:jc w:val="right"/>
              <w:rPr>
                <w:rFonts w:ascii="宋体" w:hAnsi="宋体" w:cs="宋体" w:eastAsia="宋体" w:hint="default"/>
                <w:sz w:val="18"/>
                <w:szCs w:val="18"/>
              </w:rPr>
            </w:pPr>
            <w:r>
              <w:rPr>
                <w:rFonts w:ascii="宋体" w:hAnsi="宋体" w:cs="宋体" w:eastAsia="宋体" w:hint="default"/>
                <w:sz w:val="18"/>
                <w:szCs w:val="18"/>
              </w:rPr>
              <w:t>广东中科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5" w:right="0"/>
              <w:jc w:val="left"/>
              <w:rPr>
                <w:rFonts w:ascii="Times New Roman" w:hAnsi="Times New Roman" w:cs="Times New Roman" w:eastAsia="Times New Roman" w:hint="default"/>
                <w:sz w:val="18"/>
                <w:szCs w:val="18"/>
              </w:rPr>
            </w:pPr>
            <w:r>
              <w:rPr>
                <w:rFonts w:ascii="Times New Roman"/>
                <w:sz w:val="18"/>
              </w:rPr>
              <w:t>200,000,0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5" w:right="0"/>
              <w:jc w:val="left"/>
              <w:rPr>
                <w:rFonts w:ascii="Times New Roman" w:hAnsi="Times New Roman" w:cs="Times New Roman" w:eastAsia="Times New Roman" w:hint="default"/>
                <w:sz w:val="18"/>
                <w:szCs w:val="18"/>
              </w:rPr>
            </w:pPr>
            <w:r>
              <w:rPr>
                <w:rFonts w:ascii="Times New Roman"/>
                <w:sz w:val="18"/>
              </w:rPr>
              <w:t>200,000,0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5" w:right="0"/>
              <w:jc w:val="left"/>
              <w:rPr>
                <w:rFonts w:ascii="Times New Roman" w:hAnsi="Times New Roman" w:cs="Times New Roman" w:eastAsia="Times New Roman" w:hint="default"/>
                <w:sz w:val="18"/>
                <w:szCs w:val="18"/>
              </w:rPr>
            </w:pPr>
            <w:r>
              <w:rPr>
                <w:rFonts w:ascii="Times New Roman"/>
                <w:sz w:val="18"/>
              </w:rPr>
              <w:t>200,000,0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3"/>
                <w:sz w:val="18"/>
              </w:rPr>
              <w:t>11.11%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3"/>
                <w:sz w:val="18"/>
              </w:rPr>
              <w:t>11.11%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440" w:bottom="1160" w:left="980" w:right="980"/>
        </w:sectPr>
      </w:pP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752"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白云投资</w:t>
            </w:r>
          </w:p>
          <w:p>
            <w:pPr>
              <w:pStyle w:val="TableParagraph"/>
              <w:spacing w:line="232" w:lineRule="exact" w:before="23"/>
              <w:ind w:left="24" w:right="39"/>
              <w:jc w:val="left"/>
              <w:rPr>
                <w:rFonts w:ascii="宋体" w:hAnsi="宋体" w:cs="宋体" w:eastAsia="宋体" w:hint="default"/>
                <w:sz w:val="18"/>
                <w:szCs w:val="18"/>
              </w:rPr>
            </w:pPr>
            <w:r>
              <w:rPr>
                <w:rFonts w:ascii="宋体" w:hAnsi="宋体" w:cs="宋体" w:eastAsia="宋体" w:hint="default"/>
                <w:sz w:val="18"/>
                <w:szCs w:val="18"/>
              </w:rPr>
              <w:t>管理有限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360"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5" w:right="0"/>
              <w:jc w:val="left"/>
              <w:rPr>
                <w:rFonts w:ascii="Times New Roman" w:hAnsi="Times New Roman" w:cs="Times New Roman" w:eastAsia="Times New Roman" w:hint="default"/>
                <w:sz w:val="18"/>
                <w:szCs w:val="18"/>
              </w:rPr>
            </w:pPr>
            <w:r>
              <w:rPr>
                <w:rFonts w:ascii="Times New Roman"/>
                <w:sz w:val="18"/>
              </w:rPr>
              <w:t>934,283,8</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96.07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5" w:right="0"/>
              <w:jc w:val="left"/>
              <w:rPr>
                <w:rFonts w:ascii="Times New Roman" w:hAnsi="Times New Roman" w:cs="Times New Roman" w:eastAsia="Times New Roman" w:hint="default"/>
                <w:sz w:val="18"/>
                <w:szCs w:val="18"/>
              </w:rPr>
            </w:pPr>
            <w:r>
              <w:rPr>
                <w:rFonts w:ascii="Times New Roman"/>
                <w:sz w:val="18"/>
              </w:rPr>
              <w:t>866,679,1</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21.13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5" w:right="0"/>
              <w:jc w:val="left"/>
              <w:rPr>
                <w:rFonts w:ascii="Times New Roman" w:hAnsi="Times New Roman" w:cs="Times New Roman" w:eastAsia="Times New Roman" w:hint="default"/>
                <w:sz w:val="18"/>
                <w:szCs w:val="18"/>
              </w:rPr>
            </w:pPr>
            <w:r>
              <w:rPr>
                <w:rFonts w:ascii="Times New Roman"/>
                <w:sz w:val="18"/>
              </w:rPr>
              <w:t>96,004,66</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6.09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5" w:right="0"/>
              <w:jc w:val="left"/>
              <w:rPr>
                <w:rFonts w:ascii="Times New Roman" w:hAnsi="Times New Roman" w:cs="Times New Roman" w:eastAsia="Times New Roman" w:hint="default"/>
                <w:sz w:val="18"/>
                <w:szCs w:val="18"/>
              </w:rPr>
            </w:pPr>
            <w:r>
              <w:rPr>
                <w:rFonts w:ascii="Times New Roman"/>
                <w:sz w:val="18"/>
              </w:rPr>
              <w:t>962,683,7</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87.22</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5" w:right="0"/>
              <w:jc w:val="left"/>
              <w:rPr>
                <w:rFonts w:ascii="Times New Roman" w:hAnsi="Times New Roman" w:cs="Times New Roman" w:eastAsia="Times New Roman" w:hint="default"/>
                <w:sz w:val="18"/>
                <w:szCs w:val="18"/>
              </w:rPr>
            </w:pPr>
            <w:r>
              <w:rPr>
                <w:rFonts w:ascii="Times New Roman"/>
                <w:sz w:val="18"/>
              </w:rPr>
              <w:t>75,000,00</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87"/>
        <w:ind w:right="94"/>
        <w:jc w:val="left"/>
      </w:pPr>
      <w:r>
        <w:rPr/>
        <w:t>长期股权投资的说明：</w:t>
      </w:r>
    </w:p>
    <w:p>
      <w:pPr>
        <w:pStyle w:val="BodyText"/>
        <w:spacing w:line="338" w:lineRule="auto" w:before="115"/>
        <w:ind w:right="18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大连华信计算机技术股份有限公司于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月回购部分股份并减少相应注册资本，导致公司对其投资比例由</w:t>
      </w:r>
      <w:r>
        <w:rPr>
          <w:rFonts w:ascii="Times New Roman" w:hAnsi="Times New Roman" w:cs="Times New Roman" w:eastAsia="Times New Roman" w:hint="default"/>
        </w:rPr>
        <w:t>8.00%</w:t>
      </w:r>
      <w:r>
        <w:rPr/>
        <w:t>上升 至</w:t>
      </w:r>
      <w:r>
        <w:rPr>
          <w:rFonts w:ascii="Times New Roman" w:hAnsi="Times New Roman" w:cs="Times New Roman" w:eastAsia="Times New Roman" w:hint="default"/>
        </w:rPr>
        <w:t>8.91%</w:t>
      </w:r>
      <w:r>
        <w:rPr/>
        <w:t>，按权益法核算。</w:t>
      </w:r>
    </w:p>
    <w:p>
      <w:pPr>
        <w:pStyle w:val="BodyText"/>
        <w:spacing w:line="338" w:lineRule="auto" w:before="17"/>
        <w:ind w:right="10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事天讯通（北京）信息技术有限公司于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月更名为神州泰岳顶策科技（北京）有限公司（以下简称：神州顶策）。 </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月，公司与其他神州顶策股东签订《股份调整协议》，协议约定各股东以无偿方式按约定比例转让神州顶策相应的</w:t>
      </w:r>
      <w:r>
        <w:rPr>
          <w:spacing w:val="-60"/>
        </w:rPr>
        <w:t> </w:t>
      </w:r>
      <w:r>
        <w:rPr>
          <w:spacing w:val="-60"/>
        </w:rPr>
      </w:r>
      <w:r>
        <w:rPr/>
        <w:t>股份。公司于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月完成上述股权变更，更变后公司对其投资比例由</w:t>
      </w:r>
      <w:r>
        <w:rPr>
          <w:rFonts w:ascii="Times New Roman" w:hAnsi="Times New Roman" w:cs="Times New Roman" w:eastAsia="Times New Roman" w:hint="default"/>
        </w:rPr>
        <w:t>18.94%</w:t>
      </w:r>
      <w:r>
        <w:rPr/>
        <w:t>上升至</w:t>
      </w:r>
      <w:r>
        <w:rPr>
          <w:rFonts w:ascii="Times New Roman" w:hAnsi="Times New Roman" w:cs="Times New Roman" w:eastAsia="Times New Roman" w:hint="default"/>
        </w:rPr>
        <w:t>29.72%</w:t>
      </w:r>
      <w:r>
        <w:rPr/>
        <w:t>，由成本法核算变更为权益法 </w:t>
      </w:r>
      <w:r>
        <w:rPr>
          <w:spacing w:val="5"/>
        </w:rPr>
        <w:t>核算。因核算方法发生变更，根据会计准则的规定，调整长期股权投资年初余额</w:t>
      </w:r>
      <w:r>
        <w:rPr>
          <w:rFonts w:ascii="Times New Roman" w:hAnsi="Times New Roman" w:cs="Times New Roman" w:eastAsia="Times New Roman" w:hint="default"/>
          <w:spacing w:val="5"/>
        </w:rPr>
        <w:t>-2,498,461.24</w:t>
      </w:r>
      <w:r>
        <w:rPr>
          <w:spacing w:val="5"/>
        </w:rPr>
        <w:t>元，未分配利润年初余额</w:t>
      </w:r>
      <w:r>
        <w:rPr/>
      </w:r>
    </w:p>
    <w:p>
      <w:pPr>
        <w:pStyle w:val="BodyText"/>
        <w:spacing w:line="240" w:lineRule="auto" w:before="20"/>
        <w:ind w:right="94"/>
        <w:jc w:val="left"/>
      </w:pPr>
      <w:r>
        <w:rPr>
          <w:rFonts w:ascii="Times New Roman" w:hAnsi="Times New Roman" w:cs="Times New Roman" w:eastAsia="Times New Roman" w:hint="default"/>
        </w:rPr>
        <w:t>-2,248,615.12</w:t>
      </w:r>
      <w:r>
        <w:rPr/>
        <w:t>元，盈余公积年初余额</w:t>
      </w:r>
      <w:r>
        <w:rPr>
          <w:rFonts w:ascii="Times New Roman" w:hAnsi="Times New Roman" w:cs="Times New Roman" w:eastAsia="Times New Roman" w:hint="default"/>
        </w:rPr>
        <w:t>-249,846.12</w:t>
      </w:r>
      <w:r>
        <w:rPr/>
        <w:t>元。</w:t>
      </w:r>
    </w:p>
    <w:p>
      <w:pPr>
        <w:pStyle w:val="BodyText"/>
        <w:spacing w:line="240" w:lineRule="auto" w:before="101"/>
        <w:ind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31"/>
        </w:rPr>
        <w:t> </w:t>
      </w:r>
      <w:r>
        <w:rPr>
          <w:spacing w:val="-3"/>
        </w:rPr>
        <w:t>根据合伙协议，公司为有限合伙人，不参与合伙企业的经营管理，对其无法实施控制且不具有重大影响，按成本法核算。</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3"/>
        <w:spacing w:line="240" w:lineRule="auto"/>
        <w:ind w:right="94"/>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9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322"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531,393,309.93</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414,106,728.02</w:t>
            </w:r>
          </w:p>
        </w:tc>
      </w:tr>
      <w:tr>
        <w:trPr>
          <w:trHeight w:val="324"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18,821,855.52</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11,206,254.90</w:t>
            </w:r>
          </w:p>
        </w:tc>
      </w:tr>
      <w:tr>
        <w:trPr>
          <w:trHeight w:val="324"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550,215,165.45</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425,312,982.92</w:t>
            </w:r>
          </w:p>
        </w:tc>
      </w:tr>
      <w:tr>
        <w:trPr>
          <w:trHeight w:val="324"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231,961,474.23</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184,814,631.75</w:t>
            </w:r>
          </w:p>
        </w:tc>
      </w:tr>
    </w:tbl>
    <w:p>
      <w:pPr>
        <w:spacing w:line="240" w:lineRule="auto" w:before="7"/>
        <w:rPr>
          <w:rFonts w:ascii="宋体" w:hAnsi="宋体" w:cs="宋体" w:eastAsia="宋体" w:hint="default"/>
          <w:sz w:val="17"/>
          <w:szCs w:val="17"/>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9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32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2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运维管理业务（解决方案）</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sz w:val="18"/>
                <w:szCs w:val="18"/>
              </w:rPr>
              <w:t>其中：电信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298,575,260.14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67,521,630.81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217,631,378.28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53,089,430.68</w:t>
            </w:r>
          </w:p>
        </w:tc>
      </w:tr>
      <w:tr>
        <w:trPr>
          <w:trHeight w:val="32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86"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31,147,120.63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10,693,047.90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19,680,757.73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3,933,126.85</w:t>
            </w:r>
          </w:p>
        </w:tc>
      </w:tr>
      <w:tr>
        <w:trPr>
          <w:trHeight w:val="32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86"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8,202,828.09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3,753,930.62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13,527,736.11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8,147,249.97</w:t>
            </w:r>
          </w:p>
        </w:tc>
      </w:tr>
      <w:tr>
        <w:trPr>
          <w:trHeight w:val="325"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86"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6,131,571.25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2,840,300.35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34,243,449.38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10,688,940.71</w:t>
            </w:r>
          </w:p>
        </w:tc>
      </w:tr>
      <w:tr>
        <w:trPr>
          <w:trHeight w:val="32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8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51,987,877.31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19,943,822.94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29,167,657.31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9,808,528.00</w:t>
            </w:r>
          </w:p>
        </w:tc>
      </w:tr>
      <w:tr>
        <w:trPr>
          <w:trHeight w:val="557"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65"/>
              <w:jc w:val="left"/>
              <w:rPr>
                <w:rFonts w:ascii="宋体" w:hAnsi="宋体" w:cs="宋体" w:eastAsia="宋体" w:hint="default"/>
                <w:sz w:val="18"/>
                <w:szCs w:val="18"/>
              </w:rPr>
            </w:pPr>
            <w:r>
              <w:rPr>
                <w:rFonts w:ascii="宋体" w:hAnsi="宋体" w:cs="宋体" w:eastAsia="宋体" w:hint="default"/>
                <w:sz w:val="18"/>
                <w:szCs w:val="18"/>
              </w:rPr>
              <w:t>运维管理业务（系统集成购 销）</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135,348,652.51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123,072,024.85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99,855,749.21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94,126,692.65</w:t>
            </w:r>
          </w:p>
        </w:tc>
      </w:tr>
      <w:tr>
        <w:trPr>
          <w:trHeight w:val="324"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531,393,309.93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227,824,757.47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414,106,728.02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179,793,968.86</w:t>
            </w:r>
          </w:p>
        </w:tc>
      </w:tr>
    </w:tbl>
    <w:p>
      <w:pPr>
        <w:spacing w:line="240" w:lineRule="auto" w:before="7"/>
        <w:rPr>
          <w:rFonts w:ascii="宋体" w:hAnsi="宋体" w:cs="宋体" w:eastAsia="宋体" w:hint="default"/>
          <w:sz w:val="17"/>
          <w:szCs w:val="17"/>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91"/>
        <w:jc w:val="right"/>
      </w:pPr>
      <w:r>
        <w:rPr/>
        <w:t>单位：</w:t>
      </w:r>
      <w:r>
        <w:rPr>
          <w:spacing w:val="1"/>
        </w:rPr>
        <w:t> </w:t>
      </w:r>
      <w:r>
        <w:rPr/>
        <w:t>元</w:t>
      </w:r>
    </w:p>
    <w:p>
      <w:pPr>
        <w:spacing w:after="0" w:line="240" w:lineRule="auto"/>
        <w:jc w:val="right"/>
        <w:sectPr>
          <w:pgSz w:w="11910" w:h="16840"/>
          <w:pgMar w:header="852" w:footer="980" w:top="1340" w:bottom="1160" w:left="980" w:right="940"/>
        </w:sectPr>
      </w:pP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324"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2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软件产品开发与销售</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157,300,342.27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17,594,550.33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148,230,305.90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21,496,370.44</w:t>
            </w:r>
          </w:p>
        </w:tc>
      </w:tr>
      <w:tr>
        <w:trPr>
          <w:trHeight w:val="32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技术服务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2"/>
                <w:sz w:val="18"/>
              </w:rPr>
              <w:t>188,303,111.11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42,252,238.93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2"/>
                <w:sz w:val="18"/>
              </w:rPr>
              <w:t>112,834,611.17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17,879,146.00</w:t>
            </w:r>
          </w:p>
        </w:tc>
      </w:tr>
      <w:tr>
        <w:trPr>
          <w:trHeight w:val="32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系统集成</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185,789,856.55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167,977,968.21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153,041,810.95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140,418,452.42</w:t>
            </w:r>
          </w:p>
        </w:tc>
      </w:tr>
      <w:tr>
        <w:trPr>
          <w:trHeight w:val="324"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531,393,309.93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227,824,757.47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414,106,728.02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179,793,968.86</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32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25"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大陆地区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531,393,309.93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227,824,757.47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414,106,728.02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68" w:right="0"/>
              <w:jc w:val="left"/>
              <w:rPr>
                <w:rFonts w:ascii="Times New Roman" w:hAnsi="Times New Roman" w:cs="Times New Roman" w:eastAsia="Times New Roman" w:hint="default"/>
                <w:sz w:val="18"/>
                <w:szCs w:val="18"/>
              </w:rPr>
            </w:pPr>
            <w:r>
              <w:rPr>
                <w:rFonts w:ascii="Times New Roman"/>
                <w:sz w:val="18"/>
              </w:rPr>
              <w:t>179,793,968.86</w:t>
            </w:r>
          </w:p>
        </w:tc>
      </w:tr>
      <w:tr>
        <w:trPr>
          <w:trHeight w:val="324"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531,393,309.93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227,824,757.47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414,106,728.02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68" w:right="0"/>
              <w:jc w:val="left"/>
              <w:rPr>
                <w:rFonts w:ascii="Times New Roman" w:hAnsi="Times New Roman" w:cs="Times New Roman" w:eastAsia="Times New Roman" w:hint="default"/>
                <w:sz w:val="18"/>
                <w:szCs w:val="18"/>
              </w:rPr>
            </w:pPr>
            <w:r>
              <w:rPr>
                <w:rFonts w:ascii="Times New Roman"/>
                <w:sz w:val="18"/>
              </w:rPr>
              <w:t>179,793,968.86</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784"/>
        <w:gridCol w:w="2922"/>
        <w:gridCol w:w="1865"/>
      </w:tblGrid>
      <w:tr>
        <w:trPr>
          <w:trHeight w:val="55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614"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43,869,302.60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7.97%</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中国移动通信集团重庆有限公司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40,312,112.48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7.33%</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28,380,000.00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5.16%</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北京实利通和科技发展有限公司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22,311,101.71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4.05%</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中国移动通信集团广东有限公司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20,144,571.80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3.66%</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155,017,088.59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28.17%</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500"/>
        <w:gridCol w:w="2534"/>
        <w:gridCol w:w="2525"/>
      </w:tblGrid>
      <w:tr>
        <w:trPr>
          <w:trHeight w:val="324"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72,000,000.00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205,000,000.00</w:t>
            </w:r>
          </w:p>
        </w:tc>
      </w:tr>
      <w:tr>
        <w:trPr>
          <w:trHeight w:val="324"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10,273,998.67</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29,819,673.99</w:t>
            </w:r>
          </w:p>
        </w:tc>
      </w:tr>
      <w:tr>
        <w:trPr>
          <w:trHeight w:val="325"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82,273,998.67</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234,819,673.99</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594"/>
        <w:gridCol w:w="2921"/>
      </w:tblGrid>
      <w:tr>
        <w:trPr>
          <w:trHeight w:val="32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324"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205,000,000.00</w:t>
            </w:r>
          </w:p>
        </w:tc>
        <w:tc>
          <w:tcPr>
            <w:tcW w:w="2921" w:type="dxa"/>
            <w:tcBorders>
              <w:top w:val="single" w:sz="4" w:space="0" w:color="000000"/>
              <w:left w:val="single" w:sz="4" w:space="0" w:color="000000"/>
              <w:bottom w:val="single" w:sz="10" w:space="0" w:color="D2D2D2"/>
              <w:right w:val="single" w:sz="4" w:space="0" w:color="000000"/>
            </w:tcBorders>
          </w:tcPr>
          <w:p>
            <w:pPr/>
          </w:p>
        </w:tc>
      </w:tr>
      <w:tr>
        <w:trPr>
          <w:trHeight w:val="32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72,000,000.00</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8"/>
              <w:ind w:right="7"/>
              <w:jc w:val="right"/>
              <w:rPr>
                <w:rFonts w:ascii="Times New Roman" w:hAnsi="Times New Roman" w:cs="Times New Roman" w:eastAsia="Times New Roman" w:hint="default"/>
                <w:sz w:val="18"/>
                <w:szCs w:val="18"/>
              </w:rPr>
            </w:pPr>
            <w:r>
              <w:rPr>
                <w:rFonts w:ascii="Times New Roman"/>
                <w:spacing w:val="-1"/>
                <w:sz w:val="18"/>
              </w:rPr>
              <w:t>205,000,000.00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80" w:top="1340" w:bottom="1160" w:left="980" w:right="980"/>
        </w:sectPr>
      </w:pPr>
    </w:p>
    <w:p>
      <w:pPr>
        <w:pStyle w:val="Heading3"/>
        <w:spacing w:line="240" w:lineRule="auto" w:before="59"/>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594"/>
        <w:gridCol w:w="2921"/>
      </w:tblGrid>
      <w:tr>
        <w:trPr>
          <w:trHeight w:val="32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32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大连华信计算机技术股份有限公司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15,429,532.62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32,453,387.84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神州泰岳顶策科技（北京）有限公司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-1,327,689.93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-2,498,461.24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北京盈海益讯科技发展有限公司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-515,072.60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北京华泰德丰技术有限公司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-3,312,771.42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-135,252.61</w:t>
            </w:r>
          </w:p>
        </w:tc>
        <w:tc>
          <w:tcPr>
            <w:tcW w:w="2921" w:type="dxa"/>
            <w:tcBorders>
              <w:top w:val="single" w:sz="4" w:space="0" w:color="000000"/>
              <w:left w:val="single" w:sz="4" w:space="0" w:color="000000"/>
              <w:bottom w:val="single" w:sz="5" w:space="0" w:color="D2D2D2"/>
              <w:right w:val="single" w:sz="4" w:space="0" w:color="000000"/>
            </w:tcBorders>
          </w:tcPr>
          <w:p>
            <w:pPr/>
          </w:p>
        </w:tc>
      </w:tr>
      <w:tr>
        <w:trPr>
          <w:trHeight w:val="32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10,273,998.67</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5"/>
              <w:ind w:right="7"/>
              <w:jc w:val="right"/>
              <w:rPr>
                <w:rFonts w:ascii="Times New Roman" w:hAnsi="Times New Roman" w:cs="Times New Roman" w:eastAsia="Times New Roman" w:hint="default"/>
                <w:sz w:val="18"/>
                <w:szCs w:val="18"/>
              </w:rPr>
            </w:pPr>
            <w:r>
              <w:rPr>
                <w:rFonts w:ascii="Times New Roman"/>
                <w:spacing w:val="-1"/>
                <w:sz w:val="18"/>
              </w:rPr>
              <w:t>29,819,673.99</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7"/>
          <w:szCs w:val="17"/>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6"/>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329"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1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5" w:space="0" w:color="D2D2D2"/>
              <w:left w:val="single" w:sz="12"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230,925,992.36</w:t>
            </w:r>
          </w:p>
        </w:tc>
        <w:tc>
          <w:tcPr>
            <w:tcW w:w="2259"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326,315,565.20</w:t>
            </w:r>
          </w:p>
        </w:tc>
      </w:tr>
      <w:tr>
        <w:trPr>
          <w:trHeight w:val="32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9,740,150.82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7,118,994.68</w:t>
            </w:r>
          </w:p>
        </w:tc>
      </w:tr>
      <w:tr>
        <w:trPr>
          <w:trHeight w:val="32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16,767,556.72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13,552,791.52</w:t>
            </w:r>
          </w:p>
        </w:tc>
      </w:tr>
      <w:tr>
        <w:trPr>
          <w:trHeight w:val="32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4,967,836.44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4,408,592.95</w:t>
            </w:r>
          </w:p>
        </w:tc>
      </w:tr>
      <w:tr>
        <w:trPr>
          <w:trHeight w:val="557"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2" w:right="11"/>
              <w:jc w:val="left"/>
              <w:rPr>
                <w:rFonts w:ascii="宋体" w:hAnsi="宋体" w:cs="宋体" w:eastAsia="宋体" w:hint="default"/>
                <w:sz w:val="18"/>
                <w:szCs w:val="18"/>
              </w:rPr>
            </w:pPr>
            <w:r>
              <w:rPr>
                <w:rFonts w:ascii="宋体" w:hAnsi="宋体" w:cs="宋体" w:eastAsia="宋体" w:hint="default"/>
                <w:sz w:val="18"/>
                <w:szCs w:val="18"/>
              </w:rPr>
              <w:t>处置固定资产</w:t>
            </w:r>
            <w:r>
              <w:rPr>
                <w:rFonts w:ascii="宋体" w:hAnsi="宋体" w:cs="宋体" w:eastAsia="宋体" w:hint="default"/>
                <w:spacing w:val="-13"/>
                <w:sz w:val="18"/>
                <w:szCs w:val="18"/>
              </w:rPr>
              <w:t>、</w:t>
            </w:r>
            <w:r>
              <w:rPr>
                <w:rFonts w:ascii="宋体" w:hAnsi="宋体" w:cs="宋体" w:eastAsia="宋体" w:hint="default"/>
                <w:sz w:val="18"/>
                <w:szCs w:val="18"/>
              </w:rPr>
              <w:t>无形资产和其他长期资产的损</w:t>
            </w:r>
            <w:r>
              <w:rPr>
                <w:rFonts w:ascii="宋体" w:hAnsi="宋体" w:cs="宋体" w:eastAsia="宋体" w:hint="default"/>
                <w:spacing w:val="-13"/>
                <w:sz w:val="18"/>
                <w:szCs w:val="18"/>
              </w:rPr>
              <w:t>失</w:t>
            </w:r>
            <w:r>
              <w:rPr>
                <w:rFonts w:ascii="宋体" w:hAnsi="宋体" w:cs="宋体" w:eastAsia="宋体" w:hint="default"/>
                <w:sz w:val="18"/>
                <w:szCs w:val="18"/>
              </w:rPr>
              <w:t>（收益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 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-72,817.23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232,625.40</w:t>
            </w:r>
          </w:p>
        </w:tc>
      </w:tr>
      <w:tr>
        <w:trPr>
          <w:trHeight w:val="32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w w:val="95"/>
                <w:sz w:val="18"/>
              </w:rPr>
              <w:t>56,311.50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w w:val="95"/>
                <w:sz w:val="18"/>
              </w:rPr>
              <w:t>7,821.04</w:t>
            </w:r>
          </w:p>
        </w:tc>
      </w:tr>
      <w:tr>
        <w:trPr>
          <w:trHeight w:val="32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-82,273,998.67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-234,819,673.99</w:t>
            </w:r>
          </w:p>
        </w:tc>
      </w:tr>
      <w:tr>
        <w:trPr>
          <w:trHeight w:val="32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164,660.32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-5,490,865.86</w:t>
            </w:r>
          </w:p>
        </w:tc>
      </w:tr>
      <w:tr>
        <w:trPr>
          <w:trHeight w:val="32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-10,313,150.71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-13,325,697.20</w:t>
            </w:r>
          </w:p>
        </w:tc>
      </w:tr>
      <w:tr>
        <w:trPr>
          <w:trHeight w:val="32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-21,125,927.10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-85,050,996.44</w:t>
            </w:r>
          </w:p>
        </w:tc>
      </w:tr>
      <w:tr>
        <w:trPr>
          <w:trHeight w:val="32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-17,053,463.45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14,470,308.36</w:t>
            </w:r>
          </w:p>
        </w:tc>
      </w:tr>
      <w:tr>
        <w:trPr>
          <w:trHeight w:val="32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5,443,754.20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21,963,990.80</w:t>
            </w:r>
          </w:p>
        </w:tc>
      </w:tr>
      <w:tr>
        <w:trPr>
          <w:trHeight w:val="329"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10" w:space="0" w:color="D2D2D2"/>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137,226,905.20</w:t>
            </w:r>
          </w:p>
        </w:tc>
        <w:tc>
          <w:tcPr>
            <w:tcW w:w="2259"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49,383,456.46</w:t>
            </w:r>
          </w:p>
        </w:tc>
      </w:tr>
      <w:tr>
        <w:trPr>
          <w:trHeight w:val="318"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316"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33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10" w:space="0" w:color="D2D2D2"/>
              <w:left w:val="single" w:sz="12"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820,108,413.37</w:t>
            </w:r>
          </w:p>
        </w:tc>
        <w:tc>
          <w:tcPr>
            <w:tcW w:w="2259"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818,790,507.75</w:t>
            </w:r>
          </w:p>
        </w:tc>
      </w:tr>
      <w:tr>
        <w:trPr>
          <w:trHeight w:val="32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818,790,507.75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1,183,515,075.37</w:t>
            </w:r>
          </w:p>
        </w:tc>
      </w:tr>
      <w:tr>
        <w:trPr>
          <w:trHeight w:val="32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1,317,905.62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-364,724,567.62</w:t>
            </w:r>
          </w:p>
        </w:tc>
      </w:tr>
    </w:tbl>
    <w:p>
      <w:pPr>
        <w:spacing w:line="240" w:lineRule="auto" w:before="8"/>
        <w:rPr>
          <w:rFonts w:ascii="宋体" w:hAnsi="宋体" w:cs="宋体" w:eastAsia="宋体" w:hint="default"/>
          <w:sz w:val="17"/>
          <w:szCs w:val="17"/>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2"/>
        <w:rPr>
          <w:rFonts w:ascii="宋体" w:hAnsi="宋体" w:cs="宋体" w:eastAsia="宋体" w:hint="default"/>
          <w:sz w:val="22"/>
          <w:szCs w:val="22"/>
        </w:rPr>
      </w:pPr>
    </w:p>
    <w:p>
      <w:pPr>
        <w:pStyle w:val="Heading2"/>
        <w:spacing w:line="240" w:lineRule="auto"/>
        <w:ind w:right="0"/>
        <w:jc w:val="left"/>
        <w:rPr>
          <w:b w:val="0"/>
          <w:bCs w:val="0"/>
        </w:rPr>
      </w:pPr>
      <w:r>
        <w:rPr/>
        <w:t>十六、补充资料</w:t>
      </w:r>
      <w:r>
        <w:rPr>
          <w:b w:val="0"/>
          <w:bCs w:val="0"/>
        </w:rPr>
      </w:r>
    </w:p>
    <w:p>
      <w:pPr>
        <w:spacing w:line="240" w:lineRule="auto" w:before="6"/>
        <w:rPr>
          <w:rFonts w:ascii="宋体" w:hAnsi="宋体" w:cs="宋体" w:eastAsia="宋体" w:hint="default"/>
          <w:b/>
          <w:bCs/>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540"/>
        <w:gridCol w:w="2177"/>
        <w:gridCol w:w="3842"/>
      </w:tblGrid>
      <w:tr>
        <w:trPr>
          <w:trHeight w:val="323" w:hRule="exact"/>
        </w:trPr>
        <w:tc>
          <w:tcPr>
            <w:tcW w:w="3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8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sz w:val="18"/>
                <w:szCs w:val="18"/>
              </w:rPr>
              <w:t>每股收益</w:t>
            </w:r>
          </w:p>
        </w:tc>
      </w:tr>
    </w:tbl>
    <w:p>
      <w:pPr>
        <w:spacing w:after="0" w:line="240" w:lineRule="auto"/>
        <w:jc w:val="center"/>
        <w:rPr>
          <w:rFonts w:ascii="宋体" w:hAnsi="宋体" w:cs="宋体" w:eastAsia="宋体" w:hint="default"/>
          <w:sz w:val="18"/>
          <w:szCs w:val="18"/>
        </w:rPr>
        <w:sectPr>
          <w:pgSz w:w="11910" w:h="16840"/>
          <w:pgMar w:header="852" w:footer="980" w:top="1340" w:bottom="1160" w:left="980" w:right="980"/>
        </w:sectPr>
      </w:pPr>
    </w:p>
    <w:p>
      <w:pPr>
        <w:spacing w:line="240" w:lineRule="auto" w:before="2"/>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3517"/>
        <w:gridCol w:w="2189"/>
        <w:gridCol w:w="1915"/>
        <w:gridCol w:w="1937"/>
      </w:tblGrid>
      <w:tr>
        <w:trPr>
          <w:trHeight w:val="304"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4"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45"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89" w:type="dxa"/>
            <w:tcBorders>
              <w:top w:val="single" w:sz="20" w:space="0" w:color="D2D2D2"/>
              <w:left w:val="single" w:sz="13" w:space="0" w:color="D2D2D2"/>
              <w:bottom w:val="single" w:sz="4" w:space="0" w:color="000000"/>
              <w:right w:val="single" w:sz="4" w:space="0" w:color="000000"/>
            </w:tcBorders>
          </w:tcPr>
          <w:p>
            <w:pPr>
              <w:pStyle w:val="TableParagraph"/>
              <w:spacing w:line="240" w:lineRule="auto" w:before="46"/>
              <w:ind w:right="16"/>
              <w:jc w:val="right"/>
              <w:rPr>
                <w:rFonts w:ascii="Times New Roman" w:hAnsi="Times New Roman" w:cs="Times New Roman" w:eastAsia="Times New Roman" w:hint="default"/>
                <w:sz w:val="18"/>
                <w:szCs w:val="18"/>
              </w:rPr>
            </w:pPr>
            <w:r>
              <w:rPr>
                <w:rFonts w:ascii="Times New Roman"/>
                <w:sz w:val="18"/>
              </w:rPr>
              <w:t>14.36%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1"/>
              <w:jc w:val="right"/>
              <w:rPr>
                <w:rFonts w:ascii="Times New Roman" w:hAnsi="Times New Roman" w:cs="Times New Roman" w:eastAsia="Times New Roman" w:hint="default"/>
                <w:sz w:val="18"/>
                <w:szCs w:val="18"/>
              </w:rPr>
            </w:pPr>
            <w:r>
              <w:rPr>
                <w:rFonts w:ascii="Times New Roman"/>
                <w:spacing w:val="-1"/>
                <w:sz w:val="18"/>
              </w:rPr>
              <w:t>1.13</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8"/>
              <w:jc w:val="right"/>
              <w:rPr>
                <w:rFonts w:ascii="Times New Roman" w:hAnsi="Times New Roman" w:cs="Times New Roman" w:eastAsia="Times New Roman" w:hint="default"/>
                <w:sz w:val="18"/>
                <w:szCs w:val="18"/>
              </w:rPr>
            </w:pPr>
            <w:r>
              <w:rPr>
                <w:rFonts w:ascii="Times New Roman"/>
                <w:spacing w:val="-1"/>
                <w:sz w:val="18"/>
              </w:rPr>
              <w:t>1.13</w:t>
            </w:r>
          </w:p>
        </w:tc>
      </w:tr>
      <w:tr>
        <w:trPr>
          <w:trHeight w:val="557"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73"/>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Heading3"/>
        <w:spacing w:line="240" w:lineRule="auto" w:before="36"/>
        <w:ind w:left="172" w:right="117"/>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tbl>
      <w:tblPr>
        <w:tblW w:w="0" w:type="auto"/>
        <w:jc w:val="left"/>
        <w:tblInd w:w="103" w:type="dxa"/>
        <w:tblLayout w:type="fixed"/>
        <w:tblCellMar>
          <w:top w:w="0" w:type="dxa"/>
          <w:left w:w="0" w:type="dxa"/>
          <w:bottom w:w="0" w:type="dxa"/>
          <w:right w:w="0" w:type="dxa"/>
        </w:tblCellMar>
        <w:tblLook w:val="01E0"/>
      </w:tblPr>
      <w:tblGrid>
        <w:gridCol w:w="1731"/>
        <w:gridCol w:w="1880"/>
        <w:gridCol w:w="1880"/>
        <w:gridCol w:w="1198"/>
        <w:gridCol w:w="3077"/>
      </w:tblGrid>
      <w:tr>
        <w:trPr>
          <w:trHeight w:val="266" w:hRule="exact"/>
        </w:trPr>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1"/>
              <w:jc w:val="center"/>
              <w:rPr>
                <w:rFonts w:ascii="宋体" w:hAnsi="宋体" w:cs="宋体" w:eastAsia="宋体" w:hint="default"/>
                <w:sz w:val="18"/>
                <w:szCs w:val="18"/>
              </w:rPr>
            </w:pPr>
            <w:r>
              <w:rPr>
                <w:rFonts w:ascii="宋体" w:hAnsi="宋体" w:cs="宋体" w:eastAsia="宋体" w:hint="default"/>
                <w:sz w:val="18"/>
                <w:szCs w:val="18"/>
              </w:rPr>
              <w:t>报表项目</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2" w:right="-20"/>
              <w:jc w:val="center"/>
              <w:rPr>
                <w:rFonts w:ascii="宋体" w:hAnsi="宋体" w:cs="宋体" w:eastAsia="宋体" w:hint="default"/>
                <w:sz w:val="18"/>
                <w:szCs w:val="18"/>
              </w:rPr>
            </w:pPr>
            <w:r>
              <w:rPr>
                <w:rFonts w:ascii="宋体" w:hAnsi="宋体" w:cs="宋体" w:eastAsia="宋体" w:hint="default"/>
                <w:spacing w:val="-9"/>
                <w:sz w:val="18"/>
                <w:szCs w:val="18"/>
              </w:rPr>
              <w:t>期末余额（或本期金额）</w:t>
            </w:r>
            <w:r>
              <w:rPr>
                <w:rFonts w:ascii="宋体" w:hAnsi="宋体" w:cs="宋体" w:eastAsia="宋体" w:hint="default"/>
                <w:sz w:val="18"/>
                <w:szCs w:val="18"/>
              </w:rPr>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84"/>
              <w:jc w:val="center"/>
              <w:rPr>
                <w:rFonts w:ascii="宋体" w:hAnsi="宋体" w:cs="宋体" w:eastAsia="宋体" w:hint="default"/>
                <w:sz w:val="18"/>
                <w:szCs w:val="18"/>
              </w:rPr>
            </w:pPr>
            <w:r>
              <w:rPr>
                <w:rFonts w:ascii="宋体" w:hAnsi="宋体" w:cs="宋体" w:eastAsia="宋体" w:hint="default"/>
                <w:spacing w:val="-4"/>
                <w:sz w:val="18"/>
                <w:szCs w:val="18"/>
              </w:rPr>
              <w:t>年初余额（或上期金额</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0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z w:val="18"/>
                <w:szCs w:val="18"/>
              </w:rPr>
              <w:t>变动比率</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737" w:hRule="exact"/>
        </w:trPr>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714,213,558.83</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576,890,099.24</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23.80%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6"/>
              <w:ind w:left="4" w:right="-12"/>
              <w:jc w:val="both"/>
              <w:rPr>
                <w:rFonts w:ascii="宋体" w:hAnsi="宋体" w:cs="宋体" w:eastAsia="宋体" w:hint="default"/>
                <w:sz w:val="18"/>
                <w:szCs w:val="18"/>
              </w:rPr>
            </w:pPr>
            <w:r>
              <w:rPr>
                <w:rFonts w:ascii="宋体" w:hAnsi="宋体" w:cs="宋体" w:eastAsia="宋体" w:hint="default"/>
                <w:spacing w:val="11"/>
                <w:sz w:val="18"/>
                <w:szCs w:val="18"/>
              </w:rPr>
              <w:t>因中国移动通信集团广东有限公司对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飞信运营支撑服务款项结算周期变长，</w:t>
            </w:r>
            <w:r>
              <w:rPr>
                <w:rFonts w:ascii="宋体" w:hAnsi="宋体" w:cs="宋体" w:eastAsia="宋体" w:hint="default"/>
                <w:sz w:val="18"/>
                <w:szCs w:val="18"/>
              </w:rPr>
              <w:t> 造成期末应收账款大幅增加。</w:t>
            </w:r>
          </w:p>
        </w:tc>
      </w:tr>
      <w:tr>
        <w:trPr>
          <w:trHeight w:val="1436" w:hRule="exact"/>
        </w:trPr>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396,446,741.75</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4" w:right="0"/>
              <w:jc w:val="center"/>
              <w:rPr>
                <w:rFonts w:ascii="Times New Roman" w:hAnsi="Times New Roman" w:cs="Times New Roman" w:eastAsia="Times New Roman" w:hint="default"/>
                <w:sz w:val="18"/>
                <w:szCs w:val="18"/>
              </w:rPr>
            </w:pPr>
            <w:r>
              <w:rPr>
                <w:rFonts w:ascii="Times New Roman"/>
                <w:sz w:val="18"/>
              </w:rPr>
              <w:t>316,242,141.11</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314" w:right="0"/>
              <w:jc w:val="left"/>
              <w:rPr>
                <w:rFonts w:ascii="Times New Roman" w:hAnsi="Times New Roman" w:cs="Times New Roman" w:eastAsia="Times New Roman" w:hint="default"/>
                <w:sz w:val="18"/>
                <w:szCs w:val="18"/>
              </w:rPr>
            </w:pPr>
            <w:r>
              <w:rPr>
                <w:rFonts w:ascii="Times New Roman"/>
                <w:sz w:val="18"/>
              </w:rPr>
              <w:t>25.36%</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4" w:right="0"/>
              <w:jc w:val="both"/>
              <w:rPr>
                <w:rFonts w:ascii="宋体" w:hAnsi="宋体" w:cs="宋体" w:eastAsia="宋体" w:hint="default"/>
                <w:sz w:val="18"/>
                <w:szCs w:val="18"/>
              </w:rPr>
            </w:pPr>
            <w:r>
              <w:rPr>
                <w:rFonts w:ascii="宋体" w:hAnsi="宋体" w:cs="宋体" w:eastAsia="宋体" w:hint="default"/>
                <w:spacing w:val="11"/>
                <w:sz w:val="18"/>
                <w:szCs w:val="18"/>
              </w:rPr>
              <w:t>本期公司对北京润佳华商创新投资管</w:t>
            </w:r>
            <w:r>
              <w:rPr>
                <w:rFonts w:ascii="宋体" w:hAnsi="宋体" w:cs="宋体" w:eastAsia="宋体" w:hint="default"/>
                <w:sz w:val="18"/>
                <w:szCs w:val="18"/>
              </w:rPr>
            </w:r>
          </w:p>
          <w:p>
            <w:pPr>
              <w:pStyle w:val="TableParagraph"/>
              <w:spacing w:line="228" w:lineRule="auto" w:before="10"/>
              <w:ind w:left="4" w:right="-1"/>
              <w:jc w:val="both"/>
              <w:rPr>
                <w:rFonts w:ascii="宋体" w:hAnsi="宋体" w:cs="宋体" w:eastAsia="宋体" w:hint="default"/>
                <w:sz w:val="18"/>
                <w:szCs w:val="18"/>
              </w:rPr>
            </w:pPr>
            <w:r>
              <w:rPr>
                <w:rFonts w:ascii="宋体" w:hAnsi="宋体" w:cs="宋体" w:eastAsia="宋体" w:hint="default"/>
                <w:spacing w:val="-3"/>
                <w:sz w:val="18"/>
                <w:szCs w:val="18"/>
              </w:rPr>
              <w:t>理中心（有限合伙）投资</w:t>
            </w:r>
            <w:r>
              <w:rPr>
                <w:rFonts w:ascii="Times New Roman" w:hAnsi="Times New Roman" w:cs="Times New Roman" w:eastAsia="Times New Roman" w:hint="default"/>
                <w:spacing w:val="-3"/>
                <w:sz w:val="18"/>
                <w:szCs w:val="18"/>
              </w:rPr>
              <w:t>6,500</w:t>
            </w:r>
            <w:r>
              <w:rPr>
                <w:rFonts w:ascii="宋体" w:hAnsi="宋体" w:cs="宋体" w:eastAsia="宋体" w:hint="default"/>
                <w:spacing w:val="-3"/>
                <w:sz w:val="18"/>
                <w:szCs w:val="18"/>
              </w:rPr>
              <w:t>万元，全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资子公司神州泰岳（香港）有限公司对</w:t>
            </w:r>
            <w:r>
              <w:rPr>
                <w:rFonts w:ascii="宋体" w:hAnsi="宋体" w:cs="宋体" w:eastAsia="宋体" w:hint="default"/>
                <w:sz w:val="18"/>
                <w:szCs w:val="18"/>
              </w:rPr>
              <w:t> </w:t>
            </w:r>
            <w:r>
              <w:rPr>
                <w:rFonts w:ascii="Times New Roman" w:hAnsi="Times New Roman" w:cs="Times New Roman" w:eastAsia="Times New Roman" w:hint="default"/>
                <w:sz w:val="18"/>
                <w:szCs w:val="18"/>
              </w:rPr>
              <w:t>Bridge</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Minds</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Consulting</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Pte</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pacing w:val="-5"/>
                <w:sz w:val="18"/>
                <w:szCs w:val="18"/>
              </w:rPr>
              <w:t>Ltd</w:t>
            </w:r>
            <w:r>
              <w:rPr>
                <w:rFonts w:ascii="宋体" w:hAnsi="宋体" w:cs="宋体" w:eastAsia="宋体" w:hint="default"/>
                <w:spacing w:val="-5"/>
                <w:sz w:val="18"/>
                <w:szCs w:val="18"/>
              </w:rPr>
              <w:t>（智桥资</w:t>
            </w:r>
            <w:r>
              <w:rPr>
                <w:rFonts w:ascii="宋体" w:hAnsi="宋体" w:cs="宋体" w:eastAsia="宋体" w:hint="default"/>
                <w:sz w:val="18"/>
                <w:szCs w:val="18"/>
              </w:rPr>
              <w:t> 讯公司）投资</w:t>
            </w:r>
            <w:r>
              <w:rPr>
                <w:rFonts w:ascii="Times New Roman" w:hAnsi="Times New Roman" w:cs="Times New Roman" w:eastAsia="Times New Roman" w:hint="default"/>
                <w:sz w:val="18"/>
                <w:szCs w:val="18"/>
              </w:rPr>
              <w:t>529.30</w:t>
            </w:r>
            <w:r>
              <w:rPr>
                <w:rFonts w:ascii="宋体" w:hAnsi="宋体" w:cs="宋体" w:eastAsia="宋体" w:hint="default"/>
                <w:sz w:val="18"/>
                <w:szCs w:val="18"/>
              </w:rPr>
              <w:t>万元，上述投资导</w:t>
            </w:r>
            <w:r>
              <w:rPr>
                <w:rFonts w:ascii="宋体" w:hAnsi="宋体" w:cs="宋体" w:eastAsia="宋体" w:hint="default"/>
                <w:spacing w:val="-54"/>
                <w:sz w:val="18"/>
                <w:szCs w:val="18"/>
              </w:rPr>
              <w:t> </w:t>
            </w:r>
            <w:r>
              <w:rPr>
                <w:rFonts w:ascii="宋体" w:hAnsi="宋体" w:cs="宋体" w:eastAsia="宋体" w:hint="default"/>
                <w:sz w:val="18"/>
                <w:szCs w:val="18"/>
              </w:rPr>
              <w:t>致长期股权投资余额大幅增加。</w:t>
            </w:r>
          </w:p>
        </w:tc>
      </w:tr>
      <w:tr>
        <w:trPr>
          <w:trHeight w:val="734" w:hRule="exact"/>
        </w:trPr>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19,948,464.33</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4,704,754.05</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324.01%</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4" w:right="-12"/>
              <w:jc w:val="left"/>
              <w:rPr>
                <w:rFonts w:ascii="宋体" w:hAnsi="宋体" w:cs="宋体" w:eastAsia="宋体" w:hint="default"/>
                <w:sz w:val="18"/>
                <w:szCs w:val="18"/>
              </w:rPr>
            </w:pPr>
            <w:r>
              <w:rPr>
                <w:rFonts w:ascii="宋体" w:hAnsi="宋体" w:cs="宋体" w:eastAsia="宋体" w:hint="default"/>
                <w:spacing w:val="11"/>
                <w:sz w:val="18"/>
                <w:szCs w:val="18"/>
              </w:rPr>
              <w:t>控股孙公司宁波普金通信技术有限公</w:t>
            </w:r>
            <w:r>
              <w:rPr>
                <w:rFonts w:ascii="宋体" w:hAnsi="宋体" w:cs="宋体" w:eastAsia="宋体" w:hint="default"/>
                <w:sz w:val="18"/>
                <w:szCs w:val="18"/>
              </w:rPr>
            </w:r>
          </w:p>
          <w:p>
            <w:pPr>
              <w:pStyle w:val="TableParagraph"/>
              <w:spacing w:line="232" w:lineRule="exact" w:before="24"/>
              <w:ind w:left="4" w:right="1"/>
              <w:jc w:val="left"/>
              <w:rPr>
                <w:rFonts w:ascii="宋体" w:hAnsi="宋体" w:cs="宋体" w:eastAsia="宋体" w:hint="default"/>
                <w:sz w:val="18"/>
                <w:szCs w:val="18"/>
              </w:rPr>
            </w:pPr>
            <w:r>
              <w:rPr>
                <w:rFonts w:ascii="宋体" w:hAnsi="宋体" w:cs="宋体" w:eastAsia="宋体" w:hint="default"/>
                <w:sz w:val="18"/>
                <w:szCs w:val="18"/>
              </w:rPr>
              <w:t>司厂房工程持续投入建造，导致在建工 程余额大幅增加。</w:t>
            </w:r>
          </w:p>
        </w:tc>
      </w:tr>
      <w:tr>
        <w:trPr>
          <w:trHeight w:val="737" w:hRule="exact"/>
        </w:trPr>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64,048,420.28</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106,824,830.59</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-40.04%</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6"/>
              <w:ind w:left="4" w:right="-12"/>
              <w:jc w:val="both"/>
              <w:rPr>
                <w:rFonts w:ascii="宋体" w:hAnsi="宋体" w:cs="宋体" w:eastAsia="宋体" w:hint="default"/>
                <w:sz w:val="18"/>
                <w:szCs w:val="18"/>
              </w:rPr>
            </w:pPr>
            <w:r>
              <w:rPr>
                <w:rFonts w:ascii="宋体" w:hAnsi="宋体" w:cs="宋体" w:eastAsia="宋体" w:hint="default"/>
                <w:spacing w:val="11"/>
                <w:sz w:val="18"/>
                <w:szCs w:val="18"/>
              </w:rPr>
              <w:t>因全资子公司北京新媒传信科技有限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公司大幅减少外包服务业务，导致应付</w:t>
            </w:r>
            <w:r>
              <w:rPr>
                <w:rFonts w:ascii="宋体" w:hAnsi="宋体" w:cs="宋体" w:eastAsia="宋体" w:hint="default"/>
                <w:sz w:val="18"/>
                <w:szCs w:val="18"/>
              </w:rPr>
              <w:t> 账款余额大幅减少。</w:t>
            </w:r>
          </w:p>
        </w:tc>
      </w:tr>
      <w:tr>
        <w:trPr>
          <w:trHeight w:val="2136" w:hRule="exact"/>
        </w:trPr>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应交税费</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-24,996,792.54</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22,211,662.45</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-212.54%</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
              <w:ind w:left="4" w:right="-32"/>
              <w:jc w:val="both"/>
              <w:rPr>
                <w:rFonts w:ascii="宋体" w:hAnsi="宋体" w:cs="宋体" w:eastAsia="宋体" w:hint="default"/>
                <w:sz w:val="18"/>
                <w:szCs w:val="18"/>
              </w:rPr>
            </w:pPr>
            <w:r>
              <w:rPr>
                <w:rFonts w:ascii="宋体" w:hAnsi="宋体" w:cs="宋体" w:eastAsia="宋体" w:hint="default"/>
                <w:spacing w:val="11"/>
                <w:sz w:val="18"/>
                <w:szCs w:val="18"/>
              </w:rPr>
              <w:t>因公司与全资子公司北京新媒传信科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技</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限</w:t>
            </w:r>
            <w:r>
              <w:rPr>
                <w:rFonts w:ascii="宋体" w:hAnsi="宋体" w:cs="宋体" w:eastAsia="宋体" w:hint="default"/>
                <w:spacing w:val="-57"/>
                <w:sz w:val="18"/>
                <w:szCs w:val="18"/>
              </w:rPr>
              <w:t> </w:t>
            </w:r>
            <w:r>
              <w:rPr>
                <w:rFonts w:ascii="宋体" w:hAnsi="宋体" w:cs="宋体" w:eastAsia="宋体" w:hint="default"/>
                <w:sz w:val="18"/>
                <w:szCs w:val="18"/>
              </w:rPr>
              <w:t>公</w:t>
            </w:r>
            <w:r>
              <w:rPr>
                <w:rFonts w:ascii="宋体" w:hAnsi="宋体" w:cs="宋体" w:eastAsia="宋体" w:hint="default"/>
                <w:spacing w:val="-55"/>
                <w:sz w:val="18"/>
                <w:szCs w:val="18"/>
              </w:rPr>
              <w:t> </w:t>
            </w:r>
            <w:r>
              <w:rPr>
                <w:rFonts w:ascii="宋体" w:hAnsi="宋体" w:cs="宋体" w:eastAsia="宋体" w:hint="default"/>
                <w:sz w:val="18"/>
                <w:szCs w:val="18"/>
              </w:rPr>
              <w:t>司</w:t>
            </w:r>
            <w:r>
              <w:rPr>
                <w:rFonts w:ascii="宋体" w:hAnsi="宋体" w:cs="宋体" w:eastAsia="宋体" w:hint="default"/>
                <w:spacing w:val="-57"/>
                <w:sz w:val="18"/>
                <w:szCs w:val="18"/>
              </w:rPr>
              <w:t> </w:t>
            </w:r>
            <w:r>
              <w:rPr>
                <w:rFonts w:ascii="宋体" w:hAnsi="宋体" w:cs="宋体" w:eastAsia="宋体" w:hint="default"/>
                <w:sz w:val="18"/>
                <w:szCs w:val="18"/>
              </w:rPr>
              <w:t>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pacing w:val="26"/>
                <w:sz w:val="18"/>
                <w:szCs w:val="18"/>
              </w:rPr>
              <w:t>月被认定为</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4" w:lineRule="exact" w:before="1"/>
              <w:ind w:left="4" w:right="-7"/>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2011-2012</w:t>
            </w:r>
            <w:r>
              <w:rPr>
                <w:rFonts w:ascii="宋体" w:hAnsi="宋体" w:cs="宋体" w:eastAsia="宋体" w:hint="default"/>
                <w:spacing w:val="5"/>
                <w:sz w:val="18"/>
                <w:szCs w:val="18"/>
              </w:rPr>
              <w:t>年度国家规划布局内重点软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件企业，根据相关规定，公司与新媒传</w:t>
            </w:r>
            <w:r>
              <w:rPr>
                <w:rFonts w:ascii="宋体" w:hAnsi="宋体" w:cs="宋体" w:eastAsia="宋体" w:hint="default"/>
                <w:sz w:val="18"/>
                <w:szCs w:val="18"/>
              </w:rPr>
              <w:t> </w:t>
            </w:r>
            <w:r>
              <w:rPr>
                <w:rFonts w:ascii="宋体" w:hAnsi="宋体" w:cs="宋体" w:eastAsia="宋体" w:hint="default"/>
                <w:spacing w:val="8"/>
                <w:sz w:val="18"/>
                <w:szCs w:val="18"/>
              </w:rPr>
              <w:t>信</w:t>
            </w:r>
            <w:r>
              <w:rPr>
                <w:rFonts w:ascii="Times New Roman" w:hAnsi="Times New Roman" w:cs="Times New Roman" w:eastAsia="Times New Roman" w:hint="default"/>
                <w:spacing w:val="8"/>
                <w:sz w:val="18"/>
                <w:szCs w:val="18"/>
              </w:rPr>
              <w:t>2011</w:t>
            </w:r>
            <w:r>
              <w:rPr>
                <w:rFonts w:ascii="宋体" w:hAnsi="宋体" w:cs="宋体" w:eastAsia="宋体" w:hint="default"/>
                <w:spacing w:val="8"/>
                <w:sz w:val="18"/>
                <w:szCs w:val="18"/>
              </w:rPr>
              <w:t>年度、</w:t>
            </w:r>
            <w:r>
              <w:rPr>
                <w:rFonts w:ascii="Times New Roman" w:hAnsi="Times New Roman" w:cs="Times New Roman" w:eastAsia="Times New Roman" w:hint="default"/>
                <w:spacing w:val="8"/>
                <w:sz w:val="18"/>
                <w:szCs w:val="18"/>
              </w:rPr>
              <w:t>2012</w:t>
            </w:r>
            <w:r>
              <w:rPr>
                <w:rFonts w:ascii="宋体" w:hAnsi="宋体" w:cs="宋体" w:eastAsia="宋体" w:hint="default"/>
                <w:spacing w:val="8"/>
                <w:sz w:val="18"/>
                <w:szCs w:val="18"/>
              </w:rPr>
              <w:t>年度所得税税率为</w:t>
            </w:r>
          </w:p>
          <w:p>
            <w:pPr>
              <w:pStyle w:val="TableParagraph"/>
              <w:spacing w:line="232" w:lineRule="exact" w:before="2"/>
              <w:ind w:left="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。公司于本期对</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年度已汇算清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9"/>
                <w:sz w:val="18"/>
                <w:szCs w:val="18"/>
              </w:rPr>
              <w:t>缴所得税及</w:t>
            </w:r>
            <w:r>
              <w:rPr>
                <w:rFonts w:ascii="Times New Roman" w:hAnsi="Times New Roman" w:cs="Times New Roman" w:eastAsia="Times New Roman" w:hint="default"/>
                <w:spacing w:val="9"/>
                <w:sz w:val="18"/>
                <w:szCs w:val="18"/>
              </w:rPr>
              <w:t>2012</w:t>
            </w:r>
            <w:r>
              <w:rPr>
                <w:rFonts w:ascii="宋体" w:hAnsi="宋体" w:cs="宋体" w:eastAsia="宋体" w:hint="default"/>
                <w:spacing w:val="9"/>
                <w:sz w:val="18"/>
                <w:szCs w:val="18"/>
              </w:rPr>
              <w:t>年度预缴所得税已进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行了调整，导致应交税费期末余额大幅</w:t>
            </w:r>
            <w:r>
              <w:rPr>
                <w:rFonts w:ascii="宋体" w:hAnsi="宋体" w:cs="宋体" w:eastAsia="宋体" w:hint="default"/>
                <w:w w:val="99"/>
                <w:sz w:val="18"/>
                <w:szCs w:val="18"/>
              </w:rPr>
              <w:t> </w:t>
            </w:r>
            <w:r>
              <w:rPr>
                <w:rFonts w:ascii="宋体" w:hAnsi="宋体" w:cs="宋体" w:eastAsia="宋体" w:hint="default"/>
                <w:sz w:val="18"/>
                <w:szCs w:val="18"/>
              </w:rPr>
              <w:t>减少。</w:t>
            </w:r>
          </w:p>
        </w:tc>
      </w:tr>
      <w:tr>
        <w:trPr>
          <w:trHeight w:val="540" w:hRule="exact"/>
        </w:trPr>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1,409,512,910.02</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Times New Roman" w:hAnsi="Times New Roman" w:cs="Times New Roman" w:eastAsia="Times New Roman" w:hint="default"/>
                <w:sz w:val="18"/>
                <w:szCs w:val="18"/>
              </w:rPr>
            </w:pPr>
            <w:r>
              <w:rPr>
                <w:rFonts w:ascii="Times New Roman"/>
                <w:sz w:val="18"/>
              </w:rPr>
              <w:t>1,157,258,089.53</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314" w:right="0"/>
              <w:jc w:val="left"/>
              <w:rPr>
                <w:rFonts w:ascii="Times New Roman" w:hAnsi="Times New Roman" w:cs="Times New Roman" w:eastAsia="Times New Roman" w:hint="default"/>
                <w:sz w:val="18"/>
                <w:szCs w:val="18"/>
              </w:rPr>
            </w:pPr>
            <w:r>
              <w:rPr>
                <w:rFonts w:ascii="Times New Roman"/>
                <w:sz w:val="18"/>
              </w:rPr>
              <w:t>21.80%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12"/>
              <w:jc w:val="left"/>
              <w:rPr>
                <w:rFonts w:ascii="宋体" w:hAnsi="宋体" w:cs="宋体" w:eastAsia="宋体" w:hint="default"/>
                <w:sz w:val="18"/>
                <w:szCs w:val="18"/>
              </w:rPr>
            </w:pPr>
            <w:r>
              <w:rPr>
                <w:rFonts w:ascii="宋体" w:hAnsi="宋体" w:cs="宋体" w:eastAsia="宋体" w:hint="default"/>
                <w:spacing w:val="11"/>
                <w:sz w:val="18"/>
                <w:szCs w:val="18"/>
              </w:rPr>
              <w:t>销售规模及类型的增加，导致收入增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加。</w:t>
            </w:r>
          </w:p>
        </w:tc>
      </w:tr>
      <w:tr>
        <w:trPr>
          <w:trHeight w:val="422" w:hRule="exact"/>
        </w:trPr>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495,686,394.02</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376,951,092.02</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314" w:right="0"/>
              <w:jc w:val="left"/>
              <w:rPr>
                <w:rFonts w:ascii="Times New Roman" w:hAnsi="Times New Roman" w:cs="Times New Roman" w:eastAsia="Times New Roman" w:hint="default"/>
                <w:sz w:val="18"/>
                <w:szCs w:val="18"/>
              </w:rPr>
            </w:pPr>
            <w:r>
              <w:rPr>
                <w:rFonts w:ascii="Times New Roman"/>
                <w:sz w:val="18"/>
              </w:rPr>
              <w:t>31.50%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4" w:right="-2"/>
              <w:jc w:val="center"/>
              <w:rPr>
                <w:rFonts w:ascii="宋体" w:hAnsi="宋体" w:cs="宋体" w:eastAsia="宋体" w:hint="default"/>
                <w:sz w:val="18"/>
                <w:szCs w:val="18"/>
              </w:rPr>
            </w:pPr>
            <w:r>
              <w:rPr>
                <w:rFonts w:ascii="宋体" w:hAnsi="宋体" w:cs="宋体" w:eastAsia="宋体" w:hint="default"/>
                <w:sz w:val="18"/>
                <w:szCs w:val="18"/>
              </w:rPr>
              <w:t>收入增加导致对应的成本也大幅增加。</w:t>
            </w:r>
          </w:p>
        </w:tc>
      </w:tr>
      <w:tr>
        <w:trPr>
          <w:trHeight w:val="785" w:hRule="exact"/>
        </w:trPr>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投资收益</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10,273,998.67</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29,819,673.99</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-65.55%</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0"/>
              <w:ind w:left="4" w:right="-12"/>
              <w:jc w:val="both"/>
              <w:rPr>
                <w:rFonts w:ascii="宋体" w:hAnsi="宋体" w:cs="宋体" w:eastAsia="宋体" w:hint="default"/>
                <w:sz w:val="18"/>
                <w:szCs w:val="18"/>
              </w:rPr>
            </w:pPr>
            <w:r>
              <w:rPr>
                <w:rFonts w:ascii="宋体" w:hAnsi="宋体" w:cs="宋体" w:eastAsia="宋体" w:hint="default"/>
                <w:spacing w:val="11"/>
                <w:sz w:val="18"/>
                <w:szCs w:val="18"/>
              </w:rPr>
              <w:t>由于公司所投资的联营企业本期利润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大幅下降，导致公司确认的投资收益大</w:t>
            </w:r>
            <w:r>
              <w:rPr>
                <w:rFonts w:ascii="宋体" w:hAnsi="宋体" w:cs="宋体" w:eastAsia="宋体" w:hint="default"/>
                <w:sz w:val="18"/>
                <w:szCs w:val="18"/>
              </w:rPr>
              <w:t> 幅下降。</w:t>
            </w:r>
          </w:p>
        </w:tc>
      </w:tr>
      <w:tr>
        <w:trPr>
          <w:trHeight w:val="545" w:hRule="exact"/>
        </w:trPr>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0"/>
              <w:jc w:val="center"/>
              <w:rPr>
                <w:rFonts w:ascii="Times New Roman" w:hAnsi="Times New Roman" w:cs="Times New Roman" w:eastAsia="Times New Roman" w:hint="default"/>
                <w:sz w:val="18"/>
                <w:szCs w:val="18"/>
              </w:rPr>
            </w:pPr>
            <w:r>
              <w:rPr>
                <w:rFonts w:ascii="Times New Roman"/>
                <w:sz w:val="18"/>
              </w:rPr>
              <w:t>35,412,646.55</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left="4" w:right="0"/>
              <w:jc w:val="center"/>
              <w:rPr>
                <w:rFonts w:ascii="Times New Roman" w:hAnsi="Times New Roman" w:cs="Times New Roman" w:eastAsia="Times New Roman" w:hint="default"/>
                <w:sz w:val="18"/>
                <w:szCs w:val="18"/>
              </w:rPr>
            </w:pPr>
            <w:r>
              <w:rPr>
                <w:rFonts w:ascii="Times New Roman"/>
                <w:sz w:val="18"/>
              </w:rPr>
              <w:t>25,039,598.35</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left="314" w:right="0"/>
              <w:jc w:val="left"/>
              <w:rPr>
                <w:rFonts w:ascii="Times New Roman" w:hAnsi="Times New Roman" w:cs="Times New Roman" w:eastAsia="Times New Roman" w:hint="default"/>
                <w:sz w:val="18"/>
                <w:szCs w:val="18"/>
              </w:rPr>
            </w:pPr>
            <w:r>
              <w:rPr>
                <w:rFonts w:ascii="Times New Roman"/>
                <w:sz w:val="18"/>
              </w:rPr>
              <w:t>41.43%</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1"/>
              <w:jc w:val="left"/>
              <w:rPr>
                <w:rFonts w:ascii="宋体" w:hAnsi="宋体" w:cs="宋体" w:eastAsia="宋体" w:hint="default"/>
                <w:sz w:val="18"/>
                <w:szCs w:val="18"/>
              </w:rPr>
            </w:pPr>
            <w:r>
              <w:rPr>
                <w:rFonts w:ascii="宋体" w:hAnsi="宋体" w:cs="宋体" w:eastAsia="宋体" w:hint="default"/>
                <w:sz w:val="18"/>
                <w:szCs w:val="18"/>
              </w:rPr>
              <w:t>由于公司收到较多的政府补助，导致本 期营业外收入发生额大幅上升。</w:t>
            </w:r>
          </w:p>
        </w:tc>
      </w:tr>
      <w:tr>
        <w:trPr>
          <w:trHeight w:val="2136" w:hRule="exact"/>
        </w:trPr>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18,195,239.71</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32,992,592.03</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-44.85%</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
              <w:ind w:left="4" w:right="-32"/>
              <w:jc w:val="both"/>
              <w:rPr>
                <w:rFonts w:ascii="宋体" w:hAnsi="宋体" w:cs="宋体" w:eastAsia="宋体" w:hint="default"/>
                <w:sz w:val="18"/>
                <w:szCs w:val="18"/>
              </w:rPr>
            </w:pPr>
            <w:r>
              <w:rPr>
                <w:rFonts w:ascii="宋体" w:hAnsi="宋体" w:cs="宋体" w:eastAsia="宋体" w:hint="default"/>
                <w:spacing w:val="11"/>
                <w:sz w:val="18"/>
                <w:szCs w:val="18"/>
              </w:rPr>
              <w:t>因公司与全资子公司北京新媒传信科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技</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限</w:t>
            </w:r>
            <w:r>
              <w:rPr>
                <w:rFonts w:ascii="宋体" w:hAnsi="宋体" w:cs="宋体" w:eastAsia="宋体" w:hint="default"/>
                <w:spacing w:val="-57"/>
                <w:sz w:val="18"/>
                <w:szCs w:val="18"/>
              </w:rPr>
              <w:t> </w:t>
            </w:r>
            <w:r>
              <w:rPr>
                <w:rFonts w:ascii="宋体" w:hAnsi="宋体" w:cs="宋体" w:eastAsia="宋体" w:hint="default"/>
                <w:sz w:val="18"/>
                <w:szCs w:val="18"/>
              </w:rPr>
              <w:t>公</w:t>
            </w:r>
            <w:r>
              <w:rPr>
                <w:rFonts w:ascii="宋体" w:hAnsi="宋体" w:cs="宋体" w:eastAsia="宋体" w:hint="default"/>
                <w:spacing w:val="-55"/>
                <w:sz w:val="18"/>
                <w:szCs w:val="18"/>
              </w:rPr>
              <w:t> </w:t>
            </w:r>
            <w:r>
              <w:rPr>
                <w:rFonts w:ascii="宋体" w:hAnsi="宋体" w:cs="宋体" w:eastAsia="宋体" w:hint="default"/>
                <w:sz w:val="18"/>
                <w:szCs w:val="18"/>
              </w:rPr>
              <w:t>司</w:t>
            </w:r>
            <w:r>
              <w:rPr>
                <w:rFonts w:ascii="宋体" w:hAnsi="宋体" w:cs="宋体" w:eastAsia="宋体" w:hint="default"/>
                <w:spacing w:val="-57"/>
                <w:sz w:val="18"/>
                <w:szCs w:val="18"/>
              </w:rPr>
              <w:t> </w:t>
            </w:r>
            <w:r>
              <w:rPr>
                <w:rFonts w:ascii="宋体" w:hAnsi="宋体" w:cs="宋体" w:eastAsia="宋体" w:hint="default"/>
                <w:sz w:val="18"/>
                <w:szCs w:val="18"/>
              </w:rPr>
              <w:t>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pacing w:val="26"/>
                <w:sz w:val="18"/>
                <w:szCs w:val="18"/>
              </w:rPr>
              <w:t>月被认定为</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2" w:lineRule="exact" w:before="3"/>
              <w:ind w:left="4" w:right="-7"/>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2011-2012</w:t>
            </w:r>
            <w:r>
              <w:rPr>
                <w:rFonts w:ascii="宋体" w:hAnsi="宋体" w:cs="宋体" w:eastAsia="宋体" w:hint="default"/>
                <w:spacing w:val="5"/>
                <w:sz w:val="18"/>
                <w:szCs w:val="18"/>
              </w:rPr>
              <w:t>年度国家规划布局内重点软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件企业，根据相关规定，公司与新媒传</w:t>
            </w:r>
            <w:r>
              <w:rPr>
                <w:rFonts w:ascii="宋体" w:hAnsi="宋体" w:cs="宋体" w:eastAsia="宋体" w:hint="default"/>
                <w:sz w:val="18"/>
                <w:szCs w:val="18"/>
              </w:rPr>
              <w:t> </w:t>
            </w:r>
            <w:r>
              <w:rPr>
                <w:rFonts w:ascii="宋体" w:hAnsi="宋体" w:cs="宋体" w:eastAsia="宋体" w:hint="default"/>
                <w:spacing w:val="8"/>
                <w:sz w:val="18"/>
                <w:szCs w:val="18"/>
              </w:rPr>
              <w:t>信</w:t>
            </w:r>
            <w:r>
              <w:rPr>
                <w:rFonts w:ascii="Times New Roman" w:hAnsi="Times New Roman" w:cs="Times New Roman" w:eastAsia="Times New Roman" w:hint="default"/>
                <w:spacing w:val="8"/>
                <w:sz w:val="18"/>
                <w:szCs w:val="18"/>
              </w:rPr>
              <w:t>2011</w:t>
            </w:r>
            <w:r>
              <w:rPr>
                <w:rFonts w:ascii="宋体" w:hAnsi="宋体" w:cs="宋体" w:eastAsia="宋体" w:hint="default"/>
                <w:spacing w:val="8"/>
                <w:sz w:val="18"/>
                <w:szCs w:val="18"/>
              </w:rPr>
              <w:t>年度、</w:t>
            </w:r>
            <w:r>
              <w:rPr>
                <w:rFonts w:ascii="Times New Roman" w:hAnsi="Times New Roman" w:cs="Times New Roman" w:eastAsia="Times New Roman" w:hint="default"/>
                <w:spacing w:val="8"/>
                <w:sz w:val="18"/>
                <w:szCs w:val="18"/>
              </w:rPr>
              <w:t>2012</w:t>
            </w:r>
            <w:r>
              <w:rPr>
                <w:rFonts w:ascii="宋体" w:hAnsi="宋体" w:cs="宋体" w:eastAsia="宋体" w:hint="default"/>
                <w:spacing w:val="8"/>
                <w:sz w:val="18"/>
                <w:szCs w:val="18"/>
              </w:rPr>
              <w:t>年度所得税税率为</w:t>
            </w:r>
          </w:p>
          <w:p>
            <w:pPr>
              <w:pStyle w:val="TableParagraph"/>
              <w:spacing w:line="232" w:lineRule="exact" w:before="3"/>
              <w:ind w:left="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。公司于本期对</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年度已汇算清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9"/>
                <w:sz w:val="18"/>
                <w:szCs w:val="18"/>
              </w:rPr>
              <w:t>缴所得税及</w:t>
            </w:r>
            <w:r>
              <w:rPr>
                <w:rFonts w:ascii="Times New Roman" w:hAnsi="Times New Roman" w:cs="Times New Roman" w:eastAsia="Times New Roman" w:hint="default"/>
                <w:spacing w:val="9"/>
                <w:sz w:val="18"/>
                <w:szCs w:val="18"/>
              </w:rPr>
              <w:t>2012</w:t>
            </w:r>
            <w:r>
              <w:rPr>
                <w:rFonts w:ascii="宋体" w:hAnsi="宋体" w:cs="宋体" w:eastAsia="宋体" w:hint="default"/>
                <w:spacing w:val="9"/>
                <w:sz w:val="18"/>
                <w:szCs w:val="18"/>
              </w:rPr>
              <w:t>年度预缴所得税已进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行了调整，导致本期所得税费用大幅减</w:t>
            </w:r>
            <w:r>
              <w:rPr>
                <w:rFonts w:ascii="宋体" w:hAnsi="宋体" w:cs="宋体" w:eastAsia="宋体" w:hint="default"/>
                <w:w w:val="99"/>
                <w:sz w:val="18"/>
                <w:szCs w:val="18"/>
              </w:rPr>
              <w:t> </w:t>
            </w:r>
            <w:r>
              <w:rPr>
                <w:rFonts w:ascii="宋体" w:hAnsi="宋体" w:cs="宋体" w:eastAsia="宋体" w:hint="default"/>
                <w:sz w:val="18"/>
                <w:szCs w:val="18"/>
              </w:rPr>
              <w:t>少。</w:t>
            </w:r>
          </w:p>
        </w:tc>
      </w:tr>
    </w:tbl>
    <w:p>
      <w:pPr>
        <w:spacing w:after="0" w:line="232" w:lineRule="exact"/>
        <w:jc w:val="both"/>
        <w:rPr>
          <w:rFonts w:ascii="宋体" w:hAnsi="宋体" w:cs="宋体" w:eastAsia="宋体" w:hint="default"/>
          <w:sz w:val="18"/>
          <w:szCs w:val="18"/>
        </w:rPr>
        <w:sectPr>
          <w:pgSz w:w="11910" w:h="16840"/>
          <w:pgMar w:header="852" w:footer="980" w:top="1340" w:bottom="1160" w:left="960" w:right="940"/>
        </w:sectPr>
      </w:pPr>
    </w:p>
    <w:p>
      <w:pPr>
        <w:spacing w:line="240" w:lineRule="auto" w:before="11"/>
        <w:rPr>
          <w:rFonts w:ascii="宋体" w:hAnsi="宋体" w:cs="宋体" w:eastAsia="宋体" w:hint="default"/>
          <w:b/>
          <w:bCs/>
          <w:sz w:val="28"/>
          <w:szCs w:val="28"/>
        </w:rPr>
      </w:pPr>
    </w:p>
    <w:p>
      <w:pPr>
        <w:pStyle w:val="Heading1"/>
        <w:spacing w:line="240" w:lineRule="auto"/>
        <w:ind w:right="2422"/>
        <w:jc w:val="center"/>
        <w:rPr>
          <w:b w:val="0"/>
          <w:bCs w:val="0"/>
        </w:rPr>
      </w:pPr>
      <w:bookmarkStart w:name="_TOC_250000" w:id="10"/>
      <w:r>
        <w:rPr/>
        <w:t>第十节</w:t>
      </w:r>
      <w:r>
        <w:rPr>
          <w:spacing w:val="-6"/>
        </w:rPr>
        <w:t> </w:t>
      </w:r>
      <w:r>
        <w:rPr/>
        <w:t>备查文件目录</w:t>
      </w:r>
      <w:bookmarkEnd w:id="10"/>
      <w:r>
        <w:rPr>
          <w:b w:val="0"/>
          <w:bCs w:val="0"/>
        </w:rPr>
      </w:r>
    </w:p>
    <w:p>
      <w:pPr>
        <w:spacing w:line="240" w:lineRule="auto" w:before="0"/>
        <w:rPr>
          <w:rFonts w:ascii="宋体" w:hAnsi="宋体" w:cs="宋体" w:eastAsia="宋体" w:hint="default"/>
          <w:b/>
          <w:bCs/>
          <w:sz w:val="32"/>
          <w:szCs w:val="32"/>
        </w:rPr>
      </w:pPr>
    </w:p>
    <w:p>
      <w:pPr>
        <w:spacing w:line="240" w:lineRule="auto" w:before="6"/>
        <w:rPr>
          <w:rFonts w:ascii="宋体" w:hAnsi="宋体" w:cs="宋体" w:eastAsia="宋体" w:hint="default"/>
          <w:b/>
          <w:bCs/>
          <w:sz w:val="39"/>
          <w:szCs w:val="39"/>
        </w:rPr>
      </w:pPr>
    </w:p>
    <w:p>
      <w:pPr>
        <w:pStyle w:val="BodyText"/>
        <w:spacing w:line="465" w:lineRule="auto"/>
        <w:ind w:right="414"/>
        <w:jc w:val="left"/>
      </w:pPr>
      <w:r>
        <w:rPr/>
        <w:t>一、载有董事长王宁先生签名的</w:t>
      </w:r>
      <w:r>
        <w:rPr>
          <w:rFonts w:ascii="Times New Roman" w:hAnsi="Times New Roman" w:cs="Times New Roman" w:eastAsia="Times New Roman" w:hint="default"/>
        </w:rPr>
        <w:t>2012</w:t>
      </w:r>
      <w:r>
        <w:rPr/>
        <w:t>年年度报告文件原件； 二、载有法定代表人王宁先生、主管会计工作负责人万能先生、会计机构负责人林红女士签名并盖章的财务报告文本； 三、报告期内在中国证监会指定报纸上公开披露过的所有公司文件的正本及公告的原稿；</w:t>
      </w:r>
    </w:p>
    <w:p>
      <w:pPr>
        <w:pStyle w:val="BodyText"/>
        <w:spacing w:line="480" w:lineRule="auto" w:before="65"/>
        <w:ind w:right="6174"/>
        <w:jc w:val="left"/>
      </w:pPr>
      <w:r>
        <w:rPr/>
        <w:t>四、其他相关资料。 以上备查文件的备置地点：公司董事会办公室</w:t>
      </w:r>
    </w:p>
    <w:sectPr>
      <w:pgSz w:w="11910" w:h="16840"/>
      <w:pgMar w:header="852" w:footer="980" w:top="134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369995pt;margin-top:795.637939pt;width:6.5pt;height:11pt;mso-position-horizontal-relative:page;mso-position-vertical-relative:page;z-index:-9471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1.933899pt;width:17.7pt;height:11pt;mso-position-horizontal-relative:page;mso-position-vertical-relative:page;z-index:-9465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81.933899pt;width:17.3pt;height:11pt;mso-position-horizontal-relative:page;mso-position-vertical-relative:page;z-index:-9465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1.933899pt;width:17.7pt;height:11pt;mso-position-horizontal-relative:page;mso-position-vertical-relative:page;z-index:-9465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9470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946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35.333923pt;width:13.15pt;height:11pt;mso-position-horizontal-relative:page;mso-position-vertical-relative:page;z-index:-946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29</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9468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32</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9467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35</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946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35.333923pt;width:13.15pt;height:11pt;mso-position-horizontal-relative:page;mso-position-vertical-relative:page;z-index:-946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93</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170013pt;margin-top:535.333923pt;width:15.7pt;height:11pt;mso-position-horizontal-relative:page;mso-position-vertical-relative:page;z-index:-9466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790009pt;margin-top:47.665607pt;width:204pt;height:11.5pt;mso-position-horizontal-relative:page;mso-position-vertical-relative:page;z-index:-947128" type="#_x0000_t202" filled="false" stroked="false">
          <v:textbox inset="0,0,0,0">
            <w:txbxContent>
              <w:p>
                <w:pPr>
                  <w:pStyle w:val="BodyText"/>
                  <w:spacing w:line="214" w:lineRule="exact"/>
                  <w:ind w:left="20" w:right="0"/>
                  <w:jc w:val="left"/>
                </w:pPr>
                <w:r>
                  <w:rPr/>
                  <w:t>北京神州泰岳软件股份有限公司</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1.199997pt;margin-top:42.599991pt;width:81.850006pt;height:20.399994pt;mso-position-horizontal-relative:page;mso-position-vertical-relative:page;z-index:-947056" type="#_x0000_t75" stroked="false">
          <v:imagedata r:id="rId1" o:title=""/>
        </v:shape>
      </w:pict>
    </w:r>
    <w:r>
      <w:rPr/>
      <w:pict>
        <v:group style="position:absolute;margin-left:55.200001pt;margin-top:66.959984pt;width:484.9pt;height:.1pt;mso-position-horizontal-relative:page;mso-position-vertical-relative:page;z-index:-947032" coordorigin="1104,1339" coordsize="9698,2">
          <v:shape style="position:absolute;left:1104;top:1339;width:9698;height:2" coordorigin="1104,1339" coordsize="9698,0" path="m1104,1339l10802,1339e" filled="false" stroked="true" strokeweight=".72pt" strokecolor="#000000">
            <v:path arrowok="t"/>
          </v:shape>
          <w10:wrap type="none"/>
        </v:group>
      </w:pict>
    </w:r>
    <w:r>
      <w:rPr/>
      <w:pict>
        <v:shape style="position:absolute;margin-left:335.790009pt;margin-top:54.26561pt;width:204pt;height:11.5pt;mso-position-horizontal-relative:page;mso-position-vertical-relative:page;z-index:-947008" type="#_x0000_t202" filled="false" stroked="false">
          <v:textbox inset="0,0,0,0">
            <w:txbxContent>
              <w:p>
                <w:pPr>
                  <w:pStyle w:val="BodyText"/>
                  <w:spacing w:line="214" w:lineRule="exact"/>
                  <w:ind w:left="20" w:right="0"/>
                  <w:jc w:val="left"/>
                </w:pPr>
                <w:r>
                  <w:rPr/>
                  <w:t>北京神州泰岳软件股份有限公司</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949982pt;margin-top:42.600006pt;width:81.850006pt;height:20.399994pt;mso-position-horizontal-relative:page;mso-position-vertical-relative:page;z-index:-946960" type="#_x0000_t75" stroked="false">
          <v:imagedata r:id="rId1" o:title=""/>
        </v:shape>
      </w:pict>
    </w:r>
    <w:r>
      <w:rPr/>
      <w:pict>
        <v:shape style="position:absolute;margin-left:566.549988pt;margin-top:54.285633pt;width:204.5pt;height:11.5pt;mso-position-horizontal-relative:page;mso-position-vertical-relative:page;z-index:-946936" type="#_x0000_t202" filled="false" stroked="false">
          <v:textbox inset="0,0,0,0">
            <w:txbxContent>
              <w:p>
                <w:pPr>
                  <w:pStyle w:val="BodyText"/>
                  <w:spacing w:line="214" w:lineRule="exact"/>
                  <w:ind w:left="20" w:right="0"/>
                  <w:jc w:val="left"/>
                </w:pPr>
                <w:r>
                  <w:rPr/>
                  <w:t>北京神州泰岳软件股份有限公司</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1.199997pt;margin-top:42.599991pt;width:81.850006pt;height:20.399994pt;mso-position-horizontal-relative:page;mso-position-vertical-relative:page;z-index:-946888" type="#_x0000_t75" stroked="false">
          <v:imagedata r:id="rId1" o:title=""/>
        </v:shape>
      </w:pict>
    </w:r>
    <w:r>
      <w:rPr/>
      <w:pict>
        <v:group style="position:absolute;margin-left:55.200001pt;margin-top:66.959984pt;width:484.9pt;height:.1pt;mso-position-horizontal-relative:page;mso-position-vertical-relative:page;z-index:-946864" coordorigin="1104,1339" coordsize="9698,2">
          <v:shape style="position:absolute;left:1104;top:1339;width:9698;height:2" coordorigin="1104,1339" coordsize="9698,0" path="m1104,1339l10802,1339e" filled="false" stroked="true" strokeweight=".72pt" strokecolor="#000000">
            <v:path arrowok="t"/>
          </v:shape>
          <w10:wrap type="none"/>
        </v:group>
      </w:pict>
    </w:r>
    <w:r>
      <w:rPr/>
      <w:pict>
        <v:shape style="position:absolute;margin-left:335.790009pt;margin-top:54.26561pt;width:204pt;height:11.5pt;mso-position-horizontal-relative:page;mso-position-vertical-relative:page;z-index:-946840" type="#_x0000_t202" filled="false" stroked="false">
          <v:textbox inset="0,0,0,0">
            <w:txbxContent>
              <w:p>
                <w:pPr>
                  <w:pStyle w:val="BodyText"/>
                  <w:spacing w:line="214" w:lineRule="exact"/>
                  <w:ind w:left="20" w:right="0"/>
                  <w:jc w:val="left"/>
                </w:pPr>
                <w:r>
                  <w:rPr/>
                  <w:t>北京神州泰岳软件股份有限公司</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949982pt;margin-top:42.600006pt;width:81.850006pt;height:20.399994pt;mso-position-horizontal-relative:page;mso-position-vertical-relative:page;z-index:-946744" type="#_x0000_t75" stroked="false">
          <v:imagedata r:id="rId1" o:title=""/>
        </v:shape>
      </w:pict>
    </w:r>
    <w:r>
      <w:rPr/>
      <w:pict>
        <v:shape style="position:absolute;margin-left:566.549988pt;margin-top:54.285633pt;width:204.5pt;height:11.5pt;mso-position-horizontal-relative:page;mso-position-vertical-relative:page;z-index:-946720" type="#_x0000_t202" filled="false" stroked="false">
          <v:textbox inset="0,0,0,0">
            <w:txbxContent>
              <w:p>
                <w:pPr>
                  <w:pStyle w:val="BodyText"/>
                  <w:spacing w:line="214" w:lineRule="exact"/>
                  <w:ind w:left="20" w:right="0"/>
                  <w:jc w:val="left"/>
                </w:pPr>
                <w:r>
                  <w:rPr/>
                  <w:t>北京神州泰岳软件股份有限公司</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1.199997pt;margin-top:42.599991pt;width:81.850006pt;height:20.399994pt;mso-position-horizontal-relative:page;mso-position-vertical-relative:page;z-index:-946648" type="#_x0000_t75" stroked="false">
          <v:imagedata r:id="rId1" o:title=""/>
        </v:shape>
      </w:pict>
    </w:r>
    <w:r>
      <w:rPr/>
      <w:pict>
        <v:group style="position:absolute;margin-left:55.200001pt;margin-top:66.959984pt;width:484.9pt;height:.1pt;mso-position-horizontal-relative:page;mso-position-vertical-relative:page;z-index:-946624" coordorigin="1104,1339" coordsize="9698,2">
          <v:shape style="position:absolute;left:1104;top:1339;width:9698;height:2" coordorigin="1104,1339" coordsize="9698,0" path="m1104,1339l10802,1339e" filled="false" stroked="true" strokeweight=".72pt" strokecolor="#000000">
            <v:path arrowok="t"/>
          </v:shape>
          <w10:wrap type="none"/>
        </v:group>
      </w:pict>
    </w:r>
    <w:r>
      <w:rPr/>
      <w:pict>
        <v:shape style="position:absolute;margin-left:335.790009pt;margin-top:54.26561pt;width:204pt;height:11.5pt;mso-position-horizontal-relative:page;mso-position-vertical-relative:page;z-index:-946600" type="#_x0000_t202" filled="false" stroked="false">
          <v:textbox inset="0,0,0,0">
            <w:txbxContent>
              <w:p>
                <w:pPr>
                  <w:pStyle w:val="BodyText"/>
                  <w:spacing w:line="214" w:lineRule="exact"/>
                  <w:ind w:left="20" w:right="0"/>
                  <w:jc w:val="left"/>
                </w:pPr>
                <w:r>
                  <w:rPr/>
                  <w:t>北京神州泰岳软件股份有限公司</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459"/>
      <w:ind w:left="152"/>
    </w:pPr>
    <w:rPr>
      <w:rFonts w:ascii="宋体" w:hAnsi="宋体" w:eastAsia="宋体"/>
      <w:sz w:val="18"/>
      <w:szCs w:val="1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42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573"/>
      <w:outlineLvl w:val="4"/>
    </w:pPr>
    <w:rPr>
      <w:rFonts w:ascii="宋体" w:hAnsi="宋体" w:eastAsia="宋体"/>
      <w:sz w:val="21"/>
      <w:szCs w:val="21"/>
    </w:rPr>
  </w:style>
  <w:style w:styleId="Heading5" w:type="paragraph">
    <w:name w:val="Heading 5"/>
    <w:basedOn w:val="Normal"/>
    <w:uiPriority w:val="1"/>
    <w:qFormat/>
    <w:pPr>
      <w:ind w:left="152"/>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ultrapower.com.cn/" TargetMode="External"/><Relationship Id="rId11" Type="http://schemas.openxmlformats.org/officeDocument/2006/relationships/hyperlink" Target="mailto:IRM@ultrapower.com.cn" TargetMode="External"/><Relationship Id="rId12" Type="http://schemas.openxmlformats.org/officeDocument/2006/relationships/hyperlink" Target="http://www.cninfo.com.cn/" TargetMode="External"/><Relationship Id="rId13" Type="http://schemas.openxmlformats.org/officeDocument/2006/relationships/hyperlink" Target="http://www.cninfo.com.cn/%E4%B8%AD%E7%9A%84%E7%9B%B8%E5%85%B3%E5%85%AC%E5%91%8A" TargetMode="Externa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hyperlink" Target="http://www.cninfo.com.cn&#30340;&#20844;&#21496;&#20844;&#21578;/" TargetMode="External"/><Relationship Id="rId22" Type="http://schemas.openxmlformats.org/officeDocument/2006/relationships/image" Target="media/image2.jpeg"/><Relationship Id="rId23" Type="http://schemas.openxmlformats.org/officeDocument/2006/relationships/header" Target="header5.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header" Target="header6.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footer" Target="footer1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2020-05-04T01:31:58Z</dcterms:created>
  <dcterms:modified xsi:type="dcterms:W3CDTF">2020-05-04T01:31:58Z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2013-04-25T00:00:00Z</vt:filetime>
  </property>
  <property fmtid="{D5CDD505-2E9C-101B-9397-08002B2CF9AE}" pid="3" name="Creator">
    <vt:lpwstr>Microsoft® Office Word 2007</vt:lpwstr>
  </property>
  <property fmtid="{D5CDD505-2E9C-101B-9397-08002B2CF9AE}" pid="4" name="LastSaved">
    <vt:filetime>2020-05-03T00:00:00Z</vt:filetime>
  </property>
</Properties>
</file>